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2020年第3号</w:t>
      </w:r>
    </w:p>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（总第12期）</w:t>
      </w:r>
    </w:p>
    <w:p>
      <w:pPr>
        <w:jc w:val="center"/>
        <w:rPr>
          <w:rFonts w:hint="eastAsia" w:asciiTheme="majorEastAsia" w:hAnsiTheme="majorEastAsia" w:eastAsiaTheme="majorEastAsia" w:cstheme="majorEastAsia"/>
          <w:b/>
          <w:bCs/>
          <w:sz w:val="36"/>
          <w:szCs w:val="36"/>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县政府文件</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青阳县人民政府关于认真做好第七次全国人口普查工作的通知</w:t>
      </w:r>
    </w:p>
    <w:p>
      <w:pPr>
        <w:jc w:val="both"/>
        <w:rPr>
          <w:rFonts w:hint="eastAsia" w:asciiTheme="minorEastAsia" w:hAnsiTheme="minorEastAsia" w:cstheme="minorEastAsia"/>
          <w:kern w:val="0"/>
          <w:sz w:val="28"/>
          <w:szCs w:val="28"/>
          <w:shd w:val="clear" w:color="auto" w:fill="FFFFFF"/>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bookmarkStart w:id="0" w:name="发文标题"/>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青阳县人民政府办公室关于印发青阳县房地一体农村宅基地和集体建设用地使用权确权登记颁证工作实施方案的通知</w:t>
      </w:r>
      <w:bookmarkEnd w:id="0"/>
    </w:p>
    <w:p>
      <w:pPr>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青阳县人民政府办公室关于稳定生猪生产促进转型升级的实施意见</w:t>
      </w: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青阳县人民政府关于认真做好第七次全国人口普查工作的通知</w:t>
      </w:r>
    </w:p>
    <w:p>
      <w:pPr>
        <w:jc w:val="center"/>
        <w:rPr>
          <w:rFonts w:hint="eastAsia" w:asciiTheme="minorEastAsia" w:hAnsiTheme="minorEastAsia" w:cstheme="minorEastAsia"/>
          <w:kern w:val="0"/>
          <w:sz w:val="28"/>
          <w:szCs w:val="28"/>
          <w:shd w:val="clear" w:color="auto" w:fill="FFFFFF"/>
          <w:lang w:eastAsia="zh-CN"/>
        </w:rPr>
      </w:pPr>
    </w:p>
    <w:p>
      <w:pPr>
        <w:pStyle w:val="6"/>
        <w:widowControl w:val="0"/>
        <w:spacing w:before="0" w:beforeAutospacing="0" w:after="0" w:afterAutospacing="0" w:line="600" w:lineRule="exact"/>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各乡镇人民政府，县经济开发区管委会，县政府各部门、各直属机构：</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国务院决定于2020年开展第七次全国人口普查。为做好我县人口普查工作，根据《国务院关于开展第七次全国人口普查的通知》（国发〔2019〕24号）、《安徽省人民政府关于认真做好第七次全国人口普查的通知》（皖政〔2019〕83号）、《池州市人民政府关于认真做好第七次全国人口普查的通知》（池政〔2020〕4号）要求，现将有关事项通知如下：</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一、普查内容时间</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普查主要调查人口和住户的基本情况，内容包括：姓名、公民身份号码、性别、年龄、民族、受教育程度、行业、职业、迁移流动、婚姻生育、死亡、住房情况等。</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普查的标准时点为2020年11月1日零时。</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二、普查组织实施</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人口普查是一项庞大的社会系统工程，涉及范围广、参与部门多、技术要求高、工作难度大。各地各部门要按照“全县统一领导、部门分工协作、乡镇分级负责、各方共同参与”的原则，认真做好普查的组织实施工作。</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为加强组织领导，县政府决定成立青阳县第七次全国人口普查领导小组，负责普查重大问题的研究和决策。普查领导小组办公室设在县统计局，根据需要适时抽调有关成员单位人员集中办公，具体负责普查的组织实施，公安部门负责户口整顿工作，财政部门负责经费保障工作，各成员单位要按照职能分工，各负其责，通力协作，密切配合，共同做好普查工作。对普查工作中遇到的困难和问题，要及时采取措施予以解决。</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各乡镇、开发区管委会要把第七次全国人口普查列入2020年和2021年的年度重点工作计划，于4月25日前要组建相应的普查领导小组及其办公室，负责做好本地区普查各项工作。根据工作需要，招聘或者从有关单位借调符合条件的普查指导员和普查员，也可探索引入政府购买第三方服务的方式聘用普查指导员和普查员。及时支付招聘人员的劳动报酬，保证借调人员在原单位的工资、福利及其他待遇不变，并保留其原有工作岗位。</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要充分发挥乡镇政府、开发区管委会、居民委员会和村民委员会及其他具有行政管理职能的组织机构的作用，广泛引导、动员和组织社会力量积极参与并认真配合做好普查工作。</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三、普查经费保障</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按《全国人口普查条例》规定，人口普查所需经费，由国务院和地方各级人民政府共同负担，并列入相应年度的财政预算，按时拨付，确保足额到位。各地要结合实际，充分考虑物价上涨、人口增加、普查难度加大、招聘人员的劳动报酬、普查员和普查指导员补贴发放、数据采集设备和普查物资购置等因素，对属于本级负担的经费支出作出预算安排。要落实办公地点、交通工具等工作条件。要加强普查经费管理，厉行节约，提高普查经费使用效率。 </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四、普查宣传动员</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各级普查机构要会同宣传部门认真做好普查宣传的策划和组织工作。充分运用各种宣传手段，采取多种宣传形式，发挥新闻媒体作用，广泛深入宣传第七次全国人口普查的目的、意义、要求以及普查工作中涌现出的典型事迹，引导广大人民群众依法配合普查，如实申报普查项目，为普查工作顺利实施营造良好舆论环境。</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五、其他工作要求</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一）坚持依法普查。各地各部门要严格按照《中华人民共和国统计法》《中华人民共和国统计法实施条例》《全国人口普查条例》等法律法规要求，按照普查方案规定，认真做好普查各项工作。人口普查取得的数据，严格限定用于普查目的，不得作为任何部门和单位对各级行政管理工作实施考核、奖惩的依据。普查中获得的能够识别或者推断单个普查对象身份的资料，不得作为对普查对象实施处罚等具体行政行为的依据。</w:t>
      </w:r>
    </w:p>
    <w:p>
      <w:pPr>
        <w:pStyle w:val="6"/>
        <w:widowControl w:val="0"/>
        <w:spacing w:before="0" w:beforeAutospacing="0" w:after="0" w:afterAutospacing="0"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二）确保数据质量。建立严格的岗位责任制，实施科学有序的系统管理，一级对一级负责，确保人口普查数据质量。建立健全普查数据质量追溯和问责机制，各级统计机构要加大对普查工作中违法违纪行为的查处和通报曝光力度，坚决杜绝人为干扰普查工作的现象，确保普查数据真实准确。对普查中发现应当给予党纪政务处分或组织处理的统计违纪违法责任人，由统计机构按规定提出处分处理建议并及时移送任免机关、纪检监察机关或组织（人事）部门。</w:t>
      </w:r>
    </w:p>
    <w:p>
      <w:pPr>
        <w:spacing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三）提升信息化水平。采取电子化的方式开展普查登记，由普查员使用电子采集设备（PAD或智能手机）入户登记普查对象信息并联网实时上报，或由普查对象通过互联网自主填报等方式进行。广泛应用部门行政记录，推进大数据在普查中的应用，提高普查数据采集处理效能。全流程加强对公民个人信息的保护，各级普查机构及其工作人员必须严格履行保密义务，严禁向任何机构、单位、个人泄露或出售公民个人信息。</w:t>
      </w:r>
    </w:p>
    <w:p>
      <w:pPr>
        <w:spacing w:line="600" w:lineRule="exact"/>
        <w:ind w:firstLine="420" w:firstLineChars="200"/>
        <w:rPr>
          <w:rFonts w:hint="eastAsia" w:hAnsi="仿宋_GB2312" w:cs="仿宋_GB2312" w:asciiTheme="minorHAnsi" w:eastAsiaTheme="minorEastAsia"/>
          <w:kern w:val="2"/>
          <w:sz w:val="21"/>
          <w:szCs w:val="24"/>
          <w:lang w:val="en-US" w:eastAsia="zh-CN" w:bidi="ar-SA"/>
        </w:rPr>
      </w:pPr>
    </w:p>
    <w:p>
      <w:pPr>
        <w:spacing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附件：青阳县第七次全国人口普查领导小组成员名单</w:t>
      </w:r>
    </w:p>
    <w:p>
      <w:pPr>
        <w:spacing w:line="600" w:lineRule="exact"/>
        <w:ind w:right="1264" w:firstLine="420" w:firstLineChars="200"/>
        <w:jc w:val="right"/>
        <w:rPr>
          <w:rFonts w:hint="eastAsia" w:hAnsi="仿宋_GB2312" w:cs="仿宋_GB2312"/>
        </w:rPr>
      </w:pPr>
      <w:r>
        <w:rPr>
          <w:rFonts w:hint="eastAsia" w:hAnsi="仿宋_GB2312" w:cs="仿宋_GB2312"/>
        </w:rPr>
        <w:t xml:space="preserve"> </w:t>
      </w:r>
    </w:p>
    <w:p>
      <w:pPr>
        <w:spacing w:line="600" w:lineRule="exact"/>
        <w:ind w:right="1264" w:firstLine="420" w:firstLineChars="200"/>
        <w:jc w:val="right"/>
        <w:rPr>
          <w:rFonts w:hint="eastAsia" w:hAnsi="仿宋_GB2312" w:cs="仿宋_GB2312"/>
        </w:rPr>
      </w:pPr>
    </w:p>
    <w:p>
      <w:pPr>
        <w:spacing w:line="600" w:lineRule="exact"/>
        <w:ind w:right="1264" w:firstLine="420" w:firstLineChars="200"/>
        <w:jc w:val="right"/>
        <w:rPr>
          <w:rFonts w:hint="eastAsia" w:hAnsi="仿宋_GB2312" w:cs="仿宋_GB2312"/>
        </w:rPr>
      </w:pPr>
    </w:p>
    <w:p>
      <w:pPr>
        <w:spacing w:line="600" w:lineRule="exact"/>
        <w:ind w:firstLine="420" w:firstLineChars="200"/>
        <w:jc w:val="center"/>
        <w:rPr>
          <w:rFonts w:hAnsi="仿宋_GB2312" w:cs="仿宋_GB2312"/>
        </w:rPr>
      </w:pPr>
      <w:r>
        <w:rPr>
          <w:rFonts w:hint="eastAsia" w:hAnsi="仿宋_GB2312" w:cs="仿宋_GB2312"/>
        </w:rPr>
        <w:t xml:space="preserve">                  </w:t>
      </w:r>
      <w:r>
        <w:rPr>
          <w:rFonts w:hint="eastAsia" w:hAnsi="仿宋_GB2312" w:cs="仿宋_GB2312"/>
          <w:lang w:val="en-US" w:eastAsia="zh-CN"/>
        </w:rPr>
        <w:t xml:space="preserve">                       </w:t>
      </w:r>
      <w:r>
        <w:rPr>
          <w:rFonts w:hint="eastAsia" w:hAnsi="仿宋_GB2312" w:cs="仿宋_GB2312"/>
        </w:rPr>
        <w:t xml:space="preserve">   青阳县人民政府</w:t>
      </w:r>
    </w:p>
    <w:p>
      <w:pPr>
        <w:spacing w:line="600" w:lineRule="exact"/>
        <w:ind w:right="1134" w:firstLine="420" w:firstLineChars="200"/>
        <w:jc w:val="right"/>
        <w:rPr>
          <w:rFonts w:hint="eastAsia" w:ascii="黑体" w:hAnsi="黑体" w:eastAsia="黑体" w:cs="黑体"/>
        </w:rPr>
      </w:pPr>
      <w:r>
        <w:rPr>
          <w:rFonts w:hint="eastAsia" w:hAnsi="仿宋_GB2312" w:cs="仿宋_GB2312"/>
        </w:rPr>
        <w:t>2020年3月23日</w:t>
      </w:r>
    </w:p>
    <w:p>
      <w:pPr>
        <w:spacing w:line="600" w:lineRule="exact"/>
        <w:rPr>
          <w:rFonts w:hint="eastAsia" w:ascii="黑体" w:hAnsi="黑体" w:eastAsia="黑体" w:cs="黑体"/>
        </w:rPr>
      </w:pPr>
    </w:p>
    <w:p>
      <w:pPr>
        <w:spacing w:line="600" w:lineRule="exact"/>
        <w:ind w:firstLine="420" w:firstLineChars="200"/>
        <w:rPr>
          <w:rFonts w:hint="eastAsia" w:hAnsi="仿宋_GB2312" w:cs="仿宋_GB2312" w:asciiTheme="minorHAnsi" w:eastAsiaTheme="minorEastAsia"/>
          <w:kern w:val="2"/>
          <w:sz w:val="21"/>
          <w:szCs w:val="24"/>
          <w:lang w:val="en-US" w:eastAsia="zh-CN" w:bidi="ar-SA"/>
        </w:rPr>
      </w:pPr>
      <w:r>
        <w:rPr>
          <w:rFonts w:hint="eastAsia" w:hAnsi="仿宋_GB2312" w:cs="仿宋_GB2312" w:asciiTheme="minorHAnsi" w:eastAsiaTheme="minorEastAsia"/>
          <w:kern w:val="2"/>
          <w:sz w:val="21"/>
          <w:szCs w:val="24"/>
          <w:lang w:val="en-US" w:eastAsia="zh-CN" w:bidi="ar-SA"/>
        </w:rPr>
        <w:t>附件</w:t>
      </w:r>
    </w:p>
    <w:p>
      <w:pPr>
        <w:spacing w:line="600" w:lineRule="exact"/>
        <w:ind w:firstLine="420" w:firstLineChars="200"/>
        <w:jc w:val="center"/>
        <w:rPr>
          <w:rFonts w:hint="eastAsia" w:hAnsi="仿宋_GB2312" w:cs="仿宋_GB2312"/>
        </w:rPr>
      </w:pPr>
    </w:p>
    <w:p>
      <w:pPr>
        <w:spacing w:line="600" w:lineRule="exact"/>
        <w:ind w:firstLine="720" w:firstLineChars="200"/>
        <w:jc w:val="center"/>
        <w:rPr>
          <w:rFonts w:hint="eastAsia" w:ascii="方正小标宋简体" w:hAnsi="方正小标宋简体" w:eastAsia="方正小标宋简体" w:cs="方正小标宋简体"/>
          <w:spacing w:val="-20"/>
          <w:position w:val="1"/>
          <w:sz w:val="40"/>
          <w:szCs w:val="40"/>
        </w:rPr>
      </w:pPr>
      <w:r>
        <w:rPr>
          <w:rFonts w:hint="eastAsia" w:ascii="方正小标宋简体" w:hAnsi="方正小标宋简体" w:eastAsia="方正小标宋简体" w:cs="方正小标宋简体"/>
          <w:spacing w:val="-20"/>
          <w:position w:val="1"/>
          <w:sz w:val="40"/>
          <w:szCs w:val="40"/>
        </w:rPr>
        <w:t>青阳县第七次全国人口普查领导小组成员名单</w:t>
      </w:r>
    </w:p>
    <w:p>
      <w:pPr>
        <w:spacing w:line="600" w:lineRule="exact"/>
        <w:ind w:firstLine="420" w:firstLineChars="200"/>
        <w:rPr>
          <w:rFonts w:hint="eastAsia" w:hAnsi="仿宋_GB2312" w:cs="仿宋_GB2312"/>
        </w:rPr>
      </w:pPr>
    </w:p>
    <w:p>
      <w:pPr>
        <w:spacing w:line="560" w:lineRule="exact"/>
        <w:ind w:firstLine="420" w:firstLineChars="200"/>
        <w:rPr>
          <w:rFonts w:hint="eastAsia" w:hAnsi="仿宋_GB2312" w:cs="仿宋_GB2312"/>
        </w:rPr>
      </w:pPr>
      <w:r>
        <w:rPr>
          <w:rFonts w:hint="eastAsia" w:ascii="黑体" w:hAnsi="黑体" w:eastAsia="黑体" w:cs="黑体"/>
        </w:rPr>
        <w:t>组  长：</w:t>
      </w:r>
      <w:r>
        <w:rPr>
          <w:rFonts w:hint="eastAsia" w:hAnsi="仿宋_GB2312" w:cs="仿宋_GB2312"/>
        </w:rPr>
        <w:t>柯春平</w:t>
      </w:r>
    </w:p>
    <w:p>
      <w:pPr>
        <w:spacing w:line="560" w:lineRule="exact"/>
        <w:ind w:firstLine="420" w:firstLineChars="200"/>
        <w:rPr>
          <w:rFonts w:hint="eastAsia" w:hAnsi="仿宋_GB2312" w:cs="仿宋_GB2312"/>
        </w:rPr>
      </w:pPr>
      <w:r>
        <w:rPr>
          <w:rFonts w:hint="eastAsia" w:ascii="黑体" w:hAnsi="黑体" w:eastAsia="黑体" w:cs="黑体"/>
        </w:rPr>
        <w:t>副组长：</w:t>
      </w:r>
      <w:r>
        <w:rPr>
          <w:rFonts w:hint="eastAsia" w:hAnsi="仿宋_GB2312" w:cs="仿宋_GB2312"/>
        </w:rPr>
        <w:t>陈老贵 县统计局局长</w:t>
      </w:r>
    </w:p>
    <w:p>
      <w:pPr>
        <w:spacing w:line="560" w:lineRule="exact"/>
        <w:ind w:firstLine="1260" w:firstLineChars="600"/>
        <w:rPr>
          <w:rFonts w:hint="eastAsia" w:hAnsi="仿宋_GB2312" w:cs="仿宋_GB2312"/>
        </w:rPr>
      </w:pPr>
      <w:r>
        <w:rPr>
          <w:rFonts w:hint="eastAsia" w:hAnsi="仿宋_GB2312" w:cs="仿宋_GB2312"/>
        </w:rPr>
        <w:t>胡  程 县政府办副主任</w:t>
      </w:r>
    </w:p>
    <w:p>
      <w:pPr>
        <w:spacing w:line="560" w:lineRule="exact"/>
        <w:ind w:firstLine="420" w:firstLineChars="200"/>
        <w:rPr>
          <w:rFonts w:hint="eastAsia" w:hAnsi="仿宋_GB2312" w:cs="仿宋_GB2312"/>
        </w:rPr>
      </w:pPr>
      <w:r>
        <w:rPr>
          <w:rFonts w:hint="eastAsia" w:ascii="黑体" w:hAnsi="黑体" w:eastAsia="黑体" w:cs="黑体"/>
        </w:rPr>
        <w:t>成  员：</w:t>
      </w:r>
      <w:r>
        <w:rPr>
          <w:rFonts w:hint="eastAsia" w:hAnsi="仿宋_GB2312" w:cs="仿宋_GB2312"/>
        </w:rPr>
        <w:t>陈忠德 县委宣传部副部长</w:t>
      </w:r>
    </w:p>
    <w:p>
      <w:pPr>
        <w:spacing w:line="560" w:lineRule="exact"/>
        <w:ind w:firstLine="1260" w:firstLineChars="600"/>
        <w:rPr>
          <w:rFonts w:hint="eastAsia" w:hAnsi="仿宋_GB2312" w:cs="仿宋_GB2312"/>
        </w:rPr>
      </w:pPr>
      <w:r>
        <w:rPr>
          <w:rFonts w:hint="eastAsia" w:hAnsi="仿宋_GB2312" w:cs="仿宋_GB2312"/>
        </w:rPr>
        <w:t>裴迎春 县委统战部副部长</w:t>
      </w:r>
    </w:p>
    <w:p>
      <w:pPr>
        <w:spacing w:line="560" w:lineRule="exact"/>
        <w:ind w:firstLine="1260" w:firstLineChars="600"/>
        <w:rPr>
          <w:rFonts w:hint="eastAsia" w:hAnsi="仿宋_GB2312" w:cs="仿宋_GB2312"/>
        </w:rPr>
      </w:pPr>
      <w:r>
        <w:rPr>
          <w:rFonts w:hint="eastAsia" w:hAnsi="仿宋_GB2312" w:cs="仿宋_GB2312"/>
        </w:rPr>
        <w:t>姚秀亭 县发改委副主任</w:t>
      </w:r>
    </w:p>
    <w:p>
      <w:pPr>
        <w:spacing w:line="560" w:lineRule="exact"/>
        <w:ind w:firstLine="1260" w:firstLineChars="600"/>
        <w:rPr>
          <w:rFonts w:hint="eastAsia" w:hAnsi="仿宋_GB2312" w:cs="仿宋_GB2312"/>
        </w:rPr>
      </w:pPr>
      <w:r>
        <w:rPr>
          <w:rFonts w:hint="eastAsia" w:hAnsi="仿宋_GB2312" w:cs="仿宋_GB2312"/>
        </w:rPr>
        <w:t>赵建国 县教体局副局长</w:t>
      </w:r>
    </w:p>
    <w:p>
      <w:pPr>
        <w:spacing w:line="560" w:lineRule="exact"/>
        <w:ind w:firstLine="1260" w:firstLineChars="600"/>
        <w:rPr>
          <w:rFonts w:hint="eastAsia" w:hAnsi="仿宋_GB2312" w:cs="仿宋_GB2312"/>
        </w:rPr>
      </w:pPr>
      <w:r>
        <w:rPr>
          <w:rFonts w:hint="eastAsia" w:hAnsi="仿宋_GB2312" w:cs="仿宋_GB2312"/>
        </w:rPr>
        <w:t>曹言根 县科技经信局副局长</w:t>
      </w:r>
    </w:p>
    <w:p>
      <w:pPr>
        <w:spacing w:line="560" w:lineRule="exact"/>
        <w:ind w:firstLine="1260" w:firstLineChars="600"/>
        <w:rPr>
          <w:rFonts w:hint="eastAsia" w:hAnsi="仿宋_GB2312" w:cs="仿宋_GB2312"/>
        </w:rPr>
      </w:pPr>
      <w:r>
        <w:rPr>
          <w:rFonts w:hint="eastAsia" w:hAnsi="仿宋_GB2312" w:cs="仿宋_GB2312"/>
        </w:rPr>
        <w:t>吴智生 县公安局副局长</w:t>
      </w:r>
    </w:p>
    <w:p>
      <w:pPr>
        <w:spacing w:line="560" w:lineRule="exact"/>
        <w:ind w:firstLine="1260" w:firstLineChars="600"/>
        <w:rPr>
          <w:rFonts w:hint="eastAsia" w:hAnsi="仿宋_GB2312" w:cs="仿宋_GB2312"/>
        </w:rPr>
      </w:pPr>
      <w:r>
        <w:rPr>
          <w:rFonts w:hint="eastAsia" w:hAnsi="仿宋_GB2312" w:cs="仿宋_GB2312"/>
        </w:rPr>
        <w:t>李  平 县民政局党组成员</w:t>
      </w:r>
    </w:p>
    <w:p>
      <w:pPr>
        <w:spacing w:line="560" w:lineRule="exact"/>
        <w:ind w:firstLine="1260" w:firstLineChars="600"/>
        <w:rPr>
          <w:rFonts w:hint="eastAsia" w:hAnsi="仿宋_GB2312" w:cs="仿宋_GB2312"/>
        </w:rPr>
      </w:pPr>
      <w:r>
        <w:rPr>
          <w:rFonts w:hint="eastAsia" w:hAnsi="仿宋_GB2312" w:cs="仿宋_GB2312"/>
        </w:rPr>
        <w:t>陈桃云 县司法局副局长</w:t>
      </w:r>
    </w:p>
    <w:p>
      <w:pPr>
        <w:spacing w:line="560" w:lineRule="exact"/>
        <w:ind w:firstLine="1260" w:firstLineChars="600"/>
        <w:rPr>
          <w:rFonts w:hint="eastAsia" w:hAnsi="仿宋_GB2312" w:cs="仿宋_GB2312"/>
        </w:rPr>
      </w:pPr>
      <w:r>
        <w:rPr>
          <w:rFonts w:hint="eastAsia" w:hAnsi="仿宋_GB2312" w:cs="仿宋_GB2312"/>
        </w:rPr>
        <w:t xml:space="preserve">刘来胜 县财政局副局长     </w:t>
      </w:r>
    </w:p>
    <w:p>
      <w:pPr>
        <w:spacing w:line="560" w:lineRule="exact"/>
        <w:ind w:firstLine="1260" w:firstLineChars="600"/>
        <w:rPr>
          <w:rFonts w:hint="eastAsia" w:hAnsi="仿宋_GB2312" w:cs="仿宋_GB2312"/>
        </w:rPr>
      </w:pPr>
      <w:r>
        <w:rPr>
          <w:rFonts w:hint="eastAsia" w:hAnsi="仿宋_GB2312" w:cs="仿宋_GB2312"/>
        </w:rPr>
        <w:t>许  宏 县人社局副局长</w:t>
      </w:r>
    </w:p>
    <w:p>
      <w:pPr>
        <w:spacing w:line="560" w:lineRule="exact"/>
        <w:ind w:firstLine="1260" w:firstLineChars="600"/>
        <w:rPr>
          <w:rFonts w:hint="eastAsia" w:hAnsi="仿宋_GB2312" w:cs="仿宋_GB2312"/>
        </w:rPr>
      </w:pPr>
      <w:r>
        <w:rPr>
          <w:rFonts w:hint="eastAsia" w:hAnsi="仿宋_GB2312" w:cs="仿宋_GB2312"/>
        </w:rPr>
        <w:t>骆劲峰 县自然资源和规划局副局长</w:t>
      </w:r>
    </w:p>
    <w:p>
      <w:pPr>
        <w:spacing w:line="560" w:lineRule="exact"/>
        <w:ind w:firstLine="1260" w:firstLineChars="600"/>
        <w:rPr>
          <w:rFonts w:hint="eastAsia" w:hAnsi="仿宋_GB2312" w:cs="仿宋_GB2312"/>
        </w:rPr>
      </w:pPr>
      <w:r>
        <w:rPr>
          <w:rFonts w:hint="eastAsia" w:hAnsi="仿宋_GB2312" w:cs="仿宋_GB2312"/>
        </w:rPr>
        <w:t>马亚勤 县住建局副局长</w:t>
      </w:r>
    </w:p>
    <w:p>
      <w:pPr>
        <w:spacing w:line="560" w:lineRule="exact"/>
        <w:ind w:firstLine="1260" w:firstLineChars="600"/>
        <w:rPr>
          <w:rFonts w:hint="eastAsia" w:hAnsi="仿宋_GB2312" w:cs="仿宋_GB2312"/>
        </w:rPr>
      </w:pPr>
      <w:r>
        <w:rPr>
          <w:rFonts w:hint="eastAsia" w:hAnsi="仿宋_GB2312" w:cs="仿宋_GB2312"/>
        </w:rPr>
        <w:t>夏元智 县农水局副局长</w:t>
      </w:r>
    </w:p>
    <w:p>
      <w:pPr>
        <w:spacing w:line="560" w:lineRule="exact"/>
        <w:ind w:firstLine="1260" w:firstLineChars="600"/>
        <w:rPr>
          <w:rFonts w:hint="eastAsia" w:hAnsi="仿宋_GB2312" w:cs="仿宋_GB2312"/>
        </w:rPr>
      </w:pPr>
      <w:r>
        <w:rPr>
          <w:rFonts w:hint="eastAsia" w:hAnsi="仿宋_GB2312" w:cs="仿宋_GB2312"/>
        </w:rPr>
        <w:t>张雅琴 县文旅局副局长</w:t>
      </w:r>
    </w:p>
    <w:p>
      <w:pPr>
        <w:spacing w:line="560" w:lineRule="exact"/>
        <w:ind w:firstLine="1260" w:firstLineChars="600"/>
        <w:rPr>
          <w:rFonts w:hint="eastAsia" w:hAnsi="仿宋_GB2312" w:cs="仿宋_GB2312"/>
        </w:rPr>
      </w:pPr>
      <w:r>
        <w:rPr>
          <w:rFonts w:hint="eastAsia" w:hAnsi="仿宋_GB2312" w:cs="仿宋_GB2312"/>
        </w:rPr>
        <w:t>汤礼清 县卫健委党组成员、县计生协副会长</w:t>
      </w:r>
    </w:p>
    <w:p>
      <w:pPr>
        <w:spacing w:line="560" w:lineRule="exact"/>
        <w:ind w:firstLine="1260" w:firstLineChars="600"/>
        <w:rPr>
          <w:rFonts w:hint="eastAsia" w:hAnsi="仿宋_GB2312" w:cs="仿宋_GB2312"/>
        </w:rPr>
      </w:pPr>
      <w:r>
        <w:rPr>
          <w:rFonts w:hint="eastAsia" w:hAnsi="仿宋_GB2312" w:cs="仿宋_GB2312"/>
        </w:rPr>
        <w:t>王启红 县应急局副局长</w:t>
      </w:r>
    </w:p>
    <w:p>
      <w:pPr>
        <w:spacing w:line="560" w:lineRule="exact"/>
        <w:ind w:firstLine="1260" w:firstLineChars="600"/>
        <w:rPr>
          <w:rFonts w:hint="eastAsia" w:hAnsi="仿宋_GB2312" w:cs="仿宋_GB2312"/>
        </w:rPr>
      </w:pPr>
      <w:r>
        <w:rPr>
          <w:rFonts w:hint="eastAsia" w:hAnsi="仿宋_GB2312" w:cs="仿宋_GB2312"/>
        </w:rPr>
        <w:t>施国平 县市场监管局副局长</w:t>
      </w:r>
    </w:p>
    <w:p>
      <w:pPr>
        <w:spacing w:line="560" w:lineRule="exact"/>
        <w:ind w:firstLine="1260" w:firstLineChars="600"/>
        <w:rPr>
          <w:rFonts w:hint="eastAsia" w:hAnsi="仿宋_GB2312" w:cs="仿宋_GB2312"/>
        </w:rPr>
      </w:pPr>
      <w:r>
        <w:rPr>
          <w:rFonts w:hint="eastAsia" w:hAnsi="仿宋_GB2312" w:cs="仿宋_GB2312"/>
        </w:rPr>
        <w:t>黄书生 县机关事务管理局副局长</w:t>
      </w:r>
    </w:p>
    <w:p>
      <w:pPr>
        <w:spacing w:line="560" w:lineRule="exact"/>
        <w:ind w:firstLine="1260" w:firstLineChars="600"/>
        <w:rPr>
          <w:rFonts w:hint="eastAsia" w:hAnsi="仿宋_GB2312" w:cs="仿宋_GB2312"/>
        </w:rPr>
      </w:pPr>
      <w:r>
        <w:rPr>
          <w:rFonts w:hint="eastAsia" w:hAnsi="仿宋_GB2312" w:cs="仿宋_GB2312"/>
        </w:rPr>
        <w:t xml:space="preserve">李  刚 县总工会副主席 </w:t>
      </w:r>
    </w:p>
    <w:p>
      <w:pPr>
        <w:spacing w:line="560" w:lineRule="exact"/>
        <w:ind w:firstLine="1260" w:firstLineChars="600"/>
        <w:rPr>
          <w:rFonts w:hint="eastAsia" w:hAnsi="仿宋_GB2312" w:cs="仿宋_GB2312"/>
        </w:rPr>
      </w:pPr>
      <w:r>
        <w:rPr>
          <w:rFonts w:hint="eastAsia" w:hAnsi="仿宋_GB2312" w:cs="仿宋_GB2312"/>
        </w:rPr>
        <w:t>刘  敏 团县委副书记</w:t>
      </w:r>
    </w:p>
    <w:p>
      <w:pPr>
        <w:spacing w:line="560" w:lineRule="exact"/>
        <w:ind w:firstLine="1260" w:firstLineChars="600"/>
        <w:rPr>
          <w:rFonts w:hint="eastAsia" w:hAnsi="仿宋_GB2312" w:cs="仿宋_GB2312"/>
        </w:rPr>
      </w:pPr>
      <w:r>
        <w:rPr>
          <w:rFonts w:hint="eastAsia" w:hAnsi="仿宋_GB2312" w:cs="仿宋_GB2312"/>
        </w:rPr>
        <w:t xml:space="preserve">雷  敏 县妇联副主席 </w:t>
      </w:r>
    </w:p>
    <w:p>
      <w:pPr>
        <w:spacing w:line="560" w:lineRule="exact"/>
        <w:ind w:firstLine="1260" w:firstLineChars="600"/>
        <w:rPr>
          <w:rFonts w:hint="eastAsia" w:hAnsi="仿宋_GB2312" w:cs="仿宋_GB2312"/>
        </w:rPr>
      </w:pPr>
      <w:r>
        <w:rPr>
          <w:rFonts w:hint="eastAsia" w:hAnsi="仿宋_GB2312" w:cs="仿宋_GB2312"/>
        </w:rPr>
        <w:t>何声华 县统计局总统计师</w:t>
      </w:r>
    </w:p>
    <w:p>
      <w:pPr>
        <w:tabs>
          <w:tab w:val="left" w:pos="7584"/>
        </w:tabs>
        <w:spacing w:line="560" w:lineRule="exact"/>
        <w:ind w:firstLine="420" w:firstLineChars="200"/>
        <w:rPr>
          <w:rFonts w:hint="eastAsia" w:hAnsi="仿宋_GB2312" w:cs="仿宋_GB2312"/>
        </w:rPr>
      </w:pPr>
      <w:r>
        <w:rPr>
          <w:rFonts w:hint="eastAsia" w:hAnsi="仿宋_GB2312" w:cs="仿宋_GB2312"/>
        </w:rPr>
        <w:t>普查领导小组办公室设在县统计局，办公室主任由何声华同志兼任。</w:t>
      </w:r>
    </w:p>
    <w:p>
      <w:pPr>
        <w:spacing w:line="600" w:lineRule="exact"/>
        <w:ind w:right="762" w:rightChars="363"/>
        <w:jc w:val="right"/>
        <w:rPr>
          <w:rFonts w:hint="eastAsia" w:hAnsi="仿宋" w:asciiTheme="minorHAnsi" w:eastAsiaTheme="minorEastAsia" w:cstheme="minorBidi"/>
          <w:kern w:val="2"/>
          <w:sz w:val="21"/>
          <w:szCs w:val="24"/>
          <w:lang w:val="en-US" w:eastAsia="zh-CN" w:bidi="ar-SA"/>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青阳县人民政府办公室关于印发青阳县房地一体农村宅基地和集体建设</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用地使用权确权登记颁证工作实施方案的通知</w:t>
      </w:r>
    </w:p>
    <w:p>
      <w:pPr>
        <w:spacing w:line="540" w:lineRule="exact"/>
        <w:rPr>
          <w:rFonts w:hint="eastAsia"/>
        </w:rPr>
      </w:pPr>
      <w:r>
        <w:rPr>
          <w:rFonts w:hint="eastAsia"/>
        </w:rPr>
        <w:t>各乡镇人民政府，县经济开发区管委会，县政府各部门、各直属机构：</w:t>
      </w:r>
    </w:p>
    <w:p>
      <w:pPr>
        <w:spacing w:line="540" w:lineRule="exact"/>
        <w:ind w:firstLine="420" w:firstLineChars="200"/>
        <w:rPr>
          <w:rFonts w:hint="eastAsia"/>
        </w:rPr>
      </w:pPr>
      <w:r>
        <w:rPr>
          <w:rFonts w:hint="eastAsia"/>
        </w:rPr>
        <w:t>《青阳县房地一体农村宅基地和集体建设用地使用权确权登记颁证工作实施方案》业经2020年3月30日县政府第95次常务会议审议通过，现印发给你们，请认真组织实施。</w:t>
      </w:r>
    </w:p>
    <w:p>
      <w:pPr>
        <w:spacing w:line="540" w:lineRule="exact"/>
        <w:rPr>
          <w:rFonts w:hint="eastAsia"/>
        </w:rPr>
      </w:pPr>
    </w:p>
    <w:p>
      <w:pPr>
        <w:spacing w:line="540" w:lineRule="exact"/>
        <w:rPr>
          <w:rFonts w:hint="eastAsia"/>
        </w:rPr>
      </w:pPr>
    </w:p>
    <w:p>
      <w:pPr>
        <w:wordWrap w:val="0"/>
        <w:spacing w:line="540" w:lineRule="exact"/>
        <w:jc w:val="right"/>
        <w:rPr>
          <w:rFonts w:hint="eastAsia"/>
        </w:rPr>
      </w:pPr>
      <w:r>
        <w:rPr>
          <w:rFonts w:hint="eastAsia"/>
        </w:rPr>
        <w:t xml:space="preserve">青阳县人民政府办公室        </w:t>
      </w:r>
    </w:p>
    <w:p>
      <w:pPr>
        <w:wordWrap w:val="0"/>
        <w:spacing w:line="540" w:lineRule="exact"/>
        <w:jc w:val="right"/>
        <w:rPr>
          <w:rFonts w:hint="eastAsia"/>
        </w:rPr>
      </w:pPr>
      <w:r>
        <w:rPr>
          <w:rFonts w:hint="eastAsia"/>
        </w:rPr>
        <w:t xml:space="preserve">2020年4月20日          </w:t>
      </w:r>
    </w:p>
    <w:p>
      <w:pPr>
        <w:spacing w:line="540" w:lineRule="exact"/>
        <w:ind w:firstLine="420" w:firstLineChars="200"/>
        <w:rPr>
          <w:rFonts w:hint="eastAsia"/>
        </w:rPr>
      </w:pPr>
      <w:r>
        <w:rPr>
          <w:rFonts w:hint="eastAsia"/>
        </w:rPr>
        <w:t>（此件公开发布）</w:t>
      </w:r>
    </w:p>
    <w:p>
      <w:pPr>
        <w:spacing w:line="540" w:lineRule="exact"/>
        <w:ind w:firstLine="420" w:firstLineChars="200"/>
        <w:rPr>
          <w:rFonts w:hint="eastAsia"/>
        </w:rPr>
      </w:pPr>
    </w:p>
    <w:p>
      <w:pPr>
        <w:spacing w:line="540" w:lineRule="exact"/>
        <w:ind w:firstLine="420" w:firstLineChars="200"/>
        <w:rPr>
          <w:rFonts w:hint="eastAsia"/>
        </w:rPr>
      </w:pPr>
    </w:p>
    <w:p>
      <w:pPr>
        <w:spacing w:line="540" w:lineRule="exact"/>
        <w:ind w:firstLine="420" w:firstLineChars="200"/>
        <w:rPr>
          <w:rFonts w:hint="eastAsia"/>
        </w:rPr>
      </w:pPr>
      <w:r>
        <w:rPr>
          <w:rFonts w:hint="eastAsia"/>
        </w:rPr>
        <w:t>为加快推进我县房地一体农村宅基地和集体建设用地使用权确权登记颁证工作，根据《安徽省自然资源厅 财政厅 住房和城乡建设厅 农业农村厅关于进一步推进全省房地一体农村宅基地和集体建设用地使用权确权登记颁证工作的通知》（皖自然资〔2019〕212号）和《池州市人民政府办公室关于印发池州市房地一体农村宅基地和集体建设用地使用权确权登记颁证工作实施方案的通知》（池政办〔2020〕5号）要求，结合我县实际，制定本实施方案。</w:t>
      </w:r>
    </w:p>
    <w:p>
      <w:pPr>
        <w:spacing w:line="540" w:lineRule="exact"/>
        <w:ind w:firstLine="420" w:firstLineChars="200"/>
        <w:rPr>
          <w:rFonts w:hint="eastAsia" w:ascii="黑体" w:hAnsi="黑体" w:eastAsia="黑体"/>
        </w:rPr>
      </w:pPr>
      <w:r>
        <w:rPr>
          <w:rFonts w:hint="eastAsia" w:ascii="黑体" w:hAnsi="黑体" w:eastAsia="黑体"/>
        </w:rPr>
        <w:t>一、指导思想</w:t>
      </w:r>
    </w:p>
    <w:p>
      <w:pPr>
        <w:spacing w:line="540" w:lineRule="exact"/>
        <w:ind w:firstLine="420" w:firstLineChars="200"/>
        <w:rPr>
          <w:rFonts w:hint="eastAsia"/>
        </w:rPr>
      </w:pPr>
      <w:r>
        <w:rPr>
          <w:rFonts w:hint="eastAsia"/>
        </w:rPr>
        <w:t>以习近平新时代中国特色社会主义思想为指导，以维护农民和集体经济组织合法产权为出发点，建立健全“归属清晰、权责明确”的农村产权制度，按照促进城乡统筹发展要求，本着“自愿申请、尊重历史、符合事实、依法登记”的原则，通过稳步开展房地一体农村宅基地和集体建设用地使用权确权登记颁证工作，切实维护农村集体和农户的合法权益。</w:t>
      </w:r>
    </w:p>
    <w:p>
      <w:pPr>
        <w:spacing w:line="540" w:lineRule="exact"/>
        <w:ind w:firstLine="420" w:firstLineChars="200"/>
        <w:rPr>
          <w:rFonts w:hint="eastAsia" w:ascii="黑体" w:hAnsi="黑体" w:eastAsia="黑体"/>
        </w:rPr>
      </w:pPr>
      <w:r>
        <w:rPr>
          <w:rFonts w:hint="eastAsia" w:ascii="黑体" w:hAnsi="黑体" w:eastAsia="黑体"/>
        </w:rPr>
        <w:t>二、工作目标</w:t>
      </w:r>
    </w:p>
    <w:p>
      <w:pPr>
        <w:spacing w:line="540" w:lineRule="exact"/>
        <w:ind w:firstLine="630"/>
        <w:rPr>
          <w:rFonts w:hint="eastAsia"/>
          <w:color w:val="FF0000"/>
        </w:rPr>
      </w:pPr>
      <w:r>
        <w:rPr>
          <w:rFonts w:hint="eastAsia"/>
        </w:rPr>
        <w:t>通过积极开展房地一体农村宅基地和集体建设用地使用权确权登记颁证工作，全面查清全县范围内农村宅基地和集体建设用地的权属、位置、界址、面积、用途、地上房屋等建筑物、构筑物的基本情况，全面摸清农民对于宅基地腾退的意愿，统计宅基地腾退宗地数及面积等基本情况，分析宅基地腾退潜力，力争到2020年底完成我县农村不动产权籍调查，农村宅基地和集体建设用地登记颁证率达90%以上，基本实现“应登尽登”，农村不动产登记数据库基本建成，农村不动产纳入不动产登记日常业务，不动产登记实现城乡全覆盖目标。</w:t>
      </w:r>
    </w:p>
    <w:p>
      <w:pPr>
        <w:spacing w:line="540" w:lineRule="exact"/>
        <w:ind w:firstLine="420" w:firstLineChars="200"/>
        <w:rPr>
          <w:rFonts w:hint="eastAsia" w:ascii="黑体" w:hAnsi="黑体" w:eastAsia="黑体"/>
        </w:rPr>
      </w:pPr>
      <w:r>
        <w:rPr>
          <w:rFonts w:hint="eastAsia" w:ascii="黑体" w:hAnsi="黑体" w:eastAsia="黑体"/>
        </w:rPr>
        <w:t>三、工作任务</w:t>
      </w:r>
    </w:p>
    <w:p>
      <w:pPr>
        <w:spacing w:line="540" w:lineRule="exact"/>
        <w:ind w:firstLine="422" w:firstLineChars="200"/>
        <w:rPr>
          <w:rFonts w:hint="eastAsia"/>
        </w:rPr>
      </w:pPr>
      <w:r>
        <w:rPr>
          <w:rFonts w:hint="eastAsia" w:ascii="楷体_GB2312" w:eastAsia="楷体_GB2312"/>
          <w:b/>
        </w:rPr>
        <w:t>（一）开展农村宅基地、集体建设用地及地上房屋调查。</w:t>
      </w:r>
      <w:r>
        <w:rPr>
          <w:rFonts w:hint="eastAsia"/>
        </w:rPr>
        <w:t>以已登记的农村宅基地、集体建设用地为基础，按照《农村地籍和房屋调查技术方案（试行）》《不动产权籍调查技术方案（试行）》《农村不动产权籍调查工作指南》等相关技术规定和政策文件要求，采取总调查的模式，开展农村范围内宅基地、集体建设用地及地上房屋等建筑物、构筑物地籍和房产测量以及权属调查工作，获取调查范围内每一宗宅基地和集体建设用地的权属、位置、界址、面积、用途以及地上房屋等建筑物、构筑物的基本情况等信息，形成完整的权籍调查成果。</w:t>
      </w:r>
    </w:p>
    <w:p>
      <w:pPr>
        <w:spacing w:line="540" w:lineRule="exact"/>
        <w:ind w:firstLine="422" w:firstLineChars="200"/>
        <w:rPr>
          <w:rFonts w:hint="eastAsia"/>
        </w:rPr>
      </w:pPr>
      <w:r>
        <w:rPr>
          <w:rFonts w:hint="eastAsia" w:ascii="楷体_GB2312" w:eastAsia="楷体_GB2312"/>
          <w:b/>
        </w:rPr>
        <w:t>（二）开展农民腾退意愿摸底调查。</w:t>
      </w:r>
      <w:r>
        <w:rPr>
          <w:rFonts w:hint="eastAsia"/>
        </w:rPr>
        <w:t>在开展权籍调查工作的同时，对每户农民腾退宅基地意愿、腾退宗地数及面积等基本情况进行统计和分析。</w:t>
      </w:r>
    </w:p>
    <w:p>
      <w:pPr>
        <w:spacing w:line="540" w:lineRule="exact"/>
        <w:ind w:firstLine="422" w:firstLineChars="200"/>
        <w:rPr>
          <w:rFonts w:hint="eastAsia"/>
        </w:rPr>
      </w:pPr>
      <w:r>
        <w:rPr>
          <w:rFonts w:hint="eastAsia" w:ascii="楷体_GB2312" w:eastAsia="楷体_GB2312"/>
          <w:b/>
        </w:rPr>
        <w:t>（三）开展农村房地一体确权登记颁证。</w:t>
      </w:r>
      <w:r>
        <w:rPr>
          <w:rFonts w:hint="eastAsia"/>
        </w:rPr>
        <w:t>在调查测绘的基础上，依据权利人申请，开展确权登记颁证工作，依法对每一宗符合登记发证条件的土地及地上房屋进行统一确权登记颁证，基本实现应发尽发。不予确权登记和暂缓确权登记情形按照市政府办公室池政办〔</w:t>
      </w:r>
      <w:r>
        <w:t>2020</w:t>
      </w:r>
      <w:r>
        <w:rPr>
          <w:rFonts w:hint="eastAsia"/>
        </w:rPr>
        <w:t>〕</w:t>
      </w:r>
      <w:r>
        <w:t>5</w:t>
      </w:r>
      <w:r>
        <w:rPr>
          <w:rFonts w:hint="eastAsia"/>
        </w:rPr>
        <w:t>号文件执行。</w:t>
      </w:r>
    </w:p>
    <w:p>
      <w:pPr>
        <w:spacing w:line="540" w:lineRule="exact"/>
        <w:ind w:firstLine="422" w:firstLineChars="200"/>
        <w:rPr>
          <w:rFonts w:hint="eastAsia"/>
          <w:color w:val="FF0000"/>
        </w:rPr>
      </w:pPr>
      <w:r>
        <w:rPr>
          <w:rFonts w:hint="eastAsia" w:ascii="楷体_GB2312" w:eastAsia="楷体_GB2312"/>
          <w:b/>
        </w:rPr>
        <w:t>（四）开展数据库及信息管理系统建设。</w:t>
      </w:r>
      <w:r>
        <w:rPr>
          <w:rFonts w:hint="eastAsia"/>
        </w:rPr>
        <w:t>调查工作完成后，要严格按照《不动产登记数据库标准（试行）》等要求建设不动产权籍数据库，及时将不动产权籍调查信息录入数据库，实行电子化管理。并将权籍数据库纳入不动产登记信息管理平台，做到数据能入库、可查询，实现确权登记颁证成果的信息化管理。建立健全农村不动产登记数据日常更新管理机制，做好数据日常更新与维护，2020年底基本实现自下而上逐级汇交。</w:t>
      </w:r>
    </w:p>
    <w:p>
      <w:pPr>
        <w:spacing w:line="540" w:lineRule="exact"/>
        <w:ind w:firstLine="420" w:firstLineChars="200"/>
        <w:rPr>
          <w:rFonts w:hint="eastAsia" w:ascii="黑体" w:hAnsi="黑体" w:eastAsia="黑体"/>
        </w:rPr>
      </w:pPr>
      <w:r>
        <w:rPr>
          <w:rFonts w:hint="eastAsia" w:ascii="黑体" w:hAnsi="黑体" w:eastAsia="黑体"/>
        </w:rPr>
        <w:t>四、工作要求</w:t>
      </w:r>
    </w:p>
    <w:p>
      <w:pPr>
        <w:autoSpaceDE w:val="0"/>
        <w:autoSpaceDN w:val="0"/>
        <w:adjustRightInd w:val="0"/>
        <w:spacing w:line="540" w:lineRule="exact"/>
        <w:ind w:firstLine="422" w:firstLineChars="200"/>
        <w:jc w:val="left"/>
        <w:rPr>
          <w:rFonts w:hint="eastAsia"/>
        </w:rPr>
      </w:pPr>
      <w:r>
        <w:rPr>
          <w:rFonts w:hint="eastAsia" w:ascii="楷体_GB2312" w:eastAsia="楷体_GB2312"/>
          <w:b/>
        </w:rPr>
        <w:t>（一）严格执行国家和省有关规定和要求。</w:t>
      </w:r>
      <w:r>
        <w:rPr>
          <w:rFonts w:hint="eastAsia"/>
        </w:rPr>
        <w:t>认真贯彻落实《中华人民共和国物权法》《中华人民共和国土地管理法》和不动产登记以及农村宅基地、集体建设用地有关法律法规和政策规定，积</w:t>
      </w:r>
      <w:r>
        <w:rPr>
          <w:rFonts w:hint="eastAsia" w:hAnsi="仿宋_GB2312" w:cs="仿宋_GB2312"/>
          <w:kern w:val="0"/>
        </w:rPr>
        <w:t>极探索化解处理历史遗留问题，出台完善有关政策和指导意见，</w:t>
      </w:r>
      <w:r>
        <w:rPr>
          <w:rFonts w:hint="eastAsia" w:hAnsi="仿宋"/>
        </w:rPr>
        <w:t>为房地一体农村宅基地和集体建设用地使用权确权登记颁证工作提供政策支撑，推动工作顺利开展。</w:t>
      </w:r>
      <w:r>
        <w:rPr>
          <w:rFonts w:hint="eastAsia"/>
        </w:rPr>
        <w:t>严禁为“小产权房”办理不动产登记，严禁通过登记将不合法的宅基地、集体建设用地及地上房屋等建筑物、构筑物合法化。</w:t>
      </w:r>
    </w:p>
    <w:p>
      <w:pPr>
        <w:autoSpaceDE w:val="0"/>
        <w:autoSpaceDN w:val="0"/>
        <w:adjustRightInd w:val="0"/>
        <w:spacing w:line="540" w:lineRule="exact"/>
        <w:ind w:firstLine="422" w:firstLineChars="200"/>
        <w:jc w:val="left"/>
      </w:pPr>
      <w:r>
        <w:rPr>
          <w:rFonts w:hint="eastAsia" w:ascii="楷体_GB2312" w:eastAsia="楷体_GB2312"/>
          <w:b/>
        </w:rPr>
        <w:t>（二）规范权籍调查及登记颁证程序。</w:t>
      </w:r>
      <w:r>
        <w:rPr>
          <w:rFonts w:hint="eastAsia"/>
        </w:rPr>
        <w:t>坚持简化审批流程、提高审批效率、优化审批服务的原则，实行“一表一证”制度（即填报农村房地一体不动产登记申请表和颁发不动产权证书）。具体</w:t>
      </w:r>
      <w:r>
        <w:rPr>
          <w:rFonts w:hint="eastAsia" w:hAnsi="仿宋_GB2312" w:cs="仿宋_GB2312"/>
        </w:rPr>
        <w:t>工作程序按照</w:t>
      </w:r>
      <w:r>
        <w:rPr>
          <w:rFonts w:hint="eastAsia"/>
        </w:rPr>
        <w:t>市政府办公室池政办〔</w:t>
      </w:r>
      <w:r>
        <w:t>2020</w:t>
      </w:r>
      <w:r>
        <w:rPr>
          <w:rFonts w:hint="eastAsia"/>
        </w:rPr>
        <w:t>〕</w:t>
      </w:r>
      <w:r>
        <w:t>5</w:t>
      </w:r>
      <w:r>
        <w:rPr>
          <w:rFonts w:hint="eastAsia"/>
        </w:rPr>
        <w:t>号文件执行。</w:t>
      </w:r>
    </w:p>
    <w:p>
      <w:pPr>
        <w:autoSpaceDE w:val="0"/>
        <w:autoSpaceDN w:val="0"/>
        <w:adjustRightInd w:val="0"/>
        <w:spacing w:line="540" w:lineRule="exact"/>
        <w:ind w:firstLine="422" w:firstLineChars="200"/>
        <w:jc w:val="left"/>
        <w:rPr>
          <w:rFonts w:hint="eastAsia"/>
        </w:rPr>
      </w:pPr>
      <w:r>
        <w:rPr>
          <w:rFonts w:hint="eastAsia" w:ascii="楷体_GB2312" w:eastAsia="楷体_GB2312"/>
          <w:b/>
        </w:rPr>
        <w:t>（三）依法确认宅基地使用权。</w:t>
      </w:r>
      <w:r>
        <w:rPr>
          <w:rFonts w:hint="eastAsia"/>
        </w:rPr>
        <w:t>依据新修订《中华人民共和国土地管理法》第六十二条：“农村村民住宅用地，由乡（镇）人民政府审核批准”“国务院农业农村主管部门负责全国农村宅基地改革和管理有关工作”的有关规定，县农业农村水利局要指导乡镇政府根据有关政策规定对宅基地使用权进行认定和处置。严格落实“一户一宅”规定，面积不得超过《安徽省实施〈中华人民共和国土地管理法〉办法》中有关规定。</w:t>
      </w:r>
    </w:p>
    <w:p>
      <w:pPr>
        <w:spacing w:line="540" w:lineRule="exact"/>
        <w:ind w:firstLine="422" w:firstLineChars="200"/>
        <w:rPr>
          <w:rFonts w:hint="eastAsia"/>
        </w:rPr>
      </w:pPr>
      <w:r>
        <w:rPr>
          <w:rFonts w:hint="eastAsia" w:ascii="楷体_GB2312" w:eastAsia="楷体_GB2312"/>
          <w:b/>
        </w:rPr>
        <w:t>（四）依法确认农房所有权。</w:t>
      </w:r>
      <w:r>
        <w:rPr>
          <w:rFonts w:hint="eastAsia"/>
        </w:rPr>
        <w:t>对缺少房屋符合规划或者建设有关材料的，本着“尊重历史、面对现实、依法依规、维护权益”的原则妥善解决。由乡镇政府会同县自然资源和规划局根据安徽省自然资源厅皖自然资〔2019〕212号和市政府办公室池政办〔2020〕5号文件的规定进行认定和处置：对合法取得但没有规划条件的宅基地上的农房，属于《城乡规划法》实施前（即2008年1月1日前）建设的，办理登记时可不提供房屋符合规划或建设的相关资料，经村级组织、乡镇政府依次确认后,统一报县自然资源和规划局备案；属于《城乡规划法》实施后（即2008年1月1日后）建设的，经村级组织公告15日无异议的，可不提供房屋符合规划或建设的相关材料，经村级组织、乡镇政府依次确认后，统一报县自然资源和规划局备案。县住建局要加强农村住房质量安全监督管理，指导村级组织、乡镇政府对农村住房质量安全进行认定。</w:t>
      </w:r>
    </w:p>
    <w:p>
      <w:pPr>
        <w:spacing w:line="540" w:lineRule="exact"/>
        <w:ind w:firstLine="420" w:firstLineChars="200"/>
        <w:rPr>
          <w:rFonts w:hint="eastAsia" w:ascii="黑体" w:hAnsi="黑体" w:eastAsia="黑体"/>
        </w:rPr>
      </w:pPr>
      <w:r>
        <w:rPr>
          <w:rFonts w:hint="eastAsia" w:ascii="黑体" w:hAnsi="黑体" w:eastAsia="黑体"/>
        </w:rPr>
        <w:t>四、实施步骤</w:t>
      </w:r>
    </w:p>
    <w:p>
      <w:pPr>
        <w:spacing w:line="540" w:lineRule="exact"/>
        <w:ind w:firstLine="422" w:firstLineChars="200"/>
        <w:rPr>
          <w:rFonts w:hint="eastAsia" w:ascii="楷体_GB2312" w:eastAsia="楷体_GB2312"/>
          <w:b/>
        </w:rPr>
      </w:pPr>
      <w:r>
        <w:rPr>
          <w:rFonts w:hint="eastAsia" w:ascii="楷体_GB2312" w:eastAsia="楷体_GB2312"/>
          <w:b/>
        </w:rPr>
        <w:t>（一）启动阶段（2020年3月-4月）。</w:t>
      </w:r>
    </w:p>
    <w:p>
      <w:pPr>
        <w:spacing w:line="540" w:lineRule="exact"/>
        <w:ind w:firstLine="420" w:firstLineChars="200"/>
        <w:rPr>
          <w:rFonts w:hint="eastAsia"/>
        </w:rPr>
      </w:pPr>
      <w:r>
        <w:rPr>
          <w:rFonts w:hint="eastAsia"/>
        </w:rPr>
        <w:t>1.制定方案、落实经费、宣传动员等各项前期工作。</w:t>
      </w:r>
    </w:p>
    <w:p>
      <w:pPr>
        <w:spacing w:line="540" w:lineRule="exact"/>
        <w:ind w:firstLine="420" w:firstLineChars="200"/>
        <w:rPr>
          <w:rFonts w:hint="eastAsia"/>
        </w:rPr>
      </w:pPr>
      <w:r>
        <w:rPr>
          <w:rFonts w:hint="eastAsia"/>
        </w:rPr>
        <w:t>2.收集辖区范围内土地、房产现有调查、审批、登记等有关资料，地籍区和地籍子区资料，村庄布点规划资料以及户籍人口等相关信息，初步统计宅基地、集体建设用地、农房等基本情况。</w:t>
      </w:r>
    </w:p>
    <w:p>
      <w:pPr>
        <w:spacing w:line="540" w:lineRule="exact"/>
        <w:ind w:firstLine="420" w:firstLineChars="200"/>
        <w:rPr>
          <w:rFonts w:hint="eastAsia"/>
        </w:rPr>
      </w:pPr>
      <w:r>
        <w:rPr>
          <w:rFonts w:hint="eastAsia"/>
        </w:rPr>
        <w:t>3.选择专业调查队伍。县自然资源和规划局根据本项目特点和需求，制定公开招标方案选择优质技术服务单位。</w:t>
      </w:r>
    </w:p>
    <w:p>
      <w:pPr>
        <w:spacing w:line="540" w:lineRule="exact"/>
        <w:ind w:firstLine="420" w:firstLineChars="200"/>
        <w:rPr>
          <w:rFonts w:hint="eastAsia"/>
        </w:rPr>
      </w:pPr>
      <w:r>
        <w:rPr>
          <w:rFonts w:hint="eastAsia"/>
        </w:rPr>
        <w:t>4.人员培训。对调查工作人员进行培训，统一调查规范和政策口径，明确相关工作纪律。</w:t>
      </w:r>
    </w:p>
    <w:p>
      <w:pPr>
        <w:spacing w:line="540" w:lineRule="exact"/>
        <w:ind w:firstLine="422" w:firstLineChars="200"/>
        <w:rPr>
          <w:rFonts w:hint="eastAsia" w:ascii="楷体_GB2312" w:eastAsia="楷体_GB2312"/>
          <w:b/>
        </w:rPr>
      </w:pPr>
      <w:r>
        <w:rPr>
          <w:rFonts w:hint="eastAsia" w:ascii="楷体_GB2312" w:eastAsia="楷体_GB2312"/>
          <w:b/>
        </w:rPr>
        <w:t>（二）实施阶段（2020年5月-11月）。</w:t>
      </w:r>
    </w:p>
    <w:p>
      <w:pPr>
        <w:spacing w:line="540" w:lineRule="exact"/>
        <w:ind w:firstLine="420" w:firstLineChars="200"/>
        <w:rPr>
          <w:rFonts w:hint="eastAsia"/>
        </w:rPr>
      </w:pPr>
      <w:r>
        <w:rPr>
          <w:rFonts w:hint="eastAsia"/>
        </w:rPr>
        <w:t>1.外业调查。各乡镇、行政村要抽调专人全程参与，负责组织村民身份确认、现场调查指界和签字确认、权属确认和相关数据资料收集、开展权属纠纷调处等工作，配合专业调查队伍开展房地测绘外业调查任务，形成房地一体的农村权籍调查成果。</w:t>
      </w:r>
    </w:p>
    <w:p>
      <w:pPr>
        <w:spacing w:line="540" w:lineRule="exact"/>
        <w:ind w:firstLine="420" w:firstLineChars="200"/>
        <w:rPr>
          <w:rFonts w:hint="eastAsia"/>
        </w:rPr>
      </w:pPr>
      <w:r>
        <w:rPr>
          <w:rFonts w:hint="eastAsia"/>
        </w:rPr>
        <w:t>2.审核公示公告。根据地籍调查表、权属证明等相关资料和权属调查确认结果，村级组织对权籍调查结果进行审核并公示，公示无异议后，以村为单位汇总上报至乡镇政府进行审核确认并公告。</w:t>
      </w:r>
    </w:p>
    <w:p>
      <w:pPr>
        <w:spacing w:line="540" w:lineRule="exact"/>
        <w:ind w:firstLine="420" w:firstLineChars="200"/>
        <w:rPr>
          <w:rFonts w:hint="eastAsia"/>
        </w:rPr>
      </w:pPr>
      <w:r>
        <w:rPr>
          <w:rFonts w:hint="eastAsia"/>
        </w:rPr>
        <w:t>3.内业建库。按照《不动产登记数据库标准（试行）》等技术标准要求建设不动产权籍数据库，及时将不动产权籍调查信息录入数据库，实现对农村权籍调查成果涉及的图形、属性、档案等信息进行一体化存储、管理与应用，与农村房地一体化不动产统一登记有效衔接。</w:t>
      </w:r>
    </w:p>
    <w:p>
      <w:pPr>
        <w:spacing w:line="540" w:lineRule="exact"/>
        <w:ind w:firstLine="420" w:firstLineChars="200"/>
        <w:rPr>
          <w:rFonts w:hint="eastAsia"/>
        </w:rPr>
      </w:pPr>
      <w:r>
        <w:rPr>
          <w:rFonts w:hint="eastAsia"/>
        </w:rPr>
        <w:t>4.证书发放。根据农民意愿，对符合条件的农户依申请办理房地一体的不动产权证书。</w:t>
      </w:r>
    </w:p>
    <w:p>
      <w:pPr>
        <w:spacing w:line="540" w:lineRule="exact"/>
        <w:ind w:firstLine="422" w:firstLineChars="200"/>
        <w:rPr>
          <w:rFonts w:hint="eastAsia" w:ascii="楷体_GB2312" w:eastAsia="楷体_GB2312"/>
          <w:b/>
        </w:rPr>
      </w:pPr>
      <w:r>
        <w:rPr>
          <w:rFonts w:hint="eastAsia" w:ascii="楷体_GB2312" w:eastAsia="楷体_GB2312"/>
          <w:b/>
        </w:rPr>
        <w:t>（三）成果资料验收归档阶段（2020年11月-12月）。</w:t>
      </w:r>
    </w:p>
    <w:p>
      <w:pPr>
        <w:spacing w:line="540" w:lineRule="exact"/>
        <w:ind w:firstLine="630"/>
        <w:rPr>
          <w:rFonts w:hint="eastAsia"/>
        </w:rPr>
      </w:pPr>
      <w:r>
        <w:rPr>
          <w:rFonts w:hint="eastAsia"/>
        </w:rPr>
        <w:t>1.通过县级自查的质量检查体系，组织对内业资料、外业测量及数据库建设情况逐一检查，做到内业资料完整规范、逻辑合理，外业测量精确无误、图件清晰，确保图件、数据与实地一致，调查、登记、颁证程序合法，质量经得起实践检验。</w:t>
      </w:r>
    </w:p>
    <w:p>
      <w:pPr>
        <w:spacing w:line="540" w:lineRule="exact"/>
        <w:ind w:firstLine="630"/>
        <w:rPr>
          <w:rFonts w:hint="eastAsia"/>
        </w:rPr>
      </w:pPr>
      <w:r>
        <w:t>2</w:t>
      </w:r>
      <w:r>
        <w:rPr>
          <w:b/>
          <w:bCs/>
        </w:rPr>
        <w:t>.</w:t>
      </w:r>
      <w:r>
        <w:rPr>
          <w:rFonts w:hint="eastAsia"/>
        </w:rPr>
        <w:t>做好上级有关部门检查验收准备工作。</w:t>
      </w:r>
    </w:p>
    <w:p>
      <w:pPr>
        <w:spacing w:line="540" w:lineRule="exact"/>
        <w:ind w:firstLine="630"/>
        <w:rPr>
          <w:rFonts w:hint="eastAsia"/>
        </w:rPr>
      </w:pPr>
      <w:r>
        <w:rPr>
          <w:rFonts w:hint="eastAsia"/>
        </w:rPr>
        <w:t xml:space="preserve">3.完成确权登记颁证后，应及时将档案资料整理、装订，并将卷宗统一移交至县档案馆。 </w:t>
      </w:r>
    </w:p>
    <w:p>
      <w:pPr>
        <w:spacing w:line="540" w:lineRule="exact"/>
        <w:ind w:firstLine="420" w:firstLineChars="200"/>
        <w:rPr>
          <w:rFonts w:hint="eastAsia" w:ascii="黑体" w:hAnsi="黑体" w:eastAsia="黑体"/>
        </w:rPr>
      </w:pPr>
      <w:r>
        <w:rPr>
          <w:rFonts w:hint="eastAsia" w:ascii="黑体" w:hAnsi="黑体" w:eastAsia="黑体"/>
        </w:rPr>
        <w:t>五、保障措施</w:t>
      </w:r>
    </w:p>
    <w:p>
      <w:pPr>
        <w:spacing w:line="540" w:lineRule="exact"/>
        <w:ind w:firstLine="422" w:firstLineChars="200"/>
        <w:rPr>
          <w:rFonts w:hint="eastAsia"/>
        </w:rPr>
      </w:pPr>
      <w:r>
        <w:rPr>
          <w:rFonts w:hint="eastAsia" w:ascii="楷体_GB2312" w:eastAsia="楷体_GB2312"/>
          <w:b/>
        </w:rPr>
        <w:t>（一）加强组织领导。</w:t>
      </w:r>
      <w:r>
        <w:rPr>
          <w:rFonts w:hint="eastAsia"/>
        </w:rPr>
        <w:t>县政府成立县农村房地一体确权登记颁证工作领导小组（见附件）。各乡镇要成立相应组织协调机构，切实加强对本辖区内房地一体确权登记颁证工作的组织领导。</w:t>
      </w:r>
    </w:p>
    <w:p>
      <w:pPr>
        <w:spacing w:line="540" w:lineRule="exact"/>
        <w:ind w:firstLine="422" w:firstLineChars="200"/>
        <w:rPr>
          <w:rFonts w:hint="eastAsia"/>
        </w:rPr>
      </w:pPr>
      <w:r>
        <w:rPr>
          <w:rFonts w:hint="eastAsia" w:ascii="楷体_GB2312" w:eastAsia="楷体_GB2312"/>
          <w:b/>
        </w:rPr>
        <w:t>（二）健全工作机制。</w:t>
      </w:r>
      <w:r>
        <w:rPr>
          <w:rFonts w:hint="eastAsia"/>
        </w:rPr>
        <w:t>建立联动机制，各乡镇、各有关部门要高度重视房地一体确权登记颁证工作，按照职责分工，认真履职尽责，加强协作配合，统筹合力推进。建立权属争议调处机制，妥善处理农村宅基地、集体建设用地及地上房屋的权属争议，对在工作中发现的问题要认真研究解决，避免引发社会矛盾。建立月报制度，严格实施房地一体的农村宅基地和集体建设用地确权登记工作月报制度，从2020年5月开始，各乡镇于每月25日前将工作进展情况报县自然资源和规划局。</w:t>
      </w:r>
    </w:p>
    <w:p>
      <w:pPr>
        <w:spacing w:line="540" w:lineRule="exact"/>
        <w:ind w:firstLine="422" w:firstLineChars="200"/>
        <w:rPr>
          <w:rFonts w:hint="eastAsia"/>
        </w:rPr>
      </w:pPr>
      <w:r>
        <w:rPr>
          <w:rFonts w:hint="eastAsia" w:ascii="楷体_GB2312" w:eastAsia="楷体_GB2312"/>
          <w:b/>
        </w:rPr>
        <w:t>（三）强化考核督导。</w:t>
      </w:r>
      <w:r>
        <w:rPr>
          <w:rFonts w:hint="eastAsia"/>
        </w:rPr>
        <w:t>将房地一体的农村宅基地和集体建设用地确权登记工作开展情况纳入县综合绩效考核，切实发挥考核评价作用。县政府办公室半年牵头开展一次工作督查，各成员单位要加强督促指导，推动该项工作落到实处、取得实效。</w:t>
      </w:r>
    </w:p>
    <w:p>
      <w:pPr>
        <w:spacing w:line="540" w:lineRule="exact"/>
        <w:ind w:firstLine="422" w:firstLineChars="200"/>
        <w:rPr>
          <w:rFonts w:hint="eastAsia"/>
        </w:rPr>
      </w:pPr>
      <w:r>
        <w:rPr>
          <w:rFonts w:hint="eastAsia" w:ascii="楷体_GB2312" w:eastAsia="楷体_GB2312"/>
          <w:b/>
        </w:rPr>
        <w:t>（四）落实经费保障。</w:t>
      </w:r>
      <w:r>
        <w:rPr>
          <w:rFonts w:hint="eastAsia"/>
        </w:rPr>
        <w:t>根据国务院《土地调查条例》《国土资源部关于进一步加快宅基地和集体建设用地确权登记颁证有关问题的通知》（国土资发〔2016〕191号）等文件精神，严格执行农村房地一体确权登记颁证有关收费规定，不得增加农民负担。房地一体确权登记颁证工作经费纳入2020-2021年度财政预算，据实拨付。</w:t>
      </w:r>
    </w:p>
    <w:p>
      <w:pPr>
        <w:spacing w:line="540" w:lineRule="exact"/>
        <w:ind w:firstLine="422" w:firstLineChars="200"/>
        <w:rPr>
          <w:rFonts w:hint="eastAsia"/>
        </w:rPr>
      </w:pPr>
      <w:r>
        <w:rPr>
          <w:rFonts w:hint="eastAsia" w:ascii="楷体_GB2312" w:eastAsia="楷体_GB2312"/>
          <w:b/>
        </w:rPr>
        <w:t>（五）加强宣传引导。</w:t>
      </w:r>
      <w:r>
        <w:rPr>
          <w:rFonts w:hint="eastAsia"/>
        </w:rPr>
        <w:t>结合建立和实施不动产统一登记制度建设的要求，各乡镇要充分利用各类媒介，大力宣传农村房地一体统一登记的重要意义、工作目标和政策法规，争取广大农民群众积极参与和理解支持，营造良好的舆论环境和工作氛围。</w:t>
      </w:r>
    </w:p>
    <w:p>
      <w:pPr>
        <w:spacing w:line="540" w:lineRule="exact"/>
        <w:rPr>
          <w:rFonts w:hint="eastAsia"/>
        </w:rPr>
      </w:pPr>
    </w:p>
    <w:p>
      <w:pPr>
        <w:spacing w:line="540" w:lineRule="exact"/>
        <w:ind w:firstLine="420" w:firstLineChars="200"/>
        <w:rPr>
          <w:rFonts w:hint="eastAsia"/>
        </w:rPr>
      </w:pPr>
      <w:r>
        <w:rPr>
          <w:rFonts w:hint="eastAsia"/>
        </w:rPr>
        <w:t>附件：青阳县农村房地一体确权登记颁证工作领导小组成</w:t>
      </w:r>
    </w:p>
    <w:p>
      <w:pPr>
        <w:spacing w:line="540" w:lineRule="exact"/>
        <w:ind w:firstLine="1050" w:firstLineChars="500"/>
        <w:rPr>
          <w:rFonts w:hint="eastAsia"/>
        </w:rPr>
      </w:pPr>
      <w:r>
        <w:rPr>
          <w:rFonts w:hint="eastAsia"/>
        </w:rPr>
        <w:t>员名单及任务分工</w:t>
      </w:r>
    </w:p>
    <w:p>
      <w:pPr>
        <w:spacing w:line="540" w:lineRule="exact"/>
        <w:jc w:val="center"/>
        <w:rPr>
          <w:rFonts w:hint="eastAsia" w:ascii="方正小标宋简体" w:eastAsia="方正小标宋简体"/>
          <w:sz w:val="44"/>
          <w:szCs w:val="44"/>
        </w:rPr>
      </w:pPr>
    </w:p>
    <w:p>
      <w:pPr>
        <w:spacing w:line="540" w:lineRule="exact"/>
        <w:jc w:val="center"/>
        <w:rPr>
          <w:rFonts w:hint="eastAsia" w:ascii="方正小标宋简体" w:eastAsia="方正小标宋简体"/>
          <w:sz w:val="44"/>
          <w:szCs w:val="44"/>
        </w:rPr>
      </w:pPr>
    </w:p>
    <w:p>
      <w:pPr>
        <w:spacing w:line="540" w:lineRule="exact"/>
        <w:jc w:val="center"/>
        <w:rPr>
          <w:rFonts w:hint="eastAsia" w:ascii="方正小标宋简体" w:eastAsia="方正小标宋简体"/>
          <w:sz w:val="44"/>
          <w:szCs w:val="44"/>
        </w:rPr>
      </w:pPr>
    </w:p>
    <w:p>
      <w:pPr>
        <w:spacing w:line="540" w:lineRule="exact"/>
        <w:jc w:val="center"/>
        <w:rPr>
          <w:rFonts w:hint="eastAsia" w:ascii="方正小标宋简体" w:eastAsia="方正小标宋简体"/>
          <w:sz w:val="44"/>
          <w:szCs w:val="44"/>
        </w:rPr>
      </w:pPr>
    </w:p>
    <w:p>
      <w:pPr>
        <w:spacing w:line="540" w:lineRule="exact"/>
        <w:jc w:val="center"/>
        <w:rPr>
          <w:rFonts w:hint="eastAsia" w:ascii="方正小标宋简体" w:eastAsia="方正小标宋简体"/>
          <w:sz w:val="44"/>
          <w:szCs w:val="44"/>
        </w:rPr>
      </w:pPr>
    </w:p>
    <w:p>
      <w:pPr>
        <w:spacing w:line="540" w:lineRule="exact"/>
        <w:jc w:val="center"/>
        <w:rPr>
          <w:rFonts w:hint="eastAsia" w:ascii="方正小标宋简体" w:eastAsia="方正小标宋简体"/>
          <w:sz w:val="44"/>
          <w:szCs w:val="44"/>
        </w:rPr>
      </w:pPr>
    </w:p>
    <w:p>
      <w:pPr>
        <w:spacing w:line="540" w:lineRule="exact"/>
        <w:jc w:val="center"/>
        <w:rPr>
          <w:rFonts w:hint="eastAsia" w:ascii="方正小标宋简体" w:eastAsia="方正小标宋简体"/>
          <w:sz w:val="44"/>
          <w:szCs w:val="44"/>
        </w:rPr>
      </w:pPr>
    </w:p>
    <w:p>
      <w:pPr>
        <w:spacing w:line="540" w:lineRule="exact"/>
        <w:jc w:val="center"/>
        <w:rPr>
          <w:rFonts w:hint="eastAsia" w:ascii="方正小标宋简体" w:eastAsia="方正小标宋简体"/>
          <w:sz w:val="44"/>
          <w:szCs w:val="44"/>
        </w:rPr>
      </w:pPr>
    </w:p>
    <w:p>
      <w:pPr>
        <w:spacing w:line="540" w:lineRule="exact"/>
        <w:jc w:val="center"/>
        <w:rPr>
          <w:rFonts w:hint="eastAsia" w:ascii="方正小标宋简体" w:eastAsia="方正小标宋简体"/>
          <w:sz w:val="44"/>
          <w:szCs w:val="44"/>
        </w:rPr>
      </w:pPr>
    </w:p>
    <w:p>
      <w:pPr>
        <w:spacing w:line="540" w:lineRule="exact"/>
        <w:jc w:val="center"/>
        <w:rPr>
          <w:rFonts w:hint="eastAsia" w:ascii="方正小标宋简体" w:eastAsia="方正小标宋简体"/>
          <w:sz w:val="44"/>
          <w:szCs w:val="44"/>
        </w:rPr>
      </w:pPr>
    </w:p>
    <w:p>
      <w:pPr>
        <w:spacing w:line="540" w:lineRule="exact"/>
        <w:jc w:val="center"/>
        <w:rPr>
          <w:rFonts w:hint="eastAsia" w:ascii="方正小标宋简体" w:eastAsia="方正小标宋简体"/>
          <w:sz w:val="44"/>
          <w:szCs w:val="44"/>
        </w:rPr>
      </w:pPr>
    </w:p>
    <w:p>
      <w:pPr>
        <w:spacing w:line="540" w:lineRule="exact"/>
        <w:rPr>
          <w:rFonts w:hint="eastAsia" w:ascii="黑体" w:hAnsi="黑体" w:eastAsia="黑体"/>
        </w:rPr>
      </w:pPr>
      <w:r>
        <w:rPr>
          <w:rFonts w:hint="eastAsia" w:ascii="黑体" w:hAnsi="黑体" w:eastAsia="黑体"/>
        </w:rPr>
        <w:t>附件</w:t>
      </w:r>
    </w:p>
    <w:p>
      <w:pPr>
        <w:spacing w:line="540" w:lineRule="exact"/>
        <w:rPr>
          <w:rFonts w:hint="eastAsia" w:ascii="黑体" w:hAnsi="黑体" w:eastAsia="黑体"/>
        </w:rPr>
      </w:pPr>
    </w:p>
    <w:p>
      <w:pPr>
        <w:spacing w:line="540" w:lineRule="exact"/>
        <w:jc w:val="center"/>
        <w:rPr>
          <w:rFonts w:hint="eastAsia" w:ascii="方正小标宋简体" w:eastAsia="方正小标宋简体"/>
          <w:sz w:val="44"/>
          <w:szCs w:val="44"/>
        </w:rPr>
      </w:pPr>
      <w:r>
        <w:rPr>
          <w:rFonts w:hint="eastAsia" w:ascii="方正小标宋简体" w:eastAsia="方正小标宋简体"/>
          <w:sz w:val="44"/>
          <w:szCs w:val="44"/>
        </w:rPr>
        <w:t>青阳县农村房地一体确权登记颁证工作</w:t>
      </w:r>
    </w:p>
    <w:p>
      <w:pPr>
        <w:spacing w:line="540" w:lineRule="exact"/>
        <w:jc w:val="center"/>
        <w:rPr>
          <w:rFonts w:hint="eastAsia" w:ascii="方正小标宋简体" w:eastAsia="方正小标宋简体"/>
          <w:sz w:val="44"/>
          <w:szCs w:val="44"/>
        </w:rPr>
      </w:pPr>
      <w:r>
        <w:rPr>
          <w:rFonts w:hint="eastAsia" w:ascii="方正小标宋简体" w:eastAsia="方正小标宋简体"/>
          <w:sz w:val="44"/>
          <w:szCs w:val="44"/>
        </w:rPr>
        <w:t>领导小组成员名单及任务分工</w:t>
      </w:r>
    </w:p>
    <w:p>
      <w:pPr>
        <w:spacing w:line="540" w:lineRule="exact"/>
        <w:rPr>
          <w:rFonts w:hint="eastAsia"/>
        </w:rPr>
      </w:pPr>
    </w:p>
    <w:p>
      <w:pPr>
        <w:spacing w:line="540" w:lineRule="exact"/>
        <w:ind w:firstLine="420" w:firstLineChars="200"/>
        <w:rPr>
          <w:rFonts w:hint="eastAsia"/>
        </w:rPr>
      </w:pPr>
      <w:r>
        <w:rPr>
          <w:rFonts w:hint="eastAsia" w:ascii="黑体" w:hAnsi="黑体" w:eastAsia="黑体"/>
        </w:rPr>
        <w:t>组  长：</w:t>
      </w:r>
      <w:r>
        <w:rPr>
          <w:rFonts w:hint="eastAsia"/>
        </w:rPr>
        <w:t>祝和平</w:t>
      </w:r>
    </w:p>
    <w:p>
      <w:pPr>
        <w:spacing w:line="540" w:lineRule="exact"/>
        <w:ind w:firstLine="420" w:firstLineChars="200"/>
        <w:rPr>
          <w:rFonts w:hint="eastAsia"/>
        </w:rPr>
      </w:pPr>
      <w:r>
        <w:rPr>
          <w:rFonts w:hint="eastAsia" w:ascii="黑体" w:hAnsi="黑体" w:eastAsia="黑体"/>
        </w:rPr>
        <w:t>副组长：</w:t>
      </w:r>
      <w:r>
        <w:rPr>
          <w:rFonts w:hint="eastAsia"/>
        </w:rPr>
        <w:t>王  华  县自然资源规划局局长</w:t>
      </w:r>
    </w:p>
    <w:p>
      <w:pPr>
        <w:spacing w:line="540" w:lineRule="exact"/>
        <w:ind w:firstLine="1260" w:firstLineChars="600"/>
        <w:rPr>
          <w:rFonts w:hint="eastAsia"/>
        </w:rPr>
      </w:pPr>
      <w:r>
        <w:rPr>
          <w:rFonts w:hint="eastAsia"/>
        </w:rPr>
        <w:t>胡  程  县政府办公室副主任</w:t>
      </w:r>
    </w:p>
    <w:p>
      <w:pPr>
        <w:spacing w:line="540" w:lineRule="exact"/>
        <w:ind w:firstLine="420" w:firstLineChars="200"/>
        <w:rPr>
          <w:rFonts w:hint="eastAsia"/>
        </w:rPr>
      </w:pPr>
      <w:r>
        <w:rPr>
          <w:rFonts w:hint="eastAsia" w:ascii="黑体" w:hAnsi="黑体" w:eastAsia="黑体"/>
        </w:rPr>
        <w:t>成  员：</w:t>
      </w:r>
      <w:r>
        <w:rPr>
          <w:rFonts w:hint="eastAsia"/>
        </w:rPr>
        <w:t>吴智生  县公安局副局长</w:t>
      </w:r>
    </w:p>
    <w:p>
      <w:pPr>
        <w:spacing w:line="540" w:lineRule="exact"/>
        <w:ind w:firstLine="1260" w:firstLineChars="600"/>
        <w:rPr>
          <w:rFonts w:hint="eastAsia"/>
        </w:rPr>
      </w:pPr>
      <w:r>
        <w:rPr>
          <w:rFonts w:hint="eastAsia"/>
        </w:rPr>
        <w:t>李  平  县民政局党组成员</w:t>
      </w:r>
    </w:p>
    <w:p>
      <w:pPr>
        <w:spacing w:line="540" w:lineRule="exact"/>
        <w:ind w:firstLine="1260" w:firstLineChars="600"/>
        <w:rPr>
          <w:rFonts w:hint="eastAsia"/>
        </w:rPr>
      </w:pPr>
      <w:r>
        <w:rPr>
          <w:rFonts w:hint="eastAsia"/>
        </w:rPr>
        <w:t>盛守凯  县司法局副局长</w:t>
      </w:r>
    </w:p>
    <w:p>
      <w:pPr>
        <w:spacing w:line="540" w:lineRule="exact"/>
        <w:ind w:firstLine="1260" w:firstLineChars="600"/>
        <w:rPr>
          <w:rFonts w:hint="eastAsia"/>
        </w:rPr>
      </w:pPr>
      <w:r>
        <w:rPr>
          <w:rFonts w:hint="eastAsia"/>
        </w:rPr>
        <w:t>刘来胜  县财政局副局长</w:t>
      </w:r>
    </w:p>
    <w:p>
      <w:pPr>
        <w:spacing w:line="540" w:lineRule="exact"/>
        <w:ind w:firstLine="1260" w:firstLineChars="600"/>
        <w:rPr>
          <w:rFonts w:hint="eastAsia"/>
        </w:rPr>
      </w:pPr>
      <w:r>
        <w:rPr>
          <w:rFonts w:hint="eastAsia"/>
        </w:rPr>
        <w:t>骆劲峰  县自然资源规划局总工程师</w:t>
      </w:r>
    </w:p>
    <w:p>
      <w:pPr>
        <w:spacing w:line="540" w:lineRule="exact"/>
        <w:ind w:firstLine="1260" w:firstLineChars="600"/>
        <w:rPr>
          <w:rFonts w:hint="eastAsia"/>
        </w:rPr>
      </w:pPr>
      <w:r>
        <w:rPr>
          <w:rFonts w:hint="eastAsia"/>
        </w:rPr>
        <w:t>吴  坤  县住建局党组成员</w:t>
      </w:r>
    </w:p>
    <w:p>
      <w:pPr>
        <w:spacing w:line="540" w:lineRule="exact"/>
        <w:ind w:firstLine="1260" w:firstLineChars="600"/>
        <w:rPr>
          <w:rFonts w:hint="eastAsia"/>
        </w:rPr>
      </w:pPr>
      <w:r>
        <w:rPr>
          <w:rFonts w:hint="eastAsia"/>
        </w:rPr>
        <w:t>夏元智  县农业农村水利副局长</w:t>
      </w:r>
    </w:p>
    <w:p>
      <w:pPr>
        <w:spacing w:line="540" w:lineRule="exact"/>
        <w:ind w:firstLine="1260" w:firstLineChars="600"/>
        <w:rPr>
          <w:rFonts w:hint="eastAsia"/>
        </w:rPr>
      </w:pPr>
      <w:r>
        <w:rPr>
          <w:rFonts w:hint="eastAsia"/>
        </w:rPr>
        <w:t>钱方启  县林业局副局长</w:t>
      </w:r>
    </w:p>
    <w:p>
      <w:pPr>
        <w:spacing w:line="540" w:lineRule="exact"/>
        <w:ind w:firstLine="1260" w:firstLineChars="600"/>
        <w:rPr>
          <w:rFonts w:hint="eastAsia"/>
        </w:rPr>
      </w:pPr>
      <w:r>
        <w:rPr>
          <w:rFonts w:hint="eastAsia"/>
        </w:rPr>
        <w:t>项  靖  县信访局副局长</w:t>
      </w:r>
    </w:p>
    <w:p>
      <w:pPr>
        <w:spacing w:line="540" w:lineRule="exact"/>
        <w:ind w:firstLine="1260" w:firstLineChars="600"/>
        <w:rPr>
          <w:rFonts w:hint="eastAsia"/>
        </w:rPr>
      </w:pPr>
      <w:r>
        <w:rPr>
          <w:rFonts w:hint="eastAsia"/>
        </w:rPr>
        <w:t>汪梅桃  县档案馆副馆长</w:t>
      </w:r>
    </w:p>
    <w:p>
      <w:pPr>
        <w:spacing w:line="540" w:lineRule="exact"/>
        <w:ind w:firstLine="1260" w:firstLineChars="600"/>
        <w:rPr>
          <w:rFonts w:hint="eastAsia"/>
        </w:rPr>
      </w:pPr>
      <w:r>
        <w:rPr>
          <w:rFonts w:hint="eastAsia"/>
        </w:rPr>
        <w:t>李  伟  蓉城镇政府副镇长</w:t>
      </w:r>
    </w:p>
    <w:p>
      <w:pPr>
        <w:spacing w:line="540" w:lineRule="exact"/>
        <w:ind w:firstLine="1260" w:firstLineChars="600"/>
        <w:rPr>
          <w:rFonts w:hint="eastAsia"/>
        </w:rPr>
      </w:pPr>
      <w:r>
        <w:rPr>
          <w:rFonts w:hint="eastAsia"/>
        </w:rPr>
        <w:t>施  刚  朱备镇政府副镇长</w:t>
      </w:r>
    </w:p>
    <w:p>
      <w:pPr>
        <w:spacing w:line="540" w:lineRule="exact"/>
        <w:ind w:firstLine="1260" w:firstLineChars="600"/>
        <w:rPr>
          <w:rFonts w:hint="eastAsia"/>
        </w:rPr>
      </w:pPr>
      <w:r>
        <w:rPr>
          <w:rFonts w:hint="eastAsia"/>
        </w:rPr>
        <w:t>罗祖胜  杨田镇政府副镇长</w:t>
      </w:r>
    </w:p>
    <w:p>
      <w:pPr>
        <w:spacing w:line="540" w:lineRule="exact"/>
        <w:ind w:firstLine="1260" w:firstLineChars="600"/>
        <w:rPr>
          <w:rFonts w:hint="eastAsia"/>
        </w:rPr>
      </w:pPr>
      <w:r>
        <w:rPr>
          <w:rFonts w:hint="eastAsia"/>
        </w:rPr>
        <w:t>徐  波</w:t>
      </w:r>
      <w:r>
        <w:rPr>
          <w:rFonts w:hint="eastAsia"/>
        </w:rPr>
        <w:tab/>
      </w:r>
      <w:r>
        <w:rPr>
          <w:rFonts w:hint="eastAsia"/>
        </w:rPr>
        <w:t xml:space="preserve">  陵阳镇政府副镇长</w:t>
      </w:r>
    </w:p>
    <w:p>
      <w:pPr>
        <w:spacing w:line="540" w:lineRule="exact"/>
        <w:ind w:firstLine="1260" w:firstLineChars="600"/>
        <w:rPr>
          <w:rFonts w:hint="eastAsia"/>
        </w:rPr>
      </w:pPr>
      <w:r>
        <w:rPr>
          <w:rFonts w:hint="eastAsia"/>
        </w:rPr>
        <w:t>方忠仕</w:t>
      </w:r>
      <w:r>
        <w:rPr>
          <w:rFonts w:hint="eastAsia"/>
        </w:rPr>
        <w:tab/>
      </w:r>
      <w:r>
        <w:rPr>
          <w:rFonts w:hint="eastAsia"/>
        </w:rPr>
        <w:t xml:space="preserve">  新河镇政府副镇长</w:t>
      </w:r>
    </w:p>
    <w:p>
      <w:pPr>
        <w:spacing w:line="540" w:lineRule="exact"/>
        <w:ind w:firstLine="1260" w:firstLineChars="600"/>
        <w:rPr>
          <w:rFonts w:hint="eastAsia"/>
        </w:rPr>
      </w:pPr>
      <w:r>
        <w:rPr>
          <w:rFonts w:hint="eastAsia"/>
        </w:rPr>
        <w:t>郑贤胜  木镇镇政府副镇长</w:t>
      </w:r>
    </w:p>
    <w:p>
      <w:pPr>
        <w:spacing w:line="540" w:lineRule="exact"/>
        <w:ind w:firstLine="1260" w:firstLineChars="600"/>
        <w:rPr>
          <w:rFonts w:hint="eastAsia"/>
        </w:rPr>
      </w:pPr>
      <w:r>
        <w:rPr>
          <w:rFonts w:hint="eastAsia"/>
        </w:rPr>
        <w:t>苏  毅  丁桥镇政府副镇长</w:t>
      </w:r>
    </w:p>
    <w:p>
      <w:pPr>
        <w:spacing w:line="540" w:lineRule="exact"/>
        <w:ind w:firstLine="1260" w:firstLineChars="600"/>
        <w:rPr>
          <w:rFonts w:hint="eastAsia"/>
        </w:rPr>
      </w:pPr>
      <w:r>
        <w:rPr>
          <w:rFonts w:hint="eastAsia"/>
        </w:rPr>
        <w:t>鲍中欢  酉华镇党委副书记</w:t>
      </w:r>
    </w:p>
    <w:p>
      <w:pPr>
        <w:spacing w:line="540" w:lineRule="exact"/>
        <w:ind w:firstLine="1260" w:firstLineChars="600"/>
        <w:rPr>
          <w:rFonts w:hint="eastAsia"/>
        </w:rPr>
      </w:pPr>
      <w:r>
        <w:rPr>
          <w:rFonts w:hint="eastAsia"/>
        </w:rPr>
        <w:t>戴克恩  乔木乡政府副乡长</w:t>
      </w:r>
    </w:p>
    <w:p>
      <w:pPr>
        <w:spacing w:line="540" w:lineRule="exact"/>
        <w:ind w:firstLine="1260" w:firstLineChars="600"/>
        <w:rPr>
          <w:rFonts w:hint="eastAsia"/>
        </w:rPr>
      </w:pPr>
      <w:r>
        <w:rPr>
          <w:rFonts w:hint="eastAsia"/>
        </w:rPr>
        <w:t>宁  安  庙前镇政府副镇长</w:t>
      </w:r>
    </w:p>
    <w:p>
      <w:pPr>
        <w:spacing w:line="540" w:lineRule="exact"/>
        <w:ind w:firstLine="1260" w:firstLineChars="600"/>
        <w:rPr>
          <w:rFonts w:hint="eastAsia"/>
        </w:rPr>
      </w:pPr>
      <w:r>
        <w:rPr>
          <w:rFonts w:hint="eastAsia"/>
        </w:rPr>
        <w:t>方小祥  杜村乡政府副乡长</w:t>
      </w:r>
    </w:p>
    <w:p>
      <w:pPr>
        <w:spacing w:line="540" w:lineRule="exact"/>
        <w:ind w:firstLine="1260" w:firstLineChars="600"/>
        <w:rPr>
          <w:rFonts w:hint="eastAsia"/>
        </w:rPr>
      </w:pPr>
      <w:r>
        <w:rPr>
          <w:rFonts w:hint="eastAsia"/>
        </w:rPr>
        <w:t>甘  跃  县开发区管委会副主任</w:t>
      </w:r>
    </w:p>
    <w:p>
      <w:pPr>
        <w:spacing w:line="540" w:lineRule="exact"/>
        <w:ind w:firstLine="420" w:firstLineChars="200"/>
        <w:rPr>
          <w:rFonts w:hint="eastAsia"/>
        </w:rPr>
      </w:pPr>
      <w:r>
        <w:rPr>
          <w:rFonts w:hint="eastAsia"/>
        </w:rPr>
        <w:t>领导小组办公室设在县自然资源规划局，王华同志兼任办公室主任，骆劲峰同志兼任办公室副主任。各成员单位任务分工如下：</w:t>
      </w:r>
    </w:p>
    <w:p>
      <w:pPr>
        <w:spacing w:line="540" w:lineRule="exact"/>
        <w:ind w:firstLine="422" w:firstLineChars="200"/>
        <w:rPr>
          <w:rFonts w:hint="eastAsia"/>
        </w:rPr>
      </w:pPr>
      <w:r>
        <w:rPr>
          <w:rFonts w:hint="eastAsia" w:ascii="楷体_GB2312" w:eastAsia="楷体_GB2312"/>
          <w:b/>
        </w:rPr>
        <w:t>（一）县自然资源和规划局：</w:t>
      </w:r>
      <w:r>
        <w:rPr>
          <w:rFonts w:hint="eastAsia"/>
        </w:rPr>
        <w:t>负责组织开展全县农村房地一体确权登记颁证工作，具体</w:t>
      </w:r>
      <w:r>
        <w:rPr>
          <w:rFonts w:hint="eastAsia" w:hAnsi="仿宋_GB2312" w:cs="仿宋_GB2312"/>
        </w:rPr>
        <w:t>负责汇总地籍和确权相关数据资料，做好需求摸排、调查方法确定、工作经费测算、确权登记颁证工作实施方案拟订、招标选择作业队伍等确权登记颁证工作，做好人员培训，根据有关政策规定对农民住房规划方面进行认定和处置等工作。</w:t>
      </w:r>
    </w:p>
    <w:p>
      <w:pPr>
        <w:spacing w:line="540" w:lineRule="exact"/>
        <w:ind w:firstLine="422" w:firstLineChars="200"/>
        <w:rPr>
          <w:rFonts w:hint="eastAsia"/>
        </w:rPr>
      </w:pPr>
      <w:r>
        <w:rPr>
          <w:rFonts w:hint="eastAsia" w:ascii="楷体_GB2312" w:eastAsia="楷体_GB2312"/>
          <w:b/>
        </w:rPr>
        <w:t>（二）县农业农村水利局：</w:t>
      </w:r>
      <w:r>
        <w:rPr>
          <w:rFonts w:hint="eastAsia"/>
        </w:rPr>
        <w:t>负责农村宅基地使用权确认的业务指导及相关政策解答工作，根据有关政策规定对农村宅基地使用权进行认定和处置等工作。</w:t>
      </w:r>
    </w:p>
    <w:p>
      <w:pPr>
        <w:spacing w:line="540" w:lineRule="exact"/>
        <w:ind w:firstLine="422" w:firstLineChars="200"/>
        <w:rPr>
          <w:rFonts w:hint="eastAsia"/>
        </w:rPr>
      </w:pPr>
      <w:r>
        <w:rPr>
          <w:rFonts w:hint="eastAsia" w:ascii="楷体_GB2312" w:eastAsia="楷体_GB2312"/>
          <w:b/>
        </w:rPr>
        <w:t>（三）县住建局：</w:t>
      </w:r>
      <w:r>
        <w:rPr>
          <w:rFonts w:hint="eastAsia"/>
        </w:rPr>
        <w:t>负责农民住房建设管理的业务指导和相关政策解答工作，根据有关政策规定对农民住房建设和质量等方面进行认定和处置等工作。</w:t>
      </w:r>
    </w:p>
    <w:p>
      <w:pPr>
        <w:spacing w:line="540" w:lineRule="exact"/>
        <w:ind w:firstLine="422" w:firstLineChars="200"/>
        <w:rPr>
          <w:rFonts w:hint="eastAsia"/>
        </w:rPr>
      </w:pPr>
      <w:r>
        <w:rPr>
          <w:rFonts w:hint="eastAsia" w:ascii="楷体_GB2312" w:eastAsia="楷体_GB2312"/>
          <w:b/>
        </w:rPr>
        <w:t>（四）县财政局：</w:t>
      </w:r>
      <w:r>
        <w:rPr>
          <w:rFonts w:hint="eastAsia"/>
        </w:rPr>
        <w:t>负责落实县本级工作经费，将工作经费列入年度预算，保障各项工作开展。</w:t>
      </w:r>
    </w:p>
    <w:p>
      <w:pPr>
        <w:spacing w:line="540" w:lineRule="exact"/>
        <w:ind w:firstLine="422" w:firstLineChars="200"/>
        <w:rPr>
          <w:rFonts w:hint="eastAsia"/>
        </w:rPr>
      </w:pPr>
      <w:r>
        <w:rPr>
          <w:rFonts w:hint="eastAsia" w:ascii="楷体_GB2312" w:eastAsia="楷体_GB2312"/>
          <w:b/>
        </w:rPr>
        <w:t>（五）县民政局：</w:t>
      </w:r>
      <w:r>
        <w:rPr>
          <w:rFonts w:hint="eastAsia"/>
        </w:rPr>
        <w:t>负责行政区划界线和行政区划代码查询核实等工作。</w:t>
      </w:r>
    </w:p>
    <w:p>
      <w:pPr>
        <w:spacing w:line="540" w:lineRule="exact"/>
        <w:ind w:firstLine="422" w:firstLineChars="200"/>
        <w:rPr>
          <w:rFonts w:hint="eastAsia"/>
        </w:rPr>
      </w:pPr>
      <w:r>
        <w:rPr>
          <w:rFonts w:hint="eastAsia" w:ascii="楷体_GB2312" w:eastAsia="楷体_GB2312"/>
          <w:b/>
        </w:rPr>
        <w:t>（六）县司法局：</w:t>
      </w:r>
      <w:r>
        <w:rPr>
          <w:rFonts w:hint="eastAsia"/>
        </w:rPr>
        <w:t>负责县本级制定的配套政策进行合法性审查指导等工作。</w:t>
      </w:r>
    </w:p>
    <w:p>
      <w:pPr>
        <w:spacing w:line="540" w:lineRule="exact"/>
        <w:ind w:firstLine="422" w:firstLineChars="200"/>
        <w:rPr>
          <w:rFonts w:hint="eastAsia"/>
        </w:rPr>
      </w:pPr>
      <w:r>
        <w:rPr>
          <w:rFonts w:hint="eastAsia" w:ascii="楷体_GB2312" w:eastAsia="楷体_GB2312"/>
          <w:b/>
        </w:rPr>
        <w:t>（七）县公安局：</w:t>
      </w:r>
      <w:r>
        <w:rPr>
          <w:rFonts w:hint="eastAsia"/>
        </w:rPr>
        <w:t>负责最新年份户籍人口数据核查及单条查询等工作。</w:t>
      </w:r>
    </w:p>
    <w:p>
      <w:pPr>
        <w:spacing w:line="540" w:lineRule="exact"/>
        <w:ind w:firstLine="422" w:firstLineChars="200"/>
        <w:rPr>
          <w:rFonts w:hint="eastAsia"/>
        </w:rPr>
      </w:pPr>
      <w:r>
        <w:rPr>
          <w:rFonts w:hint="eastAsia" w:ascii="楷体_GB2312" w:eastAsia="楷体_GB2312"/>
          <w:b/>
        </w:rPr>
        <w:t>（八）县林业局：</w:t>
      </w:r>
      <w:r>
        <w:rPr>
          <w:rFonts w:hint="eastAsia"/>
        </w:rPr>
        <w:t>负责涉及林权方面的相关工作。</w:t>
      </w:r>
    </w:p>
    <w:p>
      <w:pPr>
        <w:spacing w:line="540" w:lineRule="exact"/>
        <w:ind w:firstLine="422" w:firstLineChars="200"/>
        <w:rPr>
          <w:rFonts w:hint="eastAsia"/>
        </w:rPr>
      </w:pPr>
      <w:r>
        <w:rPr>
          <w:rFonts w:hint="eastAsia" w:ascii="楷体_GB2312" w:eastAsia="楷体_GB2312"/>
          <w:b/>
        </w:rPr>
        <w:t>（九）县档案馆：</w:t>
      </w:r>
      <w:r>
        <w:rPr>
          <w:rFonts w:hint="eastAsia"/>
        </w:rPr>
        <w:t>负责接收全县农村房地一体确权登记发证档案。</w:t>
      </w:r>
    </w:p>
    <w:p>
      <w:pPr>
        <w:spacing w:line="540" w:lineRule="exact"/>
        <w:ind w:firstLine="422" w:firstLineChars="200"/>
        <w:rPr>
          <w:rFonts w:hint="eastAsia"/>
        </w:rPr>
      </w:pPr>
      <w:r>
        <w:rPr>
          <w:rFonts w:hint="eastAsia" w:ascii="楷体_GB2312" w:eastAsia="楷体_GB2312"/>
          <w:b/>
        </w:rPr>
        <w:t>（十）县信访局：</w:t>
      </w:r>
      <w:r>
        <w:rPr>
          <w:rFonts w:hint="eastAsia"/>
        </w:rPr>
        <w:t>负责涉及信访事项的接待处理等工作。</w:t>
      </w:r>
    </w:p>
    <w:p>
      <w:pPr>
        <w:spacing w:line="540" w:lineRule="exact"/>
        <w:ind w:firstLine="422" w:firstLineChars="200"/>
        <w:rPr>
          <w:rFonts w:hint="eastAsia"/>
        </w:rPr>
      </w:pPr>
      <w:r>
        <w:rPr>
          <w:rFonts w:hint="eastAsia" w:ascii="楷体_GB2312" w:eastAsia="楷体_GB2312"/>
          <w:b/>
        </w:rPr>
        <w:t>（十一）乡镇人民政府：</w:t>
      </w:r>
      <w:r>
        <w:rPr>
          <w:rFonts w:hint="eastAsia"/>
        </w:rPr>
        <w:t>负责组织实施本辖区内的农村不动产确权登记工作，具体负责辖区范围内各村房地一体确权登记颁证工作的宣传和引导、村民身份确认、房地权属审核确认、公示公告以及权属纠纷调处；组织协调村、组参加调查指界、签字确认和相关数据资料收集；配合调查队伍开展房地测绘外业调查；根据职责完善土地、规划等相关审核确认和审批等工作。</w:t>
      </w:r>
    </w:p>
    <w:p>
      <w:pPr>
        <w:spacing w:line="540" w:lineRule="exact"/>
        <w:ind w:firstLine="420" w:firstLineChars="200"/>
        <w:rPr>
          <w:rFonts w:hint="eastAsia"/>
        </w:rPr>
      </w:pPr>
      <w:r>
        <w:rPr>
          <w:rFonts w:hint="eastAsia"/>
        </w:rPr>
        <w:t>此项工作结束后，领导小组自行撤销，不再另行通知。</w:t>
      </w:r>
    </w:p>
    <w:p>
      <w:pPr>
        <w:jc w:val="center"/>
        <w:rPr>
          <w:rFonts w:hAnsi="宋体" w:cs="宋体"/>
          <w:color w:val="000000"/>
          <w:kern w:val="0"/>
        </w:rPr>
      </w:pPr>
    </w:p>
    <w:p>
      <w:pPr>
        <w:jc w:val="center"/>
        <w:rPr>
          <w:rFonts w:hAnsi="宋体" w:cs="宋体"/>
          <w:color w:val="000000"/>
          <w:kern w:val="0"/>
        </w:rPr>
      </w:pPr>
    </w:p>
    <w:p>
      <w:pPr>
        <w:jc w:val="center"/>
        <w:rPr>
          <w:rFonts w:hAnsi="宋体" w:cs="宋体"/>
          <w:color w:val="000000"/>
          <w:kern w:val="0"/>
        </w:rPr>
      </w:pPr>
    </w:p>
    <w:p>
      <w:pPr>
        <w:jc w:val="center"/>
        <w:rPr>
          <w:rFonts w:hAnsi="宋体" w:cs="宋体"/>
          <w:color w:val="000000"/>
          <w:kern w:val="0"/>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青阳县人民政府办公室关于稳定生猪生产促进转型升级的实施意见</w:t>
      </w:r>
    </w:p>
    <w:p>
      <w:pPr>
        <w:snapToGrid w:val="0"/>
        <w:spacing w:line="580" w:lineRule="exact"/>
      </w:pPr>
      <w:r>
        <w:rPr>
          <w:rFonts w:hint="eastAsia"/>
        </w:rPr>
        <w:t>各乡镇人民政府，县经济开发区管委会，县政府有关部门、有关直属机构：</w:t>
      </w:r>
    </w:p>
    <w:p>
      <w:pPr>
        <w:snapToGrid w:val="0"/>
        <w:spacing w:line="580" w:lineRule="exact"/>
        <w:ind w:firstLine="420" w:firstLineChars="200"/>
        <w:rPr>
          <w:rFonts w:hint="eastAsia"/>
        </w:rPr>
      </w:pPr>
      <w:r>
        <w:rPr>
          <w:rFonts w:hint="eastAsia"/>
        </w:rPr>
        <w:t xml:space="preserve">受非洲猪瘟等多种因素影响，我县生猪养殖数量大幅减少，产能明显下滑，稳产保供压力较大。为贯彻落实《池州市人民政府办公室关于稳定生猪生产促进转型升级的实施意见》（池政办〔2019〕40号），进一步加强“菜篮子”工程建设，稳定生猪生产，促进转型升级，增强猪肉供应保障能力，经县政府同意，现提出如下实施意见。 </w:t>
      </w:r>
    </w:p>
    <w:p>
      <w:pPr>
        <w:snapToGrid w:val="0"/>
        <w:spacing w:line="580" w:lineRule="exact"/>
        <w:ind w:firstLine="420" w:firstLineChars="200"/>
        <w:rPr>
          <w:rFonts w:hint="eastAsia" w:ascii="黑体" w:hAnsi="黑体" w:eastAsia="黑体"/>
        </w:rPr>
      </w:pPr>
      <w:r>
        <w:rPr>
          <w:rFonts w:hint="eastAsia" w:ascii="黑体" w:hAnsi="黑体" w:eastAsia="黑体"/>
        </w:rPr>
        <w:t>一、总体要求</w:t>
      </w:r>
    </w:p>
    <w:p>
      <w:pPr>
        <w:snapToGrid w:val="0"/>
        <w:spacing w:line="580" w:lineRule="exact"/>
        <w:ind w:firstLine="420" w:firstLineChars="200"/>
        <w:rPr>
          <w:rFonts w:hint="eastAsia"/>
        </w:rPr>
      </w:pPr>
      <w:r>
        <w:rPr>
          <w:rFonts w:hint="eastAsia" w:ascii="楷体_GB2312" w:hAnsi="楷体_GB2312" w:eastAsia="楷体_GB2312" w:cs="楷体_GB2312"/>
        </w:rPr>
        <w:t>（一）发展目标。</w:t>
      </w:r>
      <w:r>
        <w:rPr>
          <w:rFonts w:hint="eastAsia"/>
        </w:rPr>
        <w:t>发挥市场在资源配置中的决定性作用，以保障猪肉有效供给为目标，立足当前恢复生产保供给，着眼长远转变方式促转型。按照“规模养殖、集中屠宰、冷链运输、冰鲜上市”要求，加快构建现代养殖体系，健全现代生猪流通体系，推进生猪产业化发展、一体化经营，加快推进生猪产业转型升级。到2022年，产业转型升级取得重要进展，自给率达100%以上，养殖规模化率达到60%以上，规模养猪场（户）粪污综合利用率达到85%以上；到2025年，产业素质明显提升，养殖规模化率达到65%以上，规模养猪场（户）粪污综合利用率达到90%以上。</w:t>
      </w:r>
    </w:p>
    <w:p>
      <w:pPr>
        <w:snapToGrid w:val="0"/>
        <w:spacing w:line="580" w:lineRule="exact"/>
        <w:ind w:firstLine="420" w:firstLineChars="200"/>
      </w:pPr>
      <w:r>
        <w:rPr>
          <w:rFonts w:hint="eastAsia" w:ascii="楷体_GB2312" w:hAnsi="楷体_GB2312" w:eastAsia="楷体_GB2312" w:cs="楷体_GB2312"/>
        </w:rPr>
        <w:t>（二）属地管理。</w:t>
      </w:r>
      <w:r>
        <w:rPr>
          <w:rFonts w:hint="eastAsia"/>
        </w:rPr>
        <w:t>各乡镇对本地区稳定生猪生产、保障市场供应工作负总责，各乡镇主要负责同志为所辖区域第一责任人，确保完成生猪稳产保供目标任务，切实做到稳产增产。</w:t>
      </w:r>
    </w:p>
    <w:p>
      <w:pPr>
        <w:snapToGrid w:val="0"/>
        <w:spacing w:line="580" w:lineRule="exact"/>
        <w:ind w:firstLine="420" w:firstLineChars="200"/>
        <w:rPr>
          <w:rFonts w:hint="eastAsia" w:ascii="黑体" w:hAnsi="黑体" w:eastAsia="黑体"/>
        </w:rPr>
      </w:pPr>
      <w:r>
        <w:rPr>
          <w:rFonts w:hint="eastAsia" w:ascii="黑体" w:hAnsi="黑体" w:eastAsia="黑体"/>
        </w:rPr>
        <w:t>二、切实稳定当前生猪生产</w:t>
      </w:r>
    </w:p>
    <w:p>
      <w:pPr>
        <w:snapToGrid w:val="0"/>
        <w:spacing w:line="580" w:lineRule="exact"/>
        <w:ind w:firstLine="420" w:firstLineChars="200"/>
        <w:rPr>
          <w:rFonts w:hint="eastAsia"/>
        </w:rPr>
      </w:pPr>
      <w:r>
        <w:rPr>
          <w:rFonts w:hint="eastAsia" w:ascii="楷体_GB2312" w:eastAsia="楷体_GB2312"/>
        </w:rPr>
        <w:t>（三）执行禁养区管理规定。</w:t>
      </w:r>
      <w:r>
        <w:rPr>
          <w:rFonts w:hint="eastAsia"/>
        </w:rPr>
        <w:t>严格依法依规执行新修订禁养区划定范围，对禁养区内需关停搬迁的规模养猪场（户）和养猪专业户，根据本乡镇相关规划，在可养区域内安排异地重建。</w:t>
      </w:r>
    </w:p>
    <w:p>
      <w:pPr>
        <w:snapToGrid w:val="0"/>
        <w:spacing w:line="580" w:lineRule="exact"/>
        <w:ind w:firstLine="420" w:firstLineChars="200"/>
        <w:rPr>
          <w:rFonts w:hint="eastAsia"/>
        </w:rPr>
      </w:pPr>
      <w:r>
        <w:rPr>
          <w:rFonts w:hint="eastAsia" w:ascii="楷体_GB2312" w:eastAsia="楷体_GB2312"/>
        </w:rPr>
        <w:t>（四）保障猪肉市场供应。</w:t>
      </w:r>
      <w:r>
        <w:rPr>
          <w:rFonts w:hint="eastAsia"/>
        </w:rPr>
        <w:t>严格落实“点对点”调运制度，加强与国内大型养殖企业洽谈合作，指导县生猪定点屠宰场与供货养殖企业合作，以保障猪肉市场稳定供应。各乡镇、各部门要结合实际，积极引导支持具备饲养条件的养殖场（户）尽快引种补栏，早日恢复生产。</w:t>
      </w:r>
    </w:p>
    <w:p>
      <w:pPr>
        <w:snapToGrid w:val="0"/>
        <w:spacing w:line="580" w:lineRule="exact"/>
        <w:ind w:firstLine="420" w:firstLineChars="200"/>
        <w:rPr>
          <w:rFonts w:hint="eastAsia" w:ascii="黑体" w:hAnsi="黑体" w:eastAsia="黑体"/>
        </w:rPr>
      </w:pPr>
      <w:r>
        <w:rPr>
          <w:rFonts w:hint="eastAsia" w:ascii="黑体" w:hAnsi="黑体" w:eastAsia="黑体"/>
        </w:rPr>
        <w:t>三、加快生猪产业持续健康发展</w:t>
      </w:r>
    </w:p>
    <w:p>
      <w:pPr>
        <w:snapToGrid w:val="0"/>
        <w:spacing w:line="580" w:lineRule="exact"/>
        <w:ind w:firstLine="420" w:firstLineChars="200"/>
        <w:rPr>
          <w:rFonts w:hint="eastAsia"/>
        </w:rPr>
      </w:pPr>
      <w:r>
        <w:rPr>
          <w:rFonts w:hint="eastAsia" w:ascii="楷体_GB2312" w:eastAsia="楷体_GB2312"/>
        </w:rPr>
        <w:t>（五）发展标准化规模养殖。</w:t>
      </w:r>
      <w:r>
        <w:rPr>
          <w:rFonts w:hint="eastAsia"/>
        </w:rPr>
        <w:t>积极</w:t>
      </w:r>
      <w:r>
        <w:rPr>
          <w:rFonts w:hint="eastAsia" w:hAnsi="华文仿宋" w:cs="华文仿宋"/>
        </w:rPr>
        <w:t>推广“公司+基地（养殖小区）”经营模式，发展规模化、集约化养殖，充分利用大型养殖企业技术、市场、资金的优势，加快推进中小养殖场饲养标准化、规模化发展。</w:t>
      </w:r>
    </w:p>
    <w:p>
      <w:pPr>
        <w:snapToGrid w:val="0"/>
        <w:spacing w:line="580" w:lineRule="exact"/>
        <w:ind w:firstLine="420" w:firstLineChars="200"/>
        <w:rPr>
          <w:rFonts w:hint="eastAsia"/>
          <w:snapToGrid w:val="0"/>
        </w:rPr>
      </w:pPr>
      <w:r>
        <w:rPr>
          <w:rFonts w:hint="eastAsia" w:ascii="楷体_GB2312" w:eastAsia="楷体_GB2312"/>
        </w:rPr>
        <w:t>（六）推进畜禽养殖废弃物资源化利用</w:t>
      </w:r>
      <w:r>
        <w:rPr>
          <w:rFonts w:hint="eastAsia"/>
        </w:rPr>
        <w:t>。按照“截污建池、发酵还田，一场一策、制肥还田，区域收纳、集中处理”三种路径，</w:t>
      </w:r>
      <w:r>
        <w:rPr>
          <w:rFonts w:hint="eastAsia"/>
          <w:snapToGrid w:val="0"/>
        </w:rPr>
        <w:t>重点推广“种养结合，农</w:t>
      </w:r>
      <w:r>
        <w:rPr>
          <w:rFonts w:hint="eastAsia"/>
        </w:rPr>
        <w:t>牧循环”技术模式，指导养殖场（户）做好废弃物资源化利用，完成“全县畜粪污综合利用率85%以上，畜禽规模养殖场粪污处理设施配套率100%，大型畜禽规模养殖场（小区）粪污处理设施装备配套率保持100%”的目标。</w:t>
      </w:r>
    </w:p>
    <w:p>
      <w:pPr>
        <w:snapToGrid w:val="0"/>
        <w:spacing w:line="580" w:lineRule="exact"/>
        <w:ind w:firstLine="420" w:firstLineChars="200"/>
        <w:rPr>
          <w:rFonts w:hint="eastAsia" w:ascii="楷体_GB2312" w:eastAsia="楷体_GB2312"/>
        </w:rPr>
      </w:pPr>
      <w:r>
        <w:rPr>
          <w:rFonts w:hint="eastAsia" w:ascii="楷体_GB2312" w:eastAsia="楷体_GB2312"/>
        </w:rPr>
        <w:t>（七）加快生猪产业转型升级。</w:t>
      </w:r>
      <w:r>
        <w:rPr>
          <w:rFonts w:hint="eastAsia"/>
        </w:rPr>
        <w:t>积极与国内大型养殖企业对接，支持招商引资发展生猪养殖，努力建成一批大型规模化集约化养殖场，进一步推进我县生猪生产转型升级。优化养殖区域布局。抢抓长三角区域一体化发展战略机遇，科学谋划生猪等主要畜禽养殖业布局，支持大中型生猪养殖企业全产业链布局。</w:t>
      </w:r>
    </w:p>
    <w:p>
      <w:pPr>
        <w:snapToGrid w:val="0"/>
        <w:spacing w:line="580" w:lineRule="exact"/>
        <w:ind w:firstLine="420" w:firstLineChars="200"/>
        <w:rPr>
          <w:rFonts w:hint="eastAsia"/>
        </w:rPr>
      </w:pPr>
      <w:r>
        <w:rPr>
          <w:rFonts w:hint="eastAsia" w:ascii="楷体_GB2312" w:eastAsia="楷体_GB2312"/>
        </w:rPr>
        <w:t>（八）加强集中屠宰监管。</w:t>
      </w:r>
      <w:r>
        <w:rPr>
          <w:rFonts w:hint="eastAsia"/>
        </w:rPr>
        <w:t>进一步优化生猪定点屠宰厂（场）布局。鼓励大型生猪养殖企业建设屠宰加工厂（场），建立产加销一体化的产业化龙头企业，推进生猪定点屠宰厂按照“质量管理制度化、厂区环境整洁化、设施设备标准化、生产经营规范化、检测检验科学化、排放处理无害化”和“两项制度”要求，推进生猪屠宰标准化创建工作，进一步推进生猪定点屠宰企业提挡升级。</w:t>
      </w:r>
    </w:p>
    <w:p>
      <w:pPr>
        <w:snapToGrid w:val="0"/>
        <w:spacing w:line="580" w:lineRule="exact"/>
        <w:ind w:firstLine="420" w:firstLineChars="200"/>
        <w:rPr>
          <w:rFonts w:hint="eastAsia"/>
        </w:rPr>
      </w:pPr>
      <w:r>
        <w:rPr>
          <w:rFonts w:hint="eastAsia" w:ascii="楷体_GB2312" w:eastAsia="楷体_GB2312"/>
        </w:rPr>
        <w:t>（九）实施冷链运输和冰鲜上市。</w:t>
      </w:r>
      <w:r>
        <w:rPr>
          <w:rFonts w:hint="eastAsia" w:hAnsi="华文仿宋" w:cs="华文仿宋"/>
          <w:kern w:val="0"/>
        </w:rPr>
        <w:t>改变传统生猪调运方式，顺应猪肉消费升级和生猪疫病防控的客观要求，加快实现“运猪”向</w:t>
      </w:r>
      <w:r>
        <w:rPr>
          <w:rFonts w:hint="eastAsia"/>
        </w:rPr>
        <w:t>“运肉”转变。积极推行猪肉产品冷链调运，加快冷鲜肉品流通和配送体系建设。支持生猪产品生产加工企业在农贸市场建设冰鲜、冷冻肉产品专卖区。</w:t>
      </w:r>
    </w:p>
    <w:p>
      <w:pPr>
        <w:snapToGrid w:val="0"/>
        <w:spacing w:line="580" w:lineRule="exact"/>
        <w:ind w:firstLine="420" w:firstLineChars="200"/>
        <w:rPr>
          <w:rFonts w:hint="eastAsia" w:ascii="黑体" w:hAnsi="黑体" w:eastAsia="黑体"/>
        </w:rPr>
      </w:pPr>
      <w:r>
        <w:rPr>
          <w:rFonts w:hint="eastAsia" w:ascii="黑体" w:hAnsi="黑体" w:eastAsia="黑体"/>
        </w:rPr>
        <w:t>四、完善动物疫病防控体系</w:t>
      </w:r>
    </w:p>
    <w:p>
      <w:pPr>
        <w:snapToGrid w:val="0"/>
        <w:spacing w:line="580" w:lineRule="exact"/>
        <w:ind w:firstLine="420" w:firstLineChars="200"/>
        <w:rPr>
          <w:rFonts w:hint="eastAsia"/>
        </w:rPr>
      </w:pPr>
      <w:r>
        <w:rPr>
          <w:rFonts w:hint="eastAsia" w:ascii="楷体_GB2312" w:eastAsia="楷体_GB2312"/>
        </w:rPr>
        <w:t>（十）强化非洲猪瘟等动物疫病防控能力。</w:t>
      </w:r>
      <w:r>
        <w:rPr>
          <w:rFonts w:hint="eastAsia"/>
        </w:rPr>
        <w:t>进一步压实属地管理责任和部门监管责任，督促落实生猪产业各环节从业者责任。推进生猪全产业链防控，禁止泔水喂猪；严格产地检疫，落实“点对点”调运政策，发挥检查站“防”“堵”作用；严格执行生猪定点屠宰厂（场）非洲猪瘟自检制度和官方兽医驻场制度；加强对采购生猪产品的源头管控，严防染疫生猪产品进入食品加工流通环节。统筹做好口蹄疫、猪瘟、高致病性猪蓝耳病等重大动物疫病防控工作。加强疫病防控技术培训和分类指导。</w:t>
      </w:r>
    </w:p>
    <w:p>
      <w:pPr>
        <w:snapToGrid w:val="0"/>
        <w:spacing w:line="580" w:lineRule="exact"/>
        <w:ind w:firstLine="420" w:firstLineChars="200"/>
        <w:rPr>
          <w:rFonts w:hint="eastAsia"/>
        </w:rPr>
      </w:pPr>
      <w:r>
        <w:rPr>
          <w:rFonts w:hint="eastAsia" w:ascii="楷体_GB2312" w:eastAsia="楷体_GB2312"/>
        </w:rPr>
        <w:t>（十一）强化疫病检测和动物检疫。</w:t>
      </w:r>
      <w:r>
        <w:rPr>
          <w:rFonts w:hint="eastAsia"/>
        </w:rPr>
        <w:t>完善县级动物疫病预防控制中心设施装备，改善基层兽医实验室疫病检测条件。指导督促县生猪定点屠宰场正常开展非洲猪瘟病毒检测工作。</w:t>
      </w:r>
    </w:p>
    <w:p>
      <w:pPr>
        <w:snapToGrid w:val="0"/>
        <w:spacing w:line="580" w:lineRule="exact"/>
        <w:ind w:firstLine="420" w:firstLineChars="200"/>
        <w:rPr>
          <w:rFonts w:hint="eastAsia"/>
        </w:rPr>
      </w:pPr>
      <w:r>
        <w:rPr>
          <w:rFonts w:hint="eastAsia" w:ascii="楷体_GB2312" w:eastAsia="楷体_GB2312"/>
        </w:rPr>
        <w:t>（十二）加强基层动物防疫队伍建设。</w:t>
      </w:r>
      <w:r>
        <w:rPr>
          <w:rFonts w:hint="eastAsia" w:hAnsi="华文仿宋" w:cs="华文仿宋"/>
          <w:kern w:val="0"/>
        </w:rPr>
        <w:t>依托现有机构编制资源，建立健全动物卫生监督机构和动物疫病预防控制机构。加强乡镇畜牧兽医站建设，配备与养殖规模和工作任务相适应的防疫检疫等专业技术人员。</w:t>
      </w:r>
      <w:r>
        <w:rPr>
          <w:rFonts w:hint="eastAsia"/>
        </w:rPr>
        <w:t>在农业综合行政执法改革中，结合建立执法事项清单，落实动物防疫执法责任，突出强化动物防疫执法力量。各级财政要保障工作经费和专项业务经费，改善设施装备条件，落实工资待遇和有关津贴，确保基层动物防疫、检疫和监督工作正常开展。</w:t>
      </w:r>
    </w:p>
    <w:p>
      <w:pPr>
        <w:snapToGrid w:val="0"/>
        <w:spacing w:line="580" w:lineRule="exact"/>
        <w:ind w:firstLine="420" w:firstLineChars="200"/>
        <w:rPr>
          <w:rFonts w:hint="eastAsia" w:ascii="黑体" w:hAnsi="黑体" w:eastAsia="黑体"/>
        </w:rPr>
      </w:pPr>
      <w:r>
        <w:rPr>
          <w:rFonts w:hint="eastAsia" w:ascii="黑体" w:hAnsi="黑体" w:eastAsia="黑体"/>
        </w:rPr>
        <w:t>五、强化政策措施保障</w:t>
      </w:r>
    </w:p>
    <w:p>
      <w:pPr>
        <w:snapToGrid w:val="0"/>
        <w:spacing w:line="580" w:lineRule="exact"/>
        <w:ind w:firstLine="480"/>
        <w:rPr>
          <w:rFonts w:hint="eastAsia"/>
        </w:rPr>
      </w:pPr>
      <w:r>
        <w:rPr>
          <w:rFonts w:hint="eastAsia" w:ascii="楷体_GB2312" w:eastAsia="楷体_GB2312"/>
        </w:rPr>
        <w:t>（十三）加大财政金融扶持力度。</w:t>
      </w:r>
      <w:r>
        <w:rPr>
          <w:rFonts w:hint="eastAsia"/>
        </w:rPr>
        <w:t>积极落实市县两级财政资金支持，鼓励各乡镇出台相关激励措施，对发展生猪规模化和标准化养殖实施奖补，同时要扶持一批生猪标准化、规模化饲养场（小区）新建和改扩建基础设施建设，特别是粪污处理设施建设，提升设施装备水平。支持防疫条件好、粪污处理能力有富余的规模猪场及空栏场引进种猪。加快完善生猪政策性保险，提高保险保额、扩大保险范围，将养殖场户贷款贴息补助范围由年出栏5000头以上调整为年出栏500头以上。银行等金融机构要积极为生猪生产发展提供信贷支持。</w:t>
      </w:r>
    </w:p>
    <w:p>
      <w:pPr>
        <w:snapToGrid w:val="0"/>
        <w:spacing w:line="580" w:lineRule="exact"/>
        <w:ind w:firstLine="420" w:firstLineChars="200"/>
        <w:rPr>
          <w:rFonts w:hint="eastAsia"/>
        </w:rPr>
      </w:pPr>
      <w:r>
        <w:rPr>
          <w:rFonts w:hint="eastAsia" w:ascii="楷体_GB2312" w:eastAsia="楷体_GB2312"/>
        </w:rPr>
        <w:t>（十四）保障生猪养殖用地。</w:t>
      </w:r>
      <w:r>
        <w:rPr>
          <w:rFonts w:hint="eastAsia"/>
        </w:rPr>
        <w:t>在编制国土空间规划时，科学安排新增生猪养殖用地。完善设施农用地政策，合理增加附属设施用地规模，取消15亩上限，严防出现“一刀切”等形式主义、官僚主义问题，切实保障畜禽养殖废弃物处理等设施用地需要。鼓励利用农村集体建设用地和“四荒地”（荒山、荒沟、荒丘、荒滩）发展生猪生产。</w:t>
      </w:r>
    </w:p>
    <w:p>
      <w:pPr>
        <w:snapToGrid w:val="0"/>
        <w:spacing w:line="580" w:lineRule="exact"/>
        <w:ind w:firstLine="420" w:firstLineChars="200"/>
        <w:rPr>
          <w:rFonts w:hint="eastAsia"/>
        </w:rPr>
      </w:pPr>
      <w:r>
        <w:rPr>
          <w:rFonts w:hint="eastAsia" w:ascii="楷体_GB2312" w:eastAsia="楷体_GB2312"/>
        </w:rPr>
        <w:t>（十五）强化法治保障。</w:t>
      </w:r>
      <w:r>
        <w:rPr>
          <w:rFonts w:hint="eastAsia"/>
        </w:rPr>
        <w:t>严格落实动物防疫法、生猪屠宰管理条例等法律法规，加大执法监管力度，督促养猪场（户）、屠宰加工企业等市场主体依法依规开展生产经营活动。依法查处生猪养殖、运输、屠宰、无害化处理等环节的违法违规行为。</w:t>
      </w:r>
    </w:p>
    <w:p>
      <w:pPr>
        <w:snapToGrid w:val="0"/>
        <w:spacing w:line="580" w:lineRule="exact"/>
        <w:ind w:firstLine="420" w:firstLineChars="200"/>
        <w:rPr>
          <w:rFonts w:hint="eastAsia" w:ascii="黑体" w:hAnsi="黑体" w:eastAsia="黑体"/>
        </w:rPr>
      </w:pPr>
      <w:r>
        <w:rPr>
          <w:rFonts w:hint="eastAsia" w:ascii="黑体" w:hAnsi="黑体" w:eastAsia="黑体"/>
        </w:rPr>
        <w:t>六、强化组织保障</w:t>
      </w:r>
    </w:p>
    <w:p>
      <w:pPr>
        <w:snapToGrid w:val="0"/>
        <w:spacing w:line="580" w:lineRule="exact"/>
        <w:ind w:firstLine="420" w:firstLineChars="200"/>
        <w:rPr>
          <w:rFonts w:hint="eastAsia"/>
        </w:rPr>
      </w:pPr>
      <w:r>
        <w:rPr>
          <w:rFonts w:hint="eastAsia" w:ascii="楷体_GB2312" w:eastAsia="楷体_GB2312"/>
        </w:rPr>
        <w:t>（十六）加强组织领导。</w:t>
      </w:r>
      <w:r>
        <w:rPr>
          <w:rFonts w:hint="eastAsia"/>
        </w:rPr>
        <w:t>各乡镇政府要加强组织领导，严格对照全县2020年度生猪稳产保供目标分解任务，切实将稳定生猪生产，促进转型升级各项工作落实、落地、落细。各有关部门要按照职责分工，认真落实生猪生产、财税、土地、环保、流通、金融、保险等支持政策措施，确保各项政策措施尽快落实到位。</w:t>
      </w:r>
    </w:p>
    <w:p>
      <w:pPr>
        <w:snapToGrid w:val="0"/>
        <w:spacing w:line="580" w:lineRule="exact"/>
        <w:ind w:firstLine="420" w:firstLineChars="200"/>
        <w:rPr>
          <w:rFonts w:hint="eastAsia"/>
        </w:rPr>
      </w:pPr>
      <w:r>
        <w:rPr>
          <w:rFonts w:hint="eastAsia" w:ascii="楷体_GB2312" w:eastAsia="楷体_GB2312"/>
        </w:rPr>
        <w:t>（十七）正确引导舆论。</w:t>
      </w:r>
      <w:r>
        <w:rPr>
          <w:rFonts w:hint="eastAsia"/>
        </w:rPr>
        <w:t xml:space="preserve">各乡镇、各部门要建立健全畜牧业生产的统计、监测制度，加强沟通联系，密切关注市场变化，加强监测和趋势分析，及时提出应对措施。做好信息发布和预警工作，引导养殖户正确认识市场形势，指导养殖户合理安排生产。 </w:t>
      </w:r>
    </w:p>
    <w:p>
      <w:pPr>
        <w:snapToGrid w:val="0"/>
        <w:spacing w:line="580" w:lineRule="exact"/>
        <w:ind w:firstLine="420" w:firstLineChars="200"/>
        <w:rPr>
          <w:rFonts w:hint="eastAsia"/>
        </w:rPr>
      </w:pPr>
      <w:r>
        <w:rPr>
          <w:rFonts w:hint="eastAsia" w:ascii="楷体_GB2312" w:eastAsia="楷体_GB2312"/>
        </w:rPr>
        <w:t>（十八）加强生产调度。</w:t>
      </w:r>
      <w:r>
        <w:rPr>
          <w:rFonts w:hint="eastAsia"/>
        </w:rPr>
        <w:t>为切实稳定生猪生产，加强生猪生产调度，各乡镇政府在每月25日前，经主要负责同志签字后，将生猪生产调度表报送至县农业农村水利局，县农业农村局收集汇总后，上报县委、县政府。（联系人：舒健，联系方式：18256658739；邮箱：1985806795@qq.com）。</w:t>
      </w:r>
    </w:p>
    <w:p>
      <w:pPr>
        <w:snapToGrid w:val="0"/>
        <w:spacing w:line="580" w:lineRule="exact"/>
        <w:ind w:firstLine="420" w:firstLineChars="200"/>
        <w:rPr>
          <w:rFonts w:hint="eastAsia"/>
        </w:rPr>
      </w:pPr>
    </w:p>
    <w:p>
      <w:pPr>
        <w:snapToGrid w:val="0"/>
        <w:spacing w:line="580" w:lineRule="exact"/>
        <w:ind w:firstLine="420" w:firstLineChars="200"/>
        <w:rPr>
          <w:rFonts w:hint="eastAsia"/>
        </w:rPr>
      </w:pPr>
      <w:r>
        <w:rPr>
          <w:rFonts w:hint="eastAsia"/>
        </w:rPr>
        <w:t>附件：2020年青阳县生猪生产月调度表</w:t>
      </w:r>
    </w:p>
    <w:p>
      <w:pPr>
        <w:snapToGrid w:val="0"/>
        <w:spacing w:line="580" w:lineRule="exact"/>
        <w:rPr>
          <w:rFonts w:hint="eastAsia"/>
        </w:rPr>
      </w:pPr>
      <w:bookmarkStart w:id="1" w:name="_GoBack"/>
      <w:bookmarkEnd w:id="1"/>
    </w:p>
    <w:p>
      <w:pPr>
        <w:snapToGrid w:val="0"/>
        <w:spacing w:line="580" w:lineRule="exact"/>
        <w:rPr>
          <w:rFonts w:hint="eastAsia"/>
        </w:rPr>
      </w:pPr>
    </w:p>
    <w:p>
      <w:pPr>
        <w:snapToGrid w:val="0"/>
        <w:spacing w:line="580" w:lineRule="exact"/>
        <w:ind w:firstLine="420" w:firstLineChars="200"/>
        <w:jc w:val="center"/>
        <w:rPr>
          <w:rFonts w:hint="eastAsia"/>
        </w:rPr>
      </w:pPr>
      <w:r>
        <w:rPr>
          <w:rFonts w:hint="eastAsia"/>
        </w:rPr>
        <w:t xml:space="preserve">           青阳县人民政府办公室</w:t>
      </w:r>
    </w:p>
    <w:p>
      <w:pPr>
        <w:snapToGrid w:val="0"/>
        <w:spacing w:line="580" w:lineRule="exact"/>
        <w:ind w:firstLine="420" w:firstLineChars="200"/>
        <w:jc w:val="center"/>
        <w:rPr>
          <w:rFonts w:hint="eastAsia"/>
        </w:rPr>
      </w:pPr>
      <w:r>
        <w:rPr>
          <w:rFonts w:hint="eastAsia"/>
        </w:rPr>
        <w:t xml:space="preserve">         2020年4月20日</w:t>
      </w:r>
    </w:p>
    <w:p>
      <w:pPr>
        <w:snapToGrid w:val="0"/>
        <w:spacing w:line="580" w:lineRule="exact"/>
        <w:ind w:firstLine="420" w:firstLineChars="200"/>
        <w:rPr>
          <w:rFonts w:hint="eastAsia"/>
        </w:rPr>
      </w:pPr>
      <w:r>
        <w:rPr>
          <w:rFonts w:hint="eastAsia"/>
        </w:rPr>
        <w:t>（此件公开发布）</w:t>
      </w:r>
    </w:p>
    <w:p>
      <w:pPr>
        <w:snapToGrid w:val="0"/>
        <w:spacing w:line="580" w:lineRule="exact"/>
        <w:ind w:firstLine="420" w:firstLineChars="200"/>
        <w:rPr>
          <w:rFonts w:hint="eastAsia"/>
        </w:rPr>
        <w:sectPr>
          <w:footerReference r:id="rId3" w:type="default"/>
          <w:pgSz w:w="11906" w:h="16838"/>
          <w:pgMar w:top="1440" w:right="1800" w:bottom="1440" w:left="1800" w:header="851" w:footer="992" w:gutter="0"/>
          <w:cols w:space="425" w:num="1"/>
          <w:docGrid w:type="lines" w:linePitch="312" w:charSpace="0"/>
        </w:sectPr>
      </w:pPr>
    </w:p>
    <w:p>
      <w:pPr>
        <w:rPr>
          <w:rFonts w:hint="eastAsia" w:ascii="黑体" w:hAnsi="黑体" w:eastAsia="黑体" w:cs="黑体"/>
        </w:rPr>
      </w:pPr>
      <w:r>
        <w:rPr>
          <w:rFonts w:hint="eastAsia" w:ascii="黑体" w:hAnsi="黑体" w:eastAsia="黑体" w:cs="黑体"/>
        </w:rPr>
        <w:t>附件：</w:t>
      </w:r>
    </w:p>
    <w:tbl>
      <w:tblPr>
        <w:tblStyle w:val="8"/>
        <w:tblW w:w="13988" w:type="dxa"/>
        <w:tblInd w:w="0" w:type="dxa"/>
        <w:tblLayout w:type="fixed"/>
        <w:tblCellMar>
          <w:top w:w="0" w:type="dxa"/>
          <w:left w:w="0" w:type="dxa"/>
          <w:bottom w:w="0" w:type="dxa"/>
          <w:right w:w="0" w:type="dxa"/>
        </w:tblCellMar>
      </w:tblPr>
      <w:tblGrid>
        <w:gridCol w:w="1355"/>
        <w:gridCol w:w="1545"/>
        <w:gridCol w:w="2160"/>
        <w:gridCol w:w="1305"/>
        <w:gridCol w:w="840"/>
        <w:gridCol w:w="1395"/>
        <w:gridCol w:w="1350"/>
        <w:gridCol w:w="915"/>
        <w:gridCol w:w="1545"/>
        <w:gridCol w:w="1578"/>
      </w:tblGrid>
      <w:tr>
        <w:tblPrEx>
          <w:tblCellMar>
            <w:top w:w="0" w:type="dxa"/>
            <w:left w:w="0" w:type="dxa"/>
            <w:bottom w:w="0" w:type="dxa"/>
            <w:right w:w="0" w:type="dxa"/>
          </w:tblCellMar>
        </w:tblPrEx>
        <w:trPr>
          <w:trHeight w:val="1320" w:hRule="atLeast"/>
        </w:trPr>
        <w:tc>
          <w:tcPr>
            <w:tcW w:w="13988" w:type="dxa"/>
            <w:gridSpan w:val="10"/>
            <w:tcBorders>
              <w:top w:val="nil"/>
              <w:left w:val="nil"/>
              <w:bottom w:val="nil"/>
              <w:right w:val="nil"/>
            </w:tcBorders>
            <w:noWrap w:val="0"/>
            <w:tcMar>
              <w:top w:w="15" w:type="dxa"/>
              <w:left w:w="15" w:type="dxa"/>
              <w:right w:w="15" w:type="dxa"/>
            </w:tcMar>
            <w:vAlign w:val="center"/>
          </w:tcPr>
          <w:p>
            <w:pPr>
              <w:widowControl/>
              <w:textAlignment w:val="center"/>
              <w:rPr>
                <w:rFonts w:ascii="方正小标宋简体" w:hAnsi="方正小标宋简体" w:eastAsia="方正小标宋简体" w:cs="方正小标宋简体"/>
                <w:b/>
                <w:color w:val="000000"/>
                <w:sz w:val="28"/>
                <w:szCs w:val="28"/>
              </w:rPr>
            </w:pPr>
            <w:r>
              <w:rPr>
                <w:rFonts w:hint="eastAsia" w:ascii="黑体" w:hAnsi="黑体" w:eastAsia="黑体" w:cs="黑体"/>
                <w:b/>
                <w:color w:val="000000"/>
                <w:kern w:val="0"/>
                <w:sz w:val="40"/>
                <w:szCs w:val="40"/>
                <w:lang w:bidi="ar"/>
              </w:rPr>
              <w:t xml:space="preserve">                   </w:t>
            </w:r>
            <w:r>
              <w:rPr>
                <w:rFonts w:hint="eastAsia" w:ascii="方正小标宋简体" w:hAnsi="方正小标宋简体" w:eastAsia="方正小标宋简体" w:cs="方正小标宋简体"/>
                <w:b/>
                <w:color w:val="000000"/>
                <w:kern w:val="0"/>
                <w:sz w:val="44"/>
                <w:szCs w:val="44"/>
                <w:lang w:bidi="ar"/>
              </w:rPr>
              <w:t xml:space="preserve"> 2020年青阳县生猪生产月调度表</w:t>
            </w:r>
          </w:p>
        </w:tc>
      </w:tr>
      <w:tr>
        <w:tblPrEx>
          <w:tblCellMar>
            <w:top w:w="0" w:type="dxa"/>
            <w:left w:w="0" w:type="dxa"/>
            <w:bottom w:w="0" w:type="dxa"/>
            <w:right w:w="0" w:type="dxa"/>
          </w:tblCellMar>
        </w:tblPrEx>
        <w:trPr>
          <w:trHeight w:val="480" w:hRule="atLeast"/>
        </w:trPr>
        <w:tc>
          <w:tcPr>
            <w:tcW w:w="2900" w:type="dxa"/>
            <w:gridSpan w:val="2"/>
            <w:tcBorders>
              <w:top w:val="nil"/>
              <w:left w:val="nil"/>
              <w:bottom w:val="single" w:color="000000" w:sz="4" w:space="0"/>
              <w:right w:val="nil"/>
            </w:tcBorders>
            <w:noWrap/>
            <w:tcMar>
              <w:top w:w="15" w:type="dxa"/>
              <w:left w:w="15" w:type="dxa"/>
              <w:right w:w="15" w:type="dxa"/>
            </w:tcMar>
            <w:vAlign w:val="center"/>
          </w:tcPr>
          <w:p>
            <w:pPr>
              <w:rPr>
                <w:rFonts w:hint="eastAsia" w:hAnsi="宋体" w:cs="仿宋_GB2312"/>
                <w:b/>
                <w:color w:val="000000"/>
                <w:sz w:val="24"/>
                <w:szCs w:val="24"/>
              </w:rPr>
            </w:pPr>
            <w:r>
              <w:rPr>
                <w:rFonts w:hint="eastAsia" w:hAnsi="宋体" w:cs="仿宋_GB2312"/>
                <w:b/>
                <w:color w:val="000000"/>
                <w:kern w:val="0"/>
                <w:sz w:val="24"/>
                <w:szCs w:val="24"/>
                <w:lang w:bidi="ar"/>
              </w:rPr>
              <w:t xml:space="preserve">填报单位（盖章）：                                              </w:t>
            </w:r>
          </w:p>
        </w:tc>
        <w:tc>
          <w:tcPr>
            <w:tcW w:w="2160" w:type="dxa"/>
            <w:tcBorders>
              <w:top w:val="nil"/>
              <w:left w:val="nil"/>
              <w:bottom w:val="single" w:color="000000" w:sz="4" w:space="0"/>
              <w:right w:val="nil"/>
            </w:tcBorders>
            <w:noWrap/>
            <w:tcMar>
              <w:top w:w="15" w:type="dxa"/>
              <w:left w:w="15" w:type="dxa"/>
              <w:right w:w="15" w:type="dxa"/>
            </w:tcMar>
            <w:vAlign w:val="center"/>
          </w:tcPr>
          <w:p>
            <w:pPr>
              <w:rPr>
                <w:rFonts w:hint="eastAsia" w:hAnsi="宋体" w:cs="仿宋_GB2312"/>
                <w:b/>
                <w:color w:val="000000"/>
                <w:sz w:val="24"/>
                <w:szCs w:val="24"/>
              </w:rPr>
            </w:pPr>
          </w:p>
        </w:tc>
        <w:tc>
          <w:tcPr>
            <w:tcW w:w="1305" w:type="dxa"/>
            <w:tcBorders>
              <w:top w:val="nil"/>
              <w:left w:val="nil"/>
              <w:bottom w:val="single" w:color="000000" w:sz="4" w:space="0"/>
              <w:right w:val="nil"/>
            </w:tcBorders>
            <w:noWrap/>
            <w:tcMar>
              <w:top w:w="15" w:type="dxa"/>
              <w:left w:w="15" w:type="dxa"/>
              <w:right w:w="15" w:type="dxa"/>
            </w:tcMar>
            <w:vAlign w:val="center"/>
          </w:tcPr>
          <w:p>
            <w:pPr>
              <w:rPr>
                <w:rFonts w:hint="eastAsia" w:hAnsi="宋体" w:cs="仿宋_GB2312"/>
                <w:b/>
                <w:color w:val="000000"/>
                <w:sz w:val="24"/>
                <w:szCs w:val="24"/>
              </w:rPr>
            </w:pPr>
          </w:p>
        </w:tc>
        <w:tc>
          <w:tcPr>
            <w:tcW w:w="840" w:type="dxa"/>
            <w:tcBorders>
              <w:top w:val="nil"/>
              <w:left w:val="nil"/>
              <w:bottom w:val="nil"/>
              <w:right w:val="nil"/>
            </w:tcBorders>
            <w:noWrap/>
            <w:tcMar>
              <w:top w:w="15" w:type="dxa"/>
              <w:left w:w="15" w:type="dxa"/>
              <w:right w:w="15" w:type="dxa"/>
            </w:tcMar>
            <w:vAlign w:val="center"/>
          </w:tcPr>
          <w:p>
            <w:pPr>
              <w:rPr>
                <w:rFonts w:hint="eastAsia" w:hAnsi="宋体" w:cs="仿宋_GB2312"/>
                <w:color w:val="000000"/>
                <w:sz w:val="24"/>
                <w:szCs w:val="24"/>
              </w:rPr>
            </w:pPr>
          </w:p>
        </w:tc>
        <w:tc>
          <w:tcPr>
            <w:tcW w:w="1395" w:type="dxa"/>
            <w:tcBorders>
              <w:top w:val="nil"/>
              <w:left w:val="nil"/>
              <w:bottom w:val="nil"/>
              <w:right w:val="nil"/>
            </w:tcBorders>
            <w:noWrap/>
            <w:tcMar>
              <w:top w:w="15" w:type="dxa"/>
              <w:left w:w="15" w:type="dxa"/>
              <w:right w:w="15" w:type="dxa"/>
            </w:tcMar>
            <w:vAlign w:val="center"/>
          </w:tcPr>
          <w:p>
            <w:pPr>
              <w:jc w:val="center"/>
              <w:rPr>
                <w:rFonts w:hint="eastAsia" w:hAnsi="宋体" w:cs="仿宋_GB2312"/>
                <w:color w:val="000000"/>
                <w:sz w:val="24"/>
                <w:szCs w:val="24"/>
              </w:rPr>
            </w:pPr>
          </w:p>
        </w:tc>
        <w:tc>
          <w:tcPr>
            <w:tcW w:w="5388" w:type="dxa"/>
            <w:gridSpan w:val="4"/>
            <w:tcBorders>
              <w:top w:val="nil"/>
              <w:left w:val="nil"/>
              <w:bottom w:val="nil"/>
              <w:right w:val="nil"/>
            </w:tcBorders>
            <w:noWrap/>
            <w:tcMar>
              <w:top w:w="15" w:type="dxa"/>
              <w:left w:w="15" w:type="dxa"/>
              <w:right w:w="15" w:type="dxa"/>
            </w:tcMar>
            <w:vAlign w:val="center"/>
          </w:tcPr>
          <w:p>
            <w:pPr>
              <w:jc w:val="left"/>
              <w:rPr>
                <w:rFonts w:hAnsi="宋体" w:cs="仿宋_GB2312"/>
                <w:b/>
                <w:color w:val="000000"/>
                <w:sz w:val="24"/>
                <w:szCs w:val="24"/>
              </w:rPr>
            </w:pPr>
            <w:r>
              <w:rPr>
                <w:rFonts w:hint="eastAsia" w:hAnsi="宋体" w:cs="仿宋_GB2312"/>
                <w:b/>
                <w:color w:val="000000"/>
                <w:sz w:val="24"/>
                <w:szCs w:val="24"/>
              </w:rPr>
              <w:t>填报时间：</w:t>
            </w:r>
          </w:p>
        </w:tc>
      </w:tr>
      <w:tr>
        <w:tblPrEx>
          <w:tblCellMar>
            <w:top w:w="0" w:type="dxa"/>
            <w:left w:w="0" w:type="dxa"/>
            <w:bottom w:w="0" w:type="dxa"/>
            <w:right w:w="0" w:type="dxa"/>
          </w:tblCellMar>
        </w:tblPrEx>
        <w:trPr>
          <w:trHeight w:val="480" w:hRule="atLeast"/>
        </w:trPr>
        <w:tc>
          <w:tcPr>
            <w:tcW w:w="135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ascii="黑体" w:hAnsi="宋体" w:eastAsia="黑体" w:cs="黑体"/>
                <w:color w:val="000000"/>
                <w:sz w:val="24"/>
                <w:szCs w:val="24"/>
              </w:rPr>
            </w:pPr>
            <w:r>
              <w:rPr>
                <w:rFonts w:hint="eastAsia" w:ascii="黑体" w:hAnsi="宋体" w:eastAsia="黑体" w:cs="黑体"/>
                <w:color w:val="000000"/>
                <w:kern w:val="0"/>
                <w:sz w:val="24"/>
                <w:szCs w:val="24"/>
                <w:lang w:bidi="ar"/>
              </w:rPr>
              <w:t>乡（镇）</w:t>
            </w:r>
          </w:p>
        </w:tc>
        <w:tc>
          <w:tcPr>
            <w:tcW w:w="1545"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黑体" w:hAnsi="宋体" w:eastAsia="黑体" w:cs="黑体"/>
                <w:color w:val="000000"/>
                <w:sz w:val="24"/>
                <w:szCs w:val="24"/>
              </w:rPr>
            </w:pPr>
            <w:r>
              <w:rPr>
                <w:rFonts w:hint="eastAsia" w:ascii="黑体" w:hAnsi="宋体" w:eastAsia="黑体" w:cs="黑体"/>
                <w:color w:val="000000"/>
                <w:kern w:val="0"/>
                <w:sz w:val="24"/>
                <w:szCs w:val="24"/>
                <w:lang w:bidi="ar"/>
              </w:rPr>
              <w:t>生猪存栏</w:t>
            </w:r>
          </w:p>
        </w:tc>
        <w:tc>
          <w:tcPr>
            <w:tcW w:w="216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黑体" w:hAnsi="宋体" w:eastAsia="黑体" w:cs="黑体"/>
                <w:color w:val="000000"/>
                <w:sz w:val="24"/>
                <w:szCs w:val="24"/>
              </w:rPr>
            </w:pPr>
            <w:r>
              <w:rPr>
                <w:rFonts w:hint="eastAsia" w:ascii="黑体" w:hAnsi="宋体" w:eastAsia="黑体" w:cs="黑体"/>
                <w:color w:val="000000"/>
                <w:kern w:val="0"/>
                <w:sz w:val="24"/>
                <w:szCs w:val="24"/>
                <w:lang w:bidi="ar"/>
              </w:rPr>
              <w:t>其中能繁母猪存栏</w:t>
            </w:r>
          </w:p>
        </w:tc>
        <w:tc>
          <w:tcPr>
            <w:tcW w:w="1305"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黑体" w:hAnsi="宋体" w:eastAsia="黑体" w:cs="黑体"/>
                <w:color w:val="000000"/>
                <w:sz w:val="24"/>
                <w:szCs w:val="24"/>
              </w:rPr>
            </w:pPr>
            <w:r>
              <w:rPr>
                <w:rFonts w:hint="eastAsia" w:ascii="黑体" w:hAnsi="宋体" w:eastAsia="黑体" w:cs="黑体"/>
                <w:color w:val="000000"/>
                <w:kern w:val="0"/>
                <w:sz w:val="24"/>
                <w:szCs w:val="24"/>
                <w:lang w:bidi="ar"/>
              </w:rPr>
              <w:t>生猪出栏</w:t>
            </w:r>
          </w:p>
        </w:tc>
        <w:tc>
          <w:tcPr>
            <w:tcW w:w="3585" w:type="dxa"/>
            <w:gridSpan w:val="3"/>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黑体" w:hAnsi="宋体" w:eastAsia="黑体" w:cs="黑体"/>
                <w:color w:val="000000"/>
                <w:sz w:val="24"/>
                <w:szCs w:val="24"/>
              </w:rPr>
            </w:pPr>
            <w:r>
              <w:rPr>
                <w:rFonts w:hint="eastAsia" w:ascii="黑体" w:hAnsi="宋体" w:eastAsia="黑体" w:cs="黑体"/>
                <w:color w:val="000000"/>
                <w:kern w:val="0"/>
                <w:sz w:val="24"/>
                <w:szCs w:val="24"/>
                <w:lang w:bidi="ar"/>
              </w:rPr>
              <w:t>2020新建养猪场（户）数</w:t>
            </w:r>
          </w:p>
        </w:tc>
        <w:tc>
          <w:tcPr>
            <w:tcW w:w="4038" w:type="dxa"/>
            <w:gridSpan w:val="3"/>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黑体" w:hAnsi="宋体" w:eastAsia="黑体" w:cs="黑体"/>
                <w:color w:val="000000"/>
                <w:sz w:val="24"/>
                <w:szCs w:val="24"/>
              </w:rPr>
            </w:pPr>
            <w:r>
              <w:rPr>
                <w:rFonts w:hint="eastAsia" w:ascii="黑体" w:hAnsi="宋体" w:eastAsia="黑体" w:cs="黑体"/>
                <w:color w:val="000000"/>
                <w:kern w:val="0"/>
                <w:sz w:val="24"/>
                <w:szCs w:val="24"/>
                <w:lang w:bidi="ar"/>
              </w:rPr>
              <w:t>2020复产养猪场（户）数</w:t>
            </w:r>
          </w:p>
        </w:tc>
      </w:tr>
      <w:tr>
        <w:tblPrEx>
          <w:tblCellMar>
            <w:top w:w="0" w:type="dxa"/>
            <w:left w:w="0" w:type="dxa"/>
            <w:bottom w:w="0" w:type="dxa"/>
            <w:right w:w="0" w:type="dxa"/>
          </w:tblCellMar>
        </w:tblPrEx>
        <w:trPr>
          <w:trHeight w:val="360" w:hRule="atLeast"/>
        </w:trPr>
        <w:tc>
          <w:tcPr>
            <w:tcW w:w="135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黑体" w:hAnsi="宋体" w:eastAsia="黑体" w:cs="黑体"/>
                <w:color w:val="000000"/>
                <w:sz w:val="24"/>
                <w:szCs w:val="24"/>
              </w:rPr>
            </w:pPr>
          </w:p>
        </w:tc>
        <w:tc>
          <w:tcPr>
            <w:tcW w:w="1545"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黑体" w:hAnsi="宋体" w:eastAsia="黑体" w:cs="黑体"/>
                <w:color w:val="000000"/>
                <w:sz w:val="24"/>
                <w:szCs w:val="24"/>
              </w:rPr>
            </w:pPr>
          </w:p>
        </w:tc>
        <w:tc>
          <w:tcPr>
            <w:tcW w:w="21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黑体" w:hAnsi="宋体" w:eastAsia="黑体" w:cs="黑体"/>
                <w:color w:val="000000"/>
                <w:sz w:val="24"/>
                <w:szCs w:val="24"/>
              </w:rPr>
            </w:pPr>
          </w:p>
        </w:tc>
        <w:tc>
          <w:tcPr>
            <w:tcW w:w="1305"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黑体" w:hAnsi="宋体" w:eastAsia="黑体" w:cs="黑体"/>
                <w:color w:val="000000"/>
                <w:sz w:val="24"/>
                <w:szCs w:val="24"/>
              </w:rPr>
            </w:pPr>
          </w:p>
        </w:tc>
        <w:tc>
          <w:tcPr>
            <w:tcW w:w="3585" w:type="dxa"/>
            <w:gridSpan w:val="3"/>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黑体" w:hAnsi="宋体" w:eastAsia="黑体" w:cs="黑体"/>
                <w:color w:val="000000"/>
                <w:sz w:val="24"/>
                <w:szCs w:val="24"/>
              </w:rPr>
            </w:pPr>
          </w:p>
        </w:tc>
        <w:tc>
          <w:tcPr>
            <w:tcW w:w="4038" w:type="dxa"/>
            <w:gridSpan w:val="3"/>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黑体" w:hAnsi="宋体" w:eastAsia="黑体" w:cs="黑体"/>
                <w:color w:val="000000"/>
                <w:sz w:val="24"/>
                <w:szCs w:val="24"/>
              </w:rPr>
            </w:pPr>
          </w:p>
        </w:tc>
      </w:tr>
      <w:tr>
        <w:tblPrEx>
          <w:tblCellMar>
            <w:top w:w="0" w:type="dxa"/>
            <w:left w:w="0" w:type="dxa"/>
            <w:bottom w:w="0" w:type="dxa"/>
            <w:right w:w="0" w:type="dxa"/>
          </w:tblCellMar>
        </w:tblPrEx>
        <w:trPr>
          <w:trHeight w:val="620" w:hRule="atLeast"/>
        </w:trPr>
        <w:tc>
          <w:tcPr>
            <w:tcW w:w="135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黑体" w:hAnsi="宋体" w:eastAsia="黑体" w:cs="黑体"/>
                <w:color w:val="000000"/>
                <w:sz w:val="24"/>
                <w:szCs w:val="24"/>
              </w:rPr>
            </w:pPr>
          </w:p>
        </w:tc>
        <w:tc>
          <w:tcPr>
            <w:tcW w:w="1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黑体" w:hAnsi="宋体" w:eastAsia="黑体" w:cs="黑体"/>
                <w:color w:val="000000"/>
                <w:sz w:val="22"/>
              </w:rPr>
            </w:pPr>
            <w:r>
              <w:rPr>
                <w:rFonts w:hint="eastAsia" w:ascii="黑体" w:hAnsi="宋体" w:eastAsia="黑体" w:cs="黑体"/>
                <w:color w:val="000000"/>
                <w:kern w:val="0"/>
                <w:sz w:val="22"/>
                <w:lang w:bidi="ar"/>
              </w:rPr>
              <w:t>万头</w:t>
            </w:r>
          </w:p>
        </w:tc>
        <w:tc>
          <w:tcPr>
            <w:tcW w:w="21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黑体" w:hAnsi="宋体" w:eastAsia="黑体" w:cs="黑体"/>
                <w:color w:val="000000"/>
                <w:sz w:val="22"/>
              </w:rPr>
            </w:pPr>
            <w:r>
              <w:rPr>
                <w:rFonts w:hint="eastAsia" w:ascii="黑体" w:hAnsi="宋体" w:eastAsia="黑体" w:cs="黑体"/>
                <w:color w:val="000000"/>
                <w:kern w:val="0"/>
                <w:sz w:val="22"/>
                <w:lang w:bidi="ar"/>
              </w:rPr>
              <w:t>万头</w:t>
            </w:r>
          </w:p>
        </w:tc>
        <w:tc>
          <w:tcPr>
            <w:tcW w:w="1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黑体" w:hAnsi="宋体" w:eastAsia="黑体" w:cs="黑体"/>
                <w:color w:val="000000"/>
                <w:sz w:val="22"/>
              </w:rPr>
            </w:pPr>
            <w:r>
              <w:rPr>
                <w:rFonts w:hint="eastAsia" w:ascii="黑体" w:hAnsi="宋体" w:eastAsia="黑体" w:cs="黑体"/>
                <w:color w:val="000000"/>
                <w:kern w:val="0"/>
                <w:sz w:val="22"/>
                <w:lang w:bidi="ar"/>
              </w:rPr>
              <w:t>万头</w:t>
            </w:r>
          </w:p>
        </w:tc>
        <w:tc>
          <w:tcPr>
            <w:tcW w:w="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黑体" w:hAnsi="宋体" w:eastAsia="黑体" w:cs="黑体"/>
                <w:color w:val="000000"/>
                <w:sz w:val="22"/>
              </w:rPr>
            </w:pPr>
            <w:r>
              <w:rPr>
                <w:rFonts w:hint="eastAsia" w:ascii="黑体" w:hAnsi="宋体" w:eastAsia="黑体" w:cs="黑体"/>
                <w:color w:val="000000"/>
                <w:kern w:val="0"/>
                <w:sz w:val="22"/>
                <w:lang w:bidi="ar"/>
              </w:rPr>
              <w:t>个数</w:t>
            </w:r>
          </w:p>
        </w:tc>
        <w:tc>
          <w:tcPr>
            <w:tcW w:w="13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黑体" w:hAnsi="宋体" w:eastAsia="黑体" w:cs="黑体"/>
                <w:color w:val="000000"/>
                <w:sz w:val="22"/>
              </w:rPr>
            </w:pPr>
            <w:r>
              <w:rPr>
                <w:rFonts w:hint="eastAsia" w:ascii="黑体" w:hAnsi="宋体" w:eastAsia="黑体" w:cs="黑体"/>
                <w:color w:val="000000"/>
                <w:kern w:val="0"/>
                <w:sz w:val="22"/>
                <w:lang w:bidi="ar"/>
              </w:rPr>
              <w:t>存栏（万头）</w:t>
            </w:r>
          </w:p>
        </w:tc>
        <w:tc>
          <w:tcPr>
            <w:tcW w:w="13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黑体" w:hAnsi="宋体" w:eastAsia="黑体" w:cs="黑体"/>
                <w:color w:val="000000"/>
                <w:sz w:val="22"/>
              </w:rPr>
            </w:pPr>
            <w:r>
              <w:rPr>
                <w:rFonts w:hint="eastAsia" w:ascii="黑体" w:hAnsi="宋体" w:eastAsia="黑体" w:cs="黑体"/>
                <w:color w:val="000000"/>
                <w:kern w:val="0"/>
                <w:sz w:val="22"/>
                <w:lang w:bidi="ar"/>
              </w:rPr>
              <w:t>出栏（万头）</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黑体" w:hAnsi="宋体" w:eastAsia="黑体" w:cs="黑体"/>
                <w:color w:val="000000"/>
                <w:sz w:val="22"/>
              </w:rPr>
            </w:pPr>
            <w:r>
              <w:rPr>
                <w:rFonts w:hint="eastAsia" w:ascii="黑体" w:hAnsi="宋体" w:eastAsia="黑体" w:cs="黑体"/>
                <w:color w:val="000000"/>
                <w:kern w:val="0"/>
                <w:sz w:val="22"/>
                <w:lang w:bidi="ar"/>
              </w:rPr>
              <w:t>个数</w:t>
            </w:r>
          </w:p>
        </w:tc>
        <w:tc>
          <w:tcPr>
            <w:tcW w:w="1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黑体" w:hAnsi="宋体" w:eastAsia="黑体" w:cs="黑体"/>
                <w:color w:val="000000"/>
                <w:sz w:val="22"/>
              </w:rPr>
            </w:pPr>
            <w:r>
              <w:rPr>
                <w:rFonts w:hint="eastAsia" w:ascii="黑体" w:hAnsi="宋体" w:eastAsia="黑体" w:cs="黑体"/>
                <w:color w:val="000000"/>
                <w:kern w:val="0"/>
                <w:sz w:val="22"/>
                <w:lang w:bidi="ar"/>
              </w:rPr>
              <w:t>存栏（万头）</w:t>
            </w: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黑体" w:hAnsi="宋体" w:eastAsia="黑体" w:cs="黑体"/>
                <w:color w:val="000000"/>
                <w:sz w:val="22"/>
              </w:rPr>
            </w:pPr>
            <w:r>
              <w:rPr>
                <w:rFonts w:hint="eastAsia" w:ascii="黑体" w:hAnsi="宋体" w:eastAsia="黑体" w:cs="黑体"/>
                <w:color w:val="000000"/>
                <w:kern w:val="0"/>
                <w:sz w:val="22"/>
                <w:lang w:bidi="ar"/>
              </w:rPr>
              <w:t>出栏（万头）</w:t>
            </w:r>
          </w:p>
        </w:tc>
      </w:tr>
      <w:tr>
        <w:tblPrEx>
          <w:tblCellMar>
            <w:top w:w="0" w:type="dxa"/>
            <w:left w:w="0" w:type="dxa"/>
            <w:bottom w:w="0" w:type="dxa"/>
            <w:right w:w="0" w:type="dxa"/>
          </w:tblCellMar>
        </w:tblPrEx>
        <w:trPr>
          <w:trHeight w:val="940" w:hRule="atLeast"/>
        </w:trPr>
        <w:tc>
          <w:tcPr>
            <w:tcW w:w="135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cs="宋体"/>
                <w:color w:val="000000"/>
                <w:sz w:val="22"/>
              </w:rPr>
            </w:pPr>
          </w:p>
        </w:tc>
        <w:tc>
          <w:tcPr>
            <w:tcW w:w="1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cs="宋体"/>
                <w:color w:val="000000"/>
                <w:sz w:val="22"/>
              </w:rPr>
            </w:pPr>
          </w:p>
        </w:tc>
        <w:tc>
          <w:tcPr>
            <w:tcW w:w="21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cs="宋体"/>
                <w:color w:val="000000"/>
                <w:sz w:val="22"/>
              </w:rPr>
            </w:pPr>
          </w:p>
        </w:tc>
        <w:tc>
          <w:tcPr>
            <w:tcW w:w="1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cs="宋体"/>
                <w:color w:val="000000"/>
                <w:sz w:val="22"/>
              </w:rPr>
            </w:pPr>
          </w:p>
        </w:tc>
        <w:tc>
          <w:tcPr>
            <w:tcW w:w="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cs="宋体"/>
                <w:color w:val="000000"/>
                <w:sz w:val="24"/>
                <w:szCs w:val="24"/>
              </w:rPr>
            </w:pPr>
          </w:p>
        </w:tc>
        <w:tc>
          <w:tcPr>
            <w:tcW w:w="13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cs="宋体"/>
                <w:color w:val="000000"/>
                <w:sz w:val="24"/>
                <w:szCs w:val="24"/>
              </w:rPr>
            </w:pPr>
          </w:p>
        </w:tc>
        <w:tc>
          <w:tcPr>
            <w:tcW w:w="13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cs="宋体"/>
                <w:color w:val="000000"/>
                <w:sz w:val="24"/>
                <w:szCs w:val="24"/>
              </w:rPr>
            </w:pP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cs="宋体"/>
                <w:color w:val="000000"/>
                <w:sz w:val="24"/>
                <w:szCs w:val="24"/>
              </w:rPr>
            </w:pPr>
          </w:p>
        </w:tc>
        <w:tc>
          <w:tcPr>
            <w:tcW w:w="1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cs="宋体"/>
                <w:color w:val="000000"/>
                <w:sz w:val="24"/>
                <w:szCs w:val="24"/>
              </w:rPr>
            </w:pP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cs="宋体"/>
                <w:color w:val="000000"/>
                <w:sz w:val="24"/>
                <w:szCs w:val="24"/>
              </w:rPr>
            </w:pPr>
          </w:p>
        </w:tc>
      </w:tr>
      <w:tr>
        <w:tblPrEx>
          <w:tblCellMar>
            <w:top w:w="0" w:type="dxa"/>
            <w:left w:w="0" w:type="dxa"/>
            <w:bottom w:w="0" w:type="dxa"/>
            <w:right w:w="0" w:type="dxa"/>
          </w:tblCellMar>
        </w:tblPrEx>
        <w:trPr>
          <w:trHeight w:val="700" w:hRule="atLeast"/>
        </w:trPr>
        <w:tc>
          <w:tcPr>
            <w:tcW w:w="6365" w:type="dxa"/>
            <w:gridSpan w:val="4"/>
            <w:tcBorders>
              <w:top w:val="nil"/>
              <w:left w:val="nil"/>
              <w:bottom w:val="nil"/>
              <w:right w:val="nil"/>
            </w:tcBorders>
            <w:noWrap/>
            <w:tcMar>
              <w:top w:w="15" w:type="dxa"/>
              <w:left w:w="15" w:type="dxa"/>
              <w:right w:w="15" w:type="dxa"/>
            </w:tcMar>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 xml:space="preserve">          经办人：</w:t>
            </w:r>
          </w:p>
        </w:tc>
        <w:tc>
          <w:tcPr>
            <w:tcW w:w="840" w:type="dxa"/>
            <w:tcBorders>
              <w:top w:val="nil"/>
              <w:left w:val="nil"/>
              <w:bottom w:val="nil"/>
              <w:right w:val="nil"/>
            </w:tcBorders>
            <w:noWrap/>
            <w:tcMar>
              <w:top w:w="15" w:type="dxa"/>
              <w:left w:w="15" w:type="dxa"/>
              <w:right w:w="15" w:type="dxa"/>
            </w:tcMar>
            <w:vAlign w:val="center"/>
          </w:tcPr>
          <w:p>
            <w:pPr>
              <w:rPr>
                <w:rFonts w:hint="eastAsia" w:ascii="宋体" w:hAnsi="宋体" w:cs="宋体"/>
                <w:color w:val="000000"/>
                <w:sz w:val="24"/>
                <w:szCs w:val="24"/>
              </w:rPr>
            </w:pPr>
          </w:p>
        </w:tc>
        <w:tc>
          <w:tcPr>
            <w:tcW w:w="6783" w:type="dxa"/>
            <w:gridSpan w:val="5"/>
            <w:tcBorders>
              <w:top w:val="nil"/>
              <w:left w:val="nil"/>
              <w:bottom w:val="nil"/>
              <w:right w:val="nil"/>
            </w:tcBorders>
            <w:noWrap/>
            <w:tcMar>
              <w:top w:w="15" w:type="dxa"/>
              <w:left w:w="15" w:type="dxa"/>
              <w:right w:w="15" w:type="dxa"/>
            </w:tcMar>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乡镇政府主要负责同志：</w:t>
            </w:r>
          </w:p>
        </w:tc>
      </w:tr>
      <w:tr>
        <w:tblPrEx>
          <w:tblCellMar>
            <w:top w:w="0" w:type="dxa"/>
            <w:left w:w="0" w:type="dxa"/>
            <w:bottom w:w="0" w:type="dxa"/>
            <w:right w:w="0" w:type="dxa"/>
          </w:tblCellMar>
        </w:tblPrEx>
        <w:trPr>
          <w:trHeight w:val="520" w:hRule="atLeast"/>
        </w:trPr>
        <w:tc>
          <w:tcPr>
            <w:tcW w:w="13988" w:type="dxa"/>
            <w:gridSpan w:val="10"/>
            <w:tcBorders>
              <w:top w:val="nil"/>
              <w:left w:val="nil"/>
              <w:bottom w:val="nil"/>
              <w:right w:val="nil"/>
            </w:tcBorders>
            <w:noWrap w:val="0"/>
            <w:tcMar>
              <w:top w:w="15" w:type="dxa"/>
              <w:left w:w="15" w:type="dxa"/>
              <w:right w:w="15" w:type="dxa"/>
            </w:tcMar>
            <w:vAlign w:val="center"/>
          </w:tcPr>
          <w:p>
            <w:pPr>
              <w:widowControl/>
              <w:jc w:val="left"/>
              <w:textAlignment w:val="center"/>
              <w:rPr>
                <w:rFonts w:hint="eastAsia" w:hAnsi="宋体" w:cs="仿宋_GB2312"/>
                <w:color w:val="000000"/>
                <w:sz w:val="22"/>
              </w:rPr>
            </w:pPr>
            <w:r>
              <w:rPr>
                <w:rFonts w:hint="eastAsia" w:hAnsi="宋体" w:cs="仿宋_GB2312"/>
                <w:color w:val="000000"/>
                <w:kern w:val="0"/>
                <w:sz w:val="22"/>
                <w:lang w:bidi="ar"/>
              </w:rPr>
              <w:t>注：1.请各乡镇统计人员于每月25日前填报，每个季度末月于当月24日前填报；</w:t>
            </w:r>
          </w:p>
        </w:tc>
      </w:tr>
      <w:tr>
        <w:tblPrEx>
          <w:tblCellMar>
            <w:top w:w="0" w:type="dxa"/>
            <w:left w:w="0" w:type="dxa"/>
            <w:bottom w:w="0" w:type="dxa"/>
            <w:right w:w="0" w:type="dxa"/>
          </w:tblCellMar>
        </w:tblPrEx>
        <w:trPr>
          <w:trHeight w:val="420" w:hRule="atLeast"/>
        </w:trPr>
        <w:tc>
          <w:tcPr>
            <w:tcW w:w="13988" w:type="dxa"/>
            <w:gridSpan w:val="10"/>
            <w:tcBorders>
              <w:top w:val="nil"/>
              <w:left w:val="nil"/>
              <w:bottom w:val="nil"/>
              <w:right w:val="nil"/>
            </w:tcBorders>
            <w:noWrap/>
            <w:tcMar>
              <w:top w:w="15" w:type="dxa"/>
              <w:left w:w="15" w:type="dxa"/>
              <w:right w:w="15" w:type="dxa"/>
            </w:tcMar>
            <w:vAlign w:val="center"/>
          </w:tcPr>
          <w:p>
            <w:pPr>
              <w:widowControl/>
              <w:jc w:val="left"/>
              <w:textAlignment w:val="center"/>
              <w:rPr>
                <w:rFonts w:hint="eastAsia" w:hAnsi="宋体" w:cs="仿宋_GB2312"/>
                <w:color w:val="000000"/>
                <w:sz w:val="22"/>
              </w:rPr>
            </w:pPr>
            <w:r>
              <w:rPr>
                <w:rFonts w:hint="eastAsia" w:hAnsi="宋体" w:cs="仿宋_GB2312"/>
                <w:color w:val="000000"/>
                <w:kern w:val="0"/>
                <w:sz w:val="22"/>
                <w:lang w:bidi="ar"/>
              </w:rPr>
              <w:t xml:space="preserve">    2.存栏数指月末实际存在的各类畜禽头（只）数，不分大小、公母、品种、用途，一律包括在内。</w:t>
            </w:r>
          </w:p>
        </w:tc>
      </w:tr>
      <w:tr>
        <w:tblPrEx>
          <w:tblCellMar>
            <w:top w:w="0" w:type="dxa"/>
            <w:left w:w="0" w:type="dxa"/>
            <w:bottom w:w="0" w:type="dxa"/>
            <w:right w:w="0" w:type="dxa"/>
          </w:tblCellMar>
        </w:tblPrEx>
        <w:trPr>
          <w:trHeight w:val="360" w:hRule="atLeast"/>
        </w:trPr>
        <w:tc>
          <w:tcPr>
            <w:tcW w:w="13988" w:type="dxa"/>
            <w:gridSpan w:val="10"/>
            <w:tcBorders>
              <w:top w:val="nil"/>
              <w:left w:val="nil"/>
              <w:bottom w:val="nil"/>
              <w:right w:val="nil"/>
            </w:tcBorders>
            <w:noWrap/>
            <w:tcMar>
              <w:top w:w="15" w:type="dxa"/>
              <w:left w:w="15" w:type="dxa"/>
              <w:right w:w="15" w:type="dxa"/>
            </w:tcMar>
            <w:vAlign w:val="center"/>
          </w:tcPr>
          <w:p>
            <w:pPr>
              <w:widowControl/>
              <w:jc w:val="left"/>
              <w:textAlignment w:val="center"/>
              <w:rPr>
                <w:rFonts w:hint="eastAsia" w:hAnsi="宋体" w:cs="仿宋_GB2312"/>
                <w:color w:val="000000"/>
                <w:sz w:val="22"/>
              </w:rPr>
            </w:pPr>
            <w:r>
              <w:rPr>
                <w:rFonts w:hint="eastAsia" w:hAnsi="宋体" w:cs="仿宋_GB2312"/>
                <w:color w:val="000000"/>
                <w:kern w:val="0"/>
                <w:sz w:val="22"/>
                <w:lang w:bidi="ar"/>
              </w:rPr>
              <w:t xml:space="preserve">    3.出栏数指累计出栏，即从1月到当月末的累计数。</w:t>
            </w:r>
          </w:p>
        </w:tc>
      </w:tr>
    </w:tbl>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Ansi="宋体" w:cs="宋体"/>
          <w:color w:val="000000"/>
          <w:kern w:val="0"/>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sectPr>
      <w:headerReference r:id="rId4" w:type="default"/>
      <w:footerReference r:id="rId5"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95885" cy="247015"/>
              <wp:effectExtent l="0" t="0" r="0" b="0"/>
              <wp:wrapNone/>
              <wp:docPr id="9" name="文本框 9"/>
              <wp:cNvGraphicFramePr/>
              <a:graphic xmlns:a="http://schemas.openxmlformats.org/drawingml/2006/main">
                <a:graphicData uri="http://schemas.microsoft.com/office/word/2010/wordprocessingShape">
                  <wps:wsp>
                    <wps:cNvSpPr txBox="1"/>
                    <wps:spPr>
                      <a:xfrm>
                        <a:off x="0" y="0"/>
                        <a:ext cx="95885" cy="247015"/>
                      </a:xfrm>
                      <a:prstGeom prst="rect">
                        <a:avLst/>
                      </a:prstGeom>
                      <a:noFill/>
                      <a:ln>
                        <a:noFill/>
                      </a:ln>
                    </wps:spPr>
                    <wps:txbx>
                      <w:txbxContent>
                        <w:p>
                          <w:pPr>
                            <w:pStyle w:val="4"/>
                            <w:rPr>
                              <w:rFonts w:hint="eastAsia"/>
                            </w:rPr>
                          </w:pPr>
                          <w:r>
                            <w:rPr>
                              <w:rFonts w:hint="eastAsia" w:ascii="宋体" w:hAnsi="宋体" w:cs="宋体"/>
                              <w:sz w:val="30"/>
                              <w:szCs w:val="30"/>
                            </w:rPr>
                            <w:fldChar w:fldCharType="begin"/>
                          </w:r>
                          <w:r>
                            <w:rPr>
                              <w:rFonts w:hint="eastAsia" w:ascii="宋体" w:hAnsi="宋体" w:cs="宋体"/>
                              <w:sz w:val="30"/>
                              <w:szCs w:val="30"/>
                            </w:rPr>
                            <w:instrText xml:space="preserve"> PAGE  \* MERGEFORMAT </w:instrText>
                          </w:r>
                          <w:r>
                            <w:rPr>
                              <w:rFonts w:hint="eastAsia" w:ascii="宋体" w:hAnsi="宋体" w:cs="宋体"/>
                              <w:sz w:val="30"/>
                              <w:szCs w:val="30"/>
                            </w:rPr>
                            <w:fldChar w:fldCharType="separate"/>
                          </w:r>
                          <w:r>
                            <w:rPr>
                              <w:rFonts w:ascii="宋体" w:hAnsi="宋体" w:cs="宋体"/>
                              <w:sz w:val="30"/>
                              <w:szCs w:val="30"/>
                            </w:rPr>
                            <w:t>- 7 -</w:t>
                          </w:r>
                          <w:r>
                            <w:rPr>
                              <w:rFonts w:hint="eastAsia" w:ascii="宋体" w:hAnsi="宋体" w:cs="宋体"/>
                              <w:sz w:val="30"/>
                              <w:szCs w:val="30"/>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9.45pt;width:7.55pt;mso-position-horizontal:outside;mso-position-horizontal-relative:margin;mso-wrap-style:none;z-index:251658240;mso-width-relative:page;mso-height-relative:page;" filled="f" stroked="f" coordsize="21600,21600" o:gfxdata="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4R8/V0QAA&#10;AAMBAAAPAAAAAAAAAAEAIAAAACIAAABkcnMvZG93bnJldi54bWxQSwECFAAUAAAACACHTuJAegGA&#10;VbMBAABIAwAADgAAAAAAAAABACAAAAAgAQAAZHJzL2Uyb0RvYy54bWxQSwUGAAAAAAYABgBZAQAA&#10;RQUAAAAA&#10;">
              <v:path/>
              <v:fill on="f" focussize="0,0"/>
              <v:stroke on="f"/>
              <v:imagedata o:title=""/>
              <o:lock v:ext="edit" aspectratio="f"/>
              <v:textbox inset="0mm,0mm,0mm,0mm" style="mso-fit-shape-to-text:t;">
                <w:txbxContent>
                  <w:p>
                    <w:pPr>
                      <w:pStyle w:val="4"/>
                      <w:rPr>
                        <w:rFonts w:hint="eastAsia"/>
                      </w:rPr>
                    </w:pPr>
                    <w:r>
                      <w:rPr>
                        <w:rFonts w:hint="eastAsia" w:ascii="宋体" w:hAnsi="宋体" w:cs="宋体"/>
                        <w:sz w:val="30"/>
                        <w:szCs w:val="30"/>
                      </w:rPr>
                      <w:fldChar w:fldCharType="begin"/>
                    </w:r>
                    <w:r>
                      <w:rPr>
                        <w:rFonts w:hint="eastAsia" w:ascii="宋体" w:hAnsi="宋体" w:cs="宋体"/>
                        <w:sz w:val="30"/>
                        <w:szCs w:val="30"/>
                      </w:rPr>
                      <w:instrText xml:space="preserve"> PAGE  \* MERGEFORMAT </w:instrText>
                    </w:r>
                    <w:r>
                      <w:rPr>
                        <w:rFonts w:hint="eastAsia" w:ascii="宋体" w:hAnsi="宋体" w:cs="宋体"/>
                        <w:sz w:val="30"/>
                        <w:szCs w:val="30"/>
                      </w:rPr>
                      <w:fldChar w:fldCharType="separate"/>
                    </w:r>
                    <w:r>
                      <w:rPr>
                        <w:rFonts w:ascii="宋体" w:hAnsi="宋体" w:cs="宋体"/>
                        <w:sz w:val="30"/>
                        <w:szCs w:val="30"/>
                      </w:rPr>
                      <w:t>- 7 -</w:t>
                    </w:r>
                    <w:r>
                      <w:rPr>
                        <w:rFonts w:hint="eastAsia" w:ascii="宋体" w:hAnsi="宋体" w:cs="宋体"/>
                        <w:sz w:val="30"/>
                        <w:szCs w:val="30"/>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11 -</w:t>
    </w:r>
    <w:r>
      <w:rPr>
        <w:rFonts w:ascii="宋体" w:hAnsi="宋体"/>
        <w:sz w:val="28"/>
        <w:szCs w:val="28"/>
      </w:rPr>
      <w:fldChar w:fldCharType="end"/>
    </w:r>
  </w:p>
  <w:p>
    <w:pPr>
      <w:pStyle w:val="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2"/>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B01099"/>
    <w:rsid w:val="2FB01099"/>
    <w:rsid w:val="312F5B0B"/>
    <w:rsid w:val="4B22791E"/>
    <w:rsid w:val="58011DA5"/>
    <w:rsid w:val="59F21686"/>
    <w:rsid w:val="59F24B7D"/>
    <w:rsid w:val="708562F1"/>
    <w:rsid w:val="77444F61"/>
    <w:rsid w:val="79E128F2"/>
    <w:rsid w:val="7E5D73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10">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Indent"/>
    <w:basedOn w:val="1"/>
    <w:uiPriority w:val="0"/>
    <w:pPr>
      <w:spacing w:after="120"/>
      <w:ind w:left="420" w:leftChars="200"/>
    </w:pPr>
  </w:style>
  <w:style w:type="paragraph" w:styleId="4">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6">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7">
    <w:name w:val="Body Text First Indent 2"/>
    <w:basedOn w:val="3"/>
    <w:uiPriority w:val="0"/>
    <w:pPr>
      <w:ind w:firstLine="420" w:firstLineChars="200"/>
    </w:pPr>
    <w:rPr>
      <w:rFonts w:ascii="Calibri" w:hAnsi="Calibri" w:eastAsia="宋体"/>
      <w:sz w:val="21"/>
      <w:szCs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rPr>
      <w:rFonts w:cs="Times New Roman"/>
    </w:rPr>
  </w:style>
  <w:style w:type="character" w:styleId="12">
    <w:name w:val="Emphasis"/>
    <w:basedOn w:val="10"/>
    <w:qFormat/>
    <w:uiPriority w:val="0"/>
    <w:rPr>
      <w:i/>
      <w:iCs/>
    </w:rPr>
  </w:style>
  <w:style w:type="paragraph" w:customStyle="1" w:styleId="13">
    <w:name w:val="文件内容"/>
    <w:basedOn w:val="1"/>
    <w:qFormat/>
    <w:uiPriority w:val="0"/>
    <w:pPr>
      <w:autoSpaceDN w:val="0"/>
      <w:spacing w:line="480" w:lineRule="exact"/>
      <w:ind w:firstLine="200" w:firstLineChars="200"/>
    </w:pPr>
    <w:rPr>
      <w:sz w:val="30"/>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2019-12-02T02:35:00Z</dcterms:created>
  <dc:creator>Administrator</dc:creator>
  <cp:lastModifiedBy>无聊</cp:lastModifiedBy>
  <dcterms:modified xsi:type="dcterms:W3CDTF">2020-06-09T07:09:04Z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