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50" w:afterLines="50" w:line="480" w:lineRule="exact"/>
        <w:jc w:val="center"/>
        <w:rPr>
          <w:rFonts w:ascii="黑体" w:eastAsia="黑体"/>
          <w:sz w:val="32"/>
          <w:szCs w:val="32"/>
        </w:rPr>
      </w:pPr>
      <w:r>
        <w:rPr>
          <w:rFonts w:hint="eastAsia" w:ascii="黑体" w:eastAsia="黑体"/>
          <w:sz w:val="32"/>
          <w:szCs w:val="32"/>
        </w:rPr>
        <w:t>青阳旅游高速公路服务区形象宣传推广服务</w:t>
      </w:r>
      <w:r>
        <w:rPr>
          <w:rFonts w:hint="eastAsia" w:ascii="黑体" w:eastAsia="黑体"/>
          <w:sz w:val="32"/>
          <w:szCs w:val="32"/>
          <w:lang w:eastAsia="zh-CN"/>
        </w:rPr>
        <w:t>项目</w:t>
      </w:r>
      <w:r>
        <w:rPr>
          <w:rFonts w:hint="eastAsia" w:ascii="黑体" w:eastAsia="黑体"/>
          <w:sz w:val="32"/>
          <w:szCs w:val="32"/>
        </w:rPr>
        <w:t>采购需求书</w:t>
      </w:r>
    </w:p>
    <w:p>
      <w:pPr>
        <w:snapToGrid w:val="0"/>
        <w:spacing w:line="480" w:lineRule="exact"/>
        <w:rPr>
          <w:rFonts w:ascii="宋体" w:hAnsi="宋体"/>
          <w:b/>
          <w:szCs w:val="21"/>
        </w:rPr>
      </w:pPr>
      <w:r>
        <w:rPr>
          <w:rFonts w:hint="eastAsia" w:ascii="宋体" w:hAnsi="宋体"/>
          <w:b/>
          <w:szCs w:val="21"/>
        </w:rPr>
        <w:t>一、项目概况</w:t>
      </w:r>
    </w:p>
    <w:p>
      <w:pPr>
        <w:spacing w:line="480" w:lineRule="exact"/>
        <w:ind w:right="-134" w:rightChars="-64" w:firstLine="420" w:firstLineChars="200"/>
        <w:jc w:val="left"/>
        <w:rPr>
          <w:rFonts w:ascii="宋体" w:hAnsi="宋体" w:cs="宋体"/>
          <w:bCs/>
          <w:color w:val="000000"/>
          <w:kern w:val="0"/>
          <w:szCs w:val="21"/>
        </w:rPr>
      </w:pPr>
      <w:r>
        <w:rPr>
          <w:rFonts w:hint="eastAsia" w:ascii="宋体" w:hAnsi="宋体" w:cs="宋体"/>
          <w:bCs/>
          <w:color w:val="000000"/>
          <w:kern w:val="0"/>
          <w:szCs w:val="21"/>
        </w:rPr>
        <w:t>为贯彻落实安徽省旅游业发展大会精神，关于“继续在省内高铁站、高速公路出入口和服务区投放安徽旅游宣传广告”的部署要求，进一步加大安徽旅游宣传营销力度，提升“修身福地 灵秀青阳”品牌知名度和影响力。考虑到高速公路服务区车流量大、广告宣传率、到达率及自驾游客转化率高。因此本项目拟在安徽高速公路服务区投放青阳文旅形象广告宣传。</w:t>
      </w:r>
    </w:p>
    <w:p>
      <w:pPr>
        <w:spacing w:line="460" w:lineRule="exact"/>
        <w:rPr>
          <w:rFonts w:ascii="宋体" w:hAnsi="宋体"/>
          <w:b/>
          <w:bCs/>
          <w:szCs w:val="21"/>
        </w:rPr>
      </w:pPr>
    </w:p>
    <w:p>
      <w:pPr>
        <w:spacing w:line="480" w:lineRule="exact"/>
        <w:rPr>
          <w:rFonts w:ascii="宋体" w:hAnsi="宋体"/>
          <w:b/>
          <w:bCs/>
          <w:szCs w:val="21"/>
        </w:rPr>
      </w:pPr>
      <w:r>
        <w:rPr>
          <w:rFonts w:hint="eastAsia" w:ascii="宋体" w:hAnsi="宋体"/>
          <w:b/>
          <w:bCs/>
          <w:szCs w:val="21"/>
        </w:rPr>
        <w:t>二、服务期：</w:t>
      </w:r>
      <w:r>
        <w:rPr>
          <w:rFonts w:hint="eastAsia" w:ascii="宋体" w:hAnsi="宋体"/>
          <w:b/>
          <w:bCs/>
          <w:szCs w:val="21"/>
          <w:u w:val="single"/>
        </w:rPr>
        <w:t>365</w:t>
      </w:r>
      <w:r>
        <w:rPr>
          <w:rFonts w:hint="eastAsia" w:ascii="宋体" w:hAnsi="宋体"/>
          <w:b/>
          <w:bCs/>
          <w:szCs w:val="21"/>
        </w:rPr>
        <w:t>天</w:t>
      </w:r>
    </w:p>
    <w:p>
      <w:pPr>
        <w:spacing w:line="460" w:lineRule="exact"/>
        <w:rPr>
          <w:rFonts w:ascii="宋体" w:hAnsi="宋体"/>
          <w:b/>
          <w:bCs/>
          <w:szCs w:val="21"/>
        </w:rPr>
      </w:pPr>
    </w:p>
    <w:p>
      <w:pPr>
        <w:snapToGrid w:val="0"/>
        <w:spacing w:line="480" w:lineRule="exact"/>
        <w:rPr>
          <w:rFonts w:ascii="宋体" w:hAnsi="宋体"/>
          <w:b/>
          <w:szCs w:val="21"/>
        </w:rPr>
      </w:pPr>
      <w:r>
        <w:rPr>
          <w:rFonts w:hint="eastAsia" w:ascii="宋体" w:hAnsi="宋体"/>
          <w:b/>
          <w:szCs w:val="21"/>
        </w:rPr>
        <w:t>三、供应商资格条件</w:t>
      </w:r>
    </w:p>
    <w:p>
      <w:pPr>
        <w:spacing w:line="480" w:lineRule="exact"/>
        <w:ind w:firstLine="411" w:firstLineChars="196"/>
        <w:jc w:val="left"/>
        <w:rPr>
          <w:rFonts w:ascii="宋体" w:hAnsi="宋体"/>
          <w:b/>
          <w:color w:val="000000"/>
          <w:szCs w:val="21"/>
        </w:rPr>
      </w:pPr>
      <w:r>
        <w:rPr>
          <w:rFonts w:hint="eastAsia" w:ascii="宋体" w:hAnsi="宋体"/>
          <w:color w:val="000000"/>
          <w:szCs w:val="21"/>
        </w:rPr>
        <w:t>1、符合</w:t>
      </w:r>
      <w:r>
        <w:rPr>
          <w:rFonts w:ascii="宋体" w:hAnsi="宋体"/>
          <w:color w:val="000000"/>
          <w:szCs w:val="21"/>
        </w:rPr>
        <w:t>《政府采购法》第二十二条规定</w:t>
      </w:r>
      <w:r>
        <w:rPr>
          <w:rFonts w:hint="eastAsia" w:ascii="宋体" w:hAnsi="宋体"/>
          <w:color w:val="000000"/>
          <w:szCs w:val="21"/>
        </w:rPr>
        <w:t>；</w:t>
      </w:r>
    </w:p>
    <w:p>
      <w:pPr>
        <w:spacing w:line="480" w:lineRule="exact"/>
        <w:ind w:firstLine="420" w:firstLineChars="200"/>
        <w:jc w:val="left"/>
        <w:rPr>
          <w:rFonts w:ascii="宋体" w:hAnsi="宋体"/>
          <w:color w:val="000000"/>
          <w:szCs w:val="21"/>
        </w:rPr>
      </w:pPr>
      <w:r>
        <w:rPr>
          <w:rFonts w:hint="eastAsia" w:ascii="宋体" w:hAnsi="宋体"/>
          <w:color w:val="000000"/>
          <w:szCs w:val="21"/>
        </w:rPr>
        <w:t>2.本项目不接受联合体投标；</w:t>
      </w:r>
    </w:p>
    <w:p>
      <w:pPr>
        <w:spacing w:line="480" w:lineRule="exact"/>
        <w:ind w:firstLine="420" w:firstLineChars="200"/>
        <w:jc w:val="left"/>
        <w:rPr>
          <w:rFonts w:ascii="宋体" w:hAnsi="宋体"/>
          <w:color w:val="000000"/>
          <w:szCs w:val="21"/>
        </w:rPr>
      </w:pPr>
      <w:r>
        <w:rPr>
          <w:rFonts w:hint="eastAsia" w:ascii="宋体" w:hAnsi="宋体"/>
          <w:color w:val="000000"/>
          <w:szCs w:val="21"/>
        </w:rPr>
        <w:t>3.供应商存在以下不良信用记录情形之一的，不得推荐为中标候选供应商，不得确定为</w:t>
      </w:r>
    </w:p>
    <w:p>
      <w:pPr>
        <w:spacing w:line="480" w:lineRule="exact"/>
        <w:ind w:firstLine="420" w:firstLineChars="200"/>
        <w:jc w:val="left"/>
        <w:rPr>
          <w:rFonts w:ascii="宋体" w:hAnsi="宋体"/>
          <w:color w:val="000000"/>
          <w:szCs w:val="21"/>
        </w:rPr>
      </w:pPr>
      <w:r>
        <w:rPr>
          <w:rFonts w:hint="eastAsia" w:ascii="宋体" w:hAnsi="宋体"/>
          <w:color w:val="000000"/>
          <w:szCs w:val="21"/>
        </w:rPr>
        <w:t>中标供应商：</w:t>
      </w:r>
    </w:p>
    <w:p>
      <w:pPr>
        <w:spacing w:line="480" w:lineRule="exact"/>
        <w:ind w:firstLine="420" w:firstLineChars="200"/>
        <w:jc w:val="left"/>
        <w:rPr>
          <w:rFonts w:ascii="宋体" w:hAnsi="宋体"/>
          <w:color w:val="000000"/>
          <w:szCs w:val="21"/>
        </w:rPr>
      </w:pPr>
      <w:r>
        <w:rPr>
          <w:rFonts w:hint="eastAsia" w:ascii="宋体" w:hAnsi="宋体"/>
          <w:color w:val="000000"/>
          <w:szCs w:val="21"/>
        </w:rPr>
        <w:t>（1）供应商被人民法院列入失信被执行人的；</w:t>
      </w:r>
    </w:p>
    <w:p>
      <w:pPr>
        <w:spacing w:line="480" w:lineRule="exact"/>
        <w:ind w:firstLine="420" w:firstLineChars="200"/>
        <w:jc w:val="left"/>
        <w:rPr>
          <w:rFonts w:ascii="宋体" w:hAnsi="宋体"/>
          <w:color w:val="000000"/>
          <w:szCs w:val="21"/>
        </w:rPr>
      </w:pPr>
      <w:r>
        <w:rPr>
          <w:rFonts w:hint="eastAsia" w:ascii="宋体" w:hAnsi="宋体"/>
          <w:color w:val="000000"/>
          <w:szCs w:val="21"/>
        </w:rPr>
        <w:t>（2）供应商或其法定代表人或拟派项目经理（项目负责人）被人民检察院列入行贿犯</w:t>
      </w:r>
    </w:p>
    <w:p>
      <w:pPr>
        <w:spacing w:line="480" w:lineRule="exact"/>
        <w:ind w:firstLine="420" w:firstLineChars="200"/>
        <w:jc w:val="left"/>
        <w:rPr>
          <w:rFonts w:ascii="宋体" w:hAnsi="宋体"/>
          <w:color w:val="000000"/>
          <w:szCs w:val="21"/>
        </w:rPr>
      </w:pPr>
      <w:r>
        <w:rPr>
          <w:rFonts w:hint="eastAsia" w:ascii="宋体" w:hAnsi="宋体"/>
          <w:color w:val="000000"/>
          <w:szCs w:val="21"/>
        </w:rPr>
        <w:t>罪档案的；</w:t>
      </w:r>
    </w:p>
    <w:p>
      <w:pPr>
        <w:spacing w:line="480" w:lineRule="exact"/>
        <w:ind w:firstLine="420" w:firstLineChars="200"/>
        <w:jc w:val="left"/>
        <w:rPr>
          <w:rFonts w:ascii="宋体" w:hAnsi="宋体"/>
          <w:color w:val="000000"/>
          <w:szCs w:val="21"/>
        </w:rPr>
      </w:pPr>
      <w:r>
        <w:rPr>
          <w:rFonts w:hint="eastAsia" w:ascii="宋体" w:hAnsi="宋体"/>
          <w:color w:val="000000"/>
          <w:szCs w:val="21"/>
        </w:rPr>
        <w:t>（3）供应商被工商行政管理部门列入企业经营异常名录的；</w:t>
      </w:r>
    </w:p>
    <w:p>
      <w:pPr>
        <w:spacing w:line="480" w:lineRule="exact"/>
        <w:ind w:firstLine="420" w:firstLineChars="200"/>
        <w:jc w:val="left"/>
        <w:rPr>
          <w:rFonts w:ascii="宋体" w:hAnsi="宋体"/>
          <w:color w:val="000000"/>
          <w:szCs w:val="21"/>
        </w:rPr>
      </w:pPr>
      <w:r>
        <w:rPr>
          <w:rFonts w:hint="eastAsia" w:ascii="宋体" w:hAnsi="宋体"/>
          <w:color w:val="000000"/>
          <w:szCs w:val="21"/>
        </w:rPr>
        <w:t>（4）供应商被税务部门列入重大税收违法案件当事人名单的；</w:t>
      </w:r>
    </w:p>
    <w:p>
      <w:pPr>
        <w:spacing w:line="480" w:lineRule="exact"/>
        <w:ind w:firstLine="420" w:firstLineChars="200"/>
        <w:jc w:val="left"/>
        <w:rPr>
          <w:rFonts w:hint="eastAsia" w:ascii="宋体" w:hAnsi="宋体"/>
          <w:color w:val="000000"/>
          <w:szCs w:val="21"/>
        </w:rPr>
      </w:pPr>
      <w:r>
        <w:rPr>
          <w:rFonts w:hint="eastAsia" w:ascii="宋体" w:hAnsi="宋体"/>
          <w:color w:val="000000"/>
          <w:szCs w:val="21"/>
        </w:rPr>
        <w:t>（5）供应商被政府采购监管部门列入政府采购严重违法失信行为记录名单的。</w:t>
      </w:r>
    </w:p>
    <w:p>
      <w:pPr>
        <w:spacing w:line="480" w:lineRule="exact"/>
        <w:ind w:firstLine="420" w:firstLineChars="200"/>
        <w:jc w:val="left"/>
        <w:rPr>
          <w:rFonts w:hint="eastAsia" w:ascii="宋体" w:hAnsi="宋体" w:eastAsia="宋体"/>
          <w:color w:val="000000"/>
          <w:szCs w:val="21"/>
          <w:lang w:eastAsia="zh-CN"/>
        </w:rPr>
      </w:pPr>
      <w:r>
        <w:rPr>
          <w:rFonts w:hint="eastAsia" w:ascii="宋体" w:hAnsi="宋体"/>
          <w:color w:val="000000"/>
          <w:szCs w:val="21"/>
          <w:lang w:val="en-US" w:eastAsia="zh-CN"/>
        </w:rPr>
        <w:t>4</w:t>
      </w:r>
      <w:r>
        <w:rPr>
          <w:rFonts w:hint="eastAsia" w:ascii="宋体" w:hAnsi="宋体"/>
          <w:color w:val="000000"/>
          <w:szCs w:val="21"/>
        </w:rPr>
        <w:t>、经营范围需具有广告设计制作代理及发布、广告牌租赁</w:t>
      </w:r>
      <w:r>
        <w:rPr>
          <w:rFonts w:hint="eastAsia" w:ascii="宋体" w:hAnsi="宋体"/>
          <w:color w:val="000000"/>
          <w:szCs w:val="21"/>
          <w:lang w:eastAsia="zh-CN"/>
        </w:rPr>
        <w:t>等。</w:t>
      </w:r>
      <w:bookmarkStart w:id="0" w:name="_GoBack"/>
      <w:bookmarkEnd w:id="0"/>
    </w:p>
    <w:p>
      <w:pPr>
        <w:snapToGrid w:val="0"/>
        <w:spacing w:line="480" w:lineRule="exact"/>
        <w:rPr>
          <w:rFonts w:ascii="宋体" w:hAnsi="宋体"/>
          <w:b/>
          <w:szCs w:val="21"/>
        </w:rPr>
      </w:pPr>
      <w:r>
        <w:rPr>
          <w:rFonts w:hint="eastAsia" w:ascii="宋体" w:hAnsi="宋体"/>
          <w:b/>
          <w:szCs w:val="21"/>
        </w:rPr>
        <w:t>四、服务需求及质量标准</w:t>
      </w:r>
    </w:p>
    <w:p>
      <w:pPr>
        <w:spacing w:line="480" w:lineRule="exact"/>
        <w:rPr>
          <w:rFonts w:ascii="宋体" w:hAnsi="宋体"/>
          <w:szCs w:val="21"/>
        </w:rPr>
      </w:pPr>
      <w:r>
        <w:rPr>
          <w:rFonts w:hint="eastAsia" w:ascii="宋体" w:hAnsi="宋体"/>
          <w:szCs w:val="21"/>
        </w:rPr>
        <w:t xml:space="preserve">    1、</w:t>
      </w:r>
      <w:r>
        <w:rPr>
          <w:rFonts w:hint="eastAsia" w:ascii="宋体" w:hAnsi="宋体" w:cs="Arial"/>
          <w:szCs w:val="21"/>
        </w:rPr>
        <w:t>服务工作内容</w:t>
      </w:r>
    </w:p>
    <w:p>
      <w:pPr>
        <w:spacing w:line="480" w:lineRule="exact"/>
        <w:ind w:firstLine="420" w:firstLineChars="200"/>
        <w:jc w:val="left"/>
        <w:rPr>
          <w:rFonts w:ascii="宋体" w:hAnsi="宋体"/>
          <w:color w:val="000000"/>
          <w:szCs w:val="21"/>
        </w:rPr>
      </w:pPr>
      <w:r>
        <w:rPr>
          <w:rFonts w:hint="eastAsia" w:ascii="宋体" w:hAnsi="宋体"/>
          <w:szCs w:val="21"/>
        </w:rPr>
        <w:t xml:space="preserve"> </w:t>
      </w:r>
      <w:r>
        <w:rPr>
          <w:rFonts w:hint="eastAsia" w:ascii="宋体" w:hAnsi="宋体"/>
          <w:color w:val="000000"/>
          <w:szCs w:val="21"/>
        </w:rPr>
        <w:t xml:space="preserve">  青阳县旅游高速公路服务区形象宣传推广服务需求包括以下内容：</w:t>
      </w:r>
    </w:p>
    <w:p>
      <w:pPr>
        <w:spacing w:line="480" w:lineRule="exact"/>
        <w:ind w:firstLine="420" w:firstLineChars="200"/>
        <w:jc w:val="left"/>
        <w:rPr>
          <w:rFonts w:ascii="宋体" w:hAnsi="宋体"/>
          <w:color w:val="000000"/>
          <w:szCs w:val="21"/>
        </w:rPr>
      </w:pPr>
      <w:r>
        <w:rPr>
          <w:rFonts w:hint="eastAsia" w:ascii="宋体" w:hAnsi="宋体"/>
          <w:color w:val="000000"/>
          <w:szCs w:val="21"/>
        </w:rPr>
        <w:t>1.1整体构思与设计要求：</w:t>
      </w:r>
    </w:p>
    <w:p>
      <w:pPr>
        <w:spacing w:line="480" w:lineRule="exact"/>
        <w:ind w:firstLine="420" w:firstLineChars="200"/>
        <w:jc w:val="left"/>
        <w:rPr>
          <w:rFonts w:ascii="宋体" w:hAnsi="宋体"/>
          <w:color w:val="000000"/>
          <w:szCs w:val="21"/>
        </w:rPr>
      </w:pPr>
      <w:r>
        <w:rPr>
          <w:rFonts w:hint="eastAsia" w:ascii="宋体" w:hAnsi="宋体"/>
          <w:color w:val="000000"/>
          <w:szCs w:val="21"/>
        </w:rPr>
        <w:t>根据青阳县文化和旅游资源优势和文旅产品的现状，针对高速公路自驾人群集聚，通过高速服务区文旅广告宣传推广，提升青阳县文化和旅游品牌的知名度和美誉度，要求形象广告设计画面饱满、色彩明快、层次分明、结构清楚、视觉主题突出，充分展示青阳县文旅融合的整体形象。</w:t>
      </w:r>
    </w:p>
    <w:p>
      <w:pPr>
        <w:spacing w:line="480" w:lineRule="exact"/>
        <w:ind w:firstLine="420" w:firstLineChars="200"/>
        <w:jc w:val="left"/>
        <w:rPr>
          <w:rFonts w:ascii="宋体" w:hAnsi="宋体"/>
          <w:color w:val="000000"/>
          <w:szCs w:val="21"/>
        </w:rPr>
      </w:pPr>
      <w:r>
        <w:rPr>
          <w:rFonts w:hint="eastAsia" w:ascii="宋体" w:hAnsi="宋体"/>
          <w:color w:val="000000"/>
          <w:szCs w:val="21"/>
        </w:rPr>
        <w:t>2.2广告位置资源：</w:t>
      </w:r>
    </w:p>
    <w:p>
      <w:pPr>
        <w:spacing w:line="480" w:lineRule="exact"/>
        <w:ind w:firstLine="420" w:firstLineChars="200"/>
        <w:jc w:val="left"/>
        <w:rPr>
          <w:rFonts w:ascii="宋体" w:hAnsi="宋体"/>
          <w:color w:val="000000"/>
          <w:szCs w:val="21"/>
        </w:rPr>
      </w:pPr>
      <w:r>
        <w:rPr>
          <w:rFonts w:hint="eastAsia" w:ascii="宋体" w:hAnsi="宋体"/>
          <w:color w:val="000000"/>
          <w:szCs w:val="21"/>
        </w:rPr>
        <w:t>（一）服务区洗漱台镜面广告</w:t>
      </w:r>
    </w:p>
    <w:p>
      <w:pPr>
        <w:spacing w:line="480" w:lineRule="exact"/>
        <w:ind w:firstLine="420" w:firstLineChars="200"/>
        <w:jc w:val="left"/>
        <w:rPr>
          <w:rFonts w:ascii="宋体" w:hAnsi="宋体"/>
          <w:color w:val="000000"/>
          <w:szCs w:val="21"/>
        </w:rPr>
      </w:pPr>
      <w:r>
        <w:rPr>
          <w:rFonts w:hint="eastAsia" w:ascii="宋体" w:hAnsi="宋体"/>
          <w:color w:val="000000"/>
          <w:szCs w:val="21"/>
        </w:rPr>
        <w:t>目前经优选共</w:t>
      </w:r>
      <w:r>
        <w:rPr>
          <w:rFonts w:hint="eastAsia" w:ascii="宋体" w:hAnsi="宋体"/>
          <w:szCs w:val="21"/>
        </w:rPr>
        <w:t>22.5对服务区镜面广告资源，每个服务区有镜面广告不少于4块，每个镜面有4副广告位。拟在每个服务区投放4-6副旅游景区广告（计费单位：广告个数），最大投放量为218副广告。广告循</w:t>
      </w:r>
      <w:r>
        <w:rPr>
          <w:rFonts w:hint="eastAsia" w:ascii="宋体" w:hAnsi="宋体"/>
          <w:color w:val="000000"/>
          <w:szCs w:val="21"/>
        </w:rPr>
        <w:t>环播放，单个画面每分钟4次，每次停留15秒，全天播放15小时，全天播放3600次左右。广告内容为A级及以上景区，中标供应商设计方案、画面，报采购人审核通过后投放。</w:t>
      </w:r>
    </w:p>
    <w:p>
      <w:pPr>
        <w:spacing w:line="480" w:lineRule="exact"/>
        <w:ind w:firstLine="420" w:firstLineChars="200"/>
        <w:jc w:val="left"/>
        <w:rPr>
          <w:rFonts w:ascii="宋体" w:hAnsi="宋体"/>
          <w:color w:val="000000"/>
          <w:szCs w:val="21"/>
        </w:rPr>
      </w:pPr>
      <w:r>
        <w:rPr>
          <w:rFonts w:hint="eastAsia" w:ascii="宋体" w:hAnsi="宋体"/>
          <w:color w:val="000000"/>
          <w:szCs w:val="21"/>
        </w:rPr>
        <w:t>投放服务区如下：拟投放镜面广告的高速服务区（20.5对）</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560"/>
        <w:gridCol w:w="1185"/>
        <w:gridCol w:w="2466"/>
        <w:gridCol w:w="1230"/>
        <w:gridCol w:w="16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rPr>
              <w:t>序号</w:t>
            </w:r>
          </w:p>
        </w:tc>
        <w:tc>
          <w:tcPr>
            <w:tcW w:w="1185" w:type="dxa"/>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rPr>
              <w:t>高速名称</w:t>
            </w:r>
          </w:p>
        </w:tc>
        <w:tc>
          <w:tcPr>
            <w:tcW w:w="2466" w:type="dxa"/>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rPr>
              <w:t>广告发布服务区名称</w:t>
            </w:r>
          </w:p>
        </w:tc>
        <w:tc>
          <w:tcPr>
            <w:tcW w:w="1230" w:type="dxa"/>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rPr>
              <w:t>地点</w:t>
            </w:r>
          </w:p>
        </w:tc>
        <w:tc>
          <w:tcPr>
            <w:tcW w:w="1634" w:type="dxa"/>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rPr>
              <w:t>广告位总数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51"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w:t>
            </w:r>
          </w:p>
        </w:tc>
        <w:tc>
          <w:tcPr>
            <w:tcW w:w="1185" w:type="dxa"/>
            <w:vMerge w:val="restart"/>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合宁高速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大墅服务区（往）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全椒县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大墅服务区（返）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文集服务区（往）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肥东县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文集服务区（返）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5</w:t>
            </w:r>
          </w:p>
        </w:tc>
        <w:tc>
          <w:tcPr>
            <w:tcW w:w="1185" w:type="dxa"/>
            <w:vMerge w:val="restart"/>
            <w:vAlign w:val="center"/>
          </w:tcPr>
          <w:p>
            <w:pPr>
              <w:jc w:val="center"/>
              <w:rPr>
                <w:rFonts w:ascii="宋体" w:hAnsi="宋体" w:cs="宋体"/>
                <w:color w:val="000000"/>
                <w:szCs w:val="21"/>
              </w:rPr>
            </w:pPr>
            <w:r>
              <w:rPr>
                <w:rFonts w:ascii="宋体" w:hAnsi="宋体" w:cs="宋体"/>
                <w:color w:val="000000"/>
                <w:szCs w:val="21"/>
              </w:rPr>
              <w:t>合肥绕城</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肥东服务区（往）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肥东县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6</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肥东服务区（返）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7</w:t>
            </w:r>
          </w:p>
        </w:tc>
        <w:tc>
          <w:tcPr>
            <w:tcW w:w="1185" w:type="dxa"/>
            <w:vMerge w:val="restart"/>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合徐高速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吴圩服务区（往）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定远县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8</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吴圩服务区（返）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9</w:t>
            </w:r>
          </w:p>
        </w:tc>
        <w:tc>
          <w:tcPr>
            <w:tcW w:w="1185" w:type="dxa"/>
            <w:vMerge w:val="restart"/>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蚌合高速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龙门寺服务区（往）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长丰县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10</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龙门寺服务区（返）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11</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颍上服务区（往）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颍上县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12</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颍上服务区（返）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13</w:t>
            </w:r>
          </w:p>
        </w:tc>
        <w:tc>
          <w:tcPr>
            <w:tcW w:w="1185"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合肥绕城</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众兴服务区（往）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肥东县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14</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众兴服务区（返）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15</w:t>
            </w:r>
          </w:p>
        </w:tc>
        <w:tc>
          <w:tcPr>
            <w:tcW w:w="1185" w:type="dxa"/>
            <w:vMerge w:val="restart"/>
            <w:vAlign w:val="center"/>
          </w:tcPr>
          <w:p>
            <w:pPr>
              <w:jc w:val="center"/>
              <w:rPr>
                <w:rFonts w:ascii="宋体" w:hAnsi="宋体" w:cs="宋体"/>
                <w:color w:val="000000"/>
                <w:szCs w:val="21"/>
              </w:rPr>
            </w:pPr>
            <w:r>
              <w:rPr>
                <w:rFonts w:ascii="宋体" w:hAnsi="宋体" w:cs="宋体"/>
                <w:color w:val="000000"/>
                <w:szCs w:val="21"/>
              </w:rPr>
              <w:t>合安高速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大龙山服务区（往）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安庆市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16</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大龙山服务区（返）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17</w:t>
            </w:r>
          </w:p>
        </w:tc>
        <w:tc>
          <w:tcPr>
            <w:tcW w:w="1185" w:type="dxa"/>
            <w:vMerge w:val="restart"/>
            <w:vAlign w:val="center"/>
          </w:tcPr>
          <w:p>
            <w:pPr>
              <w:jc w:val="center"/>
              <w:rPr>
                <w:rFonts w:ascii="宋体" w:hAnsi="宋体" w:cs="宋体"/>
                <w:color w:val="000000"/>
                <w:szCs w:val="21"/>
              </w:rPr>
            </w:pPr>
            <w:r>
              <w:rPr>
                <w:rFonts w:ascii="宋体" w:hAnsi="宋体" w:cs="宋体"/>
                <w:color w:val="000000"/>
                <w:szCs w:val="21"/>
              </w:rPr>
              <w:t>沪渝高速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顺安服务区（往）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铜陵市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18</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顺安服务区（返）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19</w:t>
            </w:r>
          </w:p>
        </w:tc>
        <w:tc>
          <w:tcPr>
            <w:tcW w:w="1185" w:type="dxa"/>
            <w:vMerge w:val="restart"/>
            <w:vAlign w:val="center"/>
          </w:tcPr>
          <w:p>
            <w:pPr>
              <w:jc w:val="center"/>
              <w:rPr>
                <w:rFonts w:ascii="宋体" w:hAnsi="宋体" w:cs="宋体"/>
                <w:color w:val="000000"/>
                <w:szCs w:val="21"/>
              </w:rPr>
            </w:pPr>
            <w:r>
              <w:rPr>
                <w:rFonts w:ascii="宋体" w:hAnsi="宋体" w:cs="宋体"/>
                <w:color w:val="000000"/>
                <w:szCs w:val="21"/>
              </w:rPr>
              <w:t>合安高速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香铺服务区（往）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桐城市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20</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香铺服务区（返）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21</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陈埠服务区（往）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庐江县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22</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陈埠服务区（返）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23</w:t>
            </w:r>
          </w:p>
        </w:tc>
        <w:tc>
          <w:tcPr>
            <w:tcW w:w="1185" w:type="dxa"/>
            <w:vMerge w:val="restart"/>
            <w:vAlign w:val="center"/>
          </w:tcPr>
          <w:p>
            <w:pPr>
              <w:jc w:val="center"/>
              <w:rPr>
                <w:rFonts w:ascii="宋体" w:hAnsi="宋体" w:cs="宋体"/>
                <w:color w:val="000000"/>
                <w:szCs w:val="21"/>
              </w:rPr>
            </w:pPr>
            <w:r>
              <w:rPr>
                <w:rFonts w:ascii="宋体" w:hAnsi="宋体" w:cs="宋体"/>
                <w:color w:val="000000"/>
                <w:szCs w:val="21"/>
              </w:rPr>
              <w:t>沪渝高速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太湖服务区（往）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太湖县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24</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太湖服务区（返）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25</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牛头山服务区（往）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池州市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26</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牛头山服务区（返）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27</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王河服务区（往）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潜山市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28</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王河服务区（返）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29</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宿松服务区（单返）</w:t>
            </w:r>
          </w:p>
        </w:tc>
        <w:tc>
          <w:tcPr>
            <w:tcW w:w="123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宿松县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30</w:t>
            </w:r>
          </w:p>
        </w:tc>
        <w:tc>
          <w:tcPr>
            <w:tcW w:w="1185" w:type="dxa"/>
            <w:vMerge w:val="restart"/>
            <w:vAlign w:val="center"/>
          </w:tcPr>
          <w:p>
            <w:pPr>
              <w:jc w:val="center"/>
              <w:rPr>
                <w:rFonts w:ascii="宋体" w:hAnsi="宋体" w:cs="宋体"/>
                <w:color w:val="000000"/>
                <w:szCs w:val="21"/>
              </w:rPr>
            </w:pPr>
            <w:r>
              <w:rPr>
                <w:rFonts w:hint="eastAsia" w:ascii="宋体" w:hAnsi="宋体" w:cs="宋体"/>
                <w:color w:val="000000"/>
                <w:kern w:val="0"/>
                <w:szCs w:val="21"/>
              </w:rPr>
              <w:t>京台高速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沙溪服务区（往）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庐江县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31</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沙溪服务区（返）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32</w:t>
            </w:r>
          </w:p>
        </w:tc>
        <w:tc>
          <w:tcPr>
            <w:tcW w:w="1185" w:type="dxa"/>
            <w:vMerge w:val="restart"/>
            <w:vAlign w:val="center"/>
          </w:tcPr>
          <w:p>
            <w:pPr>
              <w:jc w:val="center"/>
              <w:rPr>
                <w:rFonts w:ascii="宋体" w:hAnsi="宋体" w:cs="宋体"/>
                <w:color w:val="000000"/>
                <w:szCs w:val="21"/>
              </w:rPr>
            </w:pPr>
            <w:r>
              <w:rPr>
                <w:rFonts w:hint="eastAsia" w:ascii="宋体" w:hAnsi="宋体" w:cs="宋体"/>
                <w:color w:val="000000"/>
                <w:kern w:val="0"/>
                <w:szCs w:val="21"/>
              </w:rPr>
              <w:t>济广高速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伍明服务区（往）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阜阳市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33</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伍明服务区（返）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34</w:t>
            </w:r>
          </w:p>
        </w:tc>
        <w:tc>
          <w:tcPr>
            <w:tcW w:w="1185" w:type="dxa"/>
            <w:vMerge w:val="restart"/>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合黄高速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九华山服务区（往）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池州市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35</w:t>
            </w:r>
          </w:p>
        </w:tc>
        <w:tc>
          <w:tcPr>
            <w:tcW w:w="1185" w:type="dxa"/>
            <w:vMerge w:val="continue"/>
            <w:vAlign w:val="center"/>
          </w:tcPr>
          <w:p>
            <w:pPr>
              <w:jc w:val="left"/>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九华山服务区（返）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36</w:t>
            </w:r>
          </w:p>
        </w:tc>
        <w:tc>
          <w:tcPr>
            <w:tcW w:w="1185" w:type="dxa"/>
            <w:vMerge w:val="continue"/>
            <w:vAlign w:val="center"/>
          </w:tcPr>
          <w:p>
            <w:pPr>
              <w:jc w:val="left"/>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太平湖服务区（往）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黄山市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37</w:t>
            </w:r>
          </w:p>
        </w:tc>
        <w:tc>
          <w:tcPr>
            <w:tcW w:w="1185" w:type="dxa"/>
            <w:vMerge w:val="continue"/>
            <w:vAlign w:val="center"/>
          </w:tcPr>
          <w:p>
            <w:pPr>
              <w:jc w:val="left"/>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太平湖服务区（返）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38</w:t>
            </w:r>
          </w:p>
        </w:tc>
        <w:tc>
          <w:tcPr>
            <w:tcW w:w="1185" w:type="dxa"/>
            <w:vMerge w:val="restart"/>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安景高速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升金湖服务区（往）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池州市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39</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升金湖服务区（返）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40</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花园服务区（往）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池州市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41</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花园服务区（返）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42</w:t>
            </w:r>
          </w:p>
        </w:tc>
        <w:tc>
          <w:tcPr>
            <w:tcW w:w="1185" w:type="dxa"/>
            <w:vMerge w:val="restart"/>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六武高速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梅山服务区（往）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金寨县</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43</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梅山服务区（返）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44</w:t>
            </w:r>
          </w:p>
        </w:tc>
        <w:tc>
          <w:tcPr>
            <w:tcW w:w="1185" w:type="dxa"/>
            <w:vMerge w:val="restart"/>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铜宣高速</w:t>
            </w: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寒亭服务区（往）</w:t>
            </w:r>
          </w:p>
        </w:tc>
        <w:tc>
          <w:tcPr>
            <w:tcW w:w="1230" w:type="dxa"/>
            <w:vMerge w:val="restart"/>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宣城市</w:t>
            </w: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45</w:t>
            </w:r>
          </w:p>
        </w:tc>
        <w:tc>
          <w:tcPr>
            <w:tcW w:w="1185" w:type="dxa"/>
            <w:vMerge w:val="continue"/>
            <w:vAlign w:val="center"/>
          </w:tcPr>
          <w:p>
            <w:pPr>
              <w:jc w:val="center"/>
              <w:rPr>
                <w:rFonts w:ascii="宋体" w:hAnsi="宋体" w:cs="宋体"/>
                <w:color w:val="000000"/>
                <w:szCs w:val="21"/>
              </w:rPr>
            </w:pPr>
          </w:p>
        </w:tc>
        <w:tc>
          <w:tcPr>
            <w:tcW w:w="2466"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寒亭服务区（返）</w:t>
            </w:r>
          </w:p>
        </w:tc>
        <w:tc>
          <w:tcPr>
            <w:tcW w:w="1230" w:type="dxa"/>
            <w:vMerge w:val="continue"/>
            <w:vAlign w:val="center"/>
          </w:tcPr>
          <w:p>
            <w:pPr>
              <w:jc w:val="center"/>
              <w:rPr>
                <w:rFonts w:ascii="宋体" w:hAnsi="宋体" w:cs="宋体"/>
                <w:color w:val="000000"/>
                <w:szCs w:val="21"/>
              </w:rPr>
            </w:pPr>
          </w:p>
        </w:tc>
        <w:tc>
          <w:tcPr>
            <w:tcW w:w="1634" w:type="dxa"/>
            <w:vAlign w:val="center"/>
          </w:tcPr>
          <w:p>
            <w:pPr>
              <w:widowControl/>
              <w:jc w:val="center"/>
              <w:textAlignment w:val="center"/>
              <w:rPr>
                <w:rFonts w:ascii="宋体" w:hAnsi="宋体" w:cs="宋体"/>
                <w:color w:val="000000"/>
                <w:sz w:val="20"/>
              </w:rPr>
            </w:pPr>
            <w:r>
              <w:rPr>
                <w:rFonts w:hint="eastAsia" w:ascii="宋体" w:hAnsi="宋体" w:cs="宋体"/>
                <w:color w:val="000000"/>
                <w:sz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jc w:val="center"/>
        </w:trPr>
        <w:tc>
          <w:tcPr>
            <w:tcW w:w="560" w:type="dxa"/>
            <w:vAlign w:val="center"/>
          </w:tcPr>
          <w:p>
            <w:pPr>
              <w:widowControl/>
              <w:textAlignment w:val="center"/>
              <w:rPr>
                <w:rFonts w:ascii="宋体" w:hAnsi="宋体" w:cs="宋体"/>
                <w:color w:val="000000"/>
                <w:szCs w:val="21"/>
              </w:rPr>
            </w:pPr>
          </w:p>
        </w:tc>
        <w:tc>
          <w:tcPr>
            <w:tcW w:w="1185"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合计</w:t>
            </w:r>
          </w:p>
        </w:tc>
        <w:tc>
          <w:tcPr>
            <w:tcW w:w="2466" w:type="dxa"/>
            <w:vAlign w:val="center"/>
          </w:tcPr>
          <w:p>
            <w:pPr>
              <w:jc w:val="center"/>
              <w:rPr>
                <w:rFonts w:ascii="宋体" w:hAnsi="宋体" w:cs="宋体"/>
                <w:color w:val="000000"/>
                <w:szCs w:val="21"/>
              </w:rPr>
            </w:pPr>
            <w:r>
              <w:rPr>
                <w:rFonts w:hint="eastAsia" w:ascii="宋体" w:hAnsi="宋体" w:cs="宋体"/>
                <w:b/>
                <w:bCs/>
                <w:color w:val="000000"/>
                <w:szCs w:val="21"/>
              </w:rPr>
              <w:t>22.5对45个服务区</w:t>
            </w:r>
          </w:p>
        </w:tc>
        <w:tc>
          <w:tcPr>
            <w:tcW w:w="1230" w:type="dxa"/>
            <w:vAlign w:val="center"/>
          </w:tcPr>
          <w:p>
            <w:pPr>
              <w:jc w:val="center"/>
              <w:rPr>
                <w:rFonts w:ascii="宋体" w:hAnsi="宋体" w:cs="宋体"/>
                <w:color w:val="7030A0"/>
                <w:szCs w:val="21"/>
              </w:rPr>
            </w:pPr>
          </w:p>
        </w:tc>
        <w:tc>
          <w:tcPr>
            <w:tcW w:w="1634" w:type="dxa"/>
            <w:vAlign w:val="center"/>
          </w:tcPr>
          <w:p>
            <w:pPr>
              <w:widowControl/>
              <w:jc w:val="center"/>
              <w:textAlignment w:val="center"/>
              <w:rPr>
                <w:rFonts w:ascii="宋体" w:hAnsi="宋体" w:cs="宋体"/>
                <w:b/>
                <w:color w:val="000000"/>
                <w:sz w:val="20"/>
              </w:rPr>
            </w:pPr>
            <w:r>
              <w:rPr>
                <w:rFonts w:hint="eastAsia" w:ascii="宋体" w:hAnsi="宋体" w:cs="宋体"/>
                <w:b/>
                <w:color w:val="000000"/>
                <w:sz w:val="20"/>
              </w:rPr>
              <w:t>218副</w:t>
            </w:r>
          </w:p>
        </w:tc>
      </w:tr>
    </w:tbl>
    <w:p>
      <w:pPr>
        <w:spacing w:line="480" w:lineRule="exact"/>
        <w:ind w:firstLine="420" w:firstLineChars="200"/>
        <w:jc w:val="left"/>
        <w:rPr>
          <w:rFonts w:ascii="宋体" w:hAnsi="宋体"/>
          <w:color w:val="000000"/>
          <w:szCs w:val="21"/>
        </w:rPr>
      </w:pPr>
    </w:p>
    <w:p>
      <w:pPr>
        <w:spacing w:line="480" w:lineRule="exact"/>
        <w:rPr>
          <w:rFonts w:ascii="宋体" w:hAnsi="宋体"/>
          <w:szCs w:val="21"/>
        </w:rPr>
      </w:pPr>
      <w:r>
        <w:rPr>
          <w:rFonts w:hint="eastAsia" w:ascii="宋体" w:hAnsi="宋体"/>
          <w:szCs w:val="21"/>
        </w:rPr>
        <w:t xml:space="preserve">    2、</w:t>
      </w:r>
      <w:r>
        <w:rPr>
          <w:rFonts w:hint="eastAsia" w:ascii="宋体" w:hAnsi="宋体" w:cs="Arial"/>
          <w:szCs w:val="21"/>
        </w:rPr>
        <w:t>服务质量要求</w:t>
      </w:r>
    </w:p>
    <w:p>
      <w:pPr>
        <w:spacing w:line="480" w:lineRule="exact"/>
        <w:ind w:firstLine="420" w:firstLineChars="200"/>
        <w:jc w:val="left"/>
        <w:rPr>
          <w:rFonts w:ascii="宋体" w:hAnsi="宋体"/>
          <w:szCs w:val="21"/>
        </w:rPr>
      </w:pPr>
      <w:r>
        <w:rPr>
          <w:rFonts w:hint="eastAsia" w:ascii="宋体" w:hAnsi="宋体"/>
          <w:szCs w:val="21"/>
        </w:rPr>
        <w:t>卖方保证提供的服务质量应符合中华人民共和国相关标准及相应的技术规范、本次采购相关文件中的全部相关要求及卖方相关服务标准及相应的技术规范中之较高者。</w:t>
      </w:r>
    </w:p>
    <w:p>
      <w:pPr>
        <w:spacing w:line="480" w:lineRule="exact"/>
        <w:rPr>
          <w:rFonts w:ascii="宋体" w:hAnsi="宋体"/>
          <w:szCs w:val="21"/>
        </w:rPr>
      </w:pPr>
      <w:r>
        <w:rPr>
          <w:rFonts w:hint="eastAsia" w:ascii="宋体" w:hAnsi="宋体"/>
          <w:szCs w:val="21"/>
        </w:rPr>
        <w:t xml:space="preserve">    3、</w:t>
      </w:r>
      <w:r>
        <w:rPr>
          <w:rFonts w:hint="eastAsia" w:ascii="宋体" w:hAnsi="宋体" w:cs="Arial"/>
          <w:szCs w:val="21"/>
        </w:rPr>
        <w:t>服务时间要求</w:t>
      </w:r>
    </w:p>
    <w:p>
      <w:pPr>
        <w:spacing w:line="480" w:lineRule="exact"/>
        <w:ind w:firstLine="420" w:firstLineChars="200"/>
        <w:jc w:val="left"/>
        <w:rPr>
          <w:rFonts w:ascii="宋体" w:hAnsi="宋体"/>
          <w:color w:val="000000"/>
          <w:szCs w:val="21"/>
        </w:rPr>
      </w:pPr>
      <w:r>
        <w:rPr>
          <w:rFonts w:hint="eastAsia" w:ascii="宋体" w:hAnsi="宋体"/>
          <w:color w:val="000000"/>
          <w:szCs w:val="21"/>
        </w:rPr>
        <w:t>3.1卖方对合同服务的质量保修期为验收证书签署之日起</w:t>
      </w:r>
      <w:r>
        <w:rPr>
          <w:rFonts w:hint="eastAsia" w:ascii="宋体" w:hAnsi="宋体"/>
          <w:color w:val="000000"/>
          <w:szCs w:val="21"/>
          <w:u w:val="single"/>
        </w:rPr>
        <w:t xml:space="preserve"> 12 </w:t>
      </w:r>
      <w:r>
        <w:rPr>
          <w:rFonts w:hint="eastAsia" w:ascii="宋体" w:hAnsi="宋体"/>
          <w:color w:val="000000"/>
          <w:szCs w:val="21"/>
        </w:rPr>
        <w:t>个月。</w:t>
      </w:r>
    </w:p>
    <w:p>
      <w:pPr>
        <w:spacing w:line="480" w:lineRule="exact"/>
        <w:rPr>
          <w:rFonts w:ascii="宋体" w:hAnsi="宋体" w:cs="Arial"/>
          <w:szCs w:val="21"/>
        </w:rPr>
      </w:pPr>
      <w:r>
        <w:rPr>
          <w:rFonts w:hint="eastAsia" w:ascii="宋体" w:hAnsi="宋体"/>
          <w:szCs w:val="21"/>
        </w:rPr>
        <w:t xml:space="preserve">    4、</w:t>
      </w:r>
      <w:r>
        <w:rPr>
          <w:rFonts w:hint="eastAsia" w:ascii="宋体" w:hAnsi="宋体" w:cs="Arial"/>
          <w:szCs w:val="21"/>
        </w:rPr>
        <w:t>服务成果要求</w:t>
      </w:r>
    </w:p>
    <w:p>
      <w:pPr>
        <w:spacing w:line="480" w:lineRule="exact"/>
        <w:ind w:firstLine="420" w:firstLineChars="200"/>
        <w:rPr>
          <w:rFonts w:ascii="宋体" w:hAnsi="宋体" w:cs="Arial"/>
          <w:szCs w:val="21"/>
        </w:rPr>
      </w:pPr>
      <w:r>
        <w:rPr>
          <w:rFonts w:hint="eastAsia" w:ascii="宋体" w:hAnsi="宋体" w:cs="Arial"/>
          <w:szCs w:val="21"/>
        </w:rPr>
        <w:t>4.1项目成果要严格依照国家颁布的有关法律、法规及政策要求，符合相关的技术规范和标准；</w:t>
      </w:r>
    </w:p>
    <w:p>
      <w:pPr>
        <w:spacing w:line="480" w:lineRule="exact"/>
        <w:ind w:firstLine="420" w:firstLineChars="200"/>
        <w:rPr>
          <w:rFonts w:ascii="宋体" w:hAnsi="宋体" w:cs="Arial"/>
          <w:szCs w:val="21"/>
        </w:rPr>
      </w:pPr>
      <w:r>
        <w:rPr>
          <w:rFonts w:hint="eastAsia" w:ascii="宋体" w:hAnsi="宋体" w:cs="Arial"/>
          <w:szCs w:val="21"/>
        </w:rPr>
        <w:t>4.2项目涉及广告文案、图形、海报等的著作权人为采购人。中标供应商制作的宣传推广及广告内容等，不得侵犯任何第三方的知识产权、肖像权等其他合法权益。</w:t>
      </w:r>
    </w:p>
    <w:p>
      <w:pPr>
        <w:spacing w:line="480" w:lineRule="exact"/>
        <w:ind w:firstLine="420" w:firstLineChars="200"/>
        <w:rPr>
          <w:rFonts w:ascii="宋体" w:hAnsi="宋体" w:cs="Arial"/>
          <w:szCs w:val="21"/>
        </w:rPr>
      </w:pPr>
    </w:p>
    <w:p>
      <w:pPr>
        <w:spacing w:line="480" w:lineRule="exact"/>
        <w:ind w:firstLine="420" w:firstLineChars="200"/>
        <w:rPr>
          <w:rFonts w:ascii="宋体" w:hAnsi="宋体" w:cs="Arial"/>
          <w:szCs w:val="21"/>
        </w:rPr>
      </w:pPr>
      <w:r>
        <w:rPr>
          <w:rFonts w:hint="eastAsia" w:ascii="宋体" w:hAnsi="宋体" w:cs="Arial"/>
          <w:szCs w:val="21"/>
        </w:rPr>
        <w:t>5、质量检验标准</w:t>
      </w:r>
    </w:p>
    <w:p>
      <w:pPr>
        <w:spacing w:line="480" w:lineRule="exact"/>
        <w:ind w:firstLine="420" w:firstLineChars="200"/>
        <w:jc w:val="left"/>
        <w:rPr>
          <w:rFonts w:ascii="宋体" w:hAnsi="宋体"/>
          <w:color w:val="000000"/>
          <w:szCs w:val="21"/>
        </w:rPr>
      </w:pPr>
      <w:r>
        <w:rPr>
          <w:rFonts w:hint="eastAsia" w:ascii="宋体" w:hAnsi="宋体"/>
          <w:color w:val="000000"/>
          <w:szCs w:val="21"/>
        </w:rPr>
        <w:t>5.1根据买方按检验标准自己检验或委托有资质的相关质检机构检验的检验结果，发现服务的质量或性能与政府采购合同不符；或者在质量保证期内，证实服务是存在缺陷（包括潜在的缺陷等），买方应尽快以书面形式通知卖方。卖方在收到通知后 7天内免费维修或更换有缺陷的广告部分。</w:t>
      </w:r>
    </w:p>
    <w:p>
      <w:pPr>
        <w:spacing w:line="480" w:lineRule="exact"/>
        <w:ind w:firstLine="420" w:firstLineChars="200"/>
        <w:jc w:val="left"/>
        <w:rPr>
          <w:rFonts w:ascii="宋体" w:hAnsi="宋体"/>
          <w:color w:val="000000"/>
          <w:szCs w:val="21"/>
        </w:rPr>
      </w:pPr>
      <w:r>
        <w:rPr>
          <w:rFonts w:hint="eastAsia" w:ascii="宋体" w:hAnsi="宋体"/>
          <w:color w:val="000000"/>
          <w:szCs w:val="21"/>
        </w:rPr>
        <w:t>5.2如卖方在收到通知后在政府采购合同规定时间内，没有弥补缺陷，买方可采取必要的补救措施，但由此引发的风险和费用将由卖方承担。</w:t>
      </w:r>
    </w:p>
    <w:p>
      <w:pPr>
        <w:spacing w:line="480" w:lineRule="exact"/>
        <w:ind w:firstLine="420" w:firstLineChars="200"/>
        <w:rPr>
          <w:rFonts w:ascii="宋体" w:hAnsi="宋体" w:cs="Arial"/>
          <w:szCs w:val="21"/>
        </w:rPr>
      </w:pPr>
    </w:p>
    <w:p>
      <w:pPr>
        <w:spacing w:line="480" w:lineRule="exact"/>
        <w:ind w:firstLine="420" w:firstLineChars="200"/>
        <w:rPr>
          <w:rFonts w:ascii="宋体" w:hAnsi="宋体" w:cs="Arial"/>
          <w:szCs w:val="21"/>
        </w:rPr>
      </w:pPr>
      <w:r>
        <w:rPr>
          <w:rFonts w:hint="eastAsia" w:ascii="宋体" w:hAnsi="宋体" w:cs="Arial"/>
          <w:szCs w:val="21"/>
        </w:rPr>
        <w:t>6、其他要求</w:t>
      </w:r>
    </w:p>
    <w:p>
      <w:pPr>
        <w:spacing w:line="480" w:lineRule="exact"/>
        <w:ind w:firstLine="420" w:firstLineChars="200"/>
        <w:jc w:val="left"/>
        <w:rPr>
          <w:rFonts w:ascii="宋体" w:hAnsi="宋体"/>
          <w:color w:val="000000"/>
          <w:szCs w:val="21"/>
        </w:rPr>
      </w:pPr>
      <w:r>
        <w:rPr>
          <w:rFonts w:hint="eastAsia" w:ascii="宋体" w:hAnsi="宋体"/>
          <w:color w:val="000000"/>
          <w:szCs w:val="21"/>
        </w:rPr>
        <w:t>6.1投标供应商需根据项目要求及自身报价，以确保青阳县文化和旅游宣传营销效果最大化为目的，整合相关资源，策划提出宣传推广方案，并负责组织实施。</w:t>
      </w:r>
    </w:p>
    <w:p>
      <w:pPr>
        <w:spacing w:line="480" w:lineRule="exact"/>
        <w:ind w:firstLine="420" w:firstLineChars="200"/>
        <w:jc w:val="left"/>
        <w:rPr>
          <w:rFonts w:ascii="宋体" w:hAnsi="宋体"/>
          <w:color w:val="000000"/>
          <w:szCs w:val="21"/>
        </w:rPr>
      </w:pPr>
      <w:r>
        <w:rPr>
          <w:rFonts w:hint="eastAsia" w:ascii="宋体" w:hAnsi="宋体"/>
          <w:color w:val="000000"/>
          <w:szCs w:val="21"/>
        </w:rPr>
        <w:t>6.2中标供应商须按照采购单位要求对宣传推广内容、时间及方案进行修改完善直至采购人满意为止。采购人有权根据具体工作需要对广告内容和广告排期等予以合理的调整。</w:t>
      </w:r>
    </w:p>
    <w:p>
      <w:pPr>
        <w:spacing w:line="480" w:lineRule="exact"/>
        <w:ind w:firstLine="420" w:firstLineChars="200"/>
        <w:jc w:val="left"/>
        <w:rPr>
          <w:rFonts w:ascii="宋体" w:hAnsi="宋体"/>
          <w:color w:val="000000"/>
          <w:szCs w:val="21"/>
        </w:rPr>
      </w:pPr>
      <w:r>
        <w:rPr>
          <w:rFonts w:hint="eastAsia" w:ascii="宋体" w:hAnsi="宋体"/>
          <w:color w:val="000000"/>
          <w:szCs w:val="21"/>
        </w:rPr>
        <w:t>6.3项目执行过程中，中标供应商需提供项目执行（如资源排期）证明及绩效评估、具有公信力的监测证明（如不定期给采购人提供项目执行图片等相关证明材料）（投标文件中无须提供相关材料）。</w:t>
      </w:r>
    </w:p>
    <w:p>
      <w:pPr>
        <w:spacing w:line="480" w:lineRule="exact"/>
        <w:ind w:firstLine="420" w:firstLineChars="200"/>
        <w:jc w:val="left"/>
        <w:rPr>
          <w:rFonts w:ascii="宋体" w:hAnsi="宋体"/>
          <w:color w:val="000000"/>
          <w:szCs w:val="21"/>
        </w:rPr>
      </w:pPr>
      <w:r>
        <w:rPr>
          <w:rFonts w:hint="eastAsia" w:ascii="宋体" w:hAnsi="宋体"/>
          <w:color w:val="000000"/>
          <w:szCs w:val="21"/>
        </w:rPr>
        <w:t>6.4中标供应商须接受采购人对项目执行情况、服务质量等监督和不定期检查核验，如发现中标供应商少投漏投广告位，采购人将根据广告位的价值加一倍扣除项目款的处罚。采购人有权查看与项目直接相关的凭证和资料，中标供应商应予以配合。</w:t>
      </w:r>
    </w:p>
    <w:p>
      <w:pPr>
        <w:spacing w:line="480" w:lineRule="exact"/>
        <w:ind w:firstLine="420" w:firstLineChars="200"/>
        <w:jc w:val="left"/>
        <w:rPr>
          <w:rFonts w:ascii="宋体" w:hAnsi="宋体"/>
          <w:color w:val="000000"/>
          <w:szCs w:val="21"/>
        </w:rPr>
      </w:pPr>
      <w:r>
        <w:rPr>
          <w:rFonts w:hint="eastAsia" w:ascii="宋体" w:hAnsi="宋体"/>
          <w:color w:val="000000"/>
          <w:szCs w:val="21"/>
        </w:rPr>
        <w:t>6.5中标供应商提供的经采购人书面确认的预算清单将作为采购协议的组成部分。如因国家相关政策、自然灾害或意外事故等不可抗力因素的影响确需变更宣传推广排期时间地点的，中标供应商应及时以书面形式说明情况，并确保新排时段、地点与原定时段、地点等值或超过原定时段、地点价值，经采购人研究并得到书面确认后方可执行变更。</w:t>
      </w:r>
    </w:p>
    <w:p>
      <w:pPr>
        <w:spacing w:line="480" w:lineRule="exact"/>
        <w:ind w:firstLine="420" w:firstLineChars="200"/>
        <w:jc w:val="left"/>
        <w:rPr>
          <w:rFonts w:ascii="宋体" w:hAnsi="宋体"/>
          <w:color w:val="000000"/>
          <w:szCs w:val="21"/>
        </w:rPr>
      </w:pPr>
      <w:r>
        <w:rPr>
          <w:rFonts w:hint="eastAsia" w:ascii="宋体" w:hAnsi="宋体"/>
          <w:color w:val="000000"/>
          <w:szCs w:val="21"/>
        </w:rPr>
        <w:t>6.6中标供应商在宣传推广项目实施过程中，相关配套设施及服务均由中标供应商负责。中标供应商对项目实施安全、通讯、交通、卫生防疫、水电、消防等相关事项自行处理、自行承担责任。中标供应商应当制定切实可行的安全保障制度，制定突发事件应急预案等必要方案，并有效组织实施广告发布。若因中标供应商的原因，导致在项目实施期间发生意外交通事件或者广告安装不牢导致中标单位员工或者第三人遭受人身损害、财产损失的，由中标供应商承担赔偿责任。采购人若先行赔偿的，有权向中标供应商追偿。</w:t>
      </w:r>
    </w:p>
    <w:p>
      <w:pPr>
        <w:spacing w:line="480" w:lineRule="exact"/>
        <w:ind w:firstLine="420" w:firstLineChars="200"/>
        <w:jc w:val="left"/>
        <w:rPr>
          <w:rFonts w:ascii="宋体" w:hAnsi="宋体"/>
          <w:color w:val="000000"/>
          <w:szCs w:val="21"/>
        </w:rPr>
      </w:pPr>
      <w:r>
        <w:rPr>
          <w:rFonts w:hint="eastAsia" w:ascii="宋体" w:hAnsi="宋体"/>
          <w:color w:val="000000"/>
          <w:szCs w:val="21"/>
        </w:rPr>
        <w:t>6.7中标供应商需整合相关材料资源，突出青阳县文化和旅游元素，展现青阳县文化旅游资源。广告设计要创意新颖、视觉唯美，风格独特，要求画面饱满、色彩明快、层次分明、结构清楚、主题突出，完美地展现青阳文旅融合的旅游形象优势。</w:t>
      </w:r>
    </w:p>
    <w:p>
      <w:pPr>
        <w:spacing w:line="480" w:lineRule="exact"/>
        <w:ind w:firstLine="420" w:firstLineChars="200"/>
        <w:jc w:val="left"/>
        <w:rPr>
          <w:rFonts w:ascii="宋体" w:hAnsi="宋体"/>
          <w:color w:val="000000"/>
          <w:szCs w:val="21"/>
        </w:rPr>
      </w:pPr>
      <w:r>
        <w:rPr>
          <w:rFonts w:hint="eastAsia" w:ascii="宋体" w:hAnsi="宋体"/>
          <w:color w:val="000000"/>
          <w:szCs w:val="21"/>
        </w:rPr>
        <w:t>6.8项目涉及广告文案、图形、海报等的著作权人为采购人。中标供应商制作的宣传推广及广告内容等，不得侵犯任何第三方的知识产权、肖像权等其他合法权益。若因中标供应商原因，侵犯第三人知识产权、肖像权等其他合法权益的，由中标供应商承担赔偿责任，采购人先行承担的，有权向中标供应商追偿。</w:t>
      </w:r>
    </w:p>
    <w:p>
      <w:pPr>
        <w:spacing w:line="480" w:lineRule="exact"/>
        <w:ind w:firstLine="420" w:firstLineChars="200"/>
        <w:jc w:val="left"/>
        <w:rPr>
          <w:rFonts w:ascii="宋体" w:hAnsi="宋体"/>
          <w:color w:val="000000"/>
          <w:szCs w:val="21"/>
        </w:rPr>
      </w:pPr>
      <w:r>
        <w:rPr>
          <w:rFonts w:hint="eastAsia" w:ascii="宋体" w:hAnsi="宋体"/>
          <w:color w:val="000000"/>
          <w:szCs w:val="21"/>
        </w:rPr>
        <w:t>6.9服务区的镜面广告上刊由中标供应商负责制作安装，在双方约定期内，中标供应商负责对其提供的媒体产品进行维护或维修。维修服务所发生的费包含在报价中。</w:t>
      </w:r>
    </w:p>
    <w:p>
      <w:pPr>
        <w:spacing w:line="480" w:lineRule="exact"/>
        <w:ind w:firstLine="420" w:firstLineChars="200"/>
        <w:jc w:val="left"/>
        <w:rPr>
          <w:rFonts w:ascii="宋体" w:hAnsi="宋体"/>
          <w:color w:val="000000"/>
          <w:szCs w:val="21"/>
        </w:rPr>
      </w:pPr>
      <w:r>
        <w:rPr>
          <w:rFonts w:hint="eastAsia" w:ascii="宋体" w:hAnsi="宋体"/>
          <w:color w:val="000000"/>
          <w:szCs w:val="21"/>
        </w:rPr>
        <w:t>6.10</w:t>
      </w:r>
      <w:r>
        <w:rPr>
          <w:rFonts w:hint="eastAsia" w:ascii="宋体" w:hAnsi="宋体"/>
          <w:szCs w:val="21"/>
        </w:rPr>
        <w:t>本采购需求由青阳县文化和旅游局负责解释。</w:t>
      </w:r>
    </w:p>
    <w:p>
      <w:pPr>
        <w:spacing w:line="480" w:lineRule="exact"/>
        <w:rPr>
          <w:rFonts w:ascii="宋体" w:hAnsi="宋体" w:cs="Arial"/>
          <w:b/>
          <w:szCs w:val="21"/>
        </w:rPr>
      </w:pPr>
    </w:p>
    <w:p>
      <w:pPr>
        <w:spacing w:line="480" w:lineRule="exact"/>
        <w:rPr>
          <w:rFonts w:ascii="宋体" w:hAnsi="宋体"/>
          <w:b/>
          <w:kern w:val="0"/>
          <w:szCs w:val="21"/>
        </w:rPr>
      </w:pPr>
      <w:r>
        <w:rPr>
          <w:rFonts w:hint="eastAsia" w:ascii="宋体" w:hAnsi="宋体" w:cs="Arial"/>
          <w:b/>
          <w:szCs w:val="21"/>
        </w:rPr>
        <w:t>五、</w:t>
      </w:r>
      <w:r>
        <w:rPr>
          <w:rFonts w:hint="eastAsia" w:ascii="宋体" w:hAnsi="宋体"/>
          <w:b/>
          <w:kern w:val="0"/>
          <w:szCs w:val="21"/>
        </w:rPr>
        <w:t>人员要求</w:t>
      </w:r>
    </w:p>
    <w:p>
      <w:pPr>
        <w:spacing w:line="480" w:lineRule="exact"/>
        <w:ind w:firstLine="210" w:firstLineChars="100"/>
        <w:rPr>
          <w:rFonts w:ascii="宋体" w:hAnsi="宋体"/>
          <w:kern w:val="0"/>
          <w:szCs w:val="21"/>
        </w:rPr>
      </w:pPr>
      <w:r>
        <w:rPr>
          <w:rFonts w:hint="eastAsia" w:ascii="宋体" w:hAnsi="宋体"/>
          <w:kern w:val="0"/>
          <w:szCs w:val="21"/>
        </w:rPr>
        <w:t>1、广告发布总负责经理一名（负责广告发布人员管理、协调调度、广告制作质量检验、广告数量发布审核查验、工作督导负责项目整体顺利实施）。</w:t>
      </w:r>
    </w:p>
    <w:p>
      <w:pPr>
        <w:spacing w:line="480" w:lineRule="exact"/>
        <w:ind w:firstLine="210" w:firstLineChars="100"/>
        <w:rPr>
          <w:rFonts w:ascii="宋体" w:hAnsi="宋体"/>
          <w:kern w:val="0"/>
          <w:szCs w:val="21"/>
        </w:rPr>
      </w:pPr>
      <w:r>
        <w:rPr>
          <w:rFonts w:hint="eastAsia" w:ascii="宋体" w:hAnsi="宋体"/>
          <w:kern w:val="0"/>
          <w:szCs w:val="21"/>
        </w:rPr>
        <w:t>2、广告发布员4名（负责各服务区具体上刊工作）、验刊照片拍摄一名（负责广告拍照统计）</w:t>
      </w:r>
    </w:p>
    <w:p>
      <w:pPr>
        <w:spacing w:line="480" w:lineRule="exact"/>
        <w:rPr>
          <w:rFonts w:ascii="宋体" w:hAnsi="宋体"/>
          <w:b/>
          <w:kern w:val="0"/>
          <w:szCs w:val="21"/>
        </w:rPr>
      </w:pPr>
      <w:r>
        <w:rPr>
          <w:rFonts w:hint="eastAsia" w:ascii="宋体" w:hAnsi="宋体"/>
          <w:b/>
          <w:kern w:val="0"/>
          <w:szCs w:val="21"/>
        </w:rPr>
        <w:t>六、相关设备要求</w:t>
      </w:r>
    </w:p>
    <w:p>
      <w:pPr>
        <w:spacing w:line="480" w:lineRule="exact"/>
        <w:ind w:firstLine="210" w:firstLineChars="100"/>
        <w:rPr>
          <w:rFonts w:ascii="宋体" w:hAnsi="宋体"/>
          <w:kern w:val="0"/>
          <w:szCs w:val="21"/>
        </w:rPr>
      </w:pPr>
      <w:r>
        <w:rPr>
          <w:rFonts w:hint="eastAsia" w:ascii="宋体" w:hAnsi="宋体"/>
          <w:kern w:val="0"/>
          <w:szCs w:val="21"/>
        </w:rPr>
        <w:t>1、镜面媒体设备75X1050CM、画面尺寸35X45CM、画面材质:高清灯片</w:t>
      </w:r>
    </w:p>
    <w:p>
      <w:pPr>
        <w:spacing w:line="480" w:lineRule="exact"/>
        <w:ind w:firstLine="210" w:firstLineChars="100"/>
        <w:rPr>
          <w:rFonts w:ascii="宋体" w:hAnsi="宋体"/>
          <w:kern w:val="0"/>
          <w:szCs w:val="21"/>
        </w:rPr>
      </w:pPr>
      <w:r>
        <w:rPr>
          <w:rFonts w:hint="eastAsia" w:ascii="宋体" w:hAnsi="宋体"/>
          <w:kern w:val="0"/>
          <w:szCs w:val="21"/>
        </w:rPr>
        <w:t>2、每副广告15秒跳转、每天播放平均15个小时、单幅画面播放频次3600次左右/天。</w:t>
      </w:r>
    </w:p>
    <w:p>
      <w:pPr>
        <w:spacing w:line="480" w:lineRule="exact"/>
        <w:rPr>
          <w:rFonts w:ascii="宋体" w:hAnsi="宋体"/>
          <w:kern w:val="0"/>
          <w:szCs w:val="21"/>
        </w:rPr>
      </w:pPr>
    </w:p>
    <w:p>
      <w:pPr>
        <w:spacing w:line="480" w:lineRule="exact"/>
        <w:rPr>
          <w:rFonts w:ascii="宋体" w:hAnsi="宋体"/>
          <w:b/>
          <w:bCs/>
          <w:kern w:val="0"/>
          <w:szCs w:val="21"/>
        </w:rPr>
      </w:pPr>
      <w:r>
        <w:rPr>
          <w:rFonts w:hint="eastAsia" w:ascii="宋体" w:hAnsi="宋体"/>
          <w:b/>
          <w:bCs/>
          <w:kern w:val="0"/>
          <w:szCs w:val="21"/>
        </w:rPr>
        <w:t>七、售后服务/后续服务要求</w:t>
      </w:r>
    </w:p>
    <w:p>
      <w:pPr>
        <w:spacing w:line="480" w:lineRule="exact"/>
        <w:rPr>
          <w:rFonts w:ascii="宋体" w:hAnsi="宋体"/>
          <w:kern w:val="0"/>
          <w:szCs w:val="21"/>
        </w:rPr>
      </w:pPr>
      <w:r>
        <w:rPr>
          <w:rFonts w:hint="eastAsia" w:ascii="宋体" w:hAnsi="宋体"/>
          <w:kern w:val="0"/>
          <w:szCs w:val="21"/>
        </w:rPr>
        <w:t>1、广告发布验收后，每月定期巡视监测维护媒体设备正常使用，及时向采购人提供监测报告。</w:t>
      </w:r>
    </w:p>
    <w:p>
      <w:pPr>
        <w:spacing w:line="480" w:lineRule="exact"/>
        <w:rPr>
          <w:rFonts w:ascii="宋体" w:hAnsi="宋体"/>
          <w:kern w:val="0"/>
          <w:szCs w:val="21"/>
        </w:rPr>
      </w:pPr>
      <w:r>
        <w:rPr>
          <w:rFonts w:hint="eastAsia" w:ascii="宋体" w:hAnsi="宋体"/>
          <w:kern w:val="0"/>
          <w:szCs w:val="21"/>
        </w:rPr>
        <w:t>2、广告发布期间，所涉及的广告画面在协议期内保证数量、质量达到采购人的要求，。</w:t>
      </w:r>
    </w:p>
    <w:p>
      <w:pPr>
        <w:spacing w:line="480" w:lineRule="exact"/>
        <w:rPr>
          <w:rFonts w:ascii="宋体" w:hAnsi="宋体"/>
          <w:kern w:val="0"/>
          <w:szCs w:val="21"/>
        </w:rPr>
      </w:pPr>
    </w:p>
    <w:p>
      <w:pPr>
        <w:spacing w:line="480" w:lineRule="exact"/>
        <w:rPr>
          <w:rFonts w:ascii="宋体" w:hAnsi="宋体"/>
          <w:b/>
          <w:bCs/>
          <w:kern w:val="0"/>
          <w:szCs w:val="21"/>
        </w:rPr>
      </w:pPr>
      <w:r>
        <w:rPr>
          <w:rFonts w:hint="eastAsia" w:ascii="宋体" w:hAnsi="宋体"/>
          <w:b/>
          <w:bCs/>
          <w:kern w:val="0"/>
          <w:szCs w:val="21"/>
        </w:rPr>
        <w:t>八、考核办法/验收方式</w:t>
      </w:r>
    </w:p>
    <w:p>
      <w:pPr>
        <w:spacing w:line="480" w:lineRule="exact"/>
        <w:ind w:firstLine="420" w:firstLineChars="200"/>
        <w:jc w:val="left"/>
        <w:rPr>
          <w:rFonts w:ascii="宋体" w:hAnsi="宋体"/>
          <w:color w:val="000000"/>
          <w:szCs w:val="21"/>
        </w:rPr>
      </w:pPr>
      <w:r>
        <w:rPr>
          <w:rFonts w:hint="eastAsia" w:ascii="宋体" w:hAnsi="宋体"/>
          <w:color w:val="000000"/>
          <w:szCs w:val="21"/>
        </w:rPr>
        <w:t xml:space="preserve">1、采购人为政府采购项目履约验收的责任主体，负责政府采购项目的履约验收工作。 </w:t>
      </w:r>
    </w:p>
    <w:p>
      <w:pPr>
        <w:spacing w:line="480" w:lineRule="exact"/>
        <w:ind w:firstLine="420" w:firstLineChars="200"/>
        <w:jc w:val="left"/>
        <w:rPr>
          <w:rFonts w:ascii="宋体" w:hAnsi="宋体"/>
          <w:color w:val="000000"/>
          <w:szCs w:val="21"/>
        </w:rPr>
      </w:pPr>
      <w:r>
        <w:rPr>
          <w:rFonts w:hint="eastAsia" w:ascii="宋体" w:hAnsi="宋体"/>
          <w:color w:val="000000"/>
          <w:szCs w:val="21"/>
        </w:rPr>
        <w:t xml:space="preserve">2、 采购人与中标供应商应当根据合同法的约定依法履行合同义务。 </w:t>
      </w:r>
    </w:p>
    <w:p>
      <w:pPr>
        <w:spacing w:line="480" w:lineRule="exact"/>
        <w:ind w:firstLine="420" w:firstLineChars="200"/>
        <w:jc w:val="left"/>
        <w:rPr>
          <w:rFonts w:ascii="宋体" w:hAnsi="宋体"/>
          <w:color w:val="000000"/>
          <w:szCs w:val="21"/>
        </w:rPr>
      </w:pPr>
      <w:r>
        <w:rPr>
          <w:rFonts w:hint="eastAsia" w:ascii="宋体" w:hAnsi="宋体"/>
          <w:color w:val="000000"/>
          <w:szCs w:val="21"/>
        </w:rPr>
        <w:t xml:space="preserve">采购合同的履行、违约责任和解决争议的方式等适用《中华人民共和国合同法》。 </w:t>
      </w:r>
    </w:p>
    <w:p>
      <w:pPr>
        <w:spacing w:line="480" w:lineRule="exact"/>
        <w:ind w:firstLine="420" w:firstLineChars="200"/>
        <w:jc w:val="left"/>
        <w:rPr>
          <w:rFonts w:ascii="宋体" w:hAnsi="宋体"/>
          <w:color w:val="000000"/>
          <w:szCs w:val="21"/>
        </w:rPr>
      </w:pPr>
      <w:r>
        <w:rPr>
          <w:rFonts w:hint="eastAsia" w:ascii="宋体" w:hAnsi="宋体"/>
          <w:color w:val="000000"/>
          <w:szCs w:val="21"/>
        </w:rPr>
        <w:t xml:space="preserve">采购人应当加强对中标供应商的履约管理，并按照采购合同约定，及时向中标供应商支付采购资金。对于中标供应商违反采购合同约定的行为，采购人应该及时处理，依法追究其违约责任。 </w:t>
      </w:r>
    </w:p>
    <w:p>
      <w:pPr>
        <w:spacing w:line="480" w:lineRule="exact"/>
        <w:ind w:firstLine="420" w:firstLineChars="200"/>
        <w:jc w:val="left"/>
        <w:rPr>
          <w:rFonts w:ascii="宋体" w:hAnsi="宋体"/>
          <w:color w:val="000000"/>
          <w:szCs w:val="21"/>
        </w:rPr>
      </w:pPr>
      <w:r>
        <w:rPr>
          <w:rFonts w:hint="eastAsia" w:ascii="宋体" w:hAnsi="宋体"/>
          <w:color w:val="000000"/>
          <w:szCs w:val="21"/>
        </w:rPr>
        <w:t xml:space="preserve">3、 采购人验收时，应成立三人以上（由合同双方、资产管理人、技术人员、纪检等相关人员组成）验收小组，明确责任，严格依照采购文件、中标通知书、政府采购合同及相关验收规范进行核对、验收，形成验收结论，并出具书面验收报告。 </w:t>
      </w:r>
    </w:p>
    <w:p>
      <w:pPr>
        <w:spacing w:line="480" w:lineRule="exact"/>
        <w:ind w:firstLine="420" w:firstLineChars="200"/>
        <w:jc w:val="left"/>
        <w:rPr>
          <w:rFonts w:ascii="宋体" w:hAnsi="宋体"/>
          <w:color w:val="000000"/>
          <w:szCs w:val="21"/>
        </w:rPr>
      </w:pPr>
      <w:r>
        <w:rPr>
          <w:rFonts w:hint="eastAsia" w:ascii="宋体" w:hAnsi="宋体"/>
          <w:color w:val="000000"/>
          <w:szCs w:val="21"/>
        </w:rPr>
        <w:t xml:space="preserve">4、涉及安全、消防、环保等其他需要由质检或行业主管部门进行验收的项目，必须邀请相关部门或相关专家参与验收。 </w:t>
      </w:r>
    </w:p>
    <w:p>
      <w:pPr>
        <w:spacing w:line="480" w:lineRule="exact"/>
        <w:ind w:firstLine="420" w:firstLineChars="200"/>
        <w:jc w:val="left"/>
        <w:rPr>
          <w:rFonts w:ascii="宋体" w:hAnsi="宋体"/>
          <w:color w:val="000000"/>
          <w:szCs w:val="21"/>
        </w:rPr>
      </w:pPr>
      <w:r>
        <w:rPr>
          <w:rFonts w:hint="eastAsia" w:ascii="宋体" w:hAnsi="宋体"/>
          <w:color w:val="000000"/>
          <w:szCs w:val="21"/>
        </w:rPr>
        <w:t>5、 检测、验收费用均由合同乙方（中标供应商）承担。</w:t>
      </w:r>
    </w:p>
    <w:p>
      <w:pPr>
        <w:spacing w:line="480" w:lineRule="exact"/>
        <w:rPr>
          <w:rFonts w:ascii="宋体" w:hAnsi="宋体"/>
          <w:b/>
          <w:kern w:val="0"/>
          <w:szCs w:val="21"/>
        </w:rPr>
      </w:pPr>
    </w:p>
    <w:p>
      <w:pPr>
        <w:spacing w:line="480" w:lineRule="exact"/>
        <w:rPr>
          <w:rFonts w:ascii="宋体" w:hAnsi="宋体"/>
          <w:b/>
          <w:kern w:val="0"/>
          <w:szCs w:val="21"/>
        </w:rPr>
      </w:pPr>
      <w:r>
        <w:rPr>
          <w:rFonts w:hint="eastAsia" w:ascii="宋体" w:hAnsi="宋体"/>
          <w:b/>
          <w:kern w:val="0"/>
          <w:szCs w:val="21"/>
        </w:rPr>
        <w:t>九、付款方式</w:t>
      </w:r>
    </w:p>
    <w:p>
      <w:pPr>
        <w:spacing w:line="480" w:lineRule="exact"/>
        <w:ind w:firstLine="411" w:firstLineChars="196"/>
        <w:jc w:val="left"/>
        <w:rPr>
          <w:rFonts w:ascii="宋体" w:hAnsi="宋体"/>
          <w:szCs w:val="21"/>
        </w:rPr>
      </w:pPr>
      <w:r>
        <w:rPr>
          <w:rFonts w:hint="eastAsia" w:ascii="宋体" w:hAnsi="宋体"/>
          <w:szCs w:val="21"/>
        </w:rPr>
        <w:t>付款方式：项目签约后3个工作日内支付合同价款50%，项目上刊并验收合格后支付合同价款的50%。</w:t>
      </w:r>
    </w:p>
    <w:p>
      <w:pPr>
        <w:spacing w:line="480" w:lineRule="exact"/>
        <w:ind w:firstLine="411" w:firstLineChars="196"/>
        <w:jc w:val="left"/>
        <w:rPr>
          <w:rFonts w:ascii="宋体" w:hAnsi="宋体"/>
          <w:szCs w:val="21"/>
        </w:rPr>
      </w:pPr>
    </w:p>
    <w:p>
      <w:pPr>
        <w:snapToGrid w:val="0"/>
        <w:spacing w:line="480" w:lineRule="exact"/>
        <w:rPr>
          <w:rFonts w:ascii="宋体" w:hAnsi="宋体"/>
          <w:b/>
          <w:szCs w:val="21"/>
        </w:rPr>
      </w:pPr>
      <w:r>
        <w:rPr>
          <w:rFonts w:hint="eastAsia" w:ascii="宋体" w:hAnsi="宋体"/>
          <w:szCs w:val="21"/>
        </w:rPr>
        <w:t xml:space="preserve"> </w:t>
      </w:r>
      <w:r>
        <w:rPr>
          <w:rFonts w:hint="eastAsia" w:ascii="宋体" w:hAnsi="宋体"/>
          <w:b/>
          <w:szCs w:val="21"/>
        </w:rPr>
        <w:t>十、评标办法</w:t>
      </w:r>
    </w:p>
    <w:p>
      <w:pPr>
        <w:spacing w:line="480" w:lineRule="exact"/>
        <w:ind w:firstLine="411" w:firstLineChars="196"/>
        <w:jc w:val="left"/>
        <w:rPr>
          <w:rFonts w:ascii="宋体" w:hAnsi="宋体"/>
          <w:szCs w:val="21"/>
        </w:rPr>
      </w:pPr>
      <w:r>
        <w:rPr>
          <w:rFonts w:hint="eastAsia" w:ascii="宋体" w:hAnsi="宋体"/>
          <w:szCs w:val="21"/>
        </w:rPr>
        <w:t>1、本项目</w:t>
      </w:r>
      <w:r>
        <w:rPr>
          <w:rFonts w:ascii="宋体" w:hAnsi="宋体"/>
          <w:szCs w:val="21"/>
        </w:rPr>
        <w:t>采用最低</w:t>
      </w:r>
      <w:r>
        <w:rPr>
          <w:rFonts w:hint="eastAsia" w:ascii="宋体" w:hAnsi="宋体"/>
          <w:szCs w:val="21"/>
        </w:rPr>
        <w:t>价中标（成交）</w:t>
      </w:r>
      <w:r>
        <w:rPr>
          <w:rFonts w:ascii="宋体" w:hAnsi="宋体"/>
          <w:szCs w:val="21"/>
        </w:rPr>
        <w:t>，按</w:t>
      </w:r>
      <w:r>
        <w:rPr>
          <w:rFonts w:hint="eastAsia" w:ascii="宋体" w:hAnsi="宋体"/>
          <w:szCs w:val="21"/>
        </w:rPr>
        <w:t>供应商</w:t>
      </w:r>
      <w:r>
        <w:rPr>
          <w:rFonts w:ascii="宋体" w:hAnsi="宋体"/>
          <w:szCs w:val="21"/>
        </w:rPr>
        <w:t>报价由低到高顺序</w:t>
      </w:r>
      <w:r>
        <w:rPr>
          <w:rFonts w:hint="eastAsia" w:ascii="宋体" w:hAnsi="宋体"/>
          <w:szCs w:val="21"/>
        </w:rPr>
        <w:t>确定中标候选人</w:t>
      </w:r>
      <w:r>
        <w:rPr>
          <w:rFonts w:ascii="宋体" w:hAnsi="宋体"/>
          <w:szCs w:val="21"/>
        </w:rPr>
        <w:t>。报价相同的，按</w:t>
      </w:r>
      <w:r>
        <w:rPr>
          <w:rFonts w:hint="eastAsia" w:ascii="宋体" w:hAnsi="宋体"/>
          <w:szCs w:val="21"/>
        </w:rPr>
        <w:t>摸球大小</w:t>
      </w:r>
      <w:r>
        <w:rPr>
          <w:rFonts w:ascii="宋体" w:hAnsi="宋体"/>
          <w:szCs w:val="21"/>
        </w:rPr>
        <w:t xml:space="preserve">顺序排列。    </w:t>
      </w:r>
    </w:p>
    <w:p>
      <w:pPr>
        <w:spacing w:line="480" w:lineRule="exact"/>
        <w:rPr>
          <w:rFonts w:ascii="宋体" w:hAnsi="宋体"/>
          <w:b/>
          <w:bCs/>
          <w:szCs w:val="21"/>
          <w:u w:val="single"/>
        </w:rPr>
      </w:pPr>
    </w:p>
    <w:p>
      <w:pPr>
        <w:spacing w:line="480" w:lineRule="exact"/>
        <w:rPr>
          <w:rFonts w:ascii="宋体" w:hAnsi="宋体"/>
          <w:b/>
          <w:kern w:val="0"/>
          <w:szCs w:val="21"/>
        </w:rPr>
      </w:pPr>
    </w:p>
    <w:p>
      <w:pPr>
        <w:snapToGrid w:val="0"/>
        <w:spacing w:line="480" w:lineRule="exact"/>
        <w:rPr>
          <w:rFonts w:ascii="宋体" w:hAnsi="宋体"/>
          <w:bCs/>
          <w:szCs w:val="21"/>
        </w:rPr>
      </w:pPr>
      <w:r>
        <w:rPr>
          <w:rFonts w:hint="eastAsia" w:ascii="宋体" w:hAnsi="宋体"/>
          <w:b/>
          <w:kern w:val="0"/>
          <w:szCs w:val="21"/>
        </w:rPr>
        <w:t xml:space="preserve"> </w:t>
      </w:r>
      <w:r>
        <w:rPr>
          <w:rFonts w:hint="eastAsia" w:ascii="宋体" w:hAnsi="宋体"/>
          <w:bCs/>
          <w:szCs w:val="21"/>
        </w:rPr>
        <w:t xml:space="preserve">                                                   采购人（公章）：</w:t>
      </w:r>
    </w:p>
    <w:p>
      <w:pPr>
        <w:snapToGrid w:val="0"/>
        <w:spacing w:line="480" w:lineRule="exact"/>
        <w:rPr>
          <w:rFonts w:ascii="宋体" w:hAnsi="宋体"/>
          <w:bCs/>
          <w:szCs w:val="21"/>
        </w:rPr>
      </w:pPr>
      <w:r>
        <w:rPr>
          <w:rFonts w:hint="eastAsia" w:ascii="宋体" w:hAnsi="宋体"/>
          <w:bCs/>
          <w:szCs w:val="21"/>
        </w:rPr>
        <w:t xml:space="preserve">                                                                年    月    日</w:t>
      </w:r>
    </w:p>
    <w:sectPr>
      <w:footerReference r:id="rId3" w:type="default"/>
      <w:footerReference r:id="rId4" w:type="even"/>
      <w:pgSz w:w="11906" w:h="16838"/>
      <w:pgMar w:top="1701" w:right="1588" w:bottom="1588" w:left="1588" w:header="851" w:footer="107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15" w:rightChars="150"/>
      <w:jc w:val="right"/>
      <w:rPr>
        <w:rFonts w:ascii="宋体" w:hAnsi="宋体"/>
        <w:sz w:val="24"/>
        <w:szCs w:val="24"/>
      </w:rPr>
    </w:pPr>
    <w:r>
      <w:rPr>
        <w:rFonts w:hint="eastAsia" w:ascii="宋体" w:hAnsi="宋体"/>
        <w:sz w:val="24"/>
        <w:szCs w:val="24"/>
      </w:rPr>
      <w:t xml:space="preserve">— </w:t>
    </w:r>
    <w:r>
      <w:rPr>
        <w:rFonts w:ascii="宋体" w:hAnsi="宋体"/>
        <w:sz w:val="28"/>
        <w:szCs w:val="28"/>
      </w:rPr>
      <w:fldChar w:fldCharType="begin"/>
    </w:r>
    <w:r>
      <w:rPr>
        <w:rStyle w:val="12"/>
        <w:rFonts w:ascii="宋体" w:hAnsi="宋体"/>
        <w:sz w:val="28"/>
        <w:szCs w:val="28"/>
      </w:rPr>
      <w:instrText xml:space="preserve"> PAGE </w:instrText>
    </w:r>
    <w:r>
      <w:rPr>
        <w:rFonts w:ascii="宋体" w:hAnsi="宋体"/>
        <w:sz w:val="28"/>
        <w:szCs w:val="28"/>
      </w:rPr>
      <w:fldChar w:fldCharType="separate"/>
    </w:r>
    <w:r>
      <w:rPr>
        <w:rStyle w:val="12"/>
        <w:rFonts w:ascii="宋体" w:hAnsi="宋体"/>
        <w:sz w:val="28"/>
        <w:szCs w:val="28"/>
      </w:rPr>
      <w:t>5</w:t>
    </w:r>
    <w:r>
      <w:rPr>
        <w:rFonts w:ascii="宋体" w:hAnsi="宋体"/>
        <w:sz w:val="28"/>
        <w:szCs w:val="28"/>
      </w:rPr>
      <w:fldChar w:fldCharType="end"/>
    </w:r>
    <w:r>
      <w:rPr>
        <w:rFonts w:hint="eastAsia" w:ascii="宋体" w:hAnsi="宋体"/>
        <w:sz w:val="24"/>
        <w:szCs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firstLineChars="150"/>
      <w:rPr>
        <w:rFonts w:ascii="宋体" w:hAnsi="宋体"/>
        <w:sz w:val="24"/>
        <w:szCs w:val="24"/>
      </w:rPr>
    </w:pPr>
    <w:r>
      <w:rPr>
        <w:rFonts w:hint="eastAsia" w:ascii="宋体" w:hAnsi="宋体"/>
        <w:kern w:val="0"/>
        <w:sz w:val="24"/>
        <w:szCs w:val="24"/>
      </w:rPr>
      <w:t xml:space="preserve">— </w:t>
    </w:r>
    <w:r>
      <w:rPr>
        <w:rFonts w:hint="eastAsia" w:ascii="宋体" w:hAnsi="宋体"/>
        <w:kern w:val="0"/>
        <w:sz w:val="28"/>
        <w:szCs w:val="28"/>
      </w:rPr>
      <w:fldChar w:fldCharType="begin"/>
    </w:r>
    <w:r>
      <w:rPr>
        <w:rFonts w:hint="eastAsia" w:ascii="宋体" w:hAnsi="宋体"/>
        <w:kern w:val="0"/>
        <w:sz w:val="28"/>
        <w:szCs w:val="28"/>
      </w:rPr>
      <w:instrText xml:space="preserve"> PAGE </w:instrText>
    </w:r>
    <w:r>
      <w:rPr>
        <w:rFonts w:hint="eastAsia" w:ascii="宋体" w:hAnsi="宋体"/>
        <w:kern w:val="0"/>
        <w:sz w:val="28"/>
        <w:szCs w:val="28"/>
      </w:rPr>
      <w:fldChar w:fldCharType="separate"/>
    </w:r>
    <w:r>
      <w:rPr>
        <w:rFonts w:ascii="宋体" w:hAnsi="宋体"/>
        <w:kern w:val="0"/>
        <w:sz w:val="28"/>
        <w:szCs w:val="28"/>
      </w:rPr>
      <w:t>6</w:t>
    </w:r>
    <w:r>
      <w:rPr>
        <w:rFonts w:hint="eastAsia" w:ascii="宋体" w:hAnsi="宋体"/>
        <w:kern w:val="0"/>
        <w:sz w:val="28"/>
        <w:szCs w:val="28"/>
      </w:rPr>
      <w:fldChar w:fldCharType="end"/>
    </w:r>
    <w:r>
      <w:rPr>
        <w:rFonts w:hint="eastAsia" w:ascii="宋体" w:hAnsi="宋体"/>
        <w:kern w:val="0"/>
        <w:sz w:val="24"/>
        <w:szCs w:val="24"/>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evenAndOddHeaders w:val="1"/>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B5C34"/>
    <w:rsid w:val="000025E3"/>
    <w:rsid w:val="00006100"/>
    <w:rsid w:val="00006D83"/>
    <w:rsid w:val="00006FAA"/>
    <w:rsid w:val="000103A6"/>
    <w:rsid w:val="000164C4"/>
    <w:rsid w:val="00023BD0"/>
    <w:rsid w:val="00025019"/>
    <w:rsid w:val="000271E4"/>
    <w:rsid w:val="00031593"/>
    <w:rsid w:val="00031643"/>
    <w:rsid w:val="00031D9D"/>
    <w:rsid w:val="00032AE8"/>
    <w:rsid w:val="00032CF8"/>
    <w:rsid w:val="00036A42"/>
    <w:rsid w:val="0004403B"/>
    <w:rsid w:val="000466C2"/>
    <w:rsid w:val="00046BA1"/>
    <w:rsid w:val="00047E3E"/>
    <w:rsid w:val="000500F6"/>
    <w:rsid w:val="00053B51"/>
    <w:rsid w:val="00054B87"/>
    <w:rsid w:val="00056798"/>
    <w:rsid w:val="00057FD2"/>
    <w:rsid w:val="00060A87"/>
    <w:rsid w:val="000644ED"/>
    <w:rsid w:val="00064E0F"/>
    <w:rsid w:val="00066372"/>
    <w:rsid w:val="000667F5"/>
    <w:rsid w:val="00066F62"/>
    <w:rsid w:val="000755EF"/>
    <w:rsid w:val="0008127D"/>
    <w:rsid w:val="00083A21"/>
    <w:rsid w:val="00087B39"/>
    <w:rsid w:val="00094CE8"/>
    <w:rsid w:val="000A0FF0"/>
    <w:rsid w:val="000A205C"/>
    <w:rsid w:val="000A7DDC"/>
    <w:rsid w:val="000B2437"/>
    <w:rsid w:val="000B3BAE"/>
    <w:rsid w:val="000D2C7A"/>
    <w:rsid w:val="000D4466"/>
    <w:rsid w:val="000D7825"/>
    <w:rsid w:val="000E04E2"/>
    <w:rsid w:val="000E5674"/>
    <w:rsid w:val="000F1345"/>
    <w:rsid w:val="000F2522"/>
    <w:rsid w:val="000F30E4"/>
    <w:rsid w:val="000F5018"/>
    <w:rsid w:val="000F5A7E"/>
    <w:rsid w:val="0010051A"/>
    <w:rsid w:val="0010476C"/>
    <w:rsid w:val="00104844"/>
    <w:rsid w:val="001127CF"/>
    <w:rsid w:val="001141D3"/>
    <w:rsid w:val="00114B43"/>
    <w:rsid w:val="00115A59"/>
    <w:rsid w:val="00117CA7"/>
    <w:rsid w:val="00121743"/>
    <w:rsid w:val="00123C9F"/>
    <w:rsid w:val="00125667"/>
    <w:rsid w:val="00130E88"/>
    <w:rsid w:val="00132EF9"/>
    <w:rsid w:val="001331B0"/>
    <w:rsid w:val="001365DD"/>
    <w:rsid w:val="00140161"/>
    <w:rsid w:val="001436DB"/>
    <w:rsid w:val="00143D18"/>
    <w:rsid w:val="001452FF"/>
    <w:rsid w:val="00146301"/>
    <w:rsid w:val="001465B3"/>
    <w:rsid w:val="00150C97"/>
    <w:rsid w:val="001516AA"/>
    <w:rsid w:val="001554E7"/>
    <w:rsid w:val="00156A0E"/>
    <w:rsid w:val="00160CA1"/>
    <w:rsid w:val="00160D6C"/>
    <w:rsid w:val="00162EEF"/>
    <w:rsid w:val="00163CC6"/>
    <w:rsid w:val="00171F8A"/>
    <w:rsid w:val="00172514"/>
    <w:rsid w:val="001773CE"/>
    <w:rsid w:val="00182448"/>
    <w:rsid w:val="00182FB3"/>
    <w:rsid w:val="001942A2"/>
    <w:rsid w:val="00195AEE"/>
    <w:rsid w:val="00196199"/>
    <w:rsid w:val="00196A4E"/>
    <w:rsid w:val="00197B7D"/>
    <w:rsid w:val="001A0B53"/>
    <w:rsid w:val="001A2DB7"/>
    <w:rsid w:val="001A3FE6"/>
    <w:rsid w:val="001A411B"/>
    <w:rsid w:val="001A4E69"/>
    <w:rsid w:val="001B39B1"/>
    <w:rsid w:val="001B56C7"/>
    <w:rsid w:val="001C42AF"/>
    <w:rsid w:val="001C5C40"/>
    <w:rsid w:val="001C64B5"/>
    <w:rsid w:val="001C697D"/>
    <w:rsid w:val="001C72F9"/>
    <w:rsid w:val="001D08EE"/>
    <w:rsid w:val="001D09A6"/>
    <w:rsid w:val="001D171E"/>
    <w:rsid w:val="001D1F84"/>
    <w:rsid w:val="001D23C5"/>
    <w:rsid w:val="001D242D"/>
    <w:rsid w:val="001D44E4"/>
    <w:rsid w:val="001D761F"/>
    <w:rsid w:val="001E1C04"/>
    <w:rsid w:val="001E1D7E"/>
    <w:rsid w:val="001E2D8F"/>
    <w:rsid w:val="001E3345"/>
    <w:rsid w:val="001E46D3"/>
    <w:rsid w:val="001E6229"/>
    <w:rsid w:val="001E78DA"/>
    <w:rsid w:val="001F65FC"/>
    <w:rsid w:val="002009E0"/>
    <w:rsid w:val="00206C3F"/>
    <w:rsid w:val="00210890"/>
    <w:rsid w:val="00211E73"/>
    <w:rsid w:val="0021294A"/>
    <w:rsid w:val="002139AB"/>
    <w:rsid w:val="00231A18"/>
    <w:rsid w:val="00240E25"/>
    <w:rsid w:val="002419AB"/>
    <w:rsid w:val="002503FF"/>
    <w:rsid w:val="002525FF"/>
    <w:rsid w:val="00254359"/>
    <w:rsid w:val="00257E15"/>
    <w:rsid w:val="00263AC1"/>
    <w:rsid w:val="0026469D"/>
    <w:rsid w:val="00266E36"/>
    <w:rsid w:val="002702C2"/>
    <w:rsid w:val="00272EC9"/>
    <w:rsid w:val="00273842"/>
    <w:rsid w:val="00275AFC"/>
    <w:rsid w:val="00282EBE"/>
    <w:rsid w:val="002842D2"/>
    <w:rsid w:val="00284430"/>
    <w:rsid w:val="00285202"/>
    <w:rsid w:val="0028776B"/>
    <w:rsid w:val="00287E9C"/>
    <w:rsid w:val="0029054B"/>
    <w:rsid w:val="00295049"/>
    <w:rsid w:val="00296B70"/>
    <w:rsid w:val="002A1EAD"/>
    <w:rsid w:val="002A2DA9"/>
    <w:rsid w:val="002A3CB7"/>
    <w:rsid w:val="002A7C56"/>
    <w:rsid w:val="002B1FE9"/>
    <w:rsid w:val="002B37BB"/>
    <w:rsid w:val="002C0070"/>
    <w:rsid w:val="002C078A"/>
    <w:rsid w:val="002C3522"/>
    <w:rsid w:val="002C6259"/>
    <w:rsid w:val="002D231E"/>
    <w:rsid w:val="002D4962"/>
    <w:rsid w:val="002D6558"/>
    <w:rsid w:val="002E4A4A"/>
    <w:rsid w:val="002E5C0D"/>
    <w:rsid w:val="002E5FA9"/>
    <w:rsid w:val="002F2E6E"/>
    <w:rsid w:val="002F433A"/>
    <w:rsid w:val="002F4963"/>
    <w:rsid w:val="002F4C2C"/>
    <w:rsid w:val="002F62A5"/>
    <w:rsid w:val="002F71D2"/>
    <w:rsid w:val="002F75A5"/>
    <w:rsid w:val="003028D5"/>
    <w:rsid w:val="00304C32"/>
    <w:rsid w:val="003075B0"/>
    <w:rsid w:val="00310654"/>
    <w:rsid w:val="00311436"/>
    <w:rsid w:val="003136C9"/>
    <w:rsid w:val="00316264"/>
    <w:rsid w:val="00320329"/>
    <w:rsid w:val="003232CC"/>
    <w:rsid w:val="00323917"/>
    <w:rsid w:val="003242B1"/>
    <w:rsid w:val="00324C15"/>
    <w:rsid w:val="0032706D"/>
    <w:rsid w:val="003368E5"/>
    <w:rsid w:val="003407C1"/>
    <w:rsid w:val="00343425"/>
    <w:rsid w:val="00343964"/>
    <w:rsid w:val="00345CFD"/>
    <w:rsid w:val="00346410"/>
    <w:rsid w:val="00352230"/>
    <w:rsid w:val="003532C8"/>
    <w:rsid w:val="00355FF7"/>
    <w:rsid w:val="003575DE"/>
    <w:rsid w:val="00360960"/>
    <w:rsid w:val="00360F86"/>
    <w:rsid w:val="00361447"/>
    <w:rsid w:val="00363D4A"/>
    <w:rsid w:val="00364B02"/>
    <w:rsid w:val="00365B69"/>
    <w:rsid w:val="00367A70"/>
    <w:rsid w:val="00370A99"/>
    <w:rsid w:val="003742DF"/>
    <w:rsid w:val="00374C07"/>
    <w:rsid w:val="003804CF"/>
    <w:rsid w:val="00380BDD"/>
    <w:rsid w:val="00384746"/>
    <w:rsid w:val="00386FAD"/>
    <w:rsid w:val="00391AC7"/>
    <w:rsid w:val="00393DF2"/>
    <w:rsid w:val="0039440C"/>
    <w:rsid w:val="00394C79"/>
    <w:rsid w:val="00395341"/>
    <w:rsid w:val="0039784C"/>
    <w:rsid w:val="003979BF"/>
    <w:rsid w:val="003A095D"/>
    <w:rsid w:val="003A0C87"/>
    <w:rsid w:val="003A1150"/>
    <w:rsid w:val="003A2A37"/>
    <w:rsid w:val="003A5FB5"/>
    <w:rsid w:val="003B098C"/>
    <w:rsid w:val="003B0A29"/>
    <w:rsid w:val="003B0C68"/>
    <w:rsid w:val="003B0FE2"/>
    <w:rsid w:val="003B2727"/>
    <w:rsid w:val="003B5B3D"/>
    <w:rsid w:val="003B6222"/>
    <w:rsid w:val="003C0FC1"/>
    <w:rsid w:val="003C1E72"/>
    <w:rsid w:val="003C2B23"/>
    <w:rsid w:val="003C40D8"/>
    <w:rsid w:val="003D100E"/>
    <w:rsid w:val="003D1AE9"/>
    <w:rsid w:val="003D4474"/>
    <w:rsid w:val="003D4DC7"/>
    <w:rsid w:val="003D4F97"/>
    <w:rsid w:val="003D63EA"/>
    <w:rsid w:val="003D735F"/>
    <w:rsid w:val="003E00CF"/>
    <w:rsid w:val="003E2FA2"/>
    <w:rsid w:val="003E4681"/>
    <w:rsid w:val="003E5463"/>
    <w:rsid w:val="003E7787"/>
    <w:rsid w:val="003F0956"/>
    <w:rsid w:val="003F25FF"/>
    <w:rsid w:val="003F4A6F"/>
    <w:rsid w:val="003F6C36"/>
    <w:rsid w:val="003F7174"/>
    <w:rsid w:val="003F7E61"/>
    <w:rsid w:val="0040008B"/>
    <w:rsid w:val="00402BFF"/>
    <w:rsid w:val="00405790"/>
    <w:rsid w:val="00406712"/>
    <w:rsid w:val="00407318"/>
    <w:rsid w:val="00407BF8"/>
    <w:rsid w:val="0041381F"/>
    <w:rsid w:val="004150B8"/>
    <w:rsid w:val="00421D70"/>
    <w:rsid w:val="00422963"/>
    <w:rsid w:val="00423EC8"/>
    <w:rsid w:val="004248AD"/>
    <w:rsid w:val="00427583"/>
    <w:rsid w:val="004318D0"/>
    <w:rsid w:val="00433548"/>
    <w:rsid w:val="00435566"/>
    <w:rsid w:val="00443209"/>
    <w:rsid w:val="00443444"/>
    <w:rsid w:val="00447FC4"/>
    <w:rsid w:val="00451694"/>
    <w:rsid w:val="004527DC"/>
    <w:rsid w:val="00452BAD"/>
    <w:rsid w:val="00453F9F"/>
    <w:rsid w:val="0045546E"/>
    <w:rsid w:val="00457942"/>
    <w:rsid w:val="00457B3E"/>
    <w:rsid w:val="004604BA"/>
    <w:rsid w:val="00460D0F"/>
    <w:rsid w:val="00462767"/>
    <w:rsid w:val="00465B10"/>
    <w:rsid w:val="00465D85"/>
    <w:rsid w:val="0046733E"/>
    <w:rsid w:val="00470631"/>
    <w:rsid w:val="0047357A"/>
    <w:rsid w:val="00484455"/>
    <w:rsid w:val="0048588F"/>
    <w:rsid w:val="00485DF6"/>
    <w:rsid w:val="00494821"/>
    <w:rsid w:val="0049644F"/>
    <w:rsid w:val="004A14AF"/>
    <w:rsid w:val="004A2441"/>
    <w:rsid w:val="004B0153"/>
    <w:rsid w:val="004B02D2"/>
    <w:rsid w:val="004B1502"/>
    <w:rsid w:val="004B16F6"/>
    <w:rsid w:val="004B1A1A"/>
    <w:rsid w:val="004B473C"/>
    <w:rsid w:val="004C0154"/>
    <w:rsid w:val="004C01D1"/>
    <w:rsid w:val="004C2F2C"/>
    <w:rsid w:val="004C50DE"/>
    <w:rsid w:val="004D5822"/>
    <w:rsid w:val="004E3ACF"/>
    <w:rsid w:val="004E4901"/>
    <w:rsid w:val="004F3032"/>
    <w:rsid w:val="004F5541"/>
    <w:rsid w:val="00510482"/>
    <w:rsid w:val="00511A2C"/>
    <w:rsid w:val="00513A3A"/>
    <w:rsid w:val="00516CAD"/>
    <w:rsid w:val="005202DA"/>
    <w:rsid w:val="005214F6"/>
    <w:rsid w:val="00523021"/>
    <w:rsid w:val="00525CEB"/>
    <w:rsid w:val="00531961"/>
    <w:rsid w:val="00531B34"/>
    <w:rsid w:val="005340E4"/>
    <w:rsid w:val="00534DC2"/>
    <w:rsid w:val="00535836"/>
    <w:rsid w:val="0053716D"/>
    <w:rsid w:val="00543E67"/>
    <w:rsid w:val="00551D60"/>
    <w:rsid w:val="005528A8"/>
    <w:rsid w:val="005532F3"/>
    <w:rsid w:val="00553790"/>
    <w:rsid w:val="005539E2"/>
    <w:rsid w:val="00554B8A"/>
    <w:rsid w:val="00564368"/>
    <w:rsid w:val="00564599"/>
    <w:rsid w:val="00566617"/>
    <w:rsid w:val="00570C62"/>
    <w:rsid w:val="00570D4A"/>
    <w:rsid w:val="00571364"/>
    <w:rsid w:val="00572FB5"/>
    <w:rsid w:val="005741C0"/>
    <w:rsid w:val="0057649F"/>
    <w:rsid w:val="005820CE"/>
    <w:rsid w:val="00590211"/>
    <w:rsid w:val="005921D3"/>
    <w:rsid w:val="00592793"/>
    <w:rsid w:val="00596B86"/>
    <w:rsid w:val="00597172"/>
    <w:rsid w:val="00597B6C"/>
    <w:rsid w:val="005A1F2C"/>
    <w:rsid w:val="005A5118"/>
    <w:rsid w:val="005B19C1"/>
    <w:rsid w:val="005B2B8E"/>
    <w:rsid w:val="005B502A"/>
    <w:rsid w:val="005C342F"/>
    <w:rsid w:val="005C5AED"/>
    <w:rsid w:val="005D0056"/>
    <w:rsid w:val="005D2848"/>
    <w:rsid w:val="005D532C"/>
    <w:rsid w:val="005D5A14"/>
    <w:rsid w:val="005D6343"/>
    <w:rsid w:val="005D7089"/>
    <w:rsid w:val="005D7DAD"/>
    <w:rsid w:val="005E3474"/>
    <w:rsid w:val="005F3DEE"/>
    <w:rsid w:val="005F5AE6"/>
    <w:rsid w:val="005F5EDA"/>
    <w:rsid w:val="00601504"/>
    <w:rsid w:val="00603AD5"/>
    <w:rsid w:val="00604F26"/>
    <w:rsid w:val="00611440"/>
    <w:rsid w:val="00612C2D"/>
    <w:rsid w:val="00612C90"/>
    <w:rsid w:val="00613C6C"/>
    <w:rsid w:val="00614381"/>
    <w:rsid w:val="00615649"/>
    <w:rsid w:val="00615BFD"/>
    <w:rsid w:val="00617A3C"/>
    <w:rsid w:val="00631B4F"/>
    <w:rsid w:val="00632042"/>
    <w:rsid w:val="00632101"/>
    <w:rsid w:val="00634338"/>
    <w:rsid w:val="0064235F"/>
    <w:rsid w:val="006426A2"/>
    <w:rsid w:val="006427B4"/>
    <w:rsid w:val="0064542C"/>
    <w:rsid w:val="006465CB"/>
    <w:rsid w:val="006511B4"/>
    <w:rsid w:val="00653C51"/>
    <w:rsid w:val="006572FB"/>
    <w:rsid w:val="00670772"/>
    <w:rsid w:val="00671E88"/>
    <w:rsid w:val="00674909"/>
    <w:rsid w:val="0067563A"/>
    <w:rsid w:val="00675CD6"/>
    <w:rsid w:val="006775FE"/>
    <w:rsid w:val="006807E1"/>
    <w:rsid w:val="00683164"/>
    <w:rsid w:val="006851EF"/>
    <w:rsid w:val="0068614B"/>
    <w:rsid w:val="006879F9"/>
    <w:rsid w:val="0069014E"/>
    <w:rsid w:val="00691D4A"/>
    <w:rsid w:val="00692046"/>
    <w:rsid w:val="00694898"/>
    <w:rsid w:val="00695BEA"/>
    <w:rsid w:val="00696580"/>
    <w:rsid w:val="00696C3D"/>
    <w:rsid w:val="006A20F7"/>
    <w:rsid w:val="006A23D9"/>
    <w:rsid w:val="006A6813"/>
    <w:rsid w:val="006B2B94"/>
    <w:rsid w:val="006B3D42"/>
    <w:rsid w:val="006B4D6B"/>
    <w:rsid w:val="006B75B1"/>
    <w:rsid w:val="006C0225"/>
    <w:rsid w:val="006C02D1"/>
    <w:rsid w:val="006C660B"/>
    <w:rsid w:val="006D0F17"/>
    <w:rsid w:val="006D1558"/>
    <w:rsid w:val="006D263F"/>
    <w:rsid w:val="006D5175"/>
    <w:rsid w:val="006D7CB5"/>
    <w:rsid w:val="006E0067"/>
    <w:rsid w:val="006E13A0"/>
    <w:rsid w:val="006E2220"/>
    <w:rsid w:val="006E43CC"/>
    <w:rsid w:val="006E4C53"/>
    <w:rsid w:val="006E548F"/>
    <w:rsid w:val="006E54BF"/>
    <w:rsid w:val="006E5C07"/>
    <w:rsid w:val="006F042C"/>
    <w:rsid w:val="006F2329"/>
    <w:rsid w:val="006F37BB"/>
    <w:rsid w:val="006F51C9"/>
    <w:rsid w:val="00700FED"/>
    <w:rsid w:val="00703410"/>
    <w:rsid w:val="007041A5"/>
    <w:rsid w:val="00705E8D"/>
    <w:rsid w:val="00706ACB"/>
    <w:rsid w:val="00710083"/>
    <w:rsid w:val="00711128"/>
    <w:rsid w:val="0071166E"/>
    <w:rsid w:val="0071216F"/>
    <w:rsid w:val="00716B04"/>
    <w:rsid w:val="00716C57"/>
    <w:rsid w:val="007203C0"/>
    <w:rsid w:val="0072356C"/>
    <w:rsid w:val="007266A1"/>
    <w:rsid w:val="0073154B"/>
    <w:rsid w:val="00735EB2"/>
    <w:rsid w:val="007368B8"/>
    <w:rsid w:val="00744F08"/>
    <w:rsid w:val="00746C44"/>
    <w:rsid w:val="00747EF8"/>
    <w:rsid w:val="00751736"/>
    <w:rsid w:val="00752B9A"/>
    <w:rsid w:val="00755CBE"/>
    <w:rsid w:val="00757E0F"/>
    <w:rsid w:val="007624B8"/>
    <w:rsid w:val="00762A1C"/>
    <w:rsid w:val="00763BE8"/>
    <w:rsid w:val="00766284"/>
    <w:rsid w:val="007664C3"/>
    <w:rsid w:val="007724C0"/>
    <w:rsid w:val="00777057"/>
    <w:rsid w:val="0077717D"/>
    <w:rsid w:val="00780DD5"/>
    <w:rsid w:val="007811E0"/>
    <w:rsid w:val="00783958"/>
    <w:rsid w:val="007856D1"/>
    <w:rsid w:val="00785987"/>
    <w:rsid w:val="00786812"/>
    <w:rsid w:val="007945D0"/>
    <w:rsid w:val="007A3099"/>
    <w:rsid w:val="007A71F0"/>
    <w:rsid w:val="007B4273"/>
    <w:rsid w:val="007B5508"/>
    <w:rsid w:val="007B6C2A"/>
    <w:rsid w:val="007B7654"/>
    <w:rsid w:val="007C7391"/>
    <w:rsid w:val="007C7D12"/>
    <w:rsid w:val="007D66DE"/>
    <w:rsid w:val="007E10CF"/>
    <w:rsid w:val="007E1D5B"/>
    <w:rsid w:val="007E5690"/>
    <w:rsid w:val="007E5D61"/>
    <w:rsid w:val="007F0B5E"/>
    <w:rsid w:val="007F2387"/>
    <w:rsid w:val="007F254F"/>
    <w:rsid w:val="007F2CD9"/>
    <w:rsid w:val="007F3C0C"/>
    <w:rsid w:val="007F42B1"/>
    <w:rsid w:val="007F5B2A"/>
    <w:rsid w:val="007F621C"/>
    <w:rsid w:val="007F765E"/>
    <w:rsid w:val="008016E6"/>
    <w:rsid w:val="00801AAF"/>
    <w:rsid w:val="00806DAA"/>
    <w:rsid w:val="00811B37"/>
    <w:rsid w:val="008121D8"/>
    <w:rsid w:val="008152EC"/>
    <w:rsid w:val="00816420"/>
    <w:rsid w:val="00817C42"/>
    <w:rsid w:val="00820C76"/>
    <w:rsid w:val="00822762"/>
    <w:rsid w:val="00822A95"/>
    <w:rsid w:val="0082588D"/>
    <w:rsid w:val="00826CF1"/>
    <w:rsid w:val="00830EBE"/>
    <w:rsid w:val="00831993"/>
    <w:rsid w:val="00842B5B"/>
    <w:rsid w:val="008447CD"/>
    <w:rsid w:val="008450DC"/>
    <w:rsid w:val="00854939"/>
    <w:rsid w:val="00861AF4"/>
    <w:rsid w:val="0086462B"/>
    <w:rsid w:val="00871144"/>
    <w:rsid w:val="00873EF3"/>
    <w:rsid w:val="00874F77"/>
    <w:rsid w:val="00876484"/>
    <w:rsid w:val="00887E6A"/>
    <w:rsid w:val="008A0615"/>
    <w:rsid w:val="008A1856"/>
    <w:rsid w:val="008A7857"/>
    <w:rsid w:val="008B048F"/>
    <w:rsid w:val="008B1BD8"/>
    <w:rsid w:val="008B21A9"/>
    <w:rsid w:val="008B4C8F"/>
    <w:rsid w:val="008B7C8D"/>
    <w:rsid w:val="008C0504"/>
    <w:rsid w:val="008C057C"/>
    <w:rsid w:val="008C11F8"/>
    <w:rsid w:val="008C25BF"/>
    <w:rsid w:val="008C3934"/>
    <w:rsid w:val="008C3CA1"/>
    <w:rsid w:val="008C3D8F"/>
    <w:rsid w:val="008C4481"/>
    <w:rsid w:val="008D0269"/>
    <w:rsid w:val="008D42AF"/>
    <w:rsid w:val="008D67C7"/>
    <w:rsid w:val="008E046F"/>
    <w:rsid w:val="008E1E3F"/>
    <w:rsid w:val="008E49BB"/>
    <w:rsid w:val="008E5ADD"/>
    <w:rsid w:val="008E7E41"/>
    <w:rsid w:val="008F144E"/>
    <w:rsid w:val="008F15A3"/>
    <w:rsid w:val="008F2343"/>
    <w:rsid w:val="008F3CBB"/>
    <w:rsid w:val="008F3FDE"/>
    <w:rsid w:val="008F5406"/>
    <w:rsid w:val="008F593A"/>
    <w:rsid w:val="00905A0F"/>
    <w:rsid w:val="00907A0F"/>
    <w:rsid w:val="0091176C"/>
    <w:rsid w:val="009120EE"/>
    <w:rsid w:val="00914318"/>
    <w:rsid w:val="009159FC"/>
    <w:rsid w:val="00917ED5"/>
    <w:rsid w:val="00920D01"/>
    <w:rsid w:val="00920D94"/>
    <w:rsid w:val="00920FDB"/>
    <w:rsid w:val="00921CC7"/>
    <w:rsid w:val="0092228C"/>
    <w:rsid w:val="009243DE"/>
    <w:rsid w:val="009243ED"/>
    <w:rsid w:val="009260A0"/>
    <w:rsid w:val="0092753F"/>
    <w:rsid w:val="009300AC"/>
    <w:rsid w:val="00930329"/>
    <w:rsid w:val="009346DE"/>
    <w:rsid w:val="00941C7A"/>
    <w:rsid w:val="009420AF"/>
    <w:rsid w:val="0094592B"/>
    <w:rsid w:val="0094622F"/>
    <w:rsid w:val="00950734"/>
    <w:rsid w:val="009542B2"/>
    <w:rsid w:val="00955213"/>
    <w:rsid w:val="00960485"/>
    <w:rsid w:val="009608CD"/>
    <w:rsid w:val="00966F67"/>
    <w:rsid w:val="00970A3F"/>
    <w:rsid w:val="009716DD"/>
    <w:rsid w:val="00991A91"/>
    <w:rsid w:val="00992A93"/>
    <w:rsid w:val="00993696"/>
    <w:rsid w:val="00997456"/>
    <w:rsid w:val="00997B2B"/>
    <w:rsid w:val="00997F1A"/>
    <w:rsid w:val="009A27F8"/>
    <w:rsid w:val="009A36CD"/>
    <w:rsid w:val="009A39D8"/>
    <w:rsid w:val="009A40A8"/>
    <w:rsid w:val="009A5461"/>
    <w:rsid w:val="009B3F2A"/>
    <w:rsid w:val="009B3F65"/>
    <w:rsid w:val="009B482E"/>
    <w:rsid w:val="009B5AD7"/>
    <w:rsid w:val="009B684A"/>
    <w:rsid w:val="009C0382"/>
    <w:rsid w:val="009C09C2"/>
    <w:rsid w:val="009C2E82"/>
    <w:rsid w:val="009C45D4"/>
    <w:rsid w:val="009C5558"/>
    <w:rsid w:val="009D1BC2"/>
    <w:rsid w:val="009D5728"/>
    <w:rsid w:val="009F0AAC"/>
    <w:rsid w:val="009F0AFE"/>
    <w:rsid w:val="009F68F5"/>
    <w:rsid w:val="009F7295"/>
    <w:rsid w:val="00A0455D"/>
    <w:rsid w:val="00A065A7"/>
    <w:rsid w:val="00A1042B"/>
    <w:rsid w:val="00A107F8"/>
    <w:rsid w:val="00A12044"/>
    <w:rsid w:val="00A16D44"/>
    <w:rsid w:val="00A1778D"/>
    <w:rsid w:val="00A17E11"/>
    <w:rsid w:val="00A2107A"/>
    <w:rsid w:val="00A3214F"/>
    <w:rsid w:val="00A33094"/>
    <w:rsid w:val="00A364D9"/>
    <w:rsid w:val="00A44A03"/>
    <w:rsid w:val="00A45771"/>
    <w:rsid w:val="00A508CB"/>
    <w:rsid w:val="00A50CA6"/>
    <w:rsid w:val="00A52227"/>
    <w:rsid w:val="00A52AB4"/>
    <w:rsid w:val="00A6444A"/>
    <w:rsid w:val="00A659B1"/>
    <w:rsid w:val="00A67175"/>
    <w:rsid w:val="00A67DE3"/>
    <w:rsid w:val="00A70249"/>
    <w:rsid w:val="00A72BC7"/>
    <w:rsid w:val="00A77036"/>
    <w:rsid w:val="00A87408"/>
    <w:rsid w:val="00A91D2C"/>
    <w:rsid w:val="00A9320E"/>
    <w:rsid w:val="00A93371"/>
    <w:rsid w:val="00A97771"/>
    <w:rsid w:val="00A97E6B"/>
    <w:rsid w:val="00AA074F"/>
    <w:rsid w:val="00AA1C80"/>
    <w:rsid w:val="00AA5ACF"/>
    <w:rsid w:val="00AB3F6C"/>
    <w:rsid w:val="00AC0841"/>
    <w:rsid w:val="00AC3C9C"/>
    <w:rsid w:val="00AD02A1"/>
    <w:rsid w:val="00AE0F8A"/>
    <w:rsid w:val="00AE2A96"/>
    <w:rsid w:val="00AE3A8E"/>
    <w:rsid w:val="00AE4F00"/>
    <w:rsid w:val="00AE61FF"/>
    <w:rsid w:val="00AF19C9"/>
    <w:rsid w:val="00AF53E7"/>
    <w:rsid w:val="00B023B1"/>
    <w:rsid w:val="00B07AFF"/>
    <w:rsid w:val="00B07CCD"/>
    <w:rsid w:val="00B11127"/>
    <w:rsid w:val="00B1554D"/>
    <w:rsid w:val="00B24085"/>
    <w:rsid w:val="00B245D0"/>
    <w:rsid w:val="00B24A31"/>
    <w:rsid w:val="00B30955"/>
    <w:rsid w:val="00B31DAB"/>
    <w:rsid w:val="00B36A4F"/>
    <w:rsid w:val="00B4122C"/>
    <w:rsid w:val="00B513E6"/>
    <w:rsid w:val="00B51BFB"/>
    <w:rsid w:val="00B56F6F"/>
    <w:rsid w:val="00B60169"/>
    <w:rsid w:val="00B637D8"/>
    <w:rsid w:val="00B650F8"/>
    <w:rsid w:val="00B661EE"/>
    <w:rsid w:val="00B67AC9"/>
    <w:rsid w:val="00B704E5"/>
    <w:rsid w:val="00B70775"/>
    <w:rsid w:val="00B70A52"/>
    <w:rsid w:val="00B72167"/>
    <w:rsid w:val="00B77F3D"/>
    <w:rsid w:val="00B833E2"/>
    <w:rsid w:val="00B84198"/>
    <w:rsid w:val="00BA0A2A"/>
    <w:rsid w:val="00BA3781"/>
    <w:rsid w:val="00BA4527"/>
    <w:rsid w:val="00BA6D6A"/>
    <w:rsid w:val="00BB0C00"/>
    <w:rsid w:val="00BB5B71"/>
    <w:rsid w:val="00BB60AC"/>
    <w:rsid w:val="00BB693F"/>
    <w:rsid w:val="00BC0F5C"/>
    <w:rsid w:val="00BC1AB9"/>
    <w:rsid w:val="00BC35B1"/>
    <w:rsid w:val="00BC3D56"/>
    <w:rsid w:val="00BC7294"/>
    <w:rsid w:val="00BD46CA"/>
    <w:rsid w:val="00BD46D5"/>
    <w:rsid w:val="00BD591D"/>
    <w:rsid w:val="00BD6B9F"/>
    <w:rsid w:val="00BD6EC7"/>
    <w:rsid w:val="00BE0300"/>
    <w:rsid w:val="00BE42DD"/>
    <w:rsid w:val="00BE57D6"/>
    <w:rsid w:val="00BF2636"/>
    <w:rsid w:val="00BF333A"/>
    <w:rsid w:val="00BF5A36"/>
    <w:rsid w:val="00C010CC"/>
    <w:rsid w:val="00C015CB"/>
    <w:rsid w:val="00C01F77"/>
    <w:rsid w:val="00C044F7"/>
    <w:rsid w:val="00C106FC"/>
    <w:rsid w:val="00C11B24"/>
    <w:rsid w:val="00C13BE4"/>
    <w:rsid w:val="00C1502F"/>
    <w:rsid w:val="00C15B50"/>
    <w:rsid w:val="00C17783"/>
    <w:rsid w:val="00C231C7"/>
    <w:rsid w:val="00C23B57"/>
    <w:rsid w:val="00C33EAC"/>
    <w:rsid w:val="00C350F1"/>
    <w:rsid w:val="00C42DCF"/>
    <w:rsid w:val="00C43206"/>
    <w:rsid w:val="00C440F6"/>
    <w:rsid w:val="00C45436"/>
    <w:rsid w:val="00C45831"/>
    <w:rsid w:val="00C46197"/>
    <w:rsid w:val="00C466AC"/>
    <w:rsid w:val="00C508ED"/>
    <w:rsid w:val="00C52ADE"/>
    <w:rsid w:val="00C54220"/>
    <w:rsid w:val="00C55E08"/>
    <w:rsid w:val="00C56AE7"/>
    <w:rsid w:val="00C579FB"/>
    <w:rsid w:val="00C616B8"/>
    <w:rsid w:val="00C637C5"/>
    <w:rsid w:val="00C65FAF"/>
    <w:rsid w:val="00C71306"/>
    <w:rsid w:val="00C71E83"/>
    <w:rsid w:val="00C77E0D"/>
    <w:rsid w:val="00C77F34"/>
    <w:rsid w:val="00C82F35"/>
    <w:rsid w:val="00C83C74"/>
    <w:rsid w:val="00C90AAE"/>
    <w:rsid w:val="00C91303"/>
    <w:rsid w:val="00C94C41"/>
    <w:rsid w:val="00C97B84"/>
    <w:rsid w:val="00C97CE2"/>
    <w:rsid w:val="00CA2117"/>
    <w:rsid w:val="00CA39B5"/>
    <w:rsid w:val="00CB3607"/>
    <w:rsid w:val="00CB6403"/>
    <w:rsid w:val="00CB6B2A"/>
    <w:rsid w:val="00CC22D6"/>
    <w:rsid w:val="00CC2C42"/>
    <w:rsid w:val="00CC40A2"/>
    <w:rsid w:val="00CC4544"/>
    <w:rsid w:val="00CC5A2E"/>
    <w:rsid w:val="00CC669D"/>
    <w:rsid w:val="00CC7678"/>
    <w:rsid w:val="00CD6FA4"/>
    <w:rsid w:val="00CD7359"/>
    <w:rsid w:val="00CD7447"/>
    <w:rsid w:val="00CD7E52"/>
    <w:rsid w:val="00CE016E"/>
    <w:rsid w:val="00CE1993"/>
    <w:rsid w:val="00CF0661"/>
    <w:rsid w:val="00CF078C"/>
    <w:rsid w:val="00CF0B9D"/>
    <w:rsid w:val="00CF244A"/>
    <w:rsid w:val="00CF321E"/>
    <w:rsid w:val="00CF7D88"/>
    <w:rsid w:val="00D006E1"/>
    <w:rsid w:val="00D00BBC"/>
    <w:rsid w:val="00D01380"/>
    <w:rsid w:val="00D03397"/>
    <w:rsid w:val="00D03ECF"/>
    <w:rsid w:val="00D07D49"/>
    <w:rsid w:val="00D138D7"/>
    <w:rsid w:val="00D14654"/>
    <w:rsid w:val="00D17250"/>
    <w:rsid w:val="00D2006E"/>
    <w:rsid w:val="00D22784"/>
    <w:rsid w:val="00D23875"/>
    <w:rsid w:val="00D2623A"/>
    <w:rsid w:val="00D31B2A"/>
    <w:rsid w:val="00D34DDB"/>
    <w:rsid w:val="00D35322"/>
    <w:rsid w:val="00D354AE"/>
    <w:rsid w:val="00D416B0"/>
    <w:rsid w:val="00D44C48"/>
    <w:rsid w:val="00D47C77"/>
    <w:rsid w:val="00D5111D"/>
    <w:rsid w:val="00D55692"/>
    <w:rsid w:val="00D57DB0"/>
    <w:rsid w:val="00D666D7"/>
    <w:rsid w:val="00D67BB1"/>
    <w:rsid w:val="00D72502"/>
    <w:rsid w:val="00D729B3"/>
    <w:rsid w:val="00D73A3A"/>
    <w:rsid w:val="00D75812"/>
    <w:rsid w:val="00D76113"/>
    <w:rsid w:val="00D7790A"/>
    <w:rsid w:val="00D7798C"/>
    <w:rsid w:val="00D77E6E"/>
    <w:rsid w:val="00D86FB6"/>
    <w:rsid w:val="00D871CD"/>
    <w:rsid w:val="00D87E10"/>
    <w:rsid w:val="00D90D50"/>
    <w:rsid w:val="00D94AD1"/>
    <w:rsid w:val="00D956BE"/>
    <w:rsid w:val="00DA5E36"/>
    <w:rsid w:val="00DA6761"/>
    <w:rsid w:val="00DA7AED"/>
    <w:rsid w:val="00DB11C3"/>
    <w:rsid w:val="00DB1284"/>
    <w:rsid w:val="00DB2C5B"/>
    <w:rsid w:val="00DB43BE"/>
    <w:rsid w:val="00DB450E"/>
    <w:rsid w:val="00DB5C34"/>
    <w:rsid w:val="00DB6850"/>
    <w:rsid w:val="00DB6E0D"/>
    <w:rsid w:val="00DB76F3"/>
    <w:rsid w:val="00DC18BC"/>
    <w:rsid w:val="00DC2053"/>
    <w:rsid w:val="00DC2E71"/>
    <w:rsid w:val="00DC631C"/>
    <w:rsid w:val="00DC6577"/>
    <w:rsid w:val="00DC6C1E"/>
    <w:rsid w:val="00DC75DC"/>
    <w:rsid w:val="00DD0170"/>
    <w:rsid w:val="00DD1039"/>
    <w:rsid w:val="00DD14C7"/>
    <w:rsid w:val="00DE06BD"/>
    <w:rsid w:val="00DE15F0"/>
    <w:rsid w:val="00DE26FF"/>
    <w:rsid w:val="00DE3CFC"/>
    <w:rsid w:val="00DE5CBF"/>
    <w:rsid w:val="00DE6135"/>
    <w:rsid w:val="00DF03BE"/>
    <w:rsid w:val="00DF13D2"/>
    <w:rsid w:val="00DF32AF"/>
    <w:rsid w:val="00DF4A21"/>
    <w:rsid w:val="00DF57BC"/>
    <w:rsid w:val="00DF6E3B"/>
    <w:rsid w:val="00E02021"/>
    <w:rsid w:val="00E053B9"/>
    <w:rsid w:val="00E115A3"/>
    <w:rsid w:val="00E128A7"/>
    <w:rsid w:val="00E17AAC"/>
    <w:rsid w:val="00E24C09"/>
    <w:rsid w:val="00E33711"/>
    <w:rsid w:val="00E3653D"/>
    <w:rsid w:val="00E36FD4"/>
    <w:rsid w:val="00E44CCF"/>
    <w:rsid w:val="00E4570F"/>
    <w:rsid w:val="00E45BBF"/>
    <w:rsid w:val="00E46288"/>
    <w:rsid w:val="00E462FF"/>
    <w:rsid w:val="00E509CD"/>
    <w:rsid w:val="00E51AFC"/>
    <w:rsid w:val="00E525D3"/>
    <w:rsid w:val="00E55696"/>
    <w:rsid w:val="00E5573F"/>
    <w:rsid w:val="00E57903"/>
    <w:rsid w:val="00E5799E"/>
    <w:rsid w:val="00E65459"/>
    <w:rsid w:val="00E70B42"/>
    <w:rsid w:val="00E74060"/>
    <w:rsid w:val="00E74BFD"/>
    <w:rsid w:val="00E802EA"/>
    <w:rsid w:val="00E84518"/>
    <w:rsid w:val="00E86ED3"/>
    <w:rsid w:val="00E86F07"/>
    <w:rsid w:val="00E87469"/>
    <w:rsid w:val="00E877CA"/>
    <w:rsid w:val="00E90609"/>
    <w:rsid w:val="00E918E6"/>
    <w:rsid w:val="00E93918"/>
    <w:rsid w:val="00E939D3"/>
    <w:rsid w:val="00E93A82"/>
    <w:rsid w:val="00E93E69"/>
    <w:rsid w:val="00E95FEC"/>
    <w:rsid w:val="00EA07F7"/>
    <w:rsid w:val="00EA0F3C"/>
    <w:rsid w:val="00EA2622"/>
    <w:rsid w:val="00EA7622"/>
    <w:rsid w:val="00EA79BB"/>
    <w:rsid w:val="00EA7BE7"/>
    <w:rsid w:val="00EB2078"/>
    <w:rsid w:val="00EB50D9"/>
    <w:rsid w:val="00EB5E8E"/>
    <w:rsid w:val="00EC34DE"/>
    <w:rsid w:val="00EC3AD3"/>
    <w:rsid w:val="00EC6B3F"/>
    <w:rsid w:val="00ED2716"/>
    <w:rsid w:val="00ED38FD"/>
    <w:rsid w:val="00ED4129"/>
    <w:rsid w:val="00ED5ED9"/>
    <w:rsid w:val="00ED6092"/>
    <w:rsid w:val="00ED756C"/>
    <w:rsid w:val="00EE245C"/>
    <w:rsid w:val="00EE2F21"/>
    <w:rsid w:val="00EE3300"/>
    <w:rsid w:val="00EE676E"/>
    <w:rsid w:val="00EF62F4"/>
    <w:rsid w:val="00EF6F69"/>
    <w:rsid w:val="00EF749D"/>
    <w:rsid w:val="00F0035B"/>
    <w:rsid w:val="00F01773"/>
    <w:rsid w:val="00F03DE5"/>
    <w:rsid w:val="00F050C2"/>
    <w:rsid w:val="00F05A20"/>
    <w:rsid w:val="00F06733"/>
    <w:rsid w:val="00F07BC9"/>
    <w:rsid w:val="00F11CBC"/>
    <w:rsid w:val="00F11F3C"/>
    <w:rsid w:val="00F12CC6"/>
    <w:rsid w:val="00F13CAF"/>
    <w:rsid w:val="00F16833"/>
    <w:rsid w:val="00F1729B"/>
    <w:rsid w:val="00F21169"/>
    <w:rsid w:val="00F22074"/>
    <w:rsid w:val="00F22EBA"/>
    <w:rsid w:val="00F24265"/>
    <w:rsid w:val="00F324D3"/>
    <w:rsid w:val="00F40D59"/>
    <w:rsid w:val="00F419E7"/>
    <w:rsid w:val="00F46E8F"/>
    <w:rsid w:val="00F51E57"/>
    <w:rsid w:val="00F52051"/>
    <w:rsid w:val="00F52A03"/>
    <w:rsid w:val="00F53959"/>
    <w:rsid w:val="00F57204"/>
    <w:rsid w:val="00F6462F"/>
    <w:rsid w:val="00F71855"/>
    <w:rsid w:val="00F737AC"/>
    <w:rsid w:val="00F758AC"/>
    <w:rsid w:val="00F8042A"/>
    <w:rsid w:val="00F81EA3"/>
    <w:rsid w:val="00F82061"/>
    <w:rsid w:val="00F82CE9"/>
    <w:rsid w:val="00F931A2"/>
    <w:rsid w:val="00F9688F"/>
    <w:rsid w:val="00F97624"/>
    <w:rsid w:val="00F97D2F"/>
    <w:rsid w:val="00FA4B64"/>
    <w:rsid w:val="00FA5981"/>
    <w:rsid w:val="00FB70B0"/>
    <w:rsid w:val="00FC1437"/>
    <w:rsid w:val="00FC2578"/>
    <w:rsid w:val="00FD3792"/>
    <w:rsid w:val="00FD6E7E"/>
    <w:rsid w:val="00FE24E0"/>
    <w:rsid w:val="00FE40F3"/>
    <w:rsid w:val="00FE4948"/>
    <w:rsid w:val="00FF33D5"/>
    <w:rsid w:val="00FF404A"/>
    <w:rsid w:val="00FF4FB3"/>
    <w:rsid w:val="00FF6370"/>
    <w:rsid w:val="03366DF6"/>
    <w:rsid w:val="03A21B96"/>
    <w:rsid w:val="05552DF4"/>
    <w:rsid w:val="06495B8A"/>
    <w:rsid w:val="133C17E1"/>
    <w:rsid w:val="1D5A0E71"/>
    <w:rsid w:val="2C9710B4"/>
    <w:rsid w:val="4ECD1A55"/>
    <w:rsid w:val="56EE359A"/>
    <w:rsid w:val="62CD6DDB"/>
    <w:rsid w:val="67C404C4"/>
    <w:rsid w:val="6D3B111E"/>
    <w:rsid w:val="6E364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qFormat/>
    <w:uiPriority w:val="0"/>
    <w:pPr>
      <w:ind w:left="100" w:leftChars="2500"/>
    </w:pPr>
  </w:style>
  <w:style w:type="paragraph" w:styleId="4">
    <w:name w:val="Balloon Text"/>
    <w:basedOn w:val="1"/>
    <w:semiHidden/>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0"/>
    <w:rPr>
      <w:b/>
      <w:bCs/>
    </w:rPr>
  </w:style>
  <w:style w:type="character" w:styleId="12">
    <w:name w:val="page number"/>
    <w:basedOn w:val="10"/>
    <w:qFormat/>
    <w:uiPriority w:val="0"/>
  </w:style>
  <w:style w:type="paragraph" w:customStyle="1" w:styleId="13">
    <w:name w:val="p0"/>
    <w:basedOn w:val="1"/>
    <w:qFormat/>
    <w:uiPriority w:val="0"/>
    <w:pPr>
      <w:widowControl/>
    </w:pPr>
    <w:rPr>
      <w:kern w:val="0"/>
      <w:szCs w:val="21"/>
    </w:rPr>
  </w:style>
  <w:style w:type="paragraph" w:customStyle="1" w:styleId="14">
    <w:name w:val="Char Char Char Char Char Char Char"/>
    <w:basedOn w:val="1"/>
    <w:qFormat/>
    <w:uiPriority w:val="0"/>
    <w:rPr>
      <w:rFonts w:eastAsia="仿宋_GB2312"/>
      <w:sz w:val="32"/>
      <w:szCs w:val="20"/>
    </w:rPr>
  </w:style>
  <w:style w:type="paragraph" w:customStyle="1" w:styleId="15">
    <w:name w:val="Char"/>
    <w:basedOn w:val="1"/>
    <w:semiHidden/>
    <w:qFormat/>
    <w:uiPriority w:val="0"/>
    <w:pPr>
      <w:spacing w:line="360" w:lineRule="auto"/>
    </w:pPr>
    <w:rPr>
      <w:rFonts w:ascii="宋体"/>
      <w:sz w:val="24"/>
    </w:rPr>
  </w:style>
  <w:style w:type="paragraph" w:customStyle="1" w:styleId="16">
    <w:name w:val="默认段落字体 Para Char Char Char"/>
    <w:basedOn w:val="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http:/sdwm.org</Company>
  <Pages>6</Pages>
  <Words>652</Words>
  <Characters>3721</Characters>
  <Lines>31</Lines>
  <Paragraphs>8</Paragraphs>
  <TotalTime>0</TotalTime>
  <ScaleCrop>false</ScaleCrop>
  <LinksUpToDate>false</LinksUpToDate>
  <CharactersWithSpaces>4365</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2020-10-15T07:20:00Z</dcterms:created>
  <dc:creator>Administrator</dc:creator>
  <cp:lastModifiedBy>小葵姐姐</cp:lastModifiedBy>
  <cp:lastPrinted>2015-11-03T01:45:00Z</cp:lastPrinted>
  <dcterms:modified xsi:type="dcterms:W3CDTF">2020-11-20T01:40:33Z</dcterms:modified>
  <dc:title>池公管〔2015〕8号</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