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仿宋" w:hAnsi="仿宋" w:eastAsia="仿宋" w:cs="仿宋"/>
          <w:sz w:val="32"/>
          <w:szCs w:val="32"/>
        </w:rPr>
      </w:pPr>
      <w:r>
        <w:rPr>
          <w:rFonts w:hint="eastAsia" w:ascii="仿宋_GB2312" w:eastAsia="仿宋_GB2312"/>
          <w:sz w:val="32"/>
          <w:szCs w:val="32"/>
        </w:rPr>
        <w:pict>
          <v:shape id="艺术字 10" o:spid="_x0000_s1026" o:spt="136" type="#_x0000_t136" style="position:absolute;left:0pt;margin-left:-2.75pt;margin-top:12.25pt;height:90.6pt;width:414.65pt;z-index:251659264;mso-width-relative:page;mso-height-relative:page;" fillcolor="#FF0000" filled="t" stroked="t" coordsize="21600,21600">
            <v:path/>
            <v:fill on="t" focussize="0,0"/>
            <v:stroke color="#FF0000"/>
            <v:imagedata o:title=""/>
            <o:lock v:ext="edit" aspectratio="f"/>
            <v:textpath on="t" fitshape="t" fitpath="t" trim="t" xscale="f" string="青阳县人力资源和社会保障局文件" style="font-family:方正小标宋简体;font-size:36pt;v-rotate-letters:f;v-same-letter-heights:f;v-text-align:center;"/>
          </v:shape>
        </w:pict>
      </w:r>
    </w:p>
    <w:p>
      <w:pPr>
        <w:widowControl/>
        <w:jc w:val="center"/>
        <w:rPr>
          <w:rFonts w:hint="eastAsia" w:ascii="仿宋" w:hAnsi="仿宋" w:eastAsia="仿宋" w:cs="仿宋"/>
          <w:sz w:val="32"/>
          <w:szCs w:val="32"/>
        </w:rPr>
      </w:pPr>
    </w:p>
    <w:p>
      <w:pPr>
        <w:widowControl/>
        <w:jc w:val="center"/>
        <w:rPr>
          <w:rFonts w:hint="eastAsia" w:ascii="仿宋" w:hAnsi="仿宋" w:eastAsia="仿宋" w:cs="仿宋"/>
          <w:sz w:val="32"/>
          <w:szCs w:val="32"/>
        </w:rPr>
      </w:pPr>
    </w:p>
    <w:p>
      <w:pPr>
        <w:widowControl/>
        <w:jc w:val="center"/>
        <w:rPr>
          <w:rFonts w:hint="eastAsia" w:ascii="仿宋" w:hAnsi="仿宋" w:eastAsia="仿宋" w:cs="仿宋"/>
          <w:sz w:val="32"/>
          <w:szCs w:val="32"/>
        </w:rPr>
      </w:pPr>
    </w:p>
    <w:p>
      <w:pPr>
        <w:widowControl/>
        <w:jc w:val="center"/>
        <w:rPr>
          <w:rFonts w:hint="eastAsia" w:ascii="方正小标宋简体" w:hAnsi="方正小标宋简体" w:eastAsia="方正小标宋简体" w:cs="方正小标宋简体"/>
          <w:kern w:val="0"/>
          <w:sz w:val="44"/>
          <w:szCs w:val="44"/>
          <w:lang w:bidi="ar"/>
        </w:rPr>
      </w:pPr>
      <w:r>
        <w:rPr>
          <w:rFonts w:hint="eastAsia" w:ascii="仿宋" w:hAnsi="仿宋" w:eastAsia="仿宋" w:cs="仿宋"/>
          <w:sz w:val="32"/>
          <w:szCs w:val="32"/>
        </w:rPr>
        <w:t>青人社秘〔20</w:t>
      </w:r>
      <w:r>
        <w:rPr>
          <w:rFonts w:hint="eastAsia" w:ascii="仿宋" w:hAnsi="仿宋" w:eastAsia="仿宋" w:cs="仿宋"/>
          <w:sz w:val="32"/>
          <w:szCs w:val="32"/>
          <w:lang w:val="en-US" w:eastAsia="zh-CN"/>
        </w:rPr>
        <w:t>22</w:t>
      </w:r>
      <w:r>
        <w:rPr>
          <w:rFonts w:hint="eastAsia" w:ascii="仿宋" w:hAnsi="仿宋" w:eastAsia="仿宋" w:cs="仿宋"/>
          <w:sz w:val="32"/>
          <w:szCs w:val="32"/>
        </w:rPr>
        <w:t>〕</w:t>
      </w:r>
      <w:r>
        <w:rPr>
          <w:rFonts w:hint="eastAsia" w:ascii="仿宋" w:hAnsi="仿宋" w:eastAsia="仿宋" w:cs="仿宋"/>
          <w:sz w:val="32"/>
          <w:szCs w:val="32"/>
          <w:lang w:val="en-US" w:eastAsia="zh-CN"/>
        </w:rPr>
        <w:t>33</w:t>
      </w:r>
      <w:bookmarkStart w:id="0" w:name="_GoBack"/>
      <w:bookmarkEnd w:id="0"/>
      <w:r>
        <w:rPr>
          <w:rFonts w:hint="eastAsia" w:ascii="仿宋" w:hAnsi="仿宋" w:eastAsia="仿宋" w:cs="仿宋"/>
          <w:sz w:val="32"/>
          <w:szCs w:val="32"/>
        </w:rPr>
        <w:t>号</w:t>
      </w:r>
    </w:p>
    <w:p>
      <w:pPr>
        <w:widowControl/>
        <w:jc w:val="both"/>
        <w:rPr>
          <w:rFonts w:hint="eastAsia" w:ascii="仿宋" w:hAnsi="仿宋" w:eastAsia="仿宋" w:cs="仿宋"/>
          <w:sz w:val="32"/>
          <w:szCs w:val="32"/>
        </w:rPr>
      </w:pPr>
      <w:r>
        <w:rPr>
          <w:rFonts w:hint="eastAsia" w:ascii="仿宋_GB2312" w:eastAsia="仿宋_GB2312" w:cs="宋体"/>
          <w:kern w:val="0"/>
          <w:sz w:val="32"/>
          <w:szCs w:val="32"/>
        </w:rPr>
        <mc:AlternateContent>
          <mc:Choice Requires="wps">
            <w:drawing>
              <wp:anchor distT="0" distB="0" distL="114300" distR="114300" simplePos="0" relativeHeight="251660288" behindDoc="0" locked="0" layoutInCell="1" allowOverlap="1">
                <wp:simplePos x="0" y="0"/>
                <wp:positionH relativeFrom="column">
                  <wp:posOffset>85090</wp:posOffset>
                </wp:positionH>
                <wp:positionV relativeFrom="paragraph">
                  <wp:posOffset>-1905</wp:posOffset>
                </wp:positionV>
                <wp:extent cx="5257800" cy="36195"/>
                <wp:effectExtent l="4445" t="4445" r="14605" b="16510"/>
                <wp:wrapNone/>
                <wp:docPr id="1" name="矩形 1"/>
                <wp:cNvGraphicFramePr/>
                <a:graphic xmlns:a="http://schemas.openxmlformats.org/drawingml/2006/main">
                  <a:graphicData uri="http://schemas.microsoft.com/office/word/2010/wordprocessingShape">
                    <wps:wsp>
                      <wps:cNvSpPr/>
                      <wps:spPr>
                        <a:xfrm>
                          <a:off x="0" y="0"/>
                          <a:ext cx="5257800" cy="36195"/>
                        </a:xfrm>
                        <a:prstGeom prst="rect">
                          <a:avLst/>
                        </a:prstGeom>
                        <a:solidFill>
                          <a:srgbClr val="FF0000"/>
                        </a:solidFill>
                        <a:ln w="9525" cap="flat" cmpd="sng">
                          <a:solidFill>
                            <a:srgbClr val="FF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rect id="_x0000_s1026" o:spid="_x0000_s1026" o:spt="1" style="position:absolute;left:0pt;margin-left:6.7pt;margin-top:-0.15pt;height:2.85pt;width:414pt;z-index:251660288;mso-width-relative:page;mso-height-relative:page;" fillcolor="#FF0000" filled="t" stroked="t" coordsize="21600,21600" o:gfxdata="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ddyX7VAAAABgEAAA8AAAAAAAAAAQAgAAAAIgAAAGRycy9kb3ducmV2Lnht&#10;bFBLAQIUABQAAAAIAIdO4kAjH7Yu/AEAACgEAAAOAAAAAAAAAAEAIAAAACQBAABkcnMvZTJvRG9j&#10;LnhtbFBLBQYAAAAABgAGAFkBAACSBQAAAAA=&#10;">
                <v:fill on="t" focussize="0,0"/>
                <v:stroke color="#FF0000" joinstyle="miter"/>
                <v:imagedata o:title=""/>
                <o:lock v:ext="edit" aspectratio="f"/>
                <v:textbox>
                  <w:txbxContent>
                    <w:p>
                      <w:pPr>
                        <w:jc w:val="center"/>
                      </w:pP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宋体" w:hAnsi="宋体" w:eastAsia="宋体" w:cs="宋体"/>
          <w:b w:val="0"/>
          <w:bCs w:val="0"/>
          <w:sz w:val="44"/>
          <w:szCs w:val="44"/>
          <w:lang w:eastAsia="zh-CN"/>
        </w:rPr>
      </w:pPr>
      <w:r>
        <w:rPr>
          <w:rFonts w:hint="eastAsia" w:ascii="宋体" w:hAnsi="宋体" w:eastAsia="宋体" w:cs="宋体"/>
          <w:b w:val="0"/>
          <w:bCs w:val="0"/>
          <w:sz w:val="44"/>
          <w:szCs w:val="44"/>
          <w:lang w:eastAsia="zh-CN"/>
        </w:rPr>
        <w:t>关于做好现阶段</w:t>
      </w:r>
      <w:r>
        <w:rPr>
          <w:rFonts w:hint="eastAsia" w:ascii="宋体" w:hAnsi="宋体" w:eastAsia="宋体" w:cs="宋体"/>
          <w:b w:val="0"/>
          <w:bCs w:val="0"/>
          <w:sz w:val="44"/>
          <w:szCs w:val="44"/>
          <w:lang w:val="en-US" w:eastAsia="zh-CN"/>
        </w:rPr>
        <w:t>就业见习工作</w:t>
      </w:r>
      <w:r>
        <w:rPr>
          <w:rFonts w:hint="eastAsia" w:ascii="宋体" w:hAnsi="宋体" w:eastAsia="宋体" w:cs="宋体"/>
          <w:b w:val="0"/>
          <w:bCs w:val="0"/>
          <w:sz w:val="44"/>
          <w:szCs w:val="44"/>
          <w:lang w:eastAsia="zh-CN"/>
        </w:rPr>
        <w:t>的通知</w:t>
      </w:r>
    </w:p>
    <w:p>
      <w:pPr>
        <w:spacing w:line="600" w:lineRule="exact"/>
        <w:jc w:val="left"/>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各乡镇人民政府、县开发区管委会、县直有关单位：</w:t>
      </w: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高校毕业生是就业工作的重中之重，企业是吸纳就业的主渠道。为全面落实2022年企业见习民生工程目标任务，</w:t>
      </w:r>
      <w:r>
        <w:rPr>
          <w:rFonts w:hint="eastAsia" w:ascii="仿宋" w:hAnsi="仿宋" w:eastAsia="仿宋" w:cs="仿宋"/>
          <w:b w:val="0"/>
          <w:bCs w:val="0"/>
          <w:sz w:val="32"/>
          <w:szCs w:val="32"/>
          <w:highlight w:val="none"/>
          <w:lang w:eastAsia="zh-CN"/>
        </w:rPr>
        <w:t>最大程度发挥就业见习稳定就业、促进就业的积极作用。</w:t>
      </w:r>
      <w:r>
        <w:rPr>
          <w:rFonts w:hint="eastAsia" w:ascii="仿宋" w:hAnsi="仿宋" w:eastAsia="仿宋" w:cs="仿宋"/>
          <w:b w:val="0"/>
          <w:bCs w:val="0"/>
          <w:sz w:val="32"/>
          <w:szCs w:val="32"/>
          <w:lang w:val="en-US" w:eastAsia="zh-CN"/>
        </w:rPr>
        <w:t>根据省人社厅、省教育厅《关于引导高校毕业年度学生到中小企业实习见习促进留皖就业的通知》</w:t>
      </w:r>
      <w:r>
        <w:rPr>
          <w:rFonts w:hint="eastAsia" w:ascii="仿宋" w:hAnsi="仿宋" w:eastAsia="仿宋" w:cs="仿宋"/>
          <w:b w:val="0"/>
          <w:bCs w:val="0"/>
          <w:spacing w:val="-28"/>
          <w:sz w:val="32"/>
          <w:szCs w:val="32"/>
          <w:lang w:val="en-US" w:eastAsia="zh-CN"/>
        </w:rPr>
        <w:t>（皖人社秘〔2022〕41号）</w:t>
      </w:r>
      <w:r>
        <w:rPr>
          <w:rFonts w:hint="eastAsia" w:ascii="仿宋" w:hAnsi="仿宋" w:eastAsia="仿宋" w:cs="仿宋"/>
          <w:b w:val="0"/>
          <w:bCs w:val="0"/>
          <w:sz w:val="32"/>
          <w:szCs w:val="32"/>
          <w:lang w:val="en-US" w:eastAsia="zh-CN"/>
        </w:rPr>
        <w:t>和市人社局《关于做好现阶段就业见习工作的通知》</w:t>
      </w:r>
      <w:r>
        <w:rPr>
          <w:rFonts w:hint="eastAsia" w:ascii="仿宋" w:hAnsi="仿宋" w:eastAsia="仿宋" w:cs="仿宋"/>
          <w:b w:val="0"/>
          <w:bCs w:val="0"/>
          <w:spacing w:val="-28"/>
          <w:sz w:val="32"/>
          <w:szCs w:val="32"/>
          <w:lang w:val="en-US" w:eastAsia="zh-CN"/>
        </w:rPr>
        <w:t>（池人社明电〔2022〕15号）文件</w:t>
      </w:r>
      <w:r>
        <w:rPr>
          <w:rFonts w:hint="eastAsia" w:ascii="仿宋" w:hAnsi="仿宋" w:eastAsia="仿宋" w:cs="仿宋"/>
          <w:b w:val="0"/>
          <w:bCs w:val="0"/>
          <w:sz w:val="32"/>
          <w:szCs w:val="32"/>
          <w:lang w:val="en-US" w:eastAsia="zh-CN"/>
        </w:rPr>
        <w:t>要求，现就做好现阶段我县就业见习工作有关事项通知如下：</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lang w:val="en-US" w:eastAsia="zh-CN"/>
        </w:rPr>
        <w:t>一、引导支持企业建立见习基地。</w:t>
      </w:r>
      <w:r>
        <w:rPr>
          <w:rFonts w:hint="eastAsia" w:ascii="仿宋" w:hAnsi="仿宋" w:eastAsia="仿宋" w:cs="仿宋"/>
          <w:b w:val="0"/>
          <w:bCs w:val="0"/>
          <w:sz w:val="32"/>
          <w:szCs w:val="32"/>
          <w:highlight w:val="none"/>
          <w:lang w:val="en-US" w:eastAsia="zh-CN"/>
        </w:rPr>
        <w:t>支持县经济开发区、乡镇工业集中区优质企业建立见习基地。开辟见习服务绿色通道，简化申报见习基地和见习岗位的认定程序。建立企业岗位需求清单和就业服务需求清单，引导企业按照用工需求开发见习岗位，重点面向高校毕业生稳定开发、持续提供一定数量适合见习的岗位。</w:t>
      </w: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二、精心组织高校学生及16-24周岁未就业青年赴企见习。开展“</w:t>
      </w:r>
      <w:r>
        <w:rPr>
          <w:rFonts w:hint="eastAsia" w:ascii="仿宋" w:hAnsi="仿宋" w:eastAsia="仿宋" w:cs="仿宋"/>
          <w:b w:val="0"/>
          <w:bCs w:val="0"/>
          <w:sz w:val="32"/>
          <w:szCs w:val="32"/>
          <w:highlight w:val="none"/>
          <w:lang w:val="en-US" w:eastAsia="zh-CN"/>
        </w:rPr>
        <w:t>见习助就业、为企优环境”活动，</w:t>
      </w:r>
      <w:r>
        <w:rPr>
          <w:rFonts w:hint="eastAsia" w:ascii="仿宋" w:hAnsi="仿宋" w:eastAsia="仿宋" w:cs="仿宋"/>
          <w:sz w:val="32"/>
          <w:szCs w:val="32"/>
          <w:lang w:val="en-US" w:eastAsia="zh-CN"/>
        </w:rPr>
        <w:t>加强见习工作对接，重点引导毕业前6个月的高校学生到企业参加就业见习。对就地接收实习</w:t>
      </w:r>
      <w:r>
        <w:rPr>
          <w:rFonts w:hint="eastAsia" w:ascii="仿宋" w:hAnsi="仿宋" w:eastAsia="仿宋" w:cs="仿宋"/>
          <w:b w:val="0"/>
          <w:bCs w:val="0"/>
          <w:sz w:val="32"/>
          <w:szCs w:val="32"/>
          <w:lang w:val="en-US" w:eastAsia="zh-CN"/>
        </w:rPr>
        <w:t>学生参加见习的企业，以“免报直定”的方式，</w:t>
      </w:r>
      <w:r>
        <w:rPr>
          <w:rFonts w:hint="eastAsia" w:ascii="仿宋" w:hAnsi="仿宋" w:eastAsia="仿宋" w:cs="仿宋"/>
          <w:sz w:val="32"/>
          <w:szCs w:val="32"/>
          <w:lang w:val="en-US" w:eastAsia="zh-CN"/>
        </w:rPr>
        <w:t>在见习系统中直接登记人员信息。企业吸纳高校学生参加3-12个月就业见习，</w:t>
      </w:r>
      <w:r>
        <w:rPr>
          <w:rFonts w:hint="eastAsia" w:ascii="仿宋" w:hAnsi="仿宋" w:eastAsia="仿宋" w:cs="仿宋"/>
          <w:i w:val="0"/>
          <w:iCs w:val="0"/>
          <w:caps w:val="0"/>
          <w:color w:val="333333"/>
          <w:spacing w:val="0"/>
          <w:sz w:val="32"/>
          <w:szCs w:val="32"/>
          <w:shd w:val="clear" w:fill="FFFFFF"/>
        </w:rPr>
        <w:t>见习期间，</w:t>
      </w:r>
      <w:r>
        <w:rPr>
          <w:rFonts w:hint="eastAsia" w:ascii="仿宋" w:hAnsi="仿宋" w:eastAsia="仿宋" w:cs="仿宋"/>
          <w:i w:val="0"/>
          <w:iCs w:val="0"/>
          <w:caps w:val="0"/>
          <w:color w:val="333333"/>
          <w:spacing w:val="0"/>
          <w:sz w:val="32"/>
          <w:szCs w:val="32"/>
          <w:shd w:val="clear" w:fill="FFFFFF"/>
          <w:lang w:eastAsia="zh-CN"/>
        </w:rPr>
        <w:t>对</w:t>
      </w:r>
      <w:r>
        <w:rPr>
          <w:rFonts w:hint="eastAsia" w:ascii="仿宋" w:hAnsi="仿宋" w:eastAsia="仿宋" w:cs="仿宋"/>
          <w:i w:val="0"/>
          <w:iCs w:val="0"/>
          <w:caps w:val="0"/>
          <w:color w:val="333333"/>
          <w:spacing w:val="0"/>
          <w:sz w:val="32"/>
          <w:szCs w:val="32"/>
          <w:shd w:val="clear" w:fill="FFFFFF"/>
        </w:rPr>
        <w:t>见习单位按照每人每月不低于2000元标准给予见习人员基本生活补助</w:t>
      </w:r>
      <w:r>
        <w:rPr>
          <w:rFonts w:hint="eastAsia" w:ascii="仿宋" w:hAnsi="仿宋" w:eastAsia="仿宋" w:cs="仿宋"/>
          <w:i w:val="0"/>
          <w:iCs w:val="0"/>
          <w:caps w:val="0"/>
          <w:color w:val="333333"/>
          <w:spacing w:val="0"/>
          <w:sz w:val="32"/>
          <w:szCs w:val="32"/>
          <w:shd w:val="clear" w:fill="FFFFFF"/>
          <w:lang w:eastAsia="zh-CN"/>
        </w:rPr>
        <w:t>的，</w:t>
      </w:r>
      <w:r>
        <w:rPr>
          <w:rFonts w:hint="eastAsia" w:ascii="仿宋" w:hAnsi="仿宋" w:eastAsia="仿宋" w:cs="仿宋"/>
          <w:i w:val="0"/>
          <w:iCs w:val="0"/>
          <w:caps w:val="0"/>
          <w:color w:val="333333"/>
          <w:spacing w:val="0"/>
          <w:sz w:val="32"/>
          <w:szCs w:val="32"/>
          <w:shd w:val="clear" w:fill="FFFFFF"/>
        </w:rPr>
        <w:t>给予见习单位按照每人每月1400元的标准补助</w:t>
      </w:r>
      <w:r>
        <w:rPr>
          <w:rFonts w:hint="eastAsia" w:ascii="仿宋" w:hAnsi="仿宋" w:eastAsia="仿宋" w:cs="仿宋"/>
          <w:i w:val="0"/>
          <w:iCs w:val="0"/>
          <w:caps w:val="0"/>
          <w:color w:val="333333"/>
          <w:spacing w:val="0"/>
          <w:sz w:val="32"/>
          <w:szCs w:val="32"/>
          <w:shd w:val="clear" w:fill="FFFFFF"/>
          <w:lang w:eastAsia="zh-CN"/>
        </w:rPr>
        <w:t>：见习单位</w:t>
      </w:r>
      <w:r>
        <w:rPr>
          <w:rFonts w:hint="eastAsia" w:ascii="仿宋" w:hAnsi="仿宋" w:eastAsia="仿宋" w:cs="仿宋"/>
          <w:i w:val="0"/>
          <w:iCs w:val="0"/>
          <w:caps w:val="0"/>
          <w:color w:val="333333"/>
          <w:spacing w:val="0"/>
          <w:sz w:val="32"/>
          <w:szCs w:val="32"/>
          <w:shd w:val="clear" w:fill="FFFFFF"/>
        </w:rPr>
        <w:t>为见习人员购买人身意外伤害保险</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按照</w:t>
      </w:r>
      <w:r>
        <w:rPr>
          <w:rFonts w:hint="eastAsia" w:ascii="仿宋" w:hAnsi="仿宋" w:eastAsia="仿宋" w:cs="仿宋"/>
          <w:i w:val="0"/>
          <w:iCs w:val="0"/>
          <w:caps w:val="0"/>
          <w:color w:val="333333"/>
          <w:spacing w:val="0"/>
          <w:sz w:val="32"/>
          <w:szCs w:val="32"/>
          <w:shd w:val="clear" w:fill="FFFFFF"/>
          <w:lang w:eastAsia="zh-CN"/>
        </w:rPr>
        <w:t>每人</w:t>
      </w:r>
      <w:r>
        <w:rPr>
          <w:rFonts w:hint="eastAsia" w:ascii="仿宋" w:hAnsi="仿宋" w:eastAsia="仿宋" w:cs="仿宋"/>
          <w:i w:val="0"/>
          <w:iCs w:val="0"/>
          <w:caps w:val="0"/>
          <w:color w:val="333333"/>
          <w:spacing w:val="0"/>
          <w:sz w:val="32"/>
          <w:szCs w:val="32"/>
          <w:shd w:val="clear" w:fill="FFFFFF"/>
        </w:rPr>
        <w:t>100元</w:t>
      </w:r>
      <w:r>
        <w:rPr>
          <w:rFonts w:hint="eastAsia" w:ascii="仿宋" w:hAnsi="仿宋" w:eastAsia="仿宋" w:cs="仿宋"/>
          <w:i w:val="0"/>
          <w:iCs w:val="0"/>
          <w:caps w:val="0"/>
          <w:color w:val="333333"/>
          <w:spacing w:val="0"/>
          <w:sz w:val="32"/>
          <w:szCs w:val="32"/>
          <w:shd w:val="clear" w:fill="FFFFFF"/>
          <w:lang w:eastAsia="zh-CN"/>
        </w:rPr>
        <w:t>给予补助；同时给予见习单位每人</w:t>
      </w:r>
      <w:r>
        <w:rPr>
          <w:rFonts w:hint="eastAsia" w:ascii="仿宋" w:hAnsi="仿宋" w:eastAsia="仿宋" w:cs="仿宋"/>
          <w:i w:val="0"/>
          <w:iCs w:val="0"/>
          <w:caps w:val="0"/>
          <w:color w:val="333333"/>
          <w:spacing w:val="0"/>
          <w:sz w:val="32"/>
          <w:szCs w:val="32"/>
          <w:shd w:val="clear" w:fill="FFFFFF"/>
        </w:rPr>
        <w:t>200元标准指导费</w:t>
      </w:r>
      <w:r>
        <w:rPr>
          <w:rFonts w:hint="eastAsia" w:ascii="仿宋" w:hAnsi="仿宋" w:eastAsia="仿宋" w:cs="仿宋"/>
          <w:i w:val="0"/>
          <w:iCs w:val="0"/>
          <w:caps w:val="0"/>
          <w:color w:val="333333"/>
          <w:spacing w:val="0"/>
          <w:sz w:val="32"/>
          <w:szCs w:val="32"/>
          <w:shd w:val="clear" w:fill="FFFFFF"/>
          <w:lang w:eastAsia="zh-CN"/>
        </w:rPr>
        <w:t>补助；</w:t>
      </w:r>
      <w:r>
        <w:rPr>
          <w:rFonts w:hint="eastAsia" w:ascii="仿宋" w:hAnsi="仿宋" w:eastAsia="仿宋" w:cs="仿宋"/>
          <w:i w:val="0"/>
          <w:iCs w:val="0"/>
          <w:caps w:val="0"/>
          <w:color w:val="333333"/>
          <w:spacing w:val="0"/>
          <w:sz w:val="32"/>
          <w:szCs w:val="32"/>
          <w:shd w:val="clear" w:fill="FFFFFF"/>
        </w:rPr>
        <w:t>对见习期满后与见习毕业生签订12个月以上劳动合同并缴纳社会保险的，给予见习单位</w:t>
      </w:r>
      <w:r>
        <w:rPr>
          <w:rFonts w:hint="eastAsia" w:ascii="仿宋" w:hAnsi="仿宋" w:eastAsia="仿宋" w:cs="仿宋"/>
          <w:i w:val="0"/>
          <w:iCs w:val="0"/>
          <w:caps w:val="0"/>
          <w:color w:val="333333"/>
          <w:spacing w:val="0"/>
          <w:sz w:val="32"/>
          <w:szCs w:val="32"/>
          <w:shd w:val="clear" w:fill="FFFFFF"/>
          <w:lang w:eastAsia="zh-CN"/>
        </w:rPr>
        <w:t>每人</w:t>
      </w:r>
      <w:r>
        <w:rPr>
          <w:rFonts w:hint="eastAsia" w:ascii="仿宋" w:hAnsi="仿宋" w:eastAsia="仿宋" w:cs="仿宋"/>
          <w:i w:val="0"/>
          <w:iCs w:val="0"/>
          <w:caps w:val="0"/>
          <w:color w:val="333333"/>
          <w:spacing w:val="0"/>
          <w:sz w:val="32"/>
          <w:szCs w:val="32"/>
          <w:shd w:val="clear" w:fill="FFFFFF"/>
          <w:lang w:val="en-US" w:eastAsia="zh-CN"/>
        </w:rPr>
        <w:t>1000元</w:t>
      </w:r>
      <w:r>
        <w:rPr>
          <w:rFonts w:hint="eastAsia" w:ascii="仿宋" w:hAnsi="仿宋" w:eastAsia="仿宋" w:cs="仿宋"/>
          <w:i w:val="0"/>
          <w:iCs w:val="0"/>
          <w:caps w:val="0"/>
          <w:color w:val="333333"/>
          <w:spacing w:val="0"/>
          <w:sz w:val="32"/>
          <w:szCs w:val="32"/>
          <w:shd w:val="clear" w:fill="FFFFFF"/>
        </w:rPr>
        <w:t>一次性吸纳就业补贴。</w:t>
      </w:r>
      <w:r>
        <w:rPr>
          <w:rFonts w:hint="eastAsia" w:ascii="仿宋" w:hAnsi="仿宋" w:eastAsia="仿宋" w:cs="仿宋"/>
          <w:b w:val="0"/>
          <w:bCs w:val="0"/>
          <w:color w:val="auto"/>
          <w:sz w:val="32"/>
          <w:szCs w:val="32"/>
          <w:highlight w:val="none"/>
          <w:lang w:val="en-US" w:eastAsia="zh-CN"/>
        </w:rPr>
        <w:t>对在</w:t>
      </w:r>
      <w:r>
        <w:rPr>
          <w:rFonts w:hint="eastAsia" w:ascii="仿宋" w:hAnsi="仿宋" w:eastAsia="仿宋" w:cs="仿宋"/>
          <w:sz w:val="32"/>
          <w:szCs w:val="32"/>
          <w:lang w:val="en-US" w:eastAsia="zh-CN"/>
        </w:rPr>
        <w:t>企业见习完成协议约定一半以上期限、并与见习人员签订1年以上劳动合同并缴纳社会保险的，给予剩余期限见习补贴。</w:t>
      </w: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三、多渠道搭建见习供需对接平台。建立企业见习基地目录和见习岗位清单，通过安徽阳光就业网、政府网站、青阳就业微信公众号等媒体及时向社会推介。采取线上线下相结合方式，积极开展见习岗位进校园、进社区、进市场等活动，在各类招聘会中同步推出见习岗位。利用“未就业高校毕业生求职登记小程序”、“离校未就业高校毕业生实名制帮扶系统”，做好信息衔接和登记摸排，建立未就业毕业生见习需求清单，帮助见习基地招募见习人员，确保每一名有见习需求的未就业毕业生全部参加见习活动。</w:t>
      </w:r>
    </w:p>
    <w:p>
      <w:pPr>
        <w:keepNext w:val="0"/>
        <w:keepLines w:val="0"/>
        <w:pageBreakBefore w:val="0"/>
        <w:widowControl w:val="0"/>
        <w:kinsoku/>
        <w:wordWrap/>
        <w:overflowPunct/>
        <w:topLinePunct w:val="0"/>
        <w:autoSpaceDE/>
        <w:autoSpaceDN/>
        <w:bidi w:val="0"/>
        <w:adjustRightInd w:val="0"/>
        <w:snapToGrid w:val="0"/>
        <w:spacing w:line="580" w:lineRule="exact"/>
        <w:ind w:firstLine="632" w:firstLineChars="200"/>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sz w:val="32"/>
          <w:szCs w:val="32"/>
          <w:lang w:val="en-US" w:eastAsia="zh-CN"/>
        </w:rPr>
        <w:t>四、加大见习管理服务保障力度。</w:t>
      </w:r>
      <w:r>
        <w:rPr>
          <w:rFonts w:hint="eastAsia" w:ascii="仿宋" w:hAnsi="仿宋" w:eastAsia="仿宋" w:cs="仿宋"/>
          <w:b w:val="0"/>
          <w:bCs w:val="0"/>
          <w:color w:val="auto"/>
          <w:sz w:val="32"/>
          <w:szCs w:val="32"/>
          <w:highlight w:val="none"/>
          <w:lang w:val="en-US" w:eastAsia="zh-CN"/>
        </w:rPr>
        <w:t>建立企业见习基地带教制度，指导企业做好见习协议签订、岗前培训、待遇保障、人员管理等各项工作，</w:t>
      </w:r>
      <w:r>
        <w:rPr>
          <w:rFonts w:hint="eastAsia" w:ascii="仿宋" w:hAnsi="仿宋" w:eastAsia="仿宋" w:cs="仿宋"/>
          <w:b w:val="0"/>
          <w:bCs w:val="0"/>
          <w:sz w:val="32"/>
          <w:szCs w:val="32"/>
          <w:lang w:val="en-US" w:eastAsia="zh-CN"/>
        </w:rPr>
        <w:t>督促见习单位</w:t>
      </w:r>
      <w:r>
        <w:rPr>
          <w:rFonts w:hint="eastAsia" w:ascii="仿宋" w:hAnsi="仿宋" w:eastAsia="仿宋" w:cs="仿宋"/>
          <w:b w:val="0"/>
          <w:bCs w:val="0"/>
          <w:color w:val="auto"/>
          <w:sz w:val="32"/>
          <w:szCs w:val="32"/>
          <w:highlight w:val="none"/>
          <w:lang w:val="en-US" w:eastAsia="zh-CN"/>
        </w:rPr>
        <w:t>按时发放见习人员生活补助，为见习人员统一购买人身意外伤害保险，</w:t>
      </w:r>
      <w:r>
        <w:rPr>
          <w:rFonts w:hint="eastAsia" w:ascii="仿宋" w:hAnsi="仿宋" w:eastAsia="仿宋" w:cs="仿宋"/>
          <w:sz w:val="32"/>
          <w:szCs w:val="32"/>
        </w:rPr>
        <w:t>妥善处理见习过程中出现的问题，依法维护见习人员合法权益。</w:t>
      </w:r>
      <w:r>
        <w:rPr>
          <w:rFonts w:hint="eastAsia" w:ascii="仿宋" w:hAnsi="仿宋" w:eastAsia="仿宋" w:cs="仿宋"/>
          <w:b w:val="0"/>
          <w:bCs w:val="0"/>
          <w:sz w:val="32"/>
          <w:szCs w:val="32"/>
          <w:lang w:val="en-US" w:eastAsia="zh-CN"/>
        </w:rPr>
        <w:t>结合常态化“四进一促”稳就业专项活动，广泛</w:t>
      </w:r>
      <w:r>
        <w:rPr>
          <w:rFonts w:hint="eastAsia" w:ascii="仿宋" w:hAnsi="仿宋" w:eastAsia="仿宋" w:cs="仿宋"/>
          <w:b w:val="0"/>
          <w:bCs w:val="0"/>
          <w:sz w:val="32"/>
          <w:szCs w:val="32"/>
          <w:highlight w:val="none"/>
          <w:lang w:val="en-US" w:eastAsia="zh-CN"/>
        </w:rPr>
        <w:t>开展赴企业走访调研</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highlight w:val="none"/>
          <w:lang w:val="en-US" w:eastAsia="zh-CN"/>
        </w:rPr>
        <w:t>听取企业对见习工作的意见建议，</w:t>
      </w:r>
      <w:r>
        <w:rPr>
          <w:rFonts w:hint="eastAsia" w:ascii="仿宋" w:hAnsi="仿宋" w:eastAsia="仿宋" w:cs="仿宋"/>
          <w:sz w:val="32"/>
          <w:szCs w:val="32"/>
        </w:rPr>
        <w:t>加强见习全</w:t>
      </w:r>
      <w:r>
        <w:rPr>
          <w:rFonts w:hint="eastAsia" w:ascii="仿宋" w:hAnsi="仿宋" w:eastAsia="仿宋" w:cs="仿宋"/>
          <w:sz w:val="32"/>
          <w:szCs w:val="32"/>
          <w:lang w:eastAsia="zh-CN"/>
        </w:rPr>
        <w:t>过</w:t>
      </w:r>
      <w:r>
        <w:rPr>
          <w:rFonts w:hint="eastAsia" w:ascii="仿宋" w:hAnsi="仿宋" w:eastAsia="仿宋" w:cs="仿宋"/>
          <w:sz w:val="32"/>
          <w:szCs w:val="32"/>
        </w:rPr>
        <w:t>程管理，确保</w:t>
      </w:r>
      <w:r>
        <w:rPr>
          <w:rFonts w:hint="eastAsia" w:ascii="仿宋" w:hAnsi="仿宋" w:eastAsia="仿宋" w:cs="仿宋"/>
          <w:sz w:val="32"/>
          <w:szCs w:val="32"/>
          <w:lang w:eastAsia="zh-CN"/>
        </w:rPr>
        <w:t>企业</w:t>
      </w:r>
      <w:r>
        <w:rPr>
          <w:rFonts w:hint="eastAsia" w:ascii="仿宋" w:hAnsi="仿宋" w:eastAsia="仿宋" w:cs="仿宋"/>
          <w:sz w:val="32"/>
          <w:szCs w:val="32"/>
        </w:rPr>
        <w:t>见习活动规范有序。</w:t>
      </w: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五、切实加强就业见习宣传工作。各乡镇、开发区要通过多种渠道，扎实开展宣传，确保辖区内每一个企业都能了解就业见习政策，提高就业见习民生工程的知晓率。同时总结宣传见习留在企业入职的高校毕业生典型，</w:t>
      </w:r>
      <w:r>
        <w:rPr>
          <w:rFonts w:hint="eastAsia" w:ascii="仿宋" w:hAnsi="仿宋" w:eastAsia="仿宋" w:cs="仿宋"/>
          <w:sz w:val="32"/>
          <w:szCs w:val="32"/>
          <w:lang w:eastAsia="zh-CN"/>
        </w:rPr>
        <w:t>营造有利于推动</w:t>
      </w:r>
      <w:r>
        <w:rPr>
          <w:rFonts w:hint="eastAsia" w:ascii="仿宋" w:hAnsi="仿宋" w:eastAsia="仿宋" w:cs="仿宋"/>
          <w:b w:val="0"/>
          <w:bCs w:val="0"/>
          <w:sz w:val="32"/>
          <w:szCs w:val="32"/>
          <w:lang w:val="en-US" w:eastAsia="zh-CN"/>
        </w:rPr>
        <w:t>就业见习与留青就业无缝衔接的良好氛围。</w:t>
      </w:r>
    </w:p>
    <w:p>
      <w:pPr>
        <w:pStyle w:val="2"/>
        <w:ind w:left="0" w:leftChars="0" w:firstLine="0" w:firstLineChars="0"/>
        <w:rPr>
          <w:rFonts w:hint="default"/>
          <w:lang w:val="en-US" w:eastAsia="zh-CN"/>
        </w:rPr>
      </w:pPr>
      <w:r>
        <w:rPr>
          <w:rFonts w:hint="eastAsia" w:ascii="仿宋" w:hAnsi="仿宋" w:eastAsia="仿宋" w:cs="仿宋"/>
          <w:b w:val="0"/>
          <w:bCs w:val="0"/>
          <w:sz w:val="32"/>
          <w:szCs w:val="32"/>
          <w:lang w:val="en-US" w:eastAsia="zh-CN"/>
        </w:rPr>
        <w:t xml:space="preserve">    六、加强督查，严格考核。就业见习民生工作将作为今年就业考核工作一项重要内容，各乡镇、开发区要高度重视，县人社部门将适时开展督查、考核，确保就业见习民生工程各项工作落到实处。</w:t>
      </w: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联系人：方涛</w:t>
      </w: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联系电话：5021685。</w:t>
      </w: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32" w:firstLineChars="200"/>
        <w:jc w:val="both"/>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青阳县人力资源和社会保障局</w:t>
      </w:r>
    </w:p>
    <w:p>
      <w:pPr>
        <w:keepNext w:val="0"/>
        <w:keepLines w:val="0"/>
        <w:pageBreakBefore w:val="0"/>
        <w:widowControl w:val="0"/>
        <w:tabs>
          <w:tab w:val="left" w:pos="7770"/>
        </w:tabs>
        <w:kinsoku/>
        <w:wordWrap/>
        <w:overflowPunct/>
        <w:topLinePunct w:val="0"/>
        <w:autoSpaceDE/>
        <w:autoSpaceDN/>
        <w:bidi w:val="0"/>
        <w:spacing w:line="580" w:lineRule="exact"/>
        <w:ind w:firstLine="4740" w:firstLineChars="1500"/>
        <w:jc w:val="center"/>
        <w:textAlignment w:val="auto"/>
        <w:rPr>
          <w:rFonts w:hint="eastAsia" w:ascii="仿宋" w:hAnsi="仿宋" w:eastAsia="仿宋" w:cs="仿宋"/>
        </w:rPr>
      </w:pPr>
      <w:r>
        <w:rPr>
          <w:rFonts w:hint="eastAsia" w:ascii="仿宋" w:hAnsi="仿宋" w:eastAsia="仿宋" w:cs="仿宋"/>
          <w:sz w:val="32"/>
          <w:szCs w:val="32"/>
          <w:lang w:val="en-US" w:eastAsia="zh-CN"/>
        </w:rPr>
        <w:t>2022年4月13日</w:t>
      </w:r>
    </w:p>
    <w:sectPr>
      <w:headerReference r:id="rId5" w:type="first"/>
      <w:footerReference r:id="rId8" w:type="first"/>
      <w:headerReference r:id="rId3" w:type="default"/>
      <w:footerReference r:id="rId6" w:type="default"/>
      <w:headerReference r:id="rId4" w:type="even"/>
      <w:footerReference r:id="rId7" w:type="even"/>
      <w:pgSz w:w="11906" w:h="16838"/>
      <w:pgMar w:top="2041" w:right="1531" w:bottom="2041" w:left="1531" w:header="851" w:footer="992" w:gutter="0"/>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F86A43"/>
    <w:rsid w:val="0F961A34"/>
    <w:rsid w:val="10E5533D"/>
    <w:rsid w:val="11101E18"/>
    <w:rsid w:val="11F86A43"/>
    <w:rsid w:val="1CF241A2"/>
    <w:rsid w:val="26722680"/>
    <w:rsid w:val="30AE2ACE"/>
    <w:rsid w:val="36282444"/>
    <w:rsid w:val="4AA54826"/>
    <w:rsid w:val="512D1D67"/>
    <w:rsid w:val="63A72302"/>
    <w:rsid w:val="685557C4"/>
    <w:rsid w:val="7A2C4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1390</Words>
  <Characters>1435</Characters>
  <Lines>0</Lines>
  <Paragraphs>0</Paragraphs>
  <TotalTime>1</TotalTime>
  <ScaleCrop>false</ScaleCrop>
  <LinksUpToDate>false</LinksUpToDate>
  <CharactersWithSpaces>1444</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2022-04-07T06:55:00Z</dcterms:created>
  <dc:creator>王小晗</dc:creator>
  <cp:lastModifiedBy>朱大伟</cp:lastModifiedBy>
  <cp:lastPrinted>2022-04-07T07:19:00Z</cp:lastPrinted>
  <dcterms:modified xsi:type="dcterms:W3CDTF">2022-04-18T01:32:47Z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24F81901FE7E4F79AF9A9288ED244A20</vt:lpwstr>
  </property>
</Properties>
</file>