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宋体" w:hAnsi="宋体"/>
          <w:b/>
          <w:sz w:val="44"/>
          <w:szCs w:val="44"/>
          <w:u w:val="single"/>
        </w:rPr>
      </w:pPr>
    </w:p>
    <w:p>
      <w:pPr>
        <w:adjustRightInd w:val="0"/>
        <w:snapToGrid w:val="0"/>
        <w:spacing w:line="360" w:lineRule="auto"/>
        <w:jc w:val="center"/>
        <w:rPr>
          <w:rFonts w:ascii="宋体" w:hAnsi="宋体"/>
          <w:b/>
          <w:sz w:val="44"/>
          <w:szCs w:val="44"/>
          <w:u w:val="single"/>
        </w:rPr>
      </w:pPr>
    </w:p>
    <w:p>
      <w:pPr>
        <w:adjustRightInd w:val="0"/>
        <w:snapToGrid w:val="0"/>
        <w:spacing w:line="360" w:lineRule="auto"/>
        <w:jc w:val="center"/>
        <w:rPr>
          <w:rFonts w:ascii="宋体" w:hAnsi="宋体"/>
          <w:b/>
          <w:color w:val="0000FF"/>
          <w:sz w:val="44"/>
          <w:szCs w:val="44"/>
          <w:u w:val="single"/>
        </w:rPr>
      </w:pPr>
    </w:p>
    <w:p>
      <w:pPr>
        <w:adjustRightInd w:val="0"/>
        <w:snapToGrid w:val="0"/>
        <w:spacing w:line="360" w:lineRule="auto"/>
        <w:jc w:val="center"/>
        <w:rPr>
          <w:rFonts w:ascii="宋体" w:hAnsi="宋体"/>
          <w:b/>
          <w:color w:val="auto"/>
          <w:sz w:val="44"/>
          <w:szCs w:val="44"/>
          <w:u w:val="single"/>
        </w:rPr>
      </w:pPr>
    </w:p>
    <w:p>
      <w:pPr>
        <w:adjustRightInd w:val="0"/>
        <w:snapToGrid w:val="0"/>
        <w:spacing w:line="360" w:lineRule="auto"/>
        <w:jc w:val="center"/>
        <w:rPr>
          <w:rFonts w:hint="eastAsia" w:ascii="华文中宋" w:hAnsi="华文中宋" w:eastAsia="华文中宋" w:cs="华文中宋"/>
          <w:b/>
          <w:color w:val="auto"/>
          <w:sz w:val="52"/>
          <w:szCs w:val="84"/>
        </w:rPr>
      </w:pPr>
      <w:r>
        <w:rPr>
          <w:rFonts w:hint="eastAsia" w:ascii="华文中宋" w:hAnsi="华文中宋" w:eastAsia="华文中宋" w:cs="华文中宋"/>
          <w:b/>
          <w:color w:val="auto"/>
          <w:sz w:val="52"/>
          <w:szCs w:val="84"/>
          <w:lang w:eastAsia="zh-CN"/>
        </w:rPr>
        <w:t>木镇镇人民政府2021</w:t>
      </w:r>
      <w:r>
        <w:rPr>
          <w:rFonts w:hint="eastAsia" w:ascii="华文中宋" w:hAnsi="华文中宋" w:eastAsia="华文中宋" w:cs="华文中宋"/>
          <w:b/>
          <w:color w:val="auto"/>
          <w:sz w:val="52"/>
          <w:szCs w:val="84"/>
        </w:rPr>
        <w:t>年部门预算</w:t>
      </w: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44"/>
          <w:szCs w:val="44"/>
        </w:rPr>
      </w:pPr>
      <w:r>
        <w:rPr>
          <w:rFonts w:hint="eastAsia" w:ascii="黑体" w:hAnsi="黑体" w:eastAsia="黑体"/>
          <w:bCs/>
          <w:color w:val="auto"/>
          <w:sz w:val="44"/>
          <w:szCs w:val="44"/>
          <w:lang w:eastAsia="zh-CN"/>
        </w:rPr>
        <w:t>2021</w:t>
      </w:r>
      <w:r>
        <w:rPr>
          <w:rFonts w:hint="eastAsia" w:ascii="黑体" w:hAnsi="黑体" w:eastAsia="黑体"/>
          <w:bCs/>
          <w:color w:val="auto"/>
          <w:sz w:val="44"/>
          <w:szCs w:val="44"/>
        </w:rPr>
        <w:t>年</w:t>
      </w:r>
      <w:r>
        <w:rPr>
          <w:rFonts w:hint="eastAsia" w:ascii="黑体" w:hAnsi="黑体" w:eastAsia="黑体"/>
          <w:bCs/>
          <w:color w:val="auto"/>
          <w:sz w:val="44"/>
          <w:szCs w:val="44"/>
          <w:lang w:val="en-US" w:eastAsia="zh-CN"/>
        </w:rPr>
        <w:t>3</w:t>
      </w:r>
      <w:r>
        <w:rPr>
          <w:rFonts w:hint="eastAsia" w:ascii="黑体" w:hAnsi="黑体" w:eastAsia="黑体"/>
          <w:bCs/>
          <w:color w:val="auto"/>
          <w:sz w:val="44"/>
          <w:szCs w:val="44"/>
        </w:rPr>
        <w:t>月</w:t>
      </w: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center"/>
        <w:rPr>
          <w:rFonts w:hint="eastAsia" w:ascii="黑体" w:hAnsi="黑体" w:eastAsia="黑体"/>
          <w:bCs/>
          <w:color w:val="auto"/>
          <w:sz w:val="36"/>
          <w:szCs w:val="36"/>
        </w:rPr>
      </w:pPr>
    </w:p>
    <w:p>
      <w:pPr>
        <w:pStyle w:val="2"/>
        <w:adjustRightInd w:val="0"/>
        <w:snapToGrid w:val="0"/>
        <w:spacing w:before="0" w:beforeAutospacing="0" w:after="0" w:afterAutospacing="0" w:line="360" w:lineRule="auto"/>
        <w:jc w:val="both"/>
        <w:rPr>
          <w:rFonts w:hint="eastAsia" w:ascii="黑体" w:hAnsi="黑体" w:eastAsia="黑体"/>
          <w:bCs/>
          <w:color w:val="auto"/>
          <w:sz w:val="36"/>
          <w:szCs w:val="36"/>
        </w:rPr>
      </w:pPr>
    </w:p>
    <w:p>
      <w:pPr>
        <w:rPr>
          <w:color w:val="auto"/>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黑体" w:hAnsi="黑体" w:eastAsia="黑体" w:cs="黑体"/>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黑体" w:hAnsi="黑体" w:eastAsia="黑体" w:cs="黑体"/>
          <w:i w:val="0"/>
          <w:caps w:val="0"/>
          <w:color w:val="auto"/>
          <w:spacing w:val="0"/>
          <w:sz w:val="28"/>
          <w:szCs w:val="28"/>
        </w:rPr>
      </w:pPr>
      <w:r>
        <w:rPr>
          <w:rFonts w:hint="eastAsia" w:ascii="黑体" w:hAnsi="黑体" w:eastAsia="黑体" w:cs="黑体"/>
          <w:i w:val="0"/>
          <w:caps w:val="0"/>
          <w:color w:val="auto"/>
          <w:spacing w:val="0"/>
          <w:sz w:val="28"/>
          <w:szCs w:val="28"/>
          <w:shd w:val="clear" w:fill="FFFFFF"/>
        </w:rPr>
        <w:t>目 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24"/>
          <w:szCs w:val="24"/>
        </w:rPr>
      </w:pPr>
      <w:r>
        <w:rPr>
          <w:rFonts w:hint="eastAsia" w:ascii="宋体" w:hAnsi="宋体" w:eastAsia="宋体" w:cs="宋体"/>
          <w:b/>
          <w:i w:val="0"/>
          <w:caps w:val="0"/>
          <w:color w:val="auto"/>
          <w:spacing w:val="0"/>
          <w:sz w:val="24"/>
          <w:szCs w:val="24"/>
          <w:shd w:val="clear" w:fill="FFFFFF"/>
        </w:rPr>
        <w:t>第一部分 部门概况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1.主要职责</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3</w:t>
      </w:r>
      <w:r>
        <w:rPr>
          <w:rFonts w:hint="eastAsia" w:ascii="宋体" w:hAnsi="宋体" w:eastAsia="宋体" w:cs="宋体"/>
          <w:i w:val="0"/>
          <w:caps w:val="0"/>
          <w:color w:val="auto"/>
          <w:spacing w:val="0"/>
          <w:sz w:val="24"/>
          <w:szCs w:val="24"/>
          <w:shd w:val="clear" w:fill="FFFFFF"/>
        </w:rPr>
        <w:t>.部门预算单位构成</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b/>
          <w:i w:val="0"/>
          <w:caps w:val="0"/>
          <w:color w:val="auto"/>
          <w:spacing w:val="0"/>
          <w:sz w:val="24"/>
          <w:szCs w:val="24"/>
          <w:shd w:val="clear" w:fill="FFFFFF"/>
        </w:rPr>
        <w:t>第二部分 </w:t>
      </w:r>
      <w:r>
        <w:rPr>
          <w:rFonts w:hint="eastAsia" w:cs="宋体"/>
          <w:b/>
          <w:i w:val="0"/>
          <w:caps w:val="0"/>
          <w:color w:val="auto"/>
          <w:spacing w:val="0"/>
          <w:sz w:val="24"/>
          <w:szCs w:val="24"/>
          <w:shd w:val="clear" w:fill="FFFFFF"/>
          <w:lang w:eastAsia="zh-CN"/>
        </w:rPr>
        <w:t>2021</w:t>
      </w:r>
      <w:r>
        <w:rPr>
          <w:rFonts w:hint="eastAsia" w:ascii="宋体" w:hAnsi="宋体" w:eastAsia="宋体" w:cs="宋体"/>
          <w:b/>
          <w:i w:val="0"/>
          <w:caps w:val="0"/>
          <w:color w:val="auto"/>
          <w:spacing w:val="0"/>
          <w:sz w:val="24"/>
          <w:szCs w:val="24"/>
          <w:shd w:val="clear" w:fill="FFFFFF"/>
        </w:rPr>
        <w:t>年部门预算表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1.</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财政拨款收支预算总表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2.</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一般公共预算支出预算表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3.</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一般公共预算基本支出预算表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4.</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政府性基金预算支出预算表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cs="宋体"/>
          <w:i w:val="0"/>
          <w:caps w:val="0"/>
          <w:color w:val="auto"/>
          <w:spacing w:val="0"/>
          <w:sz w:val="24"/>
          <w:szCs w:val="24"/>
          <w:shd w:val="clear" w:fill="FFFFFF"/>
          <w:lang w:eastAsia="zh-CN"/>
        </w:rPr>
      </w:pPr>
      <w:r>
        <w:rPr>
          <w:rFonts w:hint="eastAsia" w:ascii="宋体" w:hAnsi="宋体" w:eastAsia="宋体" w:cs="宋体"/>
          <w:i w:val="0"/>
          <w:caps w:val="0"/>
          <w:color w:val="auto"/>
          <w:spacing w:val="0"/>
          <w:sz w:val="24"/>
          <w:szCs w:val="24"/>
          <w:shd w:val="clear" w:fill="FFFFFF"/>
        </w:rPr>
        <w:t>5.</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部门“三公”经费预算表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6.</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收支预算总表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7.</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收入预算总表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8.</w:t>
      </w:r>
      <w:r>
        <w:rPr>
          <w:rFonts w:hint="eastAsia" w:cs="宋体"/>
          <w:i w:val="0"/>
          <w:caps w:val="0"/>
          <w:color w:val="auto"/>
          <w:spacing w:val="0"/>
          <w:sz w:val="24"/>
          <w:szCs w:val="24"/>
          <w:shd w:val="clear" w:fill="FFFFFF"/>
          <w:lang w:eastAsia="zh-CN"/>
        </w:rPr>
        <w:t>木镇镇人民政府2021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部门</w:t>
      </w:r>
      <w:r>
        <w:rPr>
          <w:rFonts w:hint="eastAsia" w:ascii="宋体" w:hAnsi="宋体" w:eastAsia="宋体" w:cs="宋体"/>
          <w:i w:val="0"/>
          <w:caps w:val="0"/>
          <w:color w:val="auto"/>
          <w:spacing w:val="0"/>
          <w:sz w:val="24"/>
          <w:szCs w:val="24"/>
          <w:shd w:val="clear" w:fill="FFFFFF"/>
        </w:rPr>
        <w:t>支出预算总表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b/>
          <w:i w:val="0"/>
          <w:caps w:val="0"/>
          <w:color w:val="auto"/>
          <w:spacing w:val="0"/>
          <w:sz w:val="24"/>
          <w:szCs w:val="24"/>
          <w:shd w:val="clear" w:fill="FFFFFF"/>
        </w:rPr>
        <w:t>第三部分 </w:t>
      </w:r>
      <w:r>
        <w:rPr>
          <w:rFonts w:hint="eastAsia" w:cs="宋体"/>
          <w:b/>
          <w:i w:val="0"/>
          <w:caps w:val="0"/>
          <w:color w:val="auto"/>
          <w:spacing w:val="0"/>
          <w:sz w:val="24"/>
          <w:szCs w:val="24"/>
          <w:shd w:val="clear" w:fill="FFFFFF"/>
          <w:lang w:eastAsia="zh-CN"/>
        </w:rPr>
        <w:t>2021</w:t>
      </w:r>
      <w:r>
        <w:rPr>
          <w:rFonts w:hint="eastAsia" w:ascii="宋体" w:hAnsi="宋体" w:eastAsia="宋体" w:cs="宋体"/>
          <w:b/>
          <w:i w:val="0"/>
          <w:caps w:val="0"/>
          <w:color w:val="auto"/>
          <w:spacing w:val="0"/>
          <w:sz w:val="24"/>
          <w:szCs w:val="24"/>
          <w:shd w:val="clear" w:fill="FFFFFF"/>
        </w:rPr>
        <w:t>年部门预算情况说明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1.关于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年财政拨款收支预算总体情况说明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rPr>
        <w:t>2.关于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年一般公共预算财政拨款情况说明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cs="宋体"/>
          <w:i w:val="0"/>
          <w:caps w:val="0"/>
          <w:color w:val="auto"/>
          <w:spacing w:val="0"/>
          <w:sz w:val="24"/>
          <w:szCs w:val="24"/>
          <w:shd w:val="clear" w:fill="FFFFFF"/>
          <w:lang w:val="en-US" w:eastAsia="zh-CN"/>
        </w:rPr>
        <w:t>3.</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年一般公共预算基本支出情况说明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4</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年政府性基金预算拨款情况说明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5</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w:t>
      </w:r>
      <w:r>
        <w:rPr>
          <w:rFonts w:hint="eastAsia" w:cs="宋体"/>
          <w:i w:val="0"/>
          <w:caps w:val="0"/>
          <w:color w:val="auto"/>
          <w:spacing w:val="0"/>
          <w:sz w:val="24"/>
          <w:szCs w:val="24"/>
          <w:shd w:val="clear" w:fill="FFFFFF"/>
          <w:lang w:eastAsia="zh-CN"/>
        </w:rPr>
        <w:t>“三公”经费</w:t>
      </w:r>
      <w:r>
        <w:rPr>
          <w:rFonts w:hint="eastAsia" w:ascii="宋体" w:hAnsi="宋体" w:eastAsia="宋体" w:cs="宋体"/>
          <w:i w:val="0"/>
          <w:caps w:val="0"/>
          <w:color w:val="auto"/>
          <w:spacing w:val="0"/>
          <w:sz w:val="24"/>
          <w:szCs w:val="24"/>
          <w:shd w:val="clear" w:fill="FFFFFF"/>
        </w:rPr>
        <w:t>预算拨款情况说明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6</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年收支预算总体情况说明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7</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年收入预算情况说明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8</w:t>
      </w:r>
      <w:r>
        <w:rPr>
          <w:rFonts w:hint="eastAsia" w:ascii="宋体" w:hAnsi="宋体" w:eastAsia="宋体" w:cs="宋体"/>
          <w:i w:val="0"/>
          <w:caps w:val="0"/>
          <w:color w:val="auto"/>
          <w:spacing w:val="0"/>
          <w:sz w:val="24"/>
          <w:szCs w:val="24"/>
          <w:shd w:val="clear" w:fill="FFFFFF"/>
        </w:rPr>
        <w:t>.关于</w:t>
      </w:r>
      <w:r>
        <w:rPr>
          <w:rFonts w:hint="eastAsia" w:cs="宋体"/>
          <w:i w:val="0"/>
          <w:caps w:val="0"/>
          <w:color w:val="auto"/>
          <w:spacing w:val="0"/>
          <w:sz w:val="24"/>
          <w:szCs w:val="24"/>
          <w:shd w:val="clear" w:fill="FFFFFF"/>
          <w:lang w:eastAsia="zh-CN"/>
        </w:rPr>
        <w:t>2021</w:t>
      </w:r>
      <w:r>
        <w:rPr>
          <w:rFonts w:hint="eastAsia" w:ascii="宋体" w:hAnsi="宋体" w:eastAsia="宋体" w:cs="宋体"/>
          <w:i w:val="0"/>
          <w:caps w:val="0"/>
          <w:color w:val="auto"/>
          <w:spacing w:val="0"/>
          <w:sz w:val="24"/>
          <w:szCs w:val="24"/>
          <w:shd w:val="clear" w:fill="FFFFFF"/>
        </w:rPr>
        <w:t>年支出预算情况说明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cs="宋体"/>
          <w:i w:val="0"/>
          <w:caps w:val="0"/>
          <w:color w:val="auto"/>
          <w:spacing w:val="0"/>
          <w:sz w:val="24"/>
          <w:szCs w:val="24"/>
          <w:shd w:val="clear" w:fill="FFFFFF"/>
          <w:lang w:val="en-US" w:eastAsia="zh-CN"/>
        </w:rPr>
        <w:t>9</w:t>
      </w:r>
      <w:r>
        <w:rPr>
          <w:rFonts w:hint="eastAsia" w:ascii="宋体" w:hAnsi="宋体" w:eastAsia="宋体" w:cs="宋体"/>
          <w:i w:val="0"/>
          <w:caps w:val="0"/>
          <w:color w:val="auto"/>
          <w:spacing w:val="0"/>
          <w:sz w:val="24"/>
          <w:szCs w:val="24"/>
          <w:shd w:val="clear" w:fill="FFFFFF"/>
        </w:rPr>
        <w:t>.其他重要事项情况说明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rPr>
      </w:pPr>
      <w:r>
        <w:rPr>
          <w:rFonts w:hint="eastAsia" w:ascii="宋体" w:hAnsi="宋体" w:eastAsia="宋体" w:cs="宋体"/>
          <w:b/>
          <w:i w:val="0"/>
          <w:caps w:val="0"/>
          <w:color w:val="auto"/>
          <w:spacing w:val="0"/>
          <w:sz w:val="24"/>
          <w:szCs w:val="24"/>
          <w:shd w:val="clear" w:fill="FFFFFF"/>
        </w:rPr>
        <w:t>第四部分 名词解释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24"/>
          <w:szCs w:val="24"/>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b/>
          <w:bCs/>
          <w:i w:val="0"/>
          <w:caps w:val="0"/>
          <w:color w:val="auto"/>
          <w:spacing w:val="0"/>
          <w:sz w:val="28"/>
          <w:szCs w:val="28"/>
        </w:rPr>
      </w:pPr>
      <w:r>
        <w:rPr>
          <w:rFonts w:hint="eastAsia" w:ascii="宋体" w:hAnsi="宋体" w:eastAsia="宋体" w:cs="宋体"/>
          <w:b/>
          <w:bCs/>
          <w:i w:val="0"/>
          <w:caps w:val="0"/>
          <w:color w:val="auto"/>
          <w:spacing w:val="0"/>
          <w:sz w:val="28"/>
          <w:szCs w:val="28"/>
          <w:shd w:val="clear" w:fill="FFFFFF"/>
        </w:rPr>
        <w:t>第一部分 部门概况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一、主要职责</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b/>
          <w:bCs/>
          <w:i w:val="0"/>
          <w:caps w:val="0"/>
          <w:color w:val="auto"/>
          <w:spacing w:val="0"/>
          <w:kern w:val="0"/>
          <w:sz w:val="24"/>
          <w:szCs w:val="24"/>
          <w:shd w:val="clear" w:fill="FFFFFF"/>
          <w:lang w:val="en-US" w:eastAsia="zh-CN" w:bidi="ar"/>
        </w:rPr>
      </w:pPr>
      <w:r>
        <w:rPr>
          <w:rFonts w:hint="eastAsia" w:ascii="宋体" w:hAnsi="宋体" w:eastAsia="宋体" w:cs="宋体"/>
          <w:b/>
          <w:bCs/>
          <w:i w:val="0"/>
          <w:caps w:val="0"/>
          <w:color w:val="auto"/>
          <w:spacing w:val="0"/>
          <w:kern w:val="0"/>
          <w:sz w:val="24"/>
          <w:szCs w:val="24"/>
          <w:shd w:val="clear" w:fill="FFFFFF"/>
          <w:lang w:val="en-US" w:eastAsia="zh-CN" w:bidi="ar"/>
        </w:rPr>
        <w:t>一、部门主要职责</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木镇镇是青阳县首镇，古称木竹潭、吴潭镇，距今已有300多年的历史。木镇地处著名佛教圣地九华山东麓，距县城12公里。辖区面积107.5平方公里，辖10个行政村、2个街道社区，常住人口3.6万人，为青阳县东部地区的经济、文化、商贸中心；区位优势突出。木镇镇地处318国道和103省道交汇处，是安徽省“两山一湖”（黄山、九华山、太平湖）旅游热线上的重镇。地理位置得天独厚，距长江铜陵港、池州港均在40公里以内，距九华山风景区40公里，距黄山风景区100公里，距合铜黄高速青阳出口3公里、沿江高速出口20公里，距铜九铁路青阳站20公里；商贸优势明显。由于独特的地理位置，木镇镇自古以来便是周边乡镇农副产品集散地。主要职责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 xml:space="preserve">1.执行本级人民代表大会决议以及上级国家行政机关的决定和命令；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 xml:space="preserve">2.执行全镇的社会和经济发展计划、决算，管理本镇内的经济、教育、科技、文化、卫生、体育事业和财政、民政、治安、人民调解、安全生产监督管理、移民开发、计划生育等行政工作；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 xml:space="preserve">3.保护社会主义的全民所有财产和劳动群众集体所有财产，保护公民私人所有的合法财产，维护社会秩序，保障公民的人身权利、民主权利和其他权利；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 xml:space="preserve">4.保护各种经济组织的合法权益；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 xml:space="preserve">5.贯彻执行党和国家的民族宗教政策，保障少数民族的权利和尊重少数民族的风俗习惯，尊重民族宗教信仰；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6.抓好精神文明建设，丰富</w:t>
      </w:r>
      <w:r>
        <w:rPr>
          <w:rFonts w:hint="eastAsia" w:ascii="宋体" w:hAnsi="宋体" w:cs="宋体"/>
          <w:i w:val="0"/>
          <w:caps w:val="0"/>
          <w:color w:val="auto"/>
          <w:spacing w:val="0"/>
          <w:kern w:val="0"/>
          <w:sz w:val="24"/>
          <w:szCs w:val="24"/>
          <w:shd w:val="clear" w:fill="FFFFFF"/>
          <w:lang w:val="en-US" w:eastAsia="zh-CN" w:bidi="ar"/>
        </w:rPr>
        <w:fldChar w:fldCharType="begin"/>
      </w:r>
      <w:r>
        <w:rPr>
          <w:rFonts w:hint="eastAsia" w:ascii="宋体" w:hAnsi="宋体" w:cs="宋体"/>
          <w:i w:val="0"/>
          <w:caps w:val="0"/>
          <w:color w:val="auto"/>
          <w:spacing w:val="0"/>
          <w:kern w:val="0"/>
          <w:sz w:val="24"/>
          <w:szCs w:val="24"/>
          <w:shd w:val="clear" w:fill="FFFFFF"/>
          <w:lang w:val="en-US" w:eastAsia="zh-CN" w:bidi="ar"/>
        </w:rPr>
        <w:instrText xml:space="preserve"> HYPERLINK "http://www.so.com/s?q=%E7%BE%A4%E4%BC%97%E6%96%87%E5%8C%96&amp;ie=utf-8&amp;src=internal_wenda_recommend_textn" \t "https://wenda.so.com/q/_blank" </w:instrText>
      </w:r>
      <w:r>
        <w:rPr>
          <w:rFonts w:hint="eastAsia" w:ascii="宋体" w:hAnsi="宋体" w:cs="宋体"/>
          <w:i w:val="0"/>
          <w:caps w:val="0"/>
          <w:color w:val="auto"/>
          <w:spacing w:val="0"/>
          <w:kern w:val="0"/>
          <w:sz w:val="24"/>
          <w:szCs w:val="24"/>
          <w:shd w:val="clear" w:fill="FFFFFF"/>
          <w:lang w:val="en-US" w:eastAsia="zh-CN" w:bidi="ar"/>
        </w:rPr>
        <w:fldChar w:fldCharType="separate"/>
      </w:r>
      <w:r>
        <w:rPr>
          <w:rFonts w:hint="eastAsia" w:ascii="宋体" w:hAnsi="宋体" w:cs="宋体"/>
          <w:i w:val="0"/>
          <w:caps w:val="0"/>
          <w:color w:val="auto"/>
          <w:spacing w:val="0"/>
          <w:kern w:val="0"/>
          <w:sz w:val="24"/>
          <w:szCs w:val="24"/>
          <w:shd w:val="clear" w:fill="FFFFFF"/>
          <w:lang w:val="en-US" w:eastAsia="zh-CN" w:bidi="ar"/>
        </w:rPr>
        <w:t>群众文化</w:t>
      </w:r>
      <w:r>
        <w:rPr>
          <w:rFonts w:hint="eastAsia" w:ascii="宋体" w:hAnsi="宋体" w:cs="宋体"/>
          <w:i w:val="0"/>
          <w:caps w:val="0"/>
          <w:color w:val="auto"/>
          <w:spacing w:val="0"/>
          <w:kern w:val="0"/>
          <w:sz w:val="24"/>
          <w:szCs w:val="24"/>
          <w:shd w:val="clear" w:fill="FFFFFF"/>
          <w:lang w:val="en-US" w:eastAsia="zh-CN" w:bidi="ar"/>
        </w:rPr>
        <w:fldChar w:fldCharType="end"/>
      </w:r>
      <w:r>
        <w:rPr>
          <w:rFonts w:hint="eastAsia" w:ascii="宋体" w:hAnsi="宋体" w:cs="宋体"/>
          <w:i w:val="0"/>
          <w:caps w:val="0"/>
          <w:color w:val="auto"/>
          <w:spacing w:val="0"/>
          <w:kern w:val="0"/>
          <w:sz w:val="24"/>
          <w:szCs w:val="24"/>
          <w:shd w:val="clear" w:fill="FFFFFF"/>
          <w:lang w:val="en-US" w:eastAsia="zh-CN" w:bidi="ar"/>
        </w:rPr>
        <w:t>生活，提倡移风易俗，反对封建迷信，破除陈规陋习，树立</w:t>
      </w:r>
      <w:r>
        <w:rPr>
          <w:rFonts w:hint="eastAsia" w:ascii="宋体" w:hAnsi="宋体" w:cs="宋体"/>
          <w:i w:val="0"/>
          <w:caps w:val="0"/>
          <w:color w:val="auto"/>
          <w:spacing w:val="0"/>
          <w:kern w:val="0"/>
          <w:sz w:val="24"/>
          <w:szCs w:val="24"/>
          <w:shd w:val="clear" w:fill="FFFFFF"/>
          <w:lang w:val="en-US" w:eastAsia="zh-CN" w:bidi="ar"/>
        </w:rPr>
        <w:fldChar w:fldCharType="begin"/>
      </w:r>
      <w:r>
        <w:rPr>
          <w:rFonts w:hint="eastAsia" w:ascii="宋体" w:hAnsi="宋体" w:cs="宋体"/>
          <w:i w:val="0"/>
          <w:caps w:val="0"/>
          <w:color w:val="auto"/>
          <w:spacing w:val="0"/>
          <w:kern w:val="0"/>
          <w:sz w:val="24"/>
          <w:szCs w:val="24"/>
          <w:shd w:val="clear" w:fill="FFFFFF"/>
          <w:lang w:val="en-US" w:eastAsia="zh-CN" w:bidi="ar"/>
        </w:rPr>
        <w:instrText xml:space="preserve"> HYPERLINK "http://www.so.com/s?q=%E7%A4%BE%E4%BC%9A%E4%B8%BB%E4%B9%89&amp;ie=utf-8&amp;src=internal_wenda_recommend_textn" \t "https://wenda.so.com/q/_blank" </w:instrText>
      </w:r>
      <w:r>
        <w:rPr>
          <w:rFonts w:hint="eastAsia" w:ascii="宋体" w:hAnsi="宋体" w:cs="宋体"/>
          <w:i w:val="0"/>
          <w:caps w:val="0"/>
          <w:color w:val="auto"/>
          <w:spacing w:val="0"/>
          <w:kern w:val="0"/>
          <w:sz w:val="24"/>
          <w:szCs w:val="24"/>
          <w:shd w:val="clear" w:fill="FFFFFF"/>
          <w:lang w:val="en-US" w:eastAsia="zh-CN" w:bidi="ar"/>
        </w:rPr>
        <w:fldChar w:fldCharType="separate"/>
      </w:r>
      <w:r>
        <w:rPr>
          <w:rFonts w:hint="eastAsia" w:ascii="宋体" w:hAnsi="宋体" w:cs="宋体"/>
          <w:i w:val="0"/>
          <w:caps w:val="0"/>
          <w:color w:val="auto"/>
          <w:spacing w:val="0"/>
          <w:kern w:val="0"/>
          <w:sz w:val="24"/>
          <w:szCs w:val="24"/>
          <w:shd w:val="clear" w:fill="FFFFFF"/>
          <w:lang w:val="en-US" w:eastAsia="zh-CN" w:bidi="ar"/>
        </w:rPr>
        <w:t>社会主义</w:t>
      </w:r>
      <w:r>
        <w:rPr>
          <w:rFonts w:hint="eastAsia" w:ascii="宋体" w:hAnsi="宋体" w:cs="宋体"/>
          <w:i w:val="0"/>
          <w:caps w:val="0"/>
          <w:color w:val="auto"/>
          <w:spacing w:val="0"/>
          <w:kern w:val="0"/>
          <w:sz w:val="24"/>
          <w:szCs w:val="24"/>
          <w:shd w:val="clear" w:fill="FFFFFF"/>
          <w:lang w:val="en-US" w:eastAsia="zh-CN" w:bidi="ar"/>
        </w:rPr>
        <w:fldChar w:fldCharType="end"/>
      </w:r>
      <w:r>
        <w:rPr>
          <w:rFonts w:hint="eastAsia" w:ascii="宋体" w:hAnsi="宋体" w:cs="宋体"/>
          <w:i w:val="0"/>
          <w:caps w:val="0"/>
          <w:color w:val="auto"/>
          <w:spacing w:val="0"/>
          <w:kern w:val="0"/>
          <w:sz w:val="24"/>
          <w:szCs w:val="24"/>
          <w:shd w:val="clear" w:fill="FFFFFF"/>
          <w:lang w:val="en-US" w:eastAsia="zh-CN" w:bidi="ar"/>
        </w:rPr>
        <w:t>新风尚；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cs="宋体"/>
          <w:i w:val="0"/>
          <w:caps w:val="0"/>
          <w:color w:val="auto"/>
          <w:spacing w:val="0"/>
          <w:kern w:val="0"/>
          <w:sz w:val="24"/>
          <w:szCs w:val="24"/>
          <w:shd w:val="clear" w:fill="FFFFFF"/>
          <w:lang w:val="en-US" w:eastAsia="zh-CN" w:bidi="ar"/>
        </w:rPr>
      </w:pPr>
      <w:r>
        <w:rPr>
          <w:rFonts w:hint="eastAsia" w:ascii="宋体" w:hAnsi="宋体" w:cs="宋体"/>
          <w:i w:val="0"/>
          <w:caps w:val="0"/>
          <w:color w:val="auto"/>
          <w:spacing w:val="0"/>
          <w:kern w:val="0"/>
          <w:sz w:val="24"/>
          <w:szCs w:val="24"/>
          <w:shd w:val="clear" w:fill="FFFFFF"/>
          <w:lang w:val="en-US" w:eastAsia="zh-CN" w:bidi="ar"/>
        </w:rPr>
        <w:t>7.办理上级人民政府交办的其他事项。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cs="宋体"/>
          <w:b/>
          <w:bCs/>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cs="宋体"/>
          <w:b/>
          <w:bCs/>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cs="宋体"/>
          <w:b/>
          <w:bCs/>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cs="宋体"/>
          <w:b/>
          <w:bCs/>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cs="宋体"/>
          <w:b/>
          <w:bCs/>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24"/>
          <w:szCs w:val="24"/>
          <w:shd w:val="clear" w:fill="FFFFFF"/>
        </w:rPr>
      </w:pPr>
      <w:r>
        <w:rPr>
          <w:rFonts w:hint="eastAsia" w:cs="宋体"/>
          <w:b/>
          <w:bCs/>
          <w:i w:val="0"/>
          <w:caps w:val="0"/>
          <w:color w:val="auto"/>
          <w:spacing w:val="0"/>
          <w:sz w:val="24"/>
          <w:szCs w:val="24"/>
          <w:shd w:val="clear" w:fill="FFFFFF"/>
          <w:lang w:val="en-US" w:eastAsia="zh-CN"/>
        </w:rPr>
        <w:t>二</w:t>
      </w:r>
      <w:r>
        <w:rPr>
          <w:rFonts w:hint="eastAsia" w:ascii="宋体" w:hAnsi="宋体" w:eastAsia="宋体" w:cs="宋体"/>
          <w:b/>
          <w:bCs/>
          <w:i w:val="0"/>
          <w:caps w:val="0"/>
          <w:color w:val="auto"/>
          <w:spacing w:val="0"/>
          <w:sz w:val="24"/>
          <w:szCs w:val="24"/>
          <w:shd w:val="clear" w:fill="FFFFFF"/>
          <w:lang w:val="en-US" w:eastAsia="zh-CN"/>
        </w:rPr>
        <w:t>、部门预算单位构成</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2021年度</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镇人民政府部门预算由政府本级和</w:t>
      </w:r>
      <w:r>
        <w:rPr>
          <w:rFonts w:hint="eastAsia" w:cs="宋体"/>
          <w:i w:val="0"/>
          <w:caps w:val="0"/>
          <w:color w:val="auto"/>
          <w:spacing w:val="0"/>
          <w:sz w:val="24"/>
          <w:szCs w:val="24"/>
          <w:shd w:val="clear" w:fill="FFFFFF"/>
          <w:lang w:val="en-US" w:eastAsia="zh-CN"/>
        </w:rPr>
        <w:t>4</w:t>
      </w:r>
      <w:r>
        <w:rPr>
          <w:rFonts w:hint="eastAsia" w:ascii="宋体" w:hAnsi="宋体" w:eastAsia="宋体" w:cs="宋体"/>
          <w:i w:val="0"/>
          <w:caps w:val="0"/>
          <w:color w:val="auto"/>
          <w:spacing w:val="0"/>
          <w:sz w:val="24"/>
          <w:szCs w:val="24"/>
          <w:shd w:val="clear" w:fill="FFFFFF"/>
          <w:lang w:val="en-US" w:eastAsia="zh-CN"/>
        </w:rPr>
        <w:t>个预算单位预算组成，纳入部门预算编制范围的单位共</w:t>
      </w:r>
      <w:r>
        <w:rPr>
          <w:rFonts w:hint="eastAsia" w:cs="宋体"/>
          <w:i w:val="0"/>
          <w:caps w:val="0"/>
          <w:color w:val="auto"/>
          <w:spacing w:val="0"/>
          <w:sz w:val="24"/>
          <w:szCs w:val="24"/>
          <w:shd w:val="clear" w:fill="FFFFFF"/>
          <w:lang w:val="en-US" w:eastAsia="zh-CN"/>
        </w:rPr>
        <w:t>5</w:t>
      </w:r>
      <w:r>
        <w:rPr>
          <w:rFonts w:hint="eastAsia" w:ascii="宋体" w:hAnsi="宋体" w:eastAsia="宋体" w:cs="宋体"/>
          <w:i w:val="0"/>
          <w:caps w:val="0"/>
          <w:color w:val="auto"/>
          <w:spacing w:val="0"/>
          <w:sz w:val="24"/>
          <w:szCs w:val="24"/>
          <w:shd w:val="clear" w:fill="FFFFFF"/>
          <w:lang w:val="en-US" w:eastAsia="zh-CN"/>
        </w:rPr>
        <w:t>个，具体情况见下表：</w:t>
      </w:r>
    </w:p>
    <w:tbl>
      <w:tblPr>
        <w:tblStyle w:val="7"/>
        <w:tblW w:w="8297" w:type="dxa"/>
        <w:tblInd w:w="96" w:type="dxa"/>
        <w:shd w:val="clear" w:color="auto" w:fill="auto"/>
        <w:tblLayout w:type="fixed"/>
        <w:tblCellMar>
          <w:top w:w="0" w:type="dxa"/>
          <w:left w:w="108" w:type="dxa"/>
          <w:bottom w:w="0" w:type="dxa"/>
          <w:right w:w="108" w:type="dxa"/>
        </w:tblCellMar>
      </w:tblPr>
      <w:tblGrid>
        <w:gridCol w:w="3132"/>
        <w:gridCol w:w="5165"/>
      </w:tblGrid>
      <w:tr>
        <w:tblPrEx>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序号</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单位名称</w:t>
            </w:r>
          </w:p>
        </w:tc>
      </w:tr>
      <w:tr>
        <w:tblPrEx>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1</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青阳县</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镇人民政府本级</w:t>
            </w:r>
          </w:p>
        </w:tc>
      </w:tr>
      <w:tr>
        <w:tblPrEx>
          <w:shd w:val="clear" w:color="auto" w:fill="auto"/>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2</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青阳县</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w:t>
            </w:r>
            <w:r>
              <w:rPr>
                <w:rFonts w:hint="eastAsia" w:cs="宋体"/>
                <w:i w:val="0"/>
                <w:caps w:val="0"/>
                <w:color w:val="auto"/>
                <w:spacing w:val="0"/>
                <w:sz w:val="24"/>
                <w:szCs w:val="24"/>
                <w:shd w:val="clear" w:fill="FFFFFF"/>
                <w:lang w:val="en-US" w:eastAsia="zh-CN"/>
              </w:rPr>
              <w:t>财政分局</w:t>
            </w:r>
          </w:p>
        </w:tc>
      </w:tr>
      <w:tr>
        <w:tblPrEx>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3</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青阳县</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w:t>
            </w:r>
            <w:r>
              <w:rPr>
                <w:rFonts w:hint="eastAsia" w:cs="宋体"/>
                <w:i w:val="0"/>
                <w:caps w:val="0"/>
                <w:color w:val="auto"/>
                <w:spacing w:val="0"/>
                <w:sz w:val="24"/>
                <w:szCs w:val="24"/>
                <w:shd w:val="clear" w:fill="FFFFFF"/>
                <w:lang w:val="en-US" w:eastAsia="zh-CN"/>
              </w:rPr>
              <w:t>计生服务所</w:t>
            </w:r>
          </w:p>
        </w:tc>
      </w:tr>
      <w:tr>
        <w:tblPrEx>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4</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青阳县</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w:t>
            </w:r>
            <w:r>
              <w:rPr>
                <w:rFonts w:hint="eastAsia" w:cs="宋体"/>
                <w:i w:val="0"/>
                <w:caps w:val="0"/>
                <w:color w:val="auto"/>
                <w:spacing w:val="0"/>
                <w:sz w:val="24"/>
                <w:szCs w:val="24"/>
                <w:shd w:val="clear" w:fill="FFFFFF"/>
                <w:lang w:val="en-US" w:eastAsia="zh-CN"/>
              </w:rPr>
              <w:t>农业发展办公室</w:t>
            </w:r>
          </w:p>
        </w:tc>
      </w:tr>
      <w:tr>
        <w:tblPrEx>
          <w:tblLayout w:type="fixed"/>
          <w:tblCellMar>
            <w:top w:w="0" w:type="dxa"/>
            <w:left w:w="108" w:type="dxa"/>
            <w:bottom w:w="0" w:type="dxa"/>
            <w:right w:w="108" w:type="dxa"/>
          </w:tblCellMar>
        </w:tblPrEx>
        <w:trPr>
          <w:trHeight w:val="420" w:hRule="atLeast"/>
        </w:trPr>
        <w:tc>
          <w:tcPr>
            <w:tcW w:w="3132"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5</w:t>
            </w:r>
          </w:p>
        </w:tc>
        <w:tc>
          <w:tcPr>
            <w:tcW w:w="516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青阳县</w:t>
            </w:r>
            <w:r>
              <w:rPr>
                <w:rFonts w:hint="eastAsia" w:cs="宋体"/>
                <w:i w:val="0"/>
                <w:caps w:val="0"/>
                <w:color w:val="auto"/>
                <w:spacing w:val="0"/>
                <w:sz w:val="24"/>
                <w:szCs w:val="24"/>
                <w:shd w:val="clear" w:fill="FFFFFF"/>
                <w:lang w:val="en-US" w:eastAsia="zh-CN"/>
              </w:rPr>
              <w:t>木镇</w:t>
            </w:r>
            <w:r>
              <w:rPr>
                <w:rFonts w:hint="eastAsia" w:ascii="宋体" w:hAnsi="宋体" w:eastAsia="宋体" w:cs="宋体"/>
                <w:i w:val="0"/>
                <w:caps w:val="0"/>
                <w:color w:val="auto"/>
                <w:spacing w:val="0"/>
                <w:sz w:val="24"/>
                <w:szCs w:val="24"/>
                <w:shd w:val="clear" w:fill="FFFFFF"/>
                <w:lang w:val="en-US" w:eastAsia="zh-CN"/>
              </w:rPr>
              <w:t>镇文化广播站</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720" w:firstLineChars="300"/>
        <w:jc w:val="both"/>
        <w:textAlignment w:val="auto"/>
        <w:rPr>
          <w:rFonts w:hint="eastAsia" w:cs="宋体"/>
          <w:i w:val="0"/>
          <w:caps w:val="0"/>
          <w:color w:val="auto"/>
          <w:spacing w:val="0"/>
          <w:sz w:val="24"/>
          <w:szCs w:val="24"/>
          <w:shd w:val="clear" w:fill="FFFFFF"/>
          <w:lang w:val="en-US" w:eastAsia="zh-CN"/>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第二部分 </w:t>
      </w:r>
      <w:r>
        <w:rPr>
          <w:rFonts w:hint="eastAsia" w:cs="宋体"/>
          <w:b/>
          <w:bCs/>
          <w:i w:val="0"/>
          <w:caps w:val="0"/>
          <w:color w:val="auto"/>
          <w:spacing w:val="0"/>
          <w:sz w:val="28"/>
          <w:szCs w:val="28"/>
          <w:shd w:val="clear" w:fill="FFFFFF"/>
          <w:lang w:eastAsia="zh-CN"/>
        </w:rPr>
        <w:t>2021</w:t>
      </w:r>
      <w:r>
        <w:rPr>
          <w:rFonts w:hint="eastAsia" w:ascii="宋体" w:hAnsi="宋体" w:eastAsia="宋体" w:cs="宋体"/>
          <w:b/>
          <w:bCs/>
          <w:i w:val="0"/>
          <w:caps w:val="0"/>
          <w:color w:val="auto"/>
          <w:spacing w:val="0"/>
          <w:sz w:val="28"/>
          <w:szCs w:val="28"/>
          <w:shd w:val="clear" w:fill="FFFFFF"/>
        </w:rPr>
        <w:t>年部门预算表</w:t>
      </w:r>
    </w:p>
    <w:tbl>
      <w:tblPr>
        <w:tblStyle w:val="7"/>
        <w:tblW w:w="9165" w:type="dxa"/>
        <w:tblInd w:w="96" w:type="dxa"/>
        <w:shd w:val="clear" w:color="auto" w:fill="auto"/>
        <w:tblLayout w:type="fixed"/>
        <w:tblCellMar>
          <w:top w:w="0" w:type="dxa"/>
          <w:left w:w="108" w:type="dxa"/>
          <w:bottom w:w="0" w:type="dxa"/>
          <w:right w:w="108" w:type="dxa"/>
        </w:tblCellMar>
      </w:tblPr>
      <w:tblGrid>
        <w:gridCol w:w="2103"/>
        <w:gridCol w:w="1242"/>
        <w:gridCol w:w="2496"/>
        <w:gridCol w:w="1228"/>
        <w:gridCol w:w="1103"/>
        <w:gridCol w:w="993"/>
      </w:tblGrid>
      <w:tr>
        <w:tblPrEx>
          <w:tblLayout w:type="fixed"/>
          <w:tblCellMar>
            <w:top w:w="0" w:type="dxa"/>
            <w:left w:w="108" w:type="dxa"/>
            <w:bottom w:w="0" w:type="dxa"/>
            <w:right w:w="108" w:type="dxa"/>
          </w:tblCellMar>
        </w:tblPrEx>
        <w:trPr>
          <w:trHeight w:val="345" w:hRule="atLeast"/>
        </w:trPr>
        <w:tc>
          <w:tcPr>
            <w:tcW w:w="2103"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附表1</w:t>
            </w:r>
          </w:p>
        </w:tc>
        <w:tc>
          <w:tcPr>
            <w:tcW w:w="1242"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2496"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228"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03"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993"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504" w:hRule="atLeast"/>
        </w:trPr>
        <w:tc>
          <w:tcPr>
            <w:tcW w:w="9165" w:type="dxa"/>
            <w:gridSpan w:val="6"/>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部门财政拨款收支预算总表（2021年）</w:t>
            </w:r>
          </w:p>
        </w:tc>
      </w:tr>
      <w:tr>
        <w:tblPrEx>
          <w:shd w:val="clear" w:color="auto" w:fill="auto"/>
          <w:tblLayout w:type="fixed"/>
          <w:tblCellMar>
            <w:top w:w="0" w:type="dxa"/>
            <w:left w:w="108" w:type="dxa"/>
            <w:bottom w:w="0" w:type="dxa"/>
            <w:right w:w="108" w:type="dxa"/>
          </w:tblCellMar>
        </w:tblPrEx>
        <w:trPr>
          <w:trHeight w:val="318" w:hRule="atLeast"/>
        </w:trPr>
        <w:tc>
          <w:tcPr>
            <w:tcW w:w="5841" w:type="dxa"/>
            <w:gridSpan w:val="3"/>
            <w:tcBorders>
              <w:top w:val="nil"/>
              <w:left w:val="nil"/>
              <w:bottom w:val="nil"/>
              <w:right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单位名称：</w:t>
            </w:r>
            <w:r>
              <w:rPr>
                <w:rFonts w:hint="eastAsia" w:ascii="宋体" w:hAnsi="宋体" w:cs="宋体"/>
                <w:i w:val="0"/>
                <w:iCs w:val="0"/>
                <w:color w:val="auto"/>
                <w:kern w:val="0"/>
                <w:sz w:val="20"/>
                <w:szCs w:val="20"/>
                <w:u w:val="none"/>
                <w:lang w:val="en-US" w:eastAsia="zh-CN" w:bidi="ar"/>
              </w:rPr>
              <w:t>青阳县木镇</w:t>
            </w:r>
            <w:r>
              <w:rPr>
                <w:rFonts w:hint="eastAsia" w:ascii="宋体" w:hAnsi="宋体" w:eastAsia="宋体" w:cs="宋体"/>
                <w:i w:val="0"/>
                <w:iCs w:val="0"/>
                <w:color w:val="auto"/>
                <w:kern w:val="0"/>
                <w:sz w:val="20"/>
                <w:szCs w:val="20"/>
                <w:u w:val="none"/>
                <w:lang w:val="en-US" w:eastAsia="zh-CN" w:bidi="ar"/>
              </w:rPr>
              <w:t>镇人民政府</w:t>
            </w:r>
          </w:p>
        </w:tc>
        <w:tc>
          <w:tcPr>
            <w:tcW w:w="1228" w:type="dxa"/>
            <w:tcBorders>
              <w:top w:val="nil"/>
              <w:left w:val="nil"/>
              <w:bottom w:val="nil"/>
              <w:right w:val="nil"/>
            </w:tcBorders>
            <w:shd w:val="clear" w:color="auto" w:fill="auto"/>
            <w:vAlign w:val="center"/>
          </w:tcPr>
          <w:p>
            <w:pPr>
              <w:jc w:val="both"/>
              <w:rPr>
                <w:rFonts w:hint="eastAsia" w:ascii="宋体" w:hAnsi="宋体" w:eastAsia="宋体" w:cs="宋体"/>
                <w:i w:val="0"/>
                <w:iCs w:val="0"/>
                <w:color w:val="auto"/>
                <w:sz w:val="20"/>
                <w:szCs w:val="20"/>
                <w:u w:val="none"/>
              </w:rPr>
            </w:pPr>
          </w:p>
        </w:tc>
        <w:tc>
          <w:tcPr>
            <w:tcW w:w="2096" w:type="dxa"/>
            <w:gridSpan w:val="2"/>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单位：万元</w:t>
            </w:r>
          </w:p>
        </w:tc>
      </w:tr>
      <w:tr>
        <w:tblPrEx>
          <w:tblLayout w:type="fixed"/>
          <w:tblCellMar>
            <w:top w:w="0" w:type="dxa"/>
            <w:left w:w="108" w:type="dxa"/>
            <w:bottom w:w="0" w:type="dxa"/>
            <w:right w:w="108" w:type="dxa"/>
          </w:tblCellMar>
        </w:tblPrEx>
        <w:trPr>
          <w:trHeight w:val="318" w:hRule="atLeast"/>
        </w:trPr>
        <w:tc>
          <w:tcPr>
            <w:tcW w:w="3345" w:type="dxa"/>
            <w:gridSpan w:val="2"/>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 xml:space="preserve">收   入             </w:t>
            </w:r>
          </w:p>
        </w:tc>
        <w:tc>
          <w:tcPr>
            <w:tcW w:w="5820" w:type="dxa"/>
            <w:gridSpan w:val="4"/>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支  出</w:t>
            </w:r>
          </w:p>
        </w:tc>
      </w:tr>
      <w:tr>
        <w:tblPrEx>
          <w:shd w:val="clear" w:color="auto" w:fill="auto"/>
          <w:tblLayout w:type="fixed"/>
          <w:tblCellMar>
            <w:top w:w="0" w:type="dxa"/>
            <w:left w:w="108" w:type="dxa"/>
            <w:bottom w:w="0" w:type="dxa"/>
            <w:right w:w="108" w:type="dxa"/>
          </w:tblCellMar>
        </w:tblPrEx>
        <w:trPr>
          <w:trHeight w:val="879"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p>
        </w:tc>
        <w:tc>
          <w:tcPr>
            <w:tcW w:w="1242"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预算数</w:t>
            </w:r>
          </w:p>
        </w:tc>
        <w:tc>
          <w:tcPr>
            <w:tcW w:w="2496"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p>
        </w:tc>
        <w:tc>
          <w:tcPr>
            <w:tcW w:w="1228" w:type="dxa"/>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1103" w:type="dxa"/>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一般公共预算财政拨款</w:t>
            </w:r>
          </w:p>
        </w:tc>
        <w:tc>
          <w:tcPr>
            <w:tcW w:w="993"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政府性基金预算财政拨款</w:t>
            </w: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一、上年结转</w:t>
            </w:r>
          </w:p>
        </w:tc>
        <w:tc>
          <w:tcPr>
            <w:tcW w:w="1242"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1.81</w:t>
            </w: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一、本年支出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政府性基金预算拨款</w:t>
            </w: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（一）一般公共服务支出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1618.00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1618.00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left"/>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（二）外交支出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18"/>
                <w:szCs w:val="18"/>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（三）国防支出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二、本年收入</w:t>
            </w:r>
          </w:p>
        </w:tc>
        <w:tc>
          <w:tcPr>
            <w:tcW w:w="124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（四）公共安全支出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（一）一般公共预算拨款</w:t>
            </w:r>
          </w:p>
        </w:tc>
        <w:tc>
          <w:tcPr>
            <w:tcW w:w="124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（五）教育支出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经常收入预算拨款</w:t>
            </w:r>
          </w:p>
        </w:tc>
        <w:tc>
          <w:tcPr>
            <w:tcW w:w="124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（六）科学技术支出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国库管理非税收入</w:t>
            </w:r>
          </w:p>
        </w:tc>
        <w:tc>
          <w:tcPr>
            <w:tcW w:w="1242" w:type="dxa"/>
            <w:tcBorders>
              <w:top w:val="single" w:color="000000" w:sz="8" w:space="0"/>
              <w:left w:val="single" w:color="000000" w:sz="8" w:space="0"/>
              <w:bottom w:val="nil"/>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（七）文化体育与传媒支出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36.29</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36.29</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（二）政府性基金预算拨款</w:t>
            </w:r>
          </w:p>
        </w:tc>
        <w:tc>
          <w:tcPr>
            <w:tcW w:w="1242"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（八）社会保障和就业支出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461.42</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461.42</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（九）医疗卫生与计划生育支出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90.85</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90.85</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（十）节能环保支出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（十一）城乡社区支出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1154.70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1154.70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（十二）农林水支出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527.95</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527.95</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（十三）交通运输支出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（十四）资源勘探电力信息等支出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100</w:t>
            </w:r>
            <w:r>
              <w:rPr>
                <w:rFonts w:hint="eastAsia" w:ascii="宋体" w:hAnsi="宋体" w:eastAsia="宋体" w:cs="宋体"/>
                <w:i w:val="0"/>
                <w:iCs w:val="0"/>
                <w:color w:val="auto"/>
                <w:kern w:val="0"/>
                <w:sz w:val="22"/>
                <w:szCs w:val="22"/>
                <w:u w:val="none"/>
                <w:lang w:val="en-US" w:eastAsia="zh-CN" w:bidi="ar"/>
              </w:rPr>
              <w:t>.00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100</w:t>
            </w:r>
            <w:r>
              <w:rPr>
                <w:rFonts w:hint="eastAsia" w:ascii="宋体" w:hAnsi="宋体" w:eastAsia="宋体" w:cs="宋体"/>
                <w:i w:val="0"/>
                <w:iCs w:val="0"/>
                <w:color w:val="auto"/>
                <w:kern w:val="0"/>
                <w:sz w:val="22"/>
                <w:szCs w:val="22"/>
                <w:u w:val="none"/>
                <w:lang w:val="en-US" w:eastAsia="zh-CN" w:bidi="ar"/>
              </w:rPr>
              <w:t>.00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（十五）商业服务业等支出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（十六）金融支出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（十七）援助其他地区支出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（十八）国土海洋气象等支出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（十九）住房保障支出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25.79</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25.79</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（二十）粮油物资储备支出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（二十一）预备费</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（二十二）其他支出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（二十三）转移性支出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（二十四）债务还本支出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（二十五）债务付息支出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（二十六）债务发行费用支出</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二、结转下年</w:t>
            </w: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1.81</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1.81</w:t>
            </w: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r>
      <w:tr>
        <w:tblPrEx>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nil"/>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2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22"/>
                <w:szCs w:val="22"/>
                <w:u w:val="none"/>
              </w:rPr>
            </w:pPr>
          </w:p>
        </w:tc>
        <w:tc>
          <w:tcPr>
            <w:tcW w:w="1242"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2496" w:type="dxa"/>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auto"/>
                <w:sz w:val="18"/>
                <w:szCs w:val="18"/>
                <w:u w:val="none"/>
              </w:rPr>
            </w:pPr>
          </w:p>
        </w:tc>
        <w:tc>
          <w:tcPr>
            <w:tcW w:w="1228"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18"/>
                <w:szCs w:val="18"/>
                <w:u w:val="none"/>
              </w:rPr>
            </w:pPr>
          </w:p>
        </w:tc>
        <w:tc>
          <w:tcPr>
            <w:tcW w:w="110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993" w:type="dxa"/>
            <w:tcBorders>
              <w:top w:val="nil"/>
              <w:left w:val="nil"/>
              <w:bottom w:val="single" w:color="000000" w:sz="8" w:space="0"/>
              <w:right w:val="single" w:color="000000" w:sz="8" w:space="0"/>
            </w:tcBorders>
            <w:shd w:val="clear" w:color="auto" w:fill="auto"/>
            <w:vAlign w:val="center"/>
          </w:tcPr>
          <w:p>
            <w:pPr>
              <w:jc w:val="right"/>
              <w:rPr>
                <w:rFonts w:hint="eastAsia" w:ascii="宋体" w:hAnsi="宋体" w:eastAsia="宋体" w:cs="宋体"/>
                <w:i w:val="0"/>
                <w:iCs w:val="0"/>
                <w:color w:val="auto"/>
                <w:sz w:val="20"/>
                <w:szCs w:val="20"/>
                <w:u w:val="none"/>
              </w:rPr>
            </w:pPr>
          </w:p>
        </w:tc>
      </w:tr>
      <w:tr>
        <w:tblPrEx>
          <w:shd w:val="clear" w:color="auto" w:fill="auto"/>
          <w:tblLayout w:type="fixed"/>
          <w:tblCellMar>
            <w:top w:w="0" w:type="dxa"/>
            <w:left w:w="108" w:type="dxa"/>
            <w:bottom w:w="0" w:type="dxa"/>
            <w:right w:w="108" w:type="dxa"/>
          </w:tblCellMar>
        </w:tblPrEx>
        <w:trPr>
          <w:trHeight w:val="303" w:hRule="atLeast"/>
        </w:trPr>
        <w:tc>
          <w:tcPr>
            <w:tcW w:w="210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收入总计</w:t>
            </w:r>
          </w:p>
        </w:tc>
        <w:tc>
          <w:tcPr>
            <w:tcW w:w="1242"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4015.00</w:t>
            </w:r>
          </w:p>
        </w:tc>
        <w:tc>
          <w:tcPr>
            <w:tcW w:w="2496"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2"/>
                <w:szCs w:val="22"/>
                <w:u w:val="none"/>
                <w:lang w:val="en-US"/>
              </w:rPr>
            </w:pPr>
          </w:p>
        </w:tc>
        <w:tc>
          <w:tcPr>
            <w:tcW w:w="122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4015.00</w:t>
            </w:r>
          </w:p>
        </w:tc>
        <w:tc>
          <w:tcPr>
            <w:tcW w:w="110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4015.00</w:t>
            </w:r>
          </w:p>
        </w:tc>
        <w:tc>
          <w:tcPr>
            <w:tcW w:w="993" w:type="dxa"/>
            <w:tcBorders>
              <w:top w:val="nil"/>
              <w:left w:val="nil"/>
              <w:bottom w:val="single" w:color="000000" w:sz="8" w:space="0"/>
              <w:right w:val="single" w:color="000000" w:sz="8" w:space="0"/>
            </w:tcBorders>
            <w:shd w:val="clear" w:color="auto" w:fill="auto"/>
            <w:vAlign w:val="center"/>
          </w:tcPr>
          <w:p>
            <w:pPr>
              <w:rPr>
                <w:rFonts w:hint="eastAsia" w:ascii="宋体" w:hAnsi="宋体" w:eastAsia="宋体" w:cs="宋体"/>
                <w:i w:val="0"/>
                <w:iCs w:val="0"/>
                <w:color w:val="auto"/>
                <w:sz w:val="22"/>
                <w:szCs w:val="22"/>
                <w:u w:val="none"/>
              </w:rPr>
            </w:pP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8600" w:type="dxa"/>
        <w:tblInd w:w="96" w:type="dxa"/>
        <w:shd w:val="clear" w:color="auto" w:fill="auto"/>
        <w:tblLayout w:type="fixed"/>
        <w:tblCellMar>
          <w:top w:w="0" w:type="dxa"/>
          <w:left w:w="108" w:type="dxa"/>
          <w:bottom w:w="0" w:type="dxa"/>
          <w:right w:w="108" w:type="dxa"/>
        </w:tblCellMar>
      </w:tblPr>
      <w:tblGrid>
        <w:gridCol w:w="1538"/>
        <w:gridCol w:w="3103"/>
        <w:gridCol w:w="1283"/>
        <w:gridCol w:w="1324"/>
        <w:gridCol w:w="1352"/>
      </w:tblGrid>
      <w:tr>
        <w:tblPrEx>
          <w:shd w:val="clear" w:color="auto" w:fill="auto"/>
          <w:tblLayout w:type="fixed"/>
          <w:tblCellMar>
            <w:top w:w="0" w:type="dxa"/>
            <w:left w:w="108" w:type="dxa"/>
            <w:bottom w:w="0" w:type="dxa"/>
            <w:right w:w="108" w:type="dxa"/>
          </w:tblCellMar>
        </w:tblPrEx>
        <w:trPr>
          <w:trHeight w:val="90" w:hRule="atLeast"/>
        </w:trPr>
        <w:tc>
          <w:tcPr>
            <w:tcW w:w="1538"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附表5</w:t>
            </w:r>
          </w:p>
        </w:tc>
        <w:tc>
          <w:tcPr>
            <w:tcW w:w="3103"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283"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324"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352"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shd w:val="clear" w:color="auto" w:fill="auto"/>
          <w:tblLayout w:type="fixed"/>
          <w:tblCellMar>
            <w:top w:w="0" w:type="dxa"/>
            <w:left w:w="108" w:type="dxa"/>
            <w:bottom w:w="0" w:type="dxa"/>
            <w:right w:w="108" w:type="dxa"/>
          </w:tblCellMar>
        </w:tblPrEx>
        <w:trPr>
          <w:trHeight w:val="504" w:hRule="atLeast"/>
        </w:trPr>
        <w:tc>
          <w:tcPr>
            <w:tcW w:w="8600" w:type="dxa"/>
            <w:gridSpan w:val="5"/>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部门一般公共预算支出预算表</w:t>
            </w:r>
          </w:p>
        </w:tc>
      </w:tr>
      <w:tr>
        <w:tblPrEx>
          <w:tblLayout w:type="fixed"/>
          <w:tblCellMar>
            <w:top w:w="0" w:type="dxa"/>
            <w:left w:w="108" w:type="dxa"/>
            <w:bottom w:w="0" w:type="dxa"/>
            <w:right w:w="108" w:type="dxa"/>
          </w:tblCellMar>
        </w:tblPrEx>
        <w:trPr>
          <w:trHeight w:val="450" w:hRule="atLeast"/>
        </w:trPr>
        <w:tc>
          <w:tcPr>
            <w:tcW w:w="4641" w:type="dxa"/>
            <w:gridSpan w:val="2"/>
            <w:tcBorders>
              <w:top w:val="nil"/>
              <w:left w:val="nil"/>
              <w:bottom w:val="nil"/>
              <w:right w:val="nil"/>
            </w:tcBorders>
            <w:shd w:val="clear" w:color="auto" w:fill="auto"/>
            <w:vAlign w:val="center"/>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0"/>
                <w:szCs w:val="20"/>
                <w:u w:val="none"/>
                <w:lang w:val="en-US" w:eastAsia="zh-CN" w:bidi="ar"/>
              </w:rPr>
              <w:t>单位名称：青阳县</w:t>
            </w:r>
            <w:r>
              <w:rPr>
                <w:rFonts w:hint="eastAsia" w:ascii="宋体" w:hAnsi="宋体" w:cs="宋体"/>
                <w:i w:val="0"/>
                <w:iCs w:val="0"/>
                <w:color w:val="auto"/>
                <w:kern w:val="0"/>
                <w:sz w:val="20"/>
                <w:szCs w:val="20"/>
                <w:u w:val="none"/>
                <w:lang w:val="en-US" w:eastAsia="zh-CN" w:bidi="ar"/>
              </w:rPr>
              <w:t>木镇</w:t>
            </w:r>
            <w:r>
              <w:rPr>
                <w:rFonts w:hint="eastAsia" w:ascii="宋体" w:hAnsi="宋体" w:eastAsia="宋体" w:cs="宋体"/>
                <w:i w:val="0"/>
                <w:iCs w:val="0"/>
                <w:color w:val="auto"/>
                <w:kern w:val="0"/>
                <w:sz w:val="20"/>
                <w:szCs w:val="20"/>
                <w:u w:val="none"/>
                <w:lang w:val="en-US" w:eastAsia="zh-CN" w:bidi="ar"/>
              </w:rPr>
              <w:t>镇</w:t>
            </w:r>
            <w:r>
              <w:rPr>
                <w:rFonts w:hint="eastAsia" w:ascii="宋体" w:hAnsi="宋体" w:cs="宋体"/>
                <w:i w:val="0"/>
                <w:iCs w:val="0"/>
                <w:color w:val="auto"/>
                <w:kern w:val="0"/>
                <w:sz w:val="20"/>
                <w:szCs w:val="20"/>
                <w:u w:val="none"/>
                <w:lang w:val="en-US" w:eastAsia="zh-CN" w:bidi="ar"/>
              </w:rPr>
              <w:t>人民政府</w:t>
            </w:r>
          </w:p>
        </w:tc>
        <w:tc>
          <w:tcPr>
            <w:tcW w:w="1283"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24"/>
                <w:szCs w:val="24"/>
                <w:u w:val="none"/>
              </w:rPr>
            </w:pPr>
          </w:p>
        </w:tc>
        <w:tc>
          <w:tcPr>
            <w:tcW w:w="1324"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24"/>
                <w:szCs w:val="24"/>
                <w:u w:val="none"/>
              </w:rPr>
            </w:pPr>
          </w:p>
        </w:tc>
        <w:tc>
          <w:tcPr>
            <w:tcW w:w="1352"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单位：万元</w:t>
            </w:r>
          </w:p>
        </w:tc>
      </w:tr>
      <w:tr>
        <w:tblPrEx>
          <w:tblLayout w:type="fixed"/>
          <w:tblCellMar>
            <w:top w:w="0" w:type="dxa"/>
            <w:left w:w="108" w:type="dxa"/>
            <w:bottom w:w="0" w:type="dxa"/>
            <w:right w:w="108" w:type="dxa"/>
          </w:tblCellMar>
        </w:tblPrEx>
        <w:trPr>
          <w:trHeight w:val="420" w:hRule="atLeast"/>
        </w:trPr>
        <w:tc>
          <w:tcPr>
            <w:tcW w:w="464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功能分类科目</w:t>
            </w:r>
          </w:p>
        </w:tc>
        <w:tc>
          <w:tcPr>
            <w:tcW w:w="395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预算数</w:t>
            </w:r>
          </w:p>
        </w:tc>
      </w:tr>
      <w:tr>
        <w:tblPrEx>
          <w:shd w:val="clear" w:color="auto" w:fill="auto"/>
          <w:tblLayout w:type="fixed"/>
          <w:tblCellMar>
            <w:top w:w="0" w:type="dxa"/>
            <w:left w:w="108" w:type="dxa"/>
            <w:bottom w:w="0" w:type="dxa"/>
            <w:right w:w="108" w:type="dxa"/>
          </w:tblCellMar>
        </w:tblPrEx>
        <w:trPr>
          <w:trHeight w:val="420" w:hRule="atLeast"/>
        </w:trPr>
        <w:tc>
          <w:tcPr>
            <w:tcW w:w="1538"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科目编码</w:t>
            </w:r>
          </w:p>
        </w:tc>
        <w:tc>
          <w:tcPr>
            <w:tcW w:w="310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科目名称</w:t>
            </w:r>
          </w:p>
        </w:tc>
        <w:tc>
          <w:tcPr>
            <w:tcW w:w="1283"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13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基本支出</w:t>
            </w:r>
          </w:p>
        </w:tc>
        <w:tc>
          <w:tcPr>
            <w:tcW w:w="135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项目支出</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jc w:val="left"/>
              <w:rPr>
                <w:rFonts w:hint="eastAsia" w:ascii="宋体" w:hAnsi="宋体" w:eastAsia="宋体" w:cs="宋体"/>
                <w:i w:val="0"/>
                <w:iCs w:val="0"/>
                <w:color w:val="auto"/>
                <w:sz w:val="22"/>
                <w:szCs w:val="22"/>
                <w:u w:val="none"/>
              </w:rPr>
            </w:pP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000000"/>
                <w:kern w:val="0"/>
                <w:sz w:val="24"/>
                <w:szCs w:val="24"/>
                <w:u w:val="none"/>
                <w:lang w:val="en-US" w:eastAsia="zh-CN" w:bidi="ar"/>
              </w:rPr>
              <w:t>4</w:t>
            </w:r>
            <w:r>
              <w:rPr>
                <w:rFonts w:hint="eastAsia" w:ascii="宋体" w:hAnsi="宋体" w:cs="宋体"/>
                <w:i w:val="0"/>
                <w:iCs w:val="0"/>
                <w:color w:val="000000"/>
                <w:kern w:val="0"/>
                <w:sz w:val="24"/>
                <w:szCs w:val="24"/>
                <w:u w:val="none"/>
                <w:lang w:val="en-US" w:eastAsia="zh-CN" w:bidi="ar"/>
              </w:rPr>
              <w:t>015.00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1160.26</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2854.74</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一般公共服务支出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1,618.00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642.58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975.42</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2010104</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人大会议</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r>
      <w:tr>
        <w:tblPrEx>
          <w:shd w:val="clear" w:color="auto" w:fill="auto"/>
          <w:tblLayout w:type="fixed"/>
          <w:tblCellMar>
            <w:top w:w="0" w:type="dxa"/>
            <w:left w:w="108" w:type="dxa"/>
            <w:bottom w:w="0" w:type="dxa"/>
            <w:right w:w="108" w:type="dxa"/>
          </w:tblCellMar>
        </w:tblPrEx>
        <w:trPr>
          <w:trHeight w:val="57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政府办公厅（室）及相关机构事务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1,577.16</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632.84</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944.32</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1,577.16</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1,031.16</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546.00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9.74</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22.10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9.74</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22.10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文化旅游体育与传媒支出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36.29</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26.38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9.91</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文化和旅游</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19.92</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9.91</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2070109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群众文化</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19.92</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9.91</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2070808</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社会保障和就业支出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461.42</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341.21</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民政管理事务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行政事业单位养老支出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35.36</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35.36</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机关事业单位基本养老保险缴费支出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对机关事业单位基本养老保险基金的补助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32.11</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32.11</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抚恤</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176.48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176.48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伤残抚恤</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2080803</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在乡复员、退伍军人生活补助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102.97</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102.97</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义务兵优待</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44.57</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44.57</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其他优抚支出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18.63</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18.63</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社会福利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其他社会福利支出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特困人员救助供养</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农村特困人员救助供养支出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财政对基本养老保险基金的补助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财政对其他基本养老保险基金的补助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财政对其他社会保险基金的补助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财政对失业保险基金的补助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0.38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0.38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财政对工伤保险基金的补助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其他财政对社会保险基金的补助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卫生健康支出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90.85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43.35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47.50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76.74</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29.24</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47.50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2100716</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计划生育机构</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22.24</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14.24</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计划生育服务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54.50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39.50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行政事业单位医疗</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14.11</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14.11</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行政单位医疗</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9.25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9.25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事业单位医疗</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4.87</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4.87</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城乡社区支出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城乡社区公共设施</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其他城乡社区公共设施支出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1,154.70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农林水支出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527.95</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80.95</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447.00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农业农村</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54.63</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70.00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2130104</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事业运行</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54.63</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70.00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水利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133.32</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6.32</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127.00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6.32</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6.32</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2130314</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防汛</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37.30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37.30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抗旱</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21.80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21.80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2130316</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农村水利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67.90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67.90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农村综合改革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270.00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250.00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对村民委员会和村党支部的补助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170.00</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150.00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2130706</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对村集体经济组织的补助</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r>
      <w:tr>
        <w:tblPrEx>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资源勘探工业信息等支出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支持中小企业发展和管理支出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2150899</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其他支持中小企业发展和管理支出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1324"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住房保障支出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53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22102</w:t>
            </w:r>
          </w:p>
        </w:tc>
        <w:tc>
          <w:tcPr>
            <w:tcW w:w="3103"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住房改革支出</w:t>
            </w:r>
          </w:p>
        </w:tc>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1324"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8351" w:type="dxa"/>
        <w:tblInd w:w="96" w:type="dxa"/>
        <w:shd w:val="clear" w:color="auto" w:fill="auto"/>
        <w:tblLayout w:type="fixed"/>
        <w:tblCellMar>
          <w:top w:w="0" w:type="dxa"/>
          <w:left w:w="108" w:type="dxa"/>
          <w:bottom w:w="0" w:type="dxa"/>
          <w:right w:w="108" w:type="dxa"/>
        </w:tblCellMar>
      </w:tblPr>
      <w:tblGrid>
        <w:gridCol w:w="1860"/>
        <w:gridCol w:w="3939"/>
        <w:gridCol w:w="2552"/>
      </w:tblGrid>
      <w:tr>
        <w:tblPrEx>
          <w:tblLayout w:type="fixed"/>
          <w:tblCellMar>
            <w:top w:w="0" w:type="dxa"/>
            <w:left w:w="108" w:type="dxa"/>
            <w:bottom w:w="0" w:type="dxa"/>
            <w:right w:w="108" w:type="dxa"/>
          </w:tblCellMar>
        </w:tblPrEx>
        <w:trPr>
          <w:trHeight w:val="354" w:hRule="atLeast"/>
        </w:trPr>
        <w:tc>
          <w:tcPr>
            <w:tcW w:w="1860"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附表3</w:t>
            </w:r>
          </w:p>
        </w:tc>
        <w:tc>
          <w:tcPr>
            <w:tcW w:w="3939"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2552"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504" w:hRule="atLeast"/>
        </w:trPr>
        <w:tc>
          <w:tcPr>
            <w:tcW w:w="8351" w:type="dxa"/>
            <w:gridSpan w:val="3"/>
            <w:tcBorders>
              <w:top w:val="nil"/>
              <w:left w:val="nil"/>
              <w:bottom w:val="nil"/>
              <w:right w:val="nil"/>
            </w:tcBorders>
            <w:shd w:val="clear" w:color="auto" w:fill="auto"/>
            <w:vAlign w:val="bottom"/>
          </w:tcPr>
          <w:p>
            <w:pPr>
              <w:keepNext w:val="0"/>
              <w:keepLines w:val="0"/>
              <w:widowControl/>
              <w:suppressLineNumbers w:val="0"/>
              <w:jc w:val="center"/>
              <w:textAlignment w:val="bottom"/>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部门一般公共预算基本支出预算表</w:t>
            </w:r>
          </w:p>
        </w:tc>
      </w:tr>
      <w:tr>
        <w:tblPrEx>
          <w:tblLayout w:type="fixed"/>
          <w:tblCellMar>
            <w:top w:w="0" w:type="dxa"/>
            <w:left w:w="108" w:type="dxa"/>
            <w:bottom w:w="0" w:type="dxa"/>
            <w:right w:w="108" w:type="dxa"/>
          </w:tblCellMar>
        </w:tblPrEx>
        <w:trPr>
          <w:trHeight w:val="435" w:hRule="atLeast"/>
        </w:trPr>
        <w:tc>
          <w:tcPr>
            <w:tcW w:w="5799" w:type="dxa"/>
            <w:gridSpan w:val="2"/>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r>
              <w:rPr>
                <w:rFonts w:hint="eastAsia" w:ascii="宋体" w:hAnsi="宋体" w:eastAsia="宋体" w:cs="宋体"/>
                <w:i w:val="0"/>
                <w:color w:val="auto"/>
                <w:kern w:val="0"/>
                <w:sz w:val="18"/>
                <w:szCs w:val="18"/>
                <w:u w:val="none"/>
                <w:lang w:val="en-US" w:eastAsia="zh-CN" w:bidi="ar"/>
              </w:rPr>
              <w:t>单位名称：</w:t>
            </w:r>
            <w:r>
              <w:rPr>
                <w:rFonts w:hint="eastAsia" w:ascii="宋体" w:hAnsi="宋体" w:cs="宋体"/>
                <w:i w:val="0"/>
                <w:color w:val="auto"/>
                <w:kern w:val="0"/>
                <w:sz w:val="18"/>
                <w:szCs w:val="18"/>
                <w:u w:val="none"/>
                <w:lang w:val="en-US" w:eastAsia="zh-CN" w:bidi="ar"/>
              </w:rPr>
              <w:t>青阳县木镇</w:t>
            </w:r>
            <w:r>
              <w:rPr>
                <w:rFonts w:hint="eastAsia" w:ascii="宋体" w:hAnsi="宋体" w:eastAsia="宋体" w:cs="宋体"/>
                <w:i w:val="0"/>
                <w:color w:val="auto"/>
                <w:kern w:val="0"/>
                <w:sz w:val="18"/>
                <w:szCs w:val="18"/>
                <w:u w:val="none"/>
                <w:lang w:val="en-US" w:eastAsia="zh-CN" w:bidi="ar"/>
              </w:rPr>
              <w:t>镇人民政府</w:t>
            </w:r>
          </w:p>
        </w:tc>
        <w:tc>
          <w:tcPr>
            <w:tcW w:w="2552"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单位：万元</w:t>
            </w:r>
          </w:p>
        </w:tc>
      </w:tr>
      <w:tr>
        <w:tblPrEx>
          <w:tblLayout w:type="fixed"/>
          <w:tblCellMar>
            <w:top w:w="0" w:type="dxa"/>
            <w:left w:w="108" w:type="dxa"/>
            <w:bottom w:w="0" w:type="dxa"/>
            <w:right w:w="108" w:type="dxa"/>
          </w:tblCellMar>
        </w:tblPrEx>
        <w:trPr>
          <w:trHeight w:val="420" w:hRule="atLeast"/>
        </w:trPr>
        <w:tc>
          <w:tcPr>
            <w:tcW w:w="57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经济分类科目</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预算数</w:t>
            </w:r>
          </w:p>
        </w:tc>
      </w:tr>
      <w:tr>
        <w:tblPrEx>
          <w:shd w:val="clear" w:color="auto" w:fill="auto"/>
          <w:tblLayout w:type="fixed"/>
          <w:tblCellMar>
            <w:top w:w="0" w:type="dxa"/>
            <w:left w:w="108" w:type="dxa"/>
            <w:bottom w:w="0" w:type="dxa"/>
            <w:right w:w="108" w:type="dxa"/>
          </w:tblCellMar>
        </w:tblPrEx>
        <w:trPr>
          <w:trHeight w:val="420" w:hRule="atLeast"/>
        </w:trPr>
        <w:tc>
          <w:tcPr>
            <w:tcW w:w="18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科目编码</w:t>
            </w:r>
          </w:p>
        </w:tc>
        <w:tc>
          <w:tcPr>
            <w:tcW w:w="3939"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科目名称</w:t>
            </w:r>
          </w:p>
        </w:tc>
        <w:tc>
          <w:tcPr>
            <w:tcW w:w="25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  </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合计</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1160.26</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工资福利支出</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30101</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基本工资</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138.43</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30102</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津贴补贴</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125.96</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30103</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奖金</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27.07</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30107</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绩效工资</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180.00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30108</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机关事业单位基本养老保险缴费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36.55</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30110</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城镇职工基本医疗保险缴费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14.11</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30112</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其他社会保障缴费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2.68</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30113</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住房公积金</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25.79</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商品和服务支出</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30201</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办公费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9.40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30202</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印刷费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1.83</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30205</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水费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1.14</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30206</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电费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4.14</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30207</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邮电费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3.40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30211</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差旅费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2.78</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30213</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维修(护)费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2.06</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30214</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租赁费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0.50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30215</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会议费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14.25</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30216</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培训费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2.29</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30217</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公务接待费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42.75</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30228</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工会经费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1.66</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30229</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福利费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17.25</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30231</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公务用车运行维护费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8.00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30239</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其他交通费用</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3.37</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30299</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其他商品和服务支出</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2.36</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303</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18"/>
                <w:szCs w:val="18"/>
                <w:u w:val="none"/>
              </w:rPr>
            </w:pP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30304</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抚恤金</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126.63</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30305</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生活补助</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169.65</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30306</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救济费</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103.00</w:t>
            </w:r>
          </w:p>
        </w:tc>
      </w:tr>
      <w:tr>
        <w:tblPrEx>
          <w:shd w:val="clear" w:color="auto" w:fill="auto"/>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30309</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奖励金</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10.00</w:t>
            </w:r>
          </w:p>
        </w:tc>
      </w:tr>
      <w:tr>
        <w:tblPrEx>
          <w:tblLayout w:type="fixed"/>
          <w:tblCellMar>
            <w:top w:w="0" w:type="dxa"/>
            <w:left w:w="108" w:type="dxa"/>
            <w:bottom w:w="0" w:type="dxa"/>
            <w:right w:w="108" w:type="dxa"/>
          </w:tblCellMar>
        </w:tblPrEx>
        <w:trPr>
          <w:trHeight w:val="402"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30113</w:t>
            </w:r>
          </w:p>
        </w:tc>
        <w:tc>
          <w:tcPr>
            <w:tcW w:w="3939"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 xml:space="preserve">  住房公积金</w:t>
            </w:r>
          </w:p>
        </w:tc>
        <w:tc>
          <w:tcPr>
            <w:tcW w:w="2552"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000000"/>
                <w:kern w:val="0"/>
                <w:sz w:val="18"/>
                <w:szCs w:val="18"/>
                <w:u w:val="none"/>
                <w:lang w:val="en-US" w:eastAsia="zh-CN" w:bidi="ar"/>
              </w:rPr>
              <w:t>25.79</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9082" w:type="dxa"/>
        <w:tblInd w:w="0" w:type="dxa"/>
        <w:shd w:val="clear" w:color="auto" w:fill="auto"/>
        <w:tblLayout w:type="fixed"/>
        <w:tblCellMar>
          <w:top w:w="0" w:type="dxa"/>
          <w:left w:w="0" w:type="dxa"/>
          <w:bottom w:w="0" w:type="dxa"/>
          <w:right w:w="0" w:type="dxa"/>
        </w:tblCellMar>
      </w:tblPr>
      <w:tblGrid>
        <w:gridCol w:w="1308"/>
        <w:gridCol w:w="252"/>
        <w:gridCol w:w="1188"/>
        <w:gridCol w:w="2508"/>
        <w:gridCol w:w="1080"/>
        <w:gridCol w:w="1308"/>
        <w:gridCol w:w="1438"/>
      </w:tblGrid>
      <w:tr>
        <w:tblPrEx>
          <w:tblLayout w:type="fixed"/>
          <w:tblCellMar>
            <w:top w:w="0" w:type="dxa"/>
            <w:left w:w="0" w:type="dxa"/>
            <w:bottom w:w="0" w:type="dxa"/>
            <w:right w:w="0" w:type="dxa"/>
          </w:tblCellMar>
        </w:tblPrEx>
        <w:trPr>
          <w:trHeight w:val="288" w:hRule="atLeast"/>
        </w:trPr>
        <w:tc>
          <w:tcPr>
            <w:tcW w:w="1308" w:type="dxa"/>
            <w:tcBorders>
              <w:top w:val="nil"/>
              <w:left w:val="nil"/>
              <w:bottom w:val="nil"/>
              <w:right w:val="nil"/>
            </w:tcBorders>
            <w:shd w:val="clear" w:color="auto" w:fill="auto"/>
            <w:tcMar>
              <w:top w:w="12" w:type="dxa"/>
              <w:left w:w="12" w:type="dxa"/>
              <w:right w:w="12" w:type="dxa"/>
            </w:tcMar>
            <w:vAlign w:val="bottom"/>
          </w:tcPr>
          <w:p>
            <w:pPr>
              <w:keepNext w:val="0"/>
              <w:keepLines w:val="0"/>
              <w:widowControl/>
              <w:suppressLineNumbers w:val="0"/>
              <w:jc w:val="left"/>
              <w:textAlignment w:val="bottom"/>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附表</w:t>
            </w:r>
            <w:r>
              <w:rPr>
                <w:rFonts w:hint="eastAsia" w:ascii="宋体" w:hAnsi="宋体" w:cs="宋体"/>
                <w:i w:val="0"/>
                <w:color w:val="auto"/>
                <w:kern w:val="0"/>
                <w:sz w:val="22"/>
                <w:szCs w:val="22"/>
                <w:u w:val="none"/>
                <w:lang w:val="en-US" w:eastAsia="zh-CN" w:bidi="ar"/>
              </w:rPr>
              <w:t>4</w:t>
            </w:r>
          </w:p>
        </w:tc>
        <w:tc>
          <w:tcPr>
            <w:tcW w:w="252"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188"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2508"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080"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308"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c>
          <w:tcPr>
            <w:tcW w:w="1438" w:type="dxa"/>
            <w:tcBorders>
              <w:top w:val="nil"/>
              <w:left w:val="nil"/>
              <w:bottom w:val="nil"/>
              <w:right w:val="nil"/>
            </w:tcBorders>
            <w:shd w:val="clear" w:color="auto" w:fill="auto"/>
            <w:tcMar>
              <w:top w:w="12" w:type="dxa"/>
              <w:left w:w="12" w:type="dxa"/>
              <w:right w:w="12" w:type="dxa"/>
            </w:tcMar>
            <w:vAlign w:val="bottom"/>
          </w:tcPr>
          <w:p>
            <w:pPr>
              <w:rPr>
                <w:rFonts w:hint="eastAsia" w:ascii="宋体" w:hAnsi="宋体" w:eastAsia="宋体" w:cs="宋体"/>
                <w:i w:val="0"/>
                <w:color w:val="auto"/>
                <w:sz w:val="24"/>
                <w:szCs w:val="24"/>
                <w:u w:val="none"/>
              </w:rPr>
            </w:pPr>
          </w:p>
        </w:tc>
      </w:tr>
      <w:tr>
        <w:tblPrEx>
          <w:tblLayout w:type="fixed"/>
          <w:tblCellMar>
            <w:top w:w="0" w:type="dxa"/>
            <w:left w:w="0" w:type="dxa"/>
            <w:bottom w:w="0" w:type="dxa"/>
            <w:right w:w="0" w:type="dxa"/>
          </w:tblCellMar>
        </w:tblPrEx>
        <w:trPr>
          <w:trHeight w:val="504" w:hRule="atLeast"/>
        </w:trPr>
        <w:tc>
          <w:tcPr>
            <w:tcW w:w="9082" w:type="dxa"/>
            <w:gridSpan w:val="7"/>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ascii="华文中宋" w:hAnsi="华文中宋" w:eastAsia="华文中宋" w:cs="华文中宋"/>
                <w:b/>
                <w:i w:val="0"/>
                <w:color w:val="auto"/>
                <w:sz w:val="36"/>
                <w:szCs w:val="36"/>
                <w:u w:val="none"/>
              </w:rPr>
            </w:pPr>
            <w:r>
              <w:rPr>
                <w:rFonts w:hint="eastAsia" w:ascii="华文中宋" w:hAnsi="华文中宋" w:eastAsia="华文中宋" w:cs="华文中宋"/>
                <w:b/>
                <w:i w:val="0"/>
                <w:color w:val="auto"/>
                <w:kern w:val="0"/>
                <w:sz w:val="36"/>
                <w:szCs w:val="36"/>
                <w:u w:val="none"/>
                <w:lang w:val="en-US" w:eastAsia="zh-CN" w:bidi="ar"/>
              </w:rPr>
              <w:t>2021年部门政府性基金预算收支预算表</w:t>
            </w:r>
          </w:p>
        </w:tc>
      </w:tr>
      <w:tr>
        <w:tblPrEx>
          <w:tblLayout w:type="fixed"/>
          <w:tblCellMar>
            <w:top w:w="0" w:type="dxa"/>
            <w:left w:w="0" w:type="dxa"/>
            <w:bottom w:w="0" w:type="dxa"/>
            <w:right w:w="0" w:type="dxa"/>
          </w:tblCellMar>
        </w:tblPrEx>
        <w:trPr>
          <w:trHeight w:val="375" w:hRule="atLeast"/>
        </w:trPr>
        <w:tc>
          <w:tcPr>
            <w:tcW w:w="5256" w:type="dxa"/>
            <w:gridSpan w:val="4"/>
            <w:tcBorders>
              <w:top w:val="nil"/>
              <w:left w:val="nil"/>
              <w:bottom w:val="single" w:color="000000" w:sz="4" w:space="0"/>
              <w:right w:val="nil"/>
            </w:tcBorders>
            <w:shd w:val="clear" w:color="auto" w:fill="auto"/>
            <w:tcMar>
              <w:top w:w="12" w:type="dxa"/>
              <w:left w:w="12" w:type="dxa"/>
              <w:right w:w="12" w:type="dxa"/>
            </w:tcMar>
            <w:vAlign w:val="center"/>
          </w:tcPr>
          <w:p>
            <w:pPr>
              <w:rPr>
                <w:rFonts w:hint="eastAsia" w:ascii="宋体" w:hAnsi="宋体" w:eastAsia="宋体" w:cs="宋体"/>
                <w:i w:val="0"/>
                <w:color w:val="auto"/>
                <w:sz w:val="20"/>
                <w:szCs w:val="20"/>
                <w:u w:val="none"/>
              </w:rPr>
            </w:pPr>
            <w:r>
              <w:rPr>
                <w:rFonts w:hint="eastAsia" w:ascii="宋体" w:hAnsi="宋体" w:eastAsia="宋体" w:cs="宋体"/>
                <w:i w:val="0"/>
                <w:color w:val="auto"/>
                <w:kern w:val="0"/>
                <w:sz w:val="18"/>
                <w:szCs w:val="18"/>
                <w:u w:val="none"/>
                <w:lang w:val="en-US" w:eastAsia="zh-CN" w:bidi="ar"/>
              </w:rPr>
              <w:t>单位名称：</w:t>
            </w:r>
            <w:r>
              <w:rPr>
                <w:rFonts w:hint="eastAsia" w:ascii="宋体" w:hAnsi="宋体" w:cs="宋体"/>
                <w:i w:val="0"/>
                <w:color w:val="auto"/>
                <w:kern w:val="0"/>
                <w:sz w:val="18"/>
                <w:szCs w:val="18"/>
                <w:u w:val="none"/>
                <w:lang w:val="en-US" w:eastAsia="zh-CN" w:bidi="ar"/>
              </w:rPr>
              <w:t>青阳县木镇镇</w:t>
            </w:r>
            <w:r>
              <w:rPr>
                <w:rFonts w:hint="eastAsia" w:ascii="宋体" w:hAnsi="宋体" w:eastAsia="宋体" w:cs="宋体"/>
                <w:i w:val="0"/>
                <w:color w:val="auto"/>
                <w:kern w:val="0"/>
                <w:sz w:val="18"/>
                <w:szCs w:val="18"/>
                <w:u w:val="none"/>
                <w:lang w:val="en-US" w:eastAsia="zh-CN" w:bidi="ar"/>
              </w:rPr>
              <w:t>人民政府</w:t>
            </w:r>
          </w:p>
        </w:tc>
        <w:tc>
          <w:tcPr>
            <w:tcW w:w="1080" w:type="dxa"/>
            <w:tcBorders>
              <w:top w:val="nil"/>
              <w:left w:val="nil"/>
              <w:bottom w:val="nil"/>
              <w:right w:val="nil"/>
            </w:tcBorders>
            <w:shd w:val="clear" w:color="auto" w:fill="auto"/>
            <w:tcMar>
              <w:top w:w="12" w:type="dxa"/>
              <w:left w:w="12" w:type="dxa"/>
              <w:right w:w="12" w:type="dxa"/>
            </w:tcMar>
            <w:vAlign w:val="center"/>
          </w:tcPr>
          <w:p>
            <w:pPr>
              <w:rPr>
                <w:rFonts w:hint="eastAsia" w:ascii="宋体" w:hAnsi="宋体" w:eastAsia="宋体" w:cs="宋体"/>
                <w:i w:val="0"/>
                <w:color w:val="auto"/>
                <w:sz w:val="20"/>
                <w:szCs w:val="20"/>
                <w:u w:val="none"/>
              </w:rPr>
            </w:pPr>
          </w:p>
        </w:tc>
        <w:tc>
          <w:tcPr>
            <w:tcW w:w="1308" w:type="dxa"/>
            <w:tcBorders>
              <w:top w:val="nil"/>
              <w:left w:val="nil"/>
              <w:bottom w:val="nil"/>
              <w:right w:val="nil"/>
            </w:tcBorders>
            <w:shd w:val="clear" w:color="auto" w:fill="auto"/>
            <w:tcMar>
              <w:top w:w="12" w:type="dxa"/>
              <w:left w:w="12" w:type="dxa"/>
              <w:right w:w="12" w:type="dxa"/>
            </w:tcMar>
            <w:vAlign w:val="center"/>
          </w:tcPr>
          <w:p>
            <w:pPr>
              <w:rPr>
                <w:rFonts w:hint="eastAsia" w:ascii="宋体" w:hAnsi="宋体" w:eastAsia="宋体" w:cs="宋体"/>
                <w:i w:val="0"/>
                <w:color w:val="auto"/>
                <w:sz w:val="20"/>
                <w:szCs w:val="20"/>
                <w:u w:val="none"/>
              </w:rPr>
            </w:pPr>
          </w:p>
        </w:tc>
        <w:tc>
          <w:tcPr>
            <w:tcW w:w="1438" w:type="dxa"/>
            <w:tcBorders>
              <w:top w:val="nil"/>
              <w:left w:val="nil"/>
              <w:bottom w:val="nil"/>
              <w:right w:val="nil"/>
            </w:tcBorders>
            <w:shd w:val="clear" w:color="auto" w:fill="auto"/>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单位：万元</w:t>
            </w:r>
          </w:p>
        </w:tc>
      </w:tr>
      <w:tr>
        <w:tblPrEx>
          <w:tblLayout w:type="fixed"/>
          <w:tblCellMar>
            <w:top w:w="0" w:type="dxa"/>
            <w:left w:w="0" w:type="dxa"/>
            <w:bottom w:w="0" w:type="dxa"/>
            <w:right w:w="0" w:type="dxa"/>
          </w:tblCellMar>
        </w:tblPrEx>
        <w:trPr>
          <w:trHeight w:val="362" w:hRule="atLeast"/>
        </w:trPr>
        <w:tc>
          <w:tcPr>
            <w:tcW w:w="1560" w:type="dxa"/>
            <w:gridSpan w:val="2"/>
            <w:vMerge w:val="restart"/>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科目编码</w:t>
            </w:r>
          </w:p>
        </w:tc>
        <w:tc>
          <w:tcPr>
            <w:tcW w:w="118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科目名称</w:t>
            </w:r>
          </w:p>
        </w:tc>
        <w:tc>
          <w:tcPr>
            <w:tcW w:w="2508"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政府性基金财政拨款收入</w:t>
            </w:r>
          </w:p>
        </w:tc>
        <w:tc>
          <w:tcPr>
            <w:tcW w:w="3826"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政府性基金财政拨款支出</w:t>
            </w:r>
          </w:p>
        </w:tc>
      </w:tr>
      <w:tr>
        <w:tblPrEx>
          <w:tblLayout w:type="fixed"/>
          <w:tblCellMar>
            <w:top w:w="0" w:type="dxa"/>
            <w:left w:w="0" w:type="dxa"/>
            <w:bottom w:w="0" w:type="dxa"/>
            <w:right w:w="0" w:type="dxa"/>
          </w:tblCellMar>
        </w:tblPrEx>
        <w:trPr>
          <w:trHeight w:val="360" w:hRule="atLeast"/>
        </w:trPr>
        <w:tc>
          <w:tcPr>
            <w:tcW w:w="1560" w:type="dxa"/>
            <w:gridSpan w:val="2"/>
            <w:vMerge w:val="continue"/>
            <w:tcBorders>
              <w:top w:val="nil"/>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b/>
                <w:i w:val="0"/>
                <w:color w:val="auto"/>
                <w:sz w:val="22"/>
                <w:szCs w:val="22"/>
                <w:u w:val="none"/>
              </w:rPr>
            </w:pPr>
          </w:p>
        </w:tc>
        <w:tc>
          <w:tcPr>
            <w:tcW w:w="118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b/>
                <w:i w:val="0"/>
                <w:color w:val="auto"/>
                <w:sz w:val="22"/>
                <w:szCs w:val="22"/>
                <w:u w:val="none"/>
              </w:rPr>
            </w:pPr>
          </w:p>
        </w:tc>
        <w:tc>
          <w:tcPr>
            <w:tcW w:w="2508"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b/>
                <w:i w:val="0"/>
                <w:color w:val="auto"/>
                <w:sz w:val="22"/>
                <w:szCs w:val="22"/>
                <w:u w:val="none"/>
              </w:rPr>
            </w:pPr>
          </w:p>
        </w:tc>
        <w:tc>
          <w:tcPr>
            <w:tcW w:w="1080"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合计</w:t>
            </w:r>
          </w:p>
        </w:tc>
        <w:tc>
          <w:tcPr>
            <w:tcW w:w="130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基本支出</w:t>
            </w:r>
          </w:p>
        </w:tc>
        <w:tc>
          <w:tcPr>
            <w:tcW w:w="1438" w:type="dxa"/>
            <w:tcBorders>
              <w:top w:val="single" w:color="000000" w:sz="4" w:space="0"/>
              <w:left w:val="single" w:color="000000" w:sz="4" w:space="0"/>
              <w:bottom w:val="nil"/>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2"/>
                <w:szCs w:val="22"/>
                <w:u w:val="none"/>
              </w:rPr>
            </w:pPr>
            <w:r>
              <w:rPr>
                <w:rFonts w:hint="eastAsia" w:ascii="宋体" w:hAnsi="宋体" w:eastAsia="宋体" w:cs="宋体"/>
                <w:b/>
                <w:i w:val="0"/>
                <w:color w:val="auto"/>
                <w:kern w:val="0"/>
                <w:sz w:val="22"/>
                <w:szCs w:val="22"/>
                <w:u w:val="none"/>
                <w:lang w:val="en-US" w:eastAsia="zh-CN" w:bidi="ar"/>
              </w:rPr>
              <w:t>项目支出</w:t>
            </w:r>
          </w:p>
        </w:tc>
      </w:tr>
      <w:tr>
        <w:tblPrEx>
          <w:tblLayout w:type="fixed"/>
          <w:tblCellMar>
            <w:top w:w="0" w:type="dxa"/>
            <w:left w:w="0" w:type="dxa"/>
            <w:bottom w:w="0" w:type="dxa"/>
            <w:right w:w="0" w:type="dxa"/>
          </w:tblCellMar>
        </w:tblPrEx>
        <w:trPr>
          <w:trHeight w:val="405" w:hRule="atLeast"/>
        </w:trPr>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left"/>
              <w:rPr>
                <w:rFonts w:hint="eastAsia" w:ascii="宋体" w:hAnsi="宋体" w:eastAsia="宋体" w:cs="宋体"/>
                <w:i w:val="0"/>
                <w:color w:val="auto"/>
                <w:sz w:val="22"/>
                <w:szCs w:val="22"/>
                <w:u w:val="none"/>
              </w:rPr>
            </w:pPr>
          </w:p>
        </w:tc>
        <w:tc>
          <w:tcPr>
            <w:tcW w:w="1188" w:type="dxa"/>
            <w:tcBorders>
              <w:top w:val="single" w:color="000000" w:sz="4" w:space="0"/>
              <w:left w:val="nil"/>
              <w:bottom w:val="single" w:color="000000" w:sz="4" w:space="0"/>
              <w:right w:val="nil"/>
            </w:tcBorders>
            <w:shd w:val="clear" w:color="auto" w:fill="auto"/>
            <w:tcMar>
              <w:top w:w="12" w:type="dxa"/>
              <w:left w:w="12" w:type="dxa"/>
              <w:right w:w="12" w:type="dxa"/>
            </w:tcMar>
            <w:vAlign w:val="center"/>
          </w:tcPr>
          <w:p>
            <w:pPr>
              <w:rPr>
                <w:rFonts w:hint="eastAsia" w:ascii="宋体" w:hAnsi="宋体" w:eastAsia="宋体" w:cs="宋体"/>
                <w:i w:val="0"/>
                <w:color w:val="auto"/>
                <w:sz w:val="24"/>
                <w:szCs w:val="24"/>
                <w:u w:val="none"/>
              </w:rPr>
            </w:pPr>
          </w:p>
        </w:tc>
        <w:tc>
          <w:tcPr>
            <w:tcW w:w="250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auto"/>
                <w:sz w:val="24"/>
                <w:szCs w:val="24"/>
                <w:u w:val="none"/>
              </w:rPr>
            </w:pPr>
          </w:p>
        </w:tc>
        <w:tc>
          <w:tcPr>
            <w:tcW w:w="1080"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jc w:val="right"/>
              <w:rPr>
                <w:rFonts w:hint="eastAsia" w:ascii="宋体" w:hAnsi="宋体" w:eastAsia="宋体" w:cs="宋体"/>
                <w:i w:val="0"/>
                <w:color w:val="auto"/>
                <w:sz w:val="18"/>
                <w:szCs w:val="18"/>
                <w:u w:val="none"/>
              </w:rPr>
            </w:pPr>
          </w:p>
        </w:tc>
        <w:tc>
          <w:tcPr>
            <w:tcW w:w="1308" w:type="dxa"/>
            <w:tcBorders>
              <w:top w:val="single" w:color="000000" w:sz="4" w:space="0"/>
              <w:left w:val="nil"/>
              <w:bottom w:val="single" w:color="000000" w:sz="4" w:space="0"/>
              <w:right w:val="nil"/>
            </w:tcBorders>
            <w:shd w:val="clear" w:color="auto" w:fill="auto"/>
            <w:tcMar>
              <w:top w:w="12" w:type="dxa"/>
              <w:left w:w="12" w:type="dxa"/>
              <w:right w:w="12" w:type="dxa"/>
            </w:tcMar>
            <w:vAlign w:val="center"/>
          </w:tcPr>
          <w:p>
            <w:pPr>
              <w:jc w:val="right"/>
              <w:rPr>
                <w:rFonts w:hint="eastAsia" w:ascii="宋体" w:hAnsi="宋体" w:eastAsia="宋体" w:cs="宋体"/>
                <w:i w:val="0"/>
                <w:color w:val="auto"/>
                <w:sz w:val="24"/>
                <w:szCs w:val="24"/>
                <w:u w:val="none"/>
              </w:rPr>
            </w:pPr>
          </w:p>
        </w:tc>
        <w:tc>
          <w:tcPr>
            <w:tcW w:w="143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right"/>
              <w:rPr>
                <w:rFonts w:hint="eastAsia" w:ascii="宋体" w:hAnsi="宋体" w:eastAsia="宋体" w:cs="宋体"/>
                <w:i w:val="0"/>
                <w:color w:val="auto"/>
                <w:sz w:val="24"/>
                <w:szCs w:val="24"/>
                <w:u w:val="none"/>
              </w:rPr>
            </w:pP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8520" w:type="dxa"/>
        <w:tblInd w:w="96" w:type="dxa"/>
        <w:shd w:val="clear" w:color="auto" w:fill="auto"/>
        <w:tblLayout w:type="fixed"/>
        <w:tblCellMar>
          <w:top w:w="0" w:type="dxa"/>
          <w:left w:w="108" w:type="dxa"/>
          <w:bottom w:w="0" w:type="dxa"/>
          <w:right w:w="108" w:type="dxa"/>
        </w:tblCellMar>
      </w:tblPr>
      <w:tblGrid>
        <w:gridCol w:w="4296"/>
        <w:gridCol w:w="4224"/>
      </w:tblGrid>
      <w:tr>
        <w:tblPrEx>
          <w:shd w:val="clear" w:color="auto" w:fill="auto"/>
          <w:tblLayout w:type="fixed"/>
          <w:tblCellMar>
            <w:top w:w="0" w:type="dxa"/>
            <w:left w:w="108" w:type="dxa"/>
            <w:bottom w:w="0" w:type="dxa"/>
            <w:right w:w="108" w:type="dxa"/>
          </w:tblCellMar>
        </w:tblPrEx>
        <w:trPr>
          <w:trHeight w:val="345" w:hRule="atLeast"/>
        </w:trPr>
        <w:tc>
          <w:tcPr>
            <w:tcW w:w="4296"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w:t>
            </w:r>
            <w:r>
              <w:rPr>
                <w:rFonts w:hint="eastAsia" w:ascii="宋体" w:hAnsi="宋体" w:cs="宋体"/>
                <w:i w:val="0"/>
                <w:iCs w:val="0"/>
                <w:color w:val="auto"/>
                <w:kern w:val="0"/>
                <w:sz w:val="22"/>
                <w:szCs w:val="22"/>
                <w:u w:val="none"/>
                <w:lang w:val="en-US" w:eastAsia="zh-CN" w:bidi="ar"/>
              </w:rPr>
              <w:t>5</w:t>
            </w:r>
          </w:p>
        </w:tc>
        <w:tc>
          <w:tcPr>
            <w:tcW w:w="4224"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504" w:hRule="atLeast"/>
        </w:trPr>
        <w:tc>
          <w:tcPr>
            <w:tcW w:w="8520" w:type="dxa"/>
            <w:gridSpan w:val="2"/>
            <w:tcBorders>
              <w:top w:val="nil"/>
              <w:left w:val="nil"/>
              <w:bottom w:val="nil"/>
              <w:right w:val="nil"/>
            </w:tcBorders>
            <w:shd w:val="clear" w:color="auto" w:fill="auto"/>
            <w:vAlign w:val="bottom"/>
          </w:tcPr>
          <w:p>
            <w:pPr>
              <w:keepNext w:val="0"/>
              <w:keepLines w:val="0"/>
              <w:widowControl/>
              <w:suppressLineNumbers w:val="0"/>
              <w:jc w:val="center"/>
              <w:textAlignment w:val="bottom"/>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2021年部门“三公”经费预算表</w:t>
            </w:r>
          </w:p>
        </w:tc>
      </w:tr>
      <w:tr>
        <w:tblPrEx>
          <w:shd w:val="clear" w:color="auto" w:fill="auto"/>
          <w:tblLayout w:type="fixed"/>
          <w:tblCellMar>
            <w:top w:w="0" w:type="dxa"/>
            <w:left w:w="108" w:type="dxa"/>
            <w:bottom w:w="0" w:type="dxa"/>
            <w:right w:w="108" w:type="dxa"/>
          </w:tblCellMar>
        </w:tblPrEx>
        <w:trPr>
          <w:trHeight w:val="480" w:hRule="atLeast"/>
        </w:trPr>
        <w:tc>
          <w:tcPr>
            <w:tcW w:w="4296"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单位名称：青阳县</w:t>
            </w:r>
            <w:r>
              <w:rPr>
                <w:rFonts w:hint="eastAsia" w:ascii="宋体" w:hAnsi="宋体" w:cs="宋体"/>
                <w:i w:val="0"/>
                <w:iCs w:val="0"/>
                <w:color w:val="auto"/>
                <w:kern w:val="0"/>
                <w:sz w:val="18"/>
                <w:szCs w:val="18"/>
                <w:u w:val="none"/>
                <w:lang w:val="en-US" w:eastAsia="zh-CN" w:bidi="ar"/>
              </w:rPr>
              <w:t>木镇</w:t>
            </w:r>
            <w:r>
              <w:rPr>
                <w:rFonts w:hint="eastAsia" w:ascii="宋体" w:hAnsi="宋体" w:eastAsia="宋体" w:cs="宋体"/>
                <w:i w:val="0"/>
                <w:iCs w:val="0"/>
                <w:color w:val="auto"/>
                <w:kern w:val="0"/>
                <w:sz w:val="18"/>
                <w:szCs w:val="18"/>
                <w:u w:val="none"/>
                <w:lang w:val="en-US" w:eastAsia="zh-CN" w:bidi="ar"/>
              </w:rPr>
              <w:t>镇</w:t>
            </w:r>
            <w:r>
              <w:rPr>
                <w:rFonts w:hint="eastAsia" w:ascii="宋体" w:hAnsi="宋体" w:cs="宋体"/>
                <w:i w:val="0"/>
                <w:iCs w:val="0"/>
                <w:color w:val="auto"/>
                <w:kern w:val="0"/>
                <w:sz w:val="18"/>
                <w:szCs w:val="18"/>
                <w:u w:val="none"/>
                <w:lang w:val="en-US" w:eastAsia="zh-CN" w:bidi="ar"/>
              </w:rPr>
              <w:t>人民政府</w:t>
            </w:r>
          </w:p>
        </w:tc>
        <w:tc>
          <w:tcPr>
            <w:tcW w:w="4224" w:type="dxa"/>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单位：万元</w:t>
            </w:r>
          </w:p>
        </w:tc>
      </w:tr>
      <w:tr>
        <w:tblPrEx>
          <w:shd w:val="clear" w:color="auto" w:fill="auto"/>
          <w:tblLayout w:type="fixed"/>
          <w:tblCellMar>
            <w:top w:w="0" w:type="dxa"/>
            <w:left w:w="108" w:type="dxa"/>
            <w:bottom w:w="0" w:type="dxa"/>
            <w:right w:w="108" w:type="dxa"/>
          </w:tblCellMar>
        </w:tblPrEx>
        <w:trPr>
          <w:trHeight w:val="900" w:hRule="atLeast"/>
        </w:trPr>
        <w:tc>
          <w:tcPr>
            <w:tcW w:w="42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p>
        </w:tc>
        <w:tc>
          <w:tcPr>
            <w:tcW w:w="42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预算数</w:t>
            </w:r>
          </w:p>
        </w:tc>
      </w:tr>
      <w:tr>
        <w:tblPrEx>
          <w:shd w:val="clear" w:color="auto" w:fill="auto"/>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合计</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rPr>
            </w:pPr>
            <w:r>
              <w:rPr>
                <w:rFonts w:hint="eastAsia" w:ascii="宋体" w:hAnsi="宋体" w:cs="宋体"/>
                <w:b/>
                <w:bCs/>
                <w:i w:val="0"/>
                <w:iCs w:val="0"/>
                <w:color w:val="auto"/>
                <w:kern w:val="0"/>
                <w:sz w:val="24"/>
                <w:szCs w:val="24"/>
                <w:u w:val="none"/>
                <w:lang w:val="en-US" w:eastAsia="zh-CN" w:bidi="ar"/>
              </w:rPr>
              <w:t>50.75</w:t>
            </w:r>
          </w:p>
        </w:tc>
      </w:tr>
      <w:tr>
        <w:tblPrEx>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因公出国（境）费</w:t>
            </w:r>
          </w:p>
        </w:tc>
        <w:tc>
          <w:tcPr>
            <w:tcW w:w="4224" w:type="dxa"/>
            <w:tcBorders>
              <w:top w:val="nil"/>
              <w:left w:val="single" w:color="000000" w:sz="4" w:space="0"/>
              <w:bottom w:val="nil"/>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r>
        <w:tblPrEx>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公务接待费</w:t>
            </w:r>
          </w:p>
        </w:tc>
        <w:tc>
          <w:tcPr>
            <w:tcW w:w="42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42.75</w:t>
            </w:r>
          </w:p>
        </w:tc>
      </w:tr>
      <w:tr>
        <w:tblPrEx>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公务用车购置及运行费</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8.00</w:t>
            </w:r>
          </w:p>
        </w:tc>
      </w:tr>
      <w:tr>
        <w:tblPrEx>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其中：公务用车运行费</w:t>
            </w:r>
          </w:p>
        </w:tc>
        <w:tc>
          <w:tcPr>
            <w:tcW w:w="4224"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auto"/>
                <w:kern w:val="0"/>
                <w:sz w:val="24"/>
                <w:szCs w:val="24"/>
                <w:u w:val="none"/>
                <w:lang w:val="en-US" w:eastAsia="zh-CN" w:bidi="ar"/>
              </w:rPr>
              <w:t>8.00</w:t>
            </w:r>
          </w:p>
        </w:tc>
      </w:tr>
      <w:tr>
        <w:tblPrEx>
          <w:shd w:val="clear" w:color="auto" w:fill="auto"/>
          <w:tblLayout w:type="fixed"/>
          <w:tblCellMar>
            <w:top w:w="0" w:type="dxa"/>
            <w:left w:w="108" w:type="dxa"/>
            <w:bottom w:w="0" w:type="dxa"/>
            <w:right w:w="108" w:type="dxa"/>
          </w:tblCellMar>
        </w:tblPrEx>
        <w:trPr>
          <w:trHeight w:val="690" w:hRule="atLeast"/>
        </w:trPr>
        <w:tc>
          <w:tcPr>
            <w:tcW w:w="4296"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公务用车购置费 </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4"/>
                <w:szCs w:val="24"/>
                <w:u w:val="none"/>
              </w:rPr>
            </w:pP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8571" w:type="dxa"/>
        <w:tblInd w:w="96" w:type="dxa"/>
        <w:shd w:val="clear" w:color="auto" w:fill="auto"/>
        <w:tblLayout w:type="fixed"/>
        <w:tblCellMar>
          <w:top w:w="0" w:type="dxa"/>
          <w:left w:w="108" w:type="dxa"/>
          <w:bottom w:w="0" w:type="dxa"/>
          <w:right w:w="108" w:type="dxa"/>
        </w:tblCellMar>
      </w:tblPr>
      <w:tblGrid>
        <w:gridCol w:w="2820"/>
        <w:gridCol w:w="1324"/>
        <w:gridCol w:w="3241"/>
        <w:gridCol w:w="1186"/>
      </w:tblGrid>
      <w:tr>
        <w:tblPrEx>
          <w:tblLayout w:type="fixed"/>
          <w:tblCellMar>
            <w:top w:w="0" w:type="dxa"/>
            <w:left w:w="108" w:type="dxa"/>
            <w:bottom w:w="0" w:type="dxa"/>
            <w:right w:w="108" w:type="dxa"/>
          </w:tblCellMar>
        </w:tblPrEx>
        <w:trPr>
          <w:trHeight w:val="288" w:hRule="atLeast"/>
        </w:trPr>
        <w:tc>
          <w:tcPr>
            <w:tcW w:w="2820"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w:t>
            </w:r>
            <w:r>
              <w:rPr>
                <w:rFonts w:hint="eastAsia" w:ascii="宋体" w:hAnsi="宋体" w:cs="宋体"/>
                <w:i w:val="0"/>
                <w:iCs w:val="0"/>
                <w:color w:val="auto"/>
                <w:kern w:val="0"/>
                <w:sz w:val="22"/>
                <w:szCs w:val="22"/>
                <w:u w:val="none"/>
                <w:lang w:val="en-US" w:eastAsia="zh-CN" w:bidi="ar"/>
              </w:rPr>
              <w:t>6</w:t>
            </w:r>
          </w:p>
        </w:tc>
        <w:tc>
          <w:tcPr>
            <w:tcW w:w="1324"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3241"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86"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shd w:val="clear" w:color="auto" w:fill="auto"/>
          <w:tblLayout w:type="fixed"/>
          <w:tblCellMar>
            <w:top w:w="0" w:type="dxa"/>
            <w:left w:w="108" w:type="dxa"/>
            <w:bottom w:w="0" w:type="dxa"/>
            <w:right w:w="108" w:type="dxa"/>
          </w:tblCellMar>
        </w:tblPrEx>
        <w:trPr>
          <w:trHeight w:val="504" w:hRule="atLeast"/>
        </w:trPr>
        <w:tc>
          <w:tcPr>
            <w:tcW w:w="8571" w:type="dxa"/>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部门财政拨款收支预算总表</w:t>
            </w:r>
          </w:p>
        </w:tc>
      </w:tr>
      <w:tr>
        <w:tblPrEx>
          <w:tblLayout w:type="fixed"/>
          <w:tblCellMar>
            <w:top w:w="0" w:type="dxa"/>
            <w:left w:w="108" w:type="dxa"/>
            <w:bottom w:w="0" w:type="dxa"/>
            <w:right w:w="108" w:type="dxa"/>
          </w:tblCellMar>
        </w:tblPrEx>
        <w:trPr>
          <w:trHeight w:val="288" w:hRule="atLeast"/>
        </w:trPr>
        <w:tc>
          <w:tcPr>
            <w:tcW w:w="4144" w:type="dxa"/>
            <w:gridSpan w:val="2"/>
            <w:tcBorders>
              <w:top w:val="nil"/>
              <w:left w:val="nil"/>
              <w:bottom w:val="nil"/>
              <w:right w:val="nil"/>
            </w:tcBorders>
            <w:shd w:val="clear" w:color="auto" w:fill="auto"/>
            <w:vAlign w:val="center"/>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单位名称：青阳县</w:t>
            </w:r>
            <w:r>
              <w:rPr>
                <w:rFonts w:hint="eastAsia" w:ascii="宋体" w:hAnsi="宋体" w:cs="宋体"/>
                <w:i w:val="0"/>
                <w:iCs w:val="0"/>
                <w:color w:val="auto"/>
                <w:kern w:val="0"/>
                <w:sz w:val="20"/>
                <w:szCs w:val="20"/>
                <w:u w:val="none"/>
                <w:lang w:val="en-US" w:eastAsia="zh-CN" w:bidi="ar"/>
              </w:rPr>
              <w:t>木镇</w:t>
            </w:r>
            <w:r>
              <w:rPr>
                <w:rFonts w:hint="eastAsia" w:ascii="宋体" w:hAnsi="宋体" w:eastAsia="宋体" w:cs="宋体"/>
                <w:i w:val="0"/>
                <w:iCs w:val="0"/>
                <w:color w:val="auto"/>
                <w:kern w:val="0"/>
                <w:sz w:val="20"/>
                <w:szCs w:val="20"/>
                <w:u w:val="none"/>
                <w:lang w:val="en-US" w:eastAsia="zh-CN" w:bidi="ar"/>
              </w:rPr>
              <w:t>镇</w:t>
            </w:r>
            <w:r>
              <w:rPr>
                <w:rFonts w:hint="eastAsia" w:ascii="宋体" w:hAnsi="宋体" w:cs="宋体"/>
                <w:i w:val="0"/>
                <w:iCs w:val="0"/>
                <w:color w:val="auto"/>
                <w:kern w:val="0"/>
                <w:sz w:val="20"/>
                <w:szCs w:val="20"/>
                <w:u w:val="none"/>
                <w:lang w:val="en-US" w:eastAsia="zh-CN" w:bidi="ar"/>
              </w:rPr>
              <w:t>人民政府</w:t>
            </w:r>
          </w:p>
        </w:tc>
        <w:tc>
          <w:tcPr>
            <w:tcW w:w="3241" w:type="dxa"/>
            <w:tcBorders>
              <w:top w:val="nil"/>
              <w:left w:val="nil"/>
              <w:bottom w:val="nil"/>
              <w:right w:val="nil"/>
            </w:tcBorders>
            <w:shd w:val="clear" w:color="auto" w:fill="auto"/>
            <w:vAlign w:val="center"/>
          </w:tcPr>
          <w:p>
            <w:pPr>
              <w:rPr>
                <w:rFonts w:hint="eastAsia" w:ascii="宋体" w:hAnsi="宋体" w:eastAsia="宋体" w:cs="宋体"/>
                <w:i w:val="0"/>
                <w:iCs w:val="0"/>
                <w:color w:val="auto"/>
                <w:sz w:val="20"/>
                <w:szCs w:val="20"/>
                <w:u w:val="none"/>
              </w:rPr>
            </w:pPr>
          </w:p>
        </w:tc>
        <w:tc>
          <w:tcPr>
            <w:tcW w:w="1186" w:type="dxa"/>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单位：万元</w:t>
            </w:r>
          </w:p>
        </w:tc>
      </w:tr>
      <w:tr>
        <w:tblPrEx>
          <w:shd w:val="clear" w:color="auto" w:fill="auto"/>
          <w:tblLayout w:type="fixed"/>
          <w:tblCellMar>
            <w:top w:w="0" w:type="dxa"/>
            <w:left w:w="108" w:type="dxa"/>
            <w:bottom w:w="0" w:type="dxa"/>
            <w:right w:w="108" w:type="dxa"/>
          </w:tblCellMar>
        </w:tblPrEx>
        <w:trPr>
          <w:trHeight w:val="288" w:hRule="atLeast"/>
        </w:trPr>
        <w:tc>
          <w:tcPr>
            <w:tcW w:w="414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 xml:space="preserve">收   入             </w:t>
            </w:r>
          </w:p>
        </w:tc>
        <w:tc>
          <w:tcPr>
            <w:tcW w:w="44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支  出</w:t>
            </w:r>
          </w:p>
        </w:tc>
      </w:tr>
      <w:tr>
        <w:tblPrEx>
          <w:shd w:val="clear" w:color="auto" w:fill="auto"/>
          <w:tblLayout w:type="fixed"/>
          <w:tblCellMar>
            <w:top w:w="0" w:type="dxa"/>
            <w:left w:w="108" w:type="dxa"/>
            <w:bottom w:w="0" w:type="dxa"/>
            <w:right w:w="108" w:type="dxa"/>
          </w:tblCellMar>
        </w:tblPrEx>
        <w:trPr>
          <w:trHeight w:val="1152"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预算数</w:t>
            </w: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项目</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预算数</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一、上年结转</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1.81</w:t>
            </w: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一、本年支出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4015.00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政府性基金预算拨款</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（一）一般公共服务支出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1618.00</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18"/>
                <w:szCs w:val="18"/>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（二）国防支出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二、本年收入</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4015.00</w:t>
            </w: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（三）公共安全支出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（一）一般公共预算拨款</w:t>
            </w:r>
          </w:p>
        </w:tc>
        <w:tc>
          <w:tcPr>
            <w:tcW w:w="13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4015.00</w:t>
            </w: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（四）教育支出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0</w:t>
            </w:r>
            <w:r>
              <w:rPr>
                <w:rFonts w:hint="eastAsia" w:ascii="宋体" w:hAnsi="宋体" w:eastAsia="宋体" w:cs="宋体"/>
                <w:i w:val="0"/>
                <w:iCs w:val="0"/>
                <w:color w:val="auto"/>
                <w:kern w:val="0"/>
                <w:sz w:val="22"/>
                <w:szCs w:val="22"/>
                <w:u w:val="none"/>
                <w:lang w:val="en-US" w:eastAsia="zh-CN" w:bidi="ar"/>
              </w:rPr>
              <w:t>.00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经常收入预算拨款</w:t>
            </w:r>
          </w:p>
        </w:tc>
        <w:tc>
          <w:tcPr>
            <w:tcW w:w="13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4015.00</w:t>
            </w:r>
          </w:p>
        </w:tc>
        <w:tc>
          <w:tcPr>
            <w:tcW w:w="32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（五）科学技术支出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 xml:space="preserve">    国库管理非税收入</w:t>
            </w:r>
          </w:p>
        </w:tc>
        <w:tc>
          <w:tcPr>
            <w:tcW w:w="132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32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（六）文化体育与传媒支出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36.29</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（二）政府性基金预算拨款</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c>
          <w:tcPr>
            <w:tcW w:w="3241"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（七）社会保障和就业支出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461.42</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nil"/>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（八）医疗卫生与计划生育支出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90.85</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（九）节能环保支出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（十）城乡社区支出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1154.70</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（十一）农林水支出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527.95</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（十二）交通运输支出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（十三）资源勘探电力信息等支出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cs="宋体"/>
                <w:i w:val="0"/>
                <w:iCs w:val="0"/>
                <w:color w:val="auto"/>
                <w:kern w:val="0"/>
                <w:sz w:val="22"/>
                <w:szCs w:val="22"/>
                <w:u w:val="none"/>
                <w:lang w:val="en-US" w:eastAsia="zh-CN" w:bidi="ar"/>
              </w:rPr>
              <w:t>10</w:t>
            </w: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（十四）商业服务业等支出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（十五）金融支出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（十六）援助其他地区支出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（十七）国土海洋气象等支出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（十八）住房保障支出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25.79</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（十九）粮油物资储备支出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（二十）预备费</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（二十一）其他支出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（二十二）转移性支出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（二十三）债务还本支出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（二十四）债务付息支出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（二十五）债务发行费用支出</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0.00</w:t>
            </w: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二、结转下年</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2"/>
                <w:szCs w:val="22"/>
                <w:u w:val="none"/>
                <w:lang w:val="en-US"/>
              </w:rPr>
            </w:pPr>
            <w:r>
              <w:rPr>
                <w:rFonts w:hint="eastAsia" w:ascii="宋体" w:hAnsi="宋体" w:cs="宋体"/>
                <w:i w:val="0"/>
                <w:iCs w:val="0"/>
                <w:color w:val="auto"/>
                <w:kern w:val="0"/>
                <w:sz w:val="22"/>
                <w:szCs w:val="22"/>
                <w:u w:val="none"/>
                <w:lang w:val="en-US" w:eastAsia="zh-CN" w:bidi="ar"/>
              </w:rPr>
              <w:t>1.81</w:t>
            </w:r>
          </w:p>
        </w:tc>
      </w:tr>
      <w:tr>
        <w:tblPrEx>
          <w:shd w:val="clear" w:color="auto" w:fill="auto"/>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22"/>
                <w:szCs w:val="22"/>
                <w:u w:val="none"/>
              </w:rPr>
            </w:pP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auto"/>
                <w:sz w:val="18"/>
                <w:szCs w:val="18"/>
                <w:u w:val="none"/>
              </w:rPr>
            </w:pP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auto"/>
                <w:sz w:val="22"/>
                <w:szCs w:val="22"/>
                <w:u w:val="none"/>
              </w:rPr>
            </w:pPr>
          </w:p>
        </w:tc>
      </w:tr>
      <w:tr>
        <w:tblPrEx>
          <w:tblLayout w:type="fixed"/>
          <w:tblCellMar>
            <w:top w:w="0" w:type="dxa"/>
            <w:left w:w="108" w:type="dxa"/>
            <w:bottom w:w="0" w:type="dxa"/>
            <w:right w:w="108" w:type="dxa"/>
          </w:tblCellMar>
        </w:tblPrEx>
        <w:trPr>
          <w:trHeight w:val="288" w:hRule="atLeast"/>
        </w:trPr>
        <w:tc>
          <w:tcPr>
            <w:tcW w:w="2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收入总计</w:t>
            </w:r>
          </w:p>
        </w:tc>
        <w:tc>
          <w:tcPr>
            <w:tcW w:w="13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4015.00</w:t>
            </w:r>
          </w:p>
        </w:tc>
        <w:tc>
          <w:tcPr>
            <w:tcW w:w="324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支出总计</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4015.00</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9427" w:type="dxa"/>
        <w:tblInd w:w="96" w:type="dxa"/>
        <w:shd w:val="clear" w:color="auto" w:fill="auto"/>
        <w:tblLayout w:type="fixed"/>
        <w:tblCellMar>
          <w:top w:w="0" w:type="dxa"/>
          <w:left w:w="108" w:type="dxa"/>
          <w:bottom w:w="0" w:type="dxa"/>
          <w:right w:w="108" w:type="dxa"/>
        </w:tblCellMar>
      </w:tblPr>
      <w:tblGrid>
        <w:gridCol w:w="1054"/>
        <w:gridCol w:w="1860"/>
        <w:gridCol w:w="1125"/>
        <w:gridCol w:w="747"/>
        <w:gridCol w:w="1176"/>
        <w:gridCol w:w="717"/>
        <w:gridCol w:w="765"/>
        <w:gridCol w:w="696"/>
        <w:gridCol w:w="696"/>
        <w:gridCol w:w="472"/>
        <w:gridCol w:w="119"/>
      </w:tblGrid>
      <w:tr>
        <w:tblPrEx>
          <w:tblLayout w:type="fixed"/>
          <w:tblCellMar>
            <w:top w:w="0" w:type="dxa"/>
            <w:left w:w="108" w:type="dxa"/>
            <w:bottom w:w="0" w:type="dxa"/>
            <w:right w:w="108" w:type="dxa"/>
          </w:tblCellMar>
        </w:tblPrEx>
        <w:trPr>
          <w:gridAfter w:val="1"/>
          <w:wAfter w:w="119" w:type="dxa"/>
          <w:trHeight w:val="288" w:hRule="atLeast"/>
        </w:trPr>
        <w:tc>
          <w:tcPr>
            <w:tcW w:w="1054" w:type="dxa"/>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w:t>
            </w:r>
            <w:r>
              <w:rPr>
                <w:rFonts w:hint="eastAsia" w:ascii="宋体" w:hAnsi="宋体" w:cs="宋体"/>
                <w:i w:val="0"/>
                <w:iCs w:val="0"/>
                <w:color w:val="auto"/>
                <w:kern w:val="0"/>
                <w:sz w:val="22"/>
                <w:szCs w:val="22"/>
                <w:u w:val="none"/>
                <w:lang w:val="en-US" w:eastAsia="zh-CN" w:bidi="ar"/>
              </w:rPr>
              <w:t>7</w:t>
            </w:r>
          </w:p>
        </w:tc>
        <w:tc>
          <w:tcPr>
            <w:tcW w:w="1860"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25"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747"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76"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717"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765"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696"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696"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472"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trHeight w:val="504" w:hRule="atLeast"/>
        </w:trPr>
        <w:tc>
          <w:tcPr>
            <w:tcW w:w="9427" w:type="dxa"/>
            <w:gridSpan w:val="11"/>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部门收入预算总表</w:t>
            </w:r>
          </w:p>
        </w:tc>
      </w:tr>
      <w:tr>
        <w:tblPrEx>
          <w:tblLayout w:type="fixed"/>
          <w:tblCellMar>
            <w:top w:w="0" w:type="dxa"/>
            <w:left w:w="108" w:type="dxa"/>
            <w:bottom w:w="0" w:type="dxa"/>
            <w:right w:w="108" w:type="dxa"/>
          </w:tblCellMar>
        </w:tblPrEx>
        <w:trPr>
          <w:gridAfter w:val="1"/>
          <w:wAfter w:w="119" w:type="dxa"/>
          <w:trHeight w:val="288" w:hRule="atLeast"/>
        </w:trPr>
        <w:tc>
          <w:tcPr>
            <w:tcW w:w="2914" w:type="dxa"/>
            <w:gridSpan w:val="2"/>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单位名称：青阳县</w:t>
            </w:r>
            <w:r>
              <w:rPr>
                <w:rFonts w:hint="eastAsia" w:ascii="宋体" w:hAnsi="宋体" w:cs="宋体"/>
                <w:i w:val="0"/>
                <w:iCs w:val="0"/>
                <w:color w:val="auto"/>
                <w:kern w:val="0"/>
                <w:sz w:val="20"/>
                <w:szCs w:val="20"/>
                <w:u w:val="none"/>
                <w:lang w:val="en-US" w:eastAsia="zh-CN" w:bidi="ar"/>
              </w:rPr>
              <w:t>木镇</w:t>
            </w:r>
            <w:r>
              <w:rPr>
                <w:rFonts w:hint="eastAsia" w:ascii="宋体" w:hAnsi="宋体" w:eastAsia="宋体" w:cs="宋体"/>
                <w:i w:val="0"/>
                <w:iCs w:val="0"/>
                <w:color w:val="auto"/>
                <w:kern w:val="0"/>
                <w:sz w:val="20"/>
                <w:szCs w:val="20"/>
                <w:u w:val="none"/>
                <w:lang w:val="en-US" w:eastAsia="zh-CN" w:bidi="ar"/>
              </w:rPr>
              <w:t>镇</w:t>
            </w:r>
            <w:r>
              <w:rPr>
                <w:rFonts w:hint="eastAsia" w:ascii="宋体" w:hAnsi="宋体" w:cs="宋体"/>
                <w:i w:val="0"/>
                <w:iCs w:val="0"/>
                <w:color w:val="auto"/>
                <w:kern w:val="0"/>
                <w:sz w:val="20"/>
                <w:szCs w:val="20"/>
                <w:u w:val="none"/>
                <w:lang w:val="en-US" w:eastAsia="zh-CN" w:bidi="ar"/>
              </w:rPr>
              <w:t>人民政府</w:t>
            </w:r>
          </w:p>
        </w:tc>
        <w:tc>
          <w:tcPr>
            <w:tcW w:w="1125"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18"/>
                <w:szCs w:val="18"/>
                <w:u w:val="none"/>
              </w:rPr>
            </w:pPr>
          </w:p>
        </w:tc>
        <w:tc>
          <w:tcPr>
            <w:tcW w:w="747"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18"/>
                <w:szCs w:val="18"/>
                <w:u w:val="none"/>
              </w:rPr>
            </w:pPr>
          </w:p>
        </w:tc>
        <w:tc>
          <w:tcPr>
            <w:tcW w:w="1176"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18"/>
                <w:szCs w:val="18"/>
                <w:u w:val="none"/>
              </w:rPr>
            </w:pPr>
          </w:p>
        </w:tc>
        <w:tc>
          <w:tcPr>
            <w:tcW w:w="717"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18"/>
                <w:szCs w:val="18"/>
                <w:u w:val="none"/>
              </w:rPr>
            </w:pPr>
          </w:p>
        </w:tc>
        <w:tc>
          <w:tcPr>
            <w:tcW w:w="765" w:type="dxa"/>
            <w:tcBorders>
              <w:top w:val="nil"/>
              <w:left w:val="nil"/>
              <w:bottom w:val="nil"/>
              <w:right w:val="nil"/>
            </w:tcBorders>
            <w:shd w:val="clear" w:color="auto" w:fill="auto"/>
            <w:vAlign w:val="bottom"/>
          </w:tcPr>
          <w:p>
            <w:pPr>
              <w:jc w:val="center"/>
              <w:rPr>
                <w:rFonts w:hint="eastAsia" w:ascii="宋体" w:hAnsi="宋体" w:eastAsia="宋体" w:cs="宋体"/>
                <w:i w:val="0"/>
                <w:iCs w:val="0"/>
                <w:color w:val="auto"/>
                <w:sz w:val="18"/>
                <w:szCs w:val="18"/>
                <w:u w:val="none"/>
              </w:rPr>
            </w:pPr>
          </w:p>
        </w:tc>
        <w:tc>
          <w:tcPr>
            <w:tcW w:w="1864" w:type="dxa"/>
            <w:gridSpan w:val="3"/>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单位：万元</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29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功能分类科目</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合计</w:t>
            </w:r>
          </w:p>
        </w:tc>
        <w:tc>
          <w:tcPr>
            <w:tcW w:w="7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上年结余</w:t>
            </w:r>
          </w:p>
        </w:tc>
        <w:tc>
          <w:tcPr>
            <w:tcW w:w="11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一般公共预算拨款收入</w:t>
            </w:r>
          </w:p>
        </w:tc>
        <w:tc>
          <w:tcPr>
            <w:tcW w:w="7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国库管理的政府非税收入</w:t>
            </w:r>
          </w:p>
        </w:tc>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政府性基金预算拨款收入</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纳入专户管理的政府非税收入</w:t>
            </w:r>
          </w:p>
        </w:tc>
        <w:tc>
          <w:tcPr>
            <w:tcW w:w="11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其他收入</w:t>
            </w:r>
          </w:p>
        </w:tc>
      </w:tr>
      <w:tr>
        <w:tblPrEx>
          <w:tblLayout w:type="fixed"/>
          <w:tblCellMar>
            <w:top w:w="0" w:type="dxa"/>
            <w:left w:w="108" w:type="dxa"/>
            <w:bottom w:w="0" w:type="dxa"/>
            <w:right w:w="108" w:type="dxa"/>
          </w:tblCellMar>
        </w:tblPrEx>
        <w:trPr>
          <w:gridAfter w:val="1"/>
          <w:wAfter w:w="119" w:type="dxa"/>
          <w:trHeight w:val="576" w:hRule="atLeast"/>
        </w:trPr>
        <w:tc>
          <w:tcPr>
            <w:tcW w:w="105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科目编码</w:t>
            </w:r>
          </w:p>
        </w:tc>
        <w:tc>
          <w:tcPr>
            <w:tcW w:w="18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科目名称</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7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11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7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22"/>
                <w:szCs w:val="22"/>
                <w:u w:val="none"/>
              </w:rPr>
            </w:pPr>
          </w:p>
        </w:tc>
        <w:tc>
          <w:tcPr>
            <w:tcW w:w="696"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小计</w:t>
            </w:r>
          </w:p>
        </w:tc>
        <w:tc>
          <w:tcPr>
            <w:tcW w:w="472" w:type="dxa"/>
            <w:tcBorders>
              <w:top w:val="nil"/>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其他</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jc w:val="left"/>
              <w:rPr>
                <w:rFonts w:hint="eastAsia" w:ascii="宋体" w:hAnsi="宋体" w:eastAsia="宋体" w:cs="宋体"/>
                <w:i w:val="0"/>
                <w:iCs w:val="0"/>
                <w:color w:val="auto"/>
                <w:sz w:val="22"/>
                <w:szCs w:val="22"/>
                <w:u w:val="none"/>
              </w:rPr>
            </w:pP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4015.00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default" w:ascii="宋体" w:hAnsi="宋体" w:eastAsia="宋体" w:cs="宋体"/>
                <w:i w:val="0"/>
                <w:iCs w:val="0"/>
                <w:color w:val="auto"/>
                <w:sz w:val="24"/>
                <w:szCs w:val="24"/>
                <w:u w:val="none"/>
                <w:lang w:val="en-US"/>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4015.00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一般公共服务支出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1618.00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1618.00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2010104</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人大会议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政府办公厅（室）及相关机构事务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1577.16</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1577.16</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1577.16</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1577.16</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31.84</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文化旅游体育与传媒支出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36.29</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36.29</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文化和旅游</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2070109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群众文化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29.83</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2070808</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6.45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497"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社会保障和就业支出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461.42</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461.42</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民政管理事务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22.50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行政事业单位养老支出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35.36</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35.36</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机关事业单位基本养老保险缴费支出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对机关事业单位基本养老保险基金的补助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32.11</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32.11</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抚恤</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176.48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176.48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伤残抚恤</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2080803</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在乡复员、退伍军人生活补助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102.97</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102.97</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义务兵优待</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44.57</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44.57</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其他优抚支出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18.63</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18.63</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社会福利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其他社会福利支出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120.21</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特困人员救助供养</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农村特困人员救助供养支出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103.00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财政对基本养老保险基金的补助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财政对其他基本养老保险基金的补助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1.18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财政对其他社会保险基金的补助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2.68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财政对失业保险基金的补助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0.38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0.38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财政对工伤保险基金的补助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1.28</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其他财政对社会保险基金的补助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1.02</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509"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卫生健康支出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90.85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90.85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76.74</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76.74</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2100716</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计划生育机构</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22.24</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22.24</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计划生育服务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54.50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54.50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467"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行政事业单位医疗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14.11</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14.11</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行政单位医疗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9.25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9.25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事业单位医疗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4.87</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4.87</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节能环保支出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21101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环境保护管理事务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2110102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城乡社区支出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000000"/>
                <w:kern w:val="0"/>
                <w:sz w:val="24"/>
                <w:szCs w:val="24"/>
                <w:u w:val="none"/>
                <w:lang w:val="en-US" w:eastAsia="zh-CN" w:bidi="ar"/>
              </w:rPr>
              <w:t>1154.7</w:t>
            </w:r>
            <w:r>
              <w:rPr>
                <w:rFonts w:hint="eastAsia" w:ascii="宋体" w:hAnsi="宋体" w:eastAsia="宋体" w:cs="宋体"/>
                <w:i w:val="0"/>
                <w:iCs w:val="0"/>
                <w:color w:val="000000"/>
                <w:kern w:val="0"/>
                <w:sz w:val="24"/>
                <w:szCs w:val="24"/>
                <w:u w:val="none"/>
                <w:lang w:val="en-US" w:eastAsia="zh-CN" w:bidi="ar"/>
              </w:rPr>
              <w:t>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1154.70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城乡社区公共设施</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000000"/>
                <w:kern w:val="0"/>
                <w:sz w:val="24"/>
                <w:szCs w:val="24"/>
                <w:u w:val="none"/>
                <w:lang w:val="en-US" w:eastAsia="zh-CN" w:bidi="ar"/>
              </w:rPr>
              <w:t>1154.7</w:t>
            </w:r>
            <w:r>
              <w:rPr>
                <w:rFonts w:hint="eastAsia" w:ascii="宋体" w:hAnsi="宋体" w:eastAsia="宋体" w:cs="宋体"/>
                <w:i w:val="0"/>
                <w:iCs w:val="0"/>
                <w:color w:val="000000"/>
                <w:kern w:val="0"/>
                <w:sz w:val="24"/>
                <w:szCs w:val="24"/>
                <w:u w:val="none"/>
                <w:lang w:val="en-US" w:eastAsia="zh-CN" w:bidi="ar"/>
              </w:rPr>
              <w:t>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000000"/>
                <w:kern w:val="0"/>
                <w:sz w:val="24"/>
                <w:szCs w:val="24"/>
                <w:u w:val="none"/>
                <w:lang w:val="en-US" w:eastAsia="zh-CN" w:bidi="ar"/>
              </w:rPr>
              <w:t>1154.7</w:t>
            </w:r>
            <w:r>
              <w:rPr>
                <w:rFonts w:hint="eastAsia" w:ascii="宋体" w:hAnsi="宋体" w:eastAsia="宋体" w:cs="宋体"/>
                <w:i w:val="0"/>
                <w:iCs w:val="0"/>
                <w:color w:val="000000"/>
                <w:kern w:val="0"/>
                <w:sz w:val="24"/>
                <w:szCs w:val="24"/>
                <w:u w:val="none"/>
                <w:lang w:val="en-US" w:eastAsia="zh-CN" w:bidi="ar"/>
              </w:rPr>
              <w:t>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其他城乡社区公共设施支出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1154.70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auto"/>
                <w:sz w:val="24"/>
                <w:szCs w:val="24"/>
                <w:u w:val="none"/>
                <w:lang w:val="en-US"/>
              </w:rPr>
            </w:pPr>
            <w:r>
              <w:rPr>
                <w:rFonts w:hint="eastAsia" w:ascii="宋体" w:hAnsi="宋体" w:cs="宋体"/>
                <w:i w:val="0"/>
                <w:iCs w:val="0"/>
                <w:color w:val="000000"/>
                <w:kern w:val="0"/>
                <w:sz w:val="24"/>
                <w:szCs w:val="24"/>
                <w:u w:val="none"/>
                <w:lang w:val="en-US" w:eastAsia="zh-CN" w:bidi="ar"/>
              </w:rPr>
              <w:t>1154.70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农林水支出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527.95</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527.95</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农业农村</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2130104</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事业运行</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124.63</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水利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133.32</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133.32</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6.32</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6.32</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2130314</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防汛</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37.30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37.30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抗旱</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21.80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21.80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2130316</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农村水利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67.90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67.90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农村综合改革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270.00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270.00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对村民委员会和村党支部的补助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170.00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170.00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2130706</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对村集体经济组织的补助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资源勘探工业信息等支出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10</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支持中小企业发展和管理支出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2150899</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其他支持中小企业发展和管理支出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0.00</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0</w:t>
            </w:r>
            <w:r>
              <w:rPr>
                <w:rFonts w:hint="eastAsia" w:ascii="宋体" w:hAnsi="宋体" w:eastAsia="宋体" w:cs="宋体"/>
                <w:i w:val="0"/>
                <w:iCs w:val="0"/>
                <w:color w:val="000000"/>
                <w:kern w:val="0"/>
                <w:sz w:val="24"/>
                <w:szCs w:val="24"/>
                <w:u w:val="none"/>
                <w:lang w:val="en-US" w:eastAsia="zh-CN" w:bidi="ar"/>
              </w:rPr>
              <w:t>0.00</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住房保障支出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shd w:val="clear" w:color="auto" w:fill="auto"/>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22102</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住房改革支出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r>
        <w:tblPrEx>
          <w:tblLayout w:type="fixed"/>
          <w:tblCellMar>
            <w:top w:w="0" w:type="dxa"/>
            <w:left w:w="108" w:type="dxa"/>
            <w:bottom w:w="0" w:type="dxa"/>
            <w:right w:w="108" w:type="dxa"/>
          </w:tblCellMar>
        </w:tblPrEx>
        <w:trPr>
          <w:gridAfter w:val="1"/>
          <w:wAfter w:w="119" w:type="dxa"/>
          <w:trHeight w:val="312" w:hRule="atLeast"/>
        </w:trPr>
        <w:tc>
          <w:tcPr>
            <w:tcW w:w="105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2210201</w:t>
            </w:r>
          </w:p>
        </w:tc>
        <w:tc>
          <w:tcPr>
            <w:tcW w:w="186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000000"/>
                <w:kern w:val="0"/>
                <w:sz w:val="22"/>
                <w:szCs w:val="22"/>
                <w:u w:val="none"/>
                <w:lang w:val="en-US" w:eastAsia="zh-CN" w:bidi="ar"/>
              </w:rPr>
              <w:t xml:space="preserve">    住房公积金</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47" w:type="dxa"/>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auto"/>
                <w:sz w:val="24"/>
                <w:szCs w:val="24"/>
                <w:u w:val="none"/>
              </w:rPr>
            </w:pPr>
          </w:p>
        </w:tc>
        <w:tc>
          <w:tcPr>
            <w:tcW w:w="1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000000"/>
                <w:kern w:val="0"/>
                <w:sz w:val="24"/>
                <w:szCs w:val="24"/>
                <w:u w:val="none"/>
                <w:lang w:val="en-US" w:eastAsia="zh-CN" w:bidi="ar"/>
              </w:rPr>
              <w:t>25.79</w:t>
            </w:r>
          </w:p>
        </w:tc>
        <w:tc>
          <w:tcPr>
            <w:tcW w:w="717"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765"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696"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c>
          <w:tcPr>
            <w:tcW w:w="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cs="宋体"/>
                <w:i w:val="0"/>
                <w:iCs w:val="0"/>
                <w:color w:val="auto"/>
                <w:kern w:val="0"/>
                <w:sz w:val="24"/>
                <w:szCs w:val="24"/>
                <w:u w:val="none"/>
                <w:lang w:val="en-US" w:eastAsia="zh-CN" w:bidi="ar"/>
              </w:rPr>
              <w:t>0</w:t>
            </w: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i w:val="0"/>
          <w:caps w:val="0"/>
          <w:color w:val="auto"/>
          <w:spacing w:val="0"/>
          <w:sz w:val="24"/>
          <w:szCs w:val="24"/>
          <w:shd w:val="clear" w:fill="FFFFFF"/>
        </w:rPr>
      </w:pPr>
    </w:p>
    <w:tbl>
      <w:tblPr>
        <w:tblStyle w:val="7"/>
        <w:tblW w:w="8942" w:type="dxa"/>
        <w:tblInd w:w="93" w:type="dxa"/>
        <w:shd w:val="clear" w:color="auto" w:fill="auto"/>
        <w:tblLayout w:type="fixed"/>
        <w:tblCellMar>
          <w:top w:w="0" w:type="dxa"/>
          <w:left w:w="108" w:type="dxa"/>
          <w:bottom w:w="0" w:type="dxa"/>
          <w:right w:w="108" w:type="dxa"/>
        </w:tblCellMar>
      </w:tblPr>
      <w:tblGrid>
        <w:gridCol w:w="3"/>
        <w:gridCol w:w="1550"/>
        <w:gridCol w:w="233"/>
        <w:gridCol w:w="2168"/>
        <w:gridCol w:w="1537"/>
        <w:gridCol w:w="61"/>
        <w:gridCol w:w="1188"/>
        <w:gridCol w:w="382"/>
        <w:gridCol w:w="796"/>
        <w:gridCol w:w="854"/>
        <w:gridCol w:w="170"/>
      </w:tblGrid>
      <w:tr>
        <w:tblPrEx>
          <w:tblLayout w:type="fixed"/>
          <w:tblCellMar>
            <w:top w:w="0" w:type="dxa"/>
            <w:left w:w="108" w:type="dxa"/>
            <w:bottom w:w="0" w:type="dxa"/>
            <w:right w:w="108" w:type="dxa"/>
          </w:tblCellMar>
        </w:tblPrEx>
        <w:trPr>
          <w:gridBefore w:val="1"/>
          <w:wBefore w:w="3" w:type="dxa"/>
          <w:trHeight w:val="288" w:hRule="atLeast"/>
        </w:trPr>
        <w:tc>
          <w:tcPr>
            <w:tcW w:w="1783" w:type="dxa"/>
            <w:gridSpan w:val="2"/>
            <w:tcBorders>
              <w:top w:val="nil"/>
              <w:left w:val="nil"/>
              <w:bottom w:val="nil"/>
              <w:right w:val="nil"/>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附表</w:t>
            </w:r>
            <w:r>
              <w:rPr>
                <w:rFonts w:hint="eastAsia" w:ascii="宋体" w:hAnsi="宋体" w:cs="宋体"/>
                <w:i w:val="0"/>
                <w:iCs w:val="0"/>
                <w:color w:val="auto"/>
                <w:kern w:val="0"/>
                <w:sz w:val="22"/>
                <w:szCs w:val="22"/>
                <w:u w:val="none"/>
                <w:lang w:val="en-US" w:eastAsia="zh-CN" w:bidi="ar"/>
              </w:rPr>
              <w:t>8</w:t>
            </w:r>
          </w:p>
        </w:tc>
        <w:tc>
          <w:tcPr>
            <w:tcW w:w="3766" w:type="dxa"/>
            <w:gridSpan w:val="3"/>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88" w:type="dxa"/>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178" w:type="dxa"/>
            <w:gridSpan w:val="2"/>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c>
          <w:tcPr>
            <w:tcW w:w="1024" w:type="dxa"/>
            <w:gridSpan w:val="2"/>
            <w:tcBorders>
              <w:top w:val="nil"/>
              <w:left w:val="nil"/>
              <w:bottom w:val="nil"/>
              <w:right w:val="nil"/>
            </w:tcBorders>
            <w:shd w:val="clear" w:color="auto" w:fill="auto"/>
            <w:vAlign w:val="bottom"/>
          </w:tcPr>
          <w:p>
            <w:pPr>
              <w:rPr>
                <w:rFonts w:hint="eastAsia" w:ascii="宋体" w:hAnsi="宋体" w:eastAsia="宋体" w:cs="宋体"/>
                <w:i w:val="0"/>
                <w:iCs w:val="0"/>
                <w:color w:val="auto"/>
                <w:sz w:val="18"/>
                <w:szCs w:val="18"/>
                <w:u w:val="none"/>
              </w:rPr>
            </w:pPr>
          </w:p>
        </w:tc>
      </w:tr>
      <w:tr>
        <w:tblPrEx>
          <w:tblLayout w:type="fixed"/>
          <w:tblCellMar>
            <w:top w:w="0" w:type="dxa"/>
            <w:left w:w="108" w:type="dxa"/>
            <w:bottom w:w="0" w:type="dxa"/>
            <w:right w:w="108" w:type="dxa"/>
          </w:tblCellMar>
        </w:tblPrEx>
        <w:trPr>
          <w:gridBefore w:val="1"/>
          <w:wBefore w:w="3" w:type="dxa"/>
          <w:trHeight w:val="504" w:hRule="atLeast"/>
        </w:trPr>
        <w:tc>
          <w:tcPr>
            <w:tcW w:w="8939" w:type="dxa"/>
            <w:gridSpan w:val="10"/>
            <w:tcBorders>
              <w:top w:val="nil"/>
              <w:left w:val="nil"/>
              <w:bottom w:val="nil"/>
              <w:right w:val="nil"/>
            </w:tcBorders>
            <w:shd w:val="clear" w:color="auto" w:fill="auto"/>
            <w:vAlign w:val="center"/>
          </w:tcPr>
          <w:p>
            <w:pPr>
              <w:keepNext w:val="0"/>
              <w:keepLines w:val="0"/>
              <w:widowControl/>
              <w:suppressLineNumbers w:val="0"/>
              <w:jc w:val="center"/>
              <w:textAlignment w:val="center"/>
              <w:rPr>
                <w:rFonts w:ascii="华文中宋" w:hAnsi="华文中宋" w:eastAsia="华文中宋" w:cs="华文中宋"/>
                <w:b/>
                <w:bCs/>
                <w:i w:val="0"/>
                <w:iCs w:val="0"/>
                <w:color w:val="auto"/>
                <w:sz w:val="36"/>
                <w:szCs w:val="36"/>
                <w:u w:val="none"/>
              </w:rPr>
            </w:pPr>
            <w:r>
              <w:rPr>
                <w:rFonts w:hint="eastAsia" w:ascii="华文中宋" w:hAnsi="华文中宋" w:eastAsia="华文中宋" w:cs="华文中宋"/>
                <w:b/>
                <w:bCs/>
                <w:i w:val="0"/>
                <w:iCs w:val="0"/>
                <w:color w:val="auto"/>
                <w:kern w:val="0"/>
                <w:sz w:val="36"/>
                <w:szCs w:val="36"/>
                <w:u w:val="none"/>
                <w:lang w:val="en-US" w:eastAsia="zh-CN" w:bidi="ar"/>
              </w:rPr>
              <w:t>部门支出预算总表</w:t>
            </w:r>
          </w:p>
        </w:tc>
      </w:tr>
      <w:tr>
        <w:tblPrEx>
          <w:tblLayout w:type="fixed"/>
          <w:tblCellMar>
            <w:top w:w="0" w:type="dxa"/>
            <w:left w:w="108" w:type="dxa"/>
            <w:bottom w:w="0" w:type="dxa"/>
            <w:right w:w="108" w:type="dxa"/>
          </w:tblCellMar>
        </w:tblPrEx>
        <w:trPr>
          <w:gridBefore w:val="1"/>
          <w:wBefore w:w="3" w:type="dxa"/>
          <w:trHeight w:val="288" w:hRule="atLeast"/>
        </w:trPr>
        <w:tc>
          <w:tcPr>
            <w:tcW w:w="5549" w:type="dxa"/>
            <w:gridSpan w:val="5"/>
            <w:tcBorders>
              <w:top w:val="nil"/>
              <w:left w:val="nil"/>
              <w:bottom w:val="nil"/>
              <w:right w:val="nil"/>
            </w:tcBorders>
            <w:shd w:val="clear" w:color="auto" w:fill="auto"/>
            <w:vAlign w:val="center"/>
          </w:tcPr>
          <w:p>
            <w:pPr>
              <w:jc w:val="lef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单位名称：青阳县</w:t>
            </w:r>
            <w:r>
              <w:rPr>
                <w:rFonts w:hint="eastAsia" w:ascii="宋体" w:hAnsi="宋体" w:cs="宋体"/>
                <w:i w:val="0"/>
                <w:iCs w:val="0"/>
                <w:color w:val="auto"/>
                <w:kern w:val="0"/>
                <w:sz w:val="20"/>
                <w:szCs w:val="20"/>
                <w:u w:val="none"/>
                <w:lang w:val="en-US" w:eastAsia="zh-CN" w:bidi="ar"/>
              </w:rPr>
              <w:t>木镇镇人民政府</w:t>
            </w:r>
          </w:p>
        </w:tc>
        <w:tc>
          <w:tcPr>
            <w:tcW w:w="1188" w:type="dxa"/>
            <w:tcBorders>
              <w:top w:val="nil"/>
              <w:left w:val="nil"/>
              <w:bottom w:val="nil"/>
              <w:right w:val="nil"/>
            </w:tcBorders>
            <w:shd w:val="clear" w:color="auto" w:fill="auto"/>
            <w:vAlign w:val="center"/>
          </w:tcPr>
          <w:p>
            <w:pPr>
              <w:jc w:val="left"/>
              <w:rPr>
                <w:rFonts w:hint="eastAsia" w:ascii="宋体" w:hAnsi="宋体" w:eastAsia="宋体" w:cs="宋体"/>
                <w:i w:val="0"/>
                <w:iCs w:val="0"/>
                <w:color w:val="auto"/>
                <w:sz w:val="20"/>
                <w:szCs w:val="20"/>
                <w:u w:val="none"/>
              </w:rPr>
            </w:pPr>
          </w:p>
        </w:tc>
        <w:tc>
          <w:tcPr>
            <w:tcW w:w="2202" w:type="dxa"/>
            <w:gridSpan w:val="4"/>
            <w:tcBorders>
              <w:top w:val="nil"/>
              <w:left w:val="nil"/>
              <w:bottom w:val="nil"/>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单位：万元</w:t>
            </w:r>
          </w:p>
        </w:tc>
      </w:tr>
      <w:tr>
        <w:tblPrEx>
          <w:tblLayout w:type="fixed"/>
          <w:tblCellMar>
            <w:top w:w="0" w:type="dxa"/>
            <w:left w:w="108" w:type="dxa"/>
            <w:bottom w:w="0" w:type="dxa"/>
            <w:right w:w="108" w:type="dxa"/>
          </w:tblCellMar>
        </w:tblPrEx>
        <w:trPr>
          <w:gridAfter w:val="1"/>
          <w:wAfter w:w="170" w:type="dxa"/>
          <w:trHeight w:val="540" w:hRule="atLeast"/>
        </w:trPr>
        <w:tc>
          <w:tcPr>
            <w:tcW w:w="395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功能分类科目</w:t>
            </w:r>
          </w:p>
        </w:tc>
        <w:tc>
          <w:tcPr>
            <w:tcW w:w="15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1631" w:type="dxa"/>
            <w:gridSpan w:val="3"/>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基本支出</w:t>
            </w:r>
          </w:p>
        </w:tc>
        <w:tc>
          <w:tcPr>
            <w:tcW w:w="165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项目支出</w:t>
            </w:r>
          </w:p>
        </w:tc>
      </w:tr>
      <w:tr>
        <w:tblPrEx>
          <w:tblLayout w:type="fixed"/>
          <w:tblCellMar>
            <w:top w:w="0" w:type="dxa"/>
            <w:left w:w="108" w:type="dxa"/>
            <w:bottom w:w="0" w:type="dxa"/>
            <w:right w:w="108" w:type="dxa"/>
          </w:tblCellMar>
        </w:tblPrEx>
        <w:trPr>
          <w:gridAfter w:val="1"/>
          <w:wAfter w:w="170" w:type="dxa"/>
          <w:trHeight w:val="540" w:hRule="atLeast"/>
        </w:trPr>
        <w:tc>
          <w:tcPr>
            <w:tcW w:w="1553"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科目编码</w:t>
            </w:r>
          </w:p>
        </w:tc>
        <w:tc>
          <w:tcPr>
            <w:tcW w:w="2401"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科目名称</w:t>
            </w:r>
          </w:p>
        </w:tc>
        <w:tc>
          <w:tcPr>
            <w:tcW w:w="15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631"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c>
          <w:tcPr>
            <w:tcW w:w="165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rPr>
                <w:rFonts w:hint="eastAsia" w:ascii="宋体" w:hAnsi="宋体" w:eastAsia="宋体" w:cs="宋体"/>
                <w:i w:val="0"/>
                <w:iCs w:val="0"/>
                <w:color w:val="000000"/>
                <w:sz w:val="22"/>
                <w:szCs w:val="22"/>
                <w:u w:val="none"/>
              </w:rPr>
            </w:pP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4015.00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1,160.26</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2854.74</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一般公共服务支出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1618.00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642.58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975.42</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2010104</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人大会议</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政府办公厅（室）及相关机构事务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1577.16</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632.84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944.32</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2010301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1577.16</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632.84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944.32</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31.84</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2010601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行政运行</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31.84</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文化旅游体育与传媒支出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36.29</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9.91</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文化和旅游</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29.83</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19.92</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9.91</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2070109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群众文化</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29.83</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19.92</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9.91</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2070808</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广播电视事务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社会保障和就业支出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461.42</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341.21</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120.21</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民政管理事务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2080202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行政事业单位养老支出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35.36</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35.36</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机关事业单位基本养老保险缴费支出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2080507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对机关事业单位基本养老保险基金的补助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32.11</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32.11</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抚恤</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176.48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176.48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伤残抚恤</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2080803</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在乡复员、退伍军人生活补助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102.97</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102.97</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2080805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义务兵优待</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44.57</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44.57</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2080899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其他优抚支出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18.63</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18.63</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社会福利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120.21</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120.21</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2081099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其他社会福利支出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120.21</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120.21</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特困人员救助供养</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2082102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农村特困人员救助供养支出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103.00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财政对基本养老保险基金的补助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2082699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财政对其他基本养老保险基金的补助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财政对其他社会保险基金的补助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财政对失业保险基金的补助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财政对工伤保险基金的补助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2082799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其他财政对社会保险基金的补助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卫生健康支出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43.35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47.50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76.74</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29.24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47.50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2100716</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计划生育机构</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22.24</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14.24</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2100717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计划生育服务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54.50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39.50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行政事业单位医疗</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14.11</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14.11</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行政单位医疗</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2101102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事业单位医疗</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4.87</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4.87</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节能环保支出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21101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环境保护管理事务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2110102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城乡社区支出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1154.7</w:t>
            </w:r>
            <w:r>
              <w:rPr>
                <w:rFonts w:hint="eastAsia" w:ascii="宋体" w:hAnsi="宋体" w:eastAsia="宋体" w:cs="宋体"/>
                <w:i w:val="0"/>
                <w:iCs w:val="0"/>
                <w:color w:val="000000"/>
                <w:kern w:val="0"/>
                <w:sz w:val="22"/>
                <w:szCs w:val="22"/>
                <w:u w:val="none"/>
                <w:lang w:val="en-US" w:eastAsia="zh-CN" w:bidi="ar"/>
              </w:rPr>
              <w:t>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1154.70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城乡社区公共设施</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1154.7</w:t>
            </w:r>
            <w:r>
              <w:rPr>
                <w:rFonts w:hint="eastAsia" w:ascii="宋体" w:hAnsi="宋体" w:eastAsia="宋体" w:cs="宋体"/>
                <w:i w:val="0"/>
                <w:iCs w:val="0"/>
                <w:color w:val="000000"/>
                <w:kern w:val="0"/>
                <w:sz w:val="22"/>
                <w:szCs w:val="22"/>
                <w:u w:val="none"/>
                <w:lang w:val="en-US" w:eastAsia="zh-CN" w:bidi="ar"/>
              </w:rPr>
              <w:t>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1154.70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2120399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其他城乡社区公共设施支出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1154.7</w:t>
            </w:r>
            <w:r>
              <w:rPr>
                <w:rFonts w:hint="eastAsia" w:ascii="宋体" w:hAnsi="宋体" w:eastAsia="宋体" w:cs="宋体"/>
                <w:i w:val="0"/>
                <w:iCs w:val="0"/>
                <w:color w:val="000000"/>
                <w:kern w:val="0"/>
                <w:sz w:val="22"/>
                <w:szCs w:val="22"/>
                <w:u w:val="none"/>
                <w:lang w:val="en-US" w:eastAsia="zh-CN" w:bidi="ar"/>
              </w:rPr>
              <w:t>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1154.70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农林水支出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527.95</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80.95</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447.00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农业农村</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124.63</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54.63</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2130104</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事业运行</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124.63</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54.63</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水利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133.32</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一般行政管理事务</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6.32</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2130314</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防汛</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37.30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37.30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抗旱</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21.80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21.80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2130316</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农村水利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67.90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67.90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农村综合改革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对村民委员会和村党支部的补助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170.00</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2130706</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对村集体经济组织的补助</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资源勘探工业信息等支出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支持中小企业发展和管理支出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2150899</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其他支持中小企业发展和管理支出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c>
          <w:tcPr>
            <w:tcW w:w="1631" w:type="dxa"/>
            <w:gridSpan w:val="3"/>
            <w:tcBorders>
              <w:top w:val="single" w:color="000000" w:sz="4" w:space="0"/>
              <w:left w:val="nil"/>
              <w:bottom w:val="single" w:color="000000" w:sz="4" w:space="0"/>
              <w:right w:val="nil"/>
            </w:tcBorders>
            <w:shd w:val="clear" w:color="auto" w:fill="auto"/>
            <w:vAlign w:val="center"/>
          </w:tcPr>
          <w:p>
            <w:pPr>
              <w:jc w:val="right"/>
              <w:rPr>
                <w:rFonts w:hint="eastAsia" w:ascii="宋体" w:hAnsi="宋体" w:eastAsia="宋体" w:cs="宋体"/>
                <w:i w:val="0"/>
                <w:iCs w:val="0"/>
                <w:color w:val="000000"/>
                <w:sz w:val="22"/>
                <w:szCs w:val="22"/>
                <w:u w:val="none"/>
              </w:rPr>
            </w:pP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0</w:t>
            </w:r>
            <w:r>
              <w:rPr>
                <w:rFonts w:hint="eastAsia" w:ascii="宋体" w:hAnsi="宋体" w:eastAsia="宋体" w:cs="宋体"/>
                <w:i w:val="0"/>
                <w:iCs w:val="0"/>
                <w:color w:val="000000"/>
                <w:kern w:val="0"/>
                <w:sz w:val="22"/>
                <w:szCs w:val="22"/>
                <w:u w:val="none"/>
                <w:lang w:val="en-US" w:eastAsia="zh-CN" w:bidi="ar"/>
              </w:rPr>
              <w:t>0.00</w:t>
            </w: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住房保障支出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shd w:val="clear" w:color="auto" w:fill="auto"/>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22102</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住房改革支出</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r>
        <w:tblPrEx>
          <w:tblLayout w:type="fixed"/>
          <w:tblCellMar>
            <w:top w:w="0" w:type="dxa"/>
            <w:left w:w="108" w:type="dxa"/>
            <w:bottom w:w="0" w:type="dxa"/>
            <w:right w:w="108" w:type="dxa"/>
          </w:tblCellMar>
        </w:tblPrEx>
        <w:trPr>
          <w:gridAfter w:val="1"/>
          <w:wAfter w:w="170" w:type="dxa"/>
          <w:trHeight w:val="402" w:hRule="atLeast"/>
        </w:trPr>
        <w:tc>
          <w:tcPr>
            <w:tcW w:w="1553"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2210201</w:t>
            </w:r>
          </w:p>
        </w:tc>
        <w:tc>
          <w:tcPr>
            <w:tcW w:w="2401" w:type="dxa"/>
            <w:gridSpan w:val="2"/>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住房公积金</w:t>
            </w:r>
          </w:p>
        </w:tc>
        <w:tc>
          <w:tcPr>
            <w:tcW w:w="15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31" w:type="dxa"/>
            <w:gridSpan w:val="3"/>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25.79</w:t>
            </w:r>
          </w:p>
        </w:tc>
        <w:tc>
          <w:tcPr>
            <w:tcW w:w="16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2"/>
                <w:szCs w:val="22"/>
                <w:u w:val="none"/>
              </w:rPr>
            </w:pPr>
          </w:p>
        </w:tc>
      </w:tr>
    </w:tbl>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28"/>
          <w:szCs w:val="28"/>
          <w:shd w:val="clear" w:fill="FFFFFF"/>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i w:val="0"/>
          <w:caps w:val="0"/>
          <w:color w:val="auto"/>
          <w:spacing w:val="0"/>
          <w:sz w:val="32"/>
          <w:szCs w:val="32"/>
        </w:rPr>
      </w:pPr>
      <w:r>
        <w:rPr>
          <w:rFonts w:hint="eastAsia" w:ascii="宋体" w:hAnsi="宋体" w:eastAsia="宋体" w:cs="宋体"/>
          <w:b/>
          <w:bCs/>
          <w:i w:val="0"/>
          <w:caps w:val="0"/>
          <w:color w:val="auto"/>
          <w:spacing w:val="0"/>
          <w:sz w:val="32"/>
          <w:szCs w:val="32"/>
          <w:shd w:val="clear" w:fill="FFFFFF"/>
        </w:rPr>
        <w:t>第三部分 </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年部门预算情况说明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32"/>
          <w:szCs w:val="32"/>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ascii="宋体" w:hAnsi="宋体" w:eastAsia="宋体" w:cs="宋体"/>
          <w:b/>
          <w:bCs/>
          <w:i w:val="0"/>
          <w:caps w:val="0"/>
          <w:color w:val="auto"/>
          <w:spacing w:val="0"/>
          <w:sz w:val="32"/>
          <w:szCs w:val="32"/>
          <w:shd w:val="clear" w:fill="FFFFFF"/>
        </w:rPr>
        <w:t>一、关于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年财政拨款收支预算总体情况说明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shd w:val="clear" w:fill="FFFFFF"/>
        </w:rPr>
      </w:pPr>
      <w:r>
        <w:rPr>
          <w:rFonts w:hint="eastAsia" w:cs="宋体"/>
          <w:i w:val="0"/>
          <w:caps w:val="0"/>
          <w:color w:val="auto"/>
          <w:spacing w:val="0"/>
          <w:sz w:val="32"/>
          <w:szCs w:val="32"/>
          <w:shd w:val="clear" w:fill="FFFFFF"/>
          <w:lang w:eastAsia="zh-CN"/>
        </w:rPr>
        <w:t>木镇镇人民政府2021</w:t>
      </w:r>
      <w:r>
        <w:rPr>
          <w:rFonts w:hint="eastAsia" w:ascii="宋体" w:hAnsi="宋体" w:eastAsia="宋体" w:cs="宋体"/>
          <w:i w:val="0"/>
          <w:caps w:val="0"/>
          <w:color w:val="auto"/>
          <w:spacing w:val="0"/>
          <w:sz w:val="32"/>
          <w:szCs w:val="32"/>
          <w:shd w:val="clear" w:fill="FFFFFF"/>
        </w:rPr>
        <w:t>年财政拨款收支预算</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万元。收入按资金来源分为：一般公共预算拨款</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万元、政府性基金预算拨款0万元、国有资本经营预算拨款0万元；按资金年度分为：当年财政拨款收入</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元，上年结余</w:t>
      </w:r>
      <w:r>
        <w:rPr>
          <w:rFonts w:hint="eastAsia" w:cs="宋体"/>
          <w:i w:val="0"/>
          <w:caps w:val="0"/>
          <w:color w:val="auto"/>
          <w:spacing w:val="0"/>
          <w:sz w:val="32"/>
          <w:szCs w:val="32"/>
          <w:shd w:val="clear" w:fill="FFFFFF"/>
          <w:lang w:val="en-US" w:eastAsia="zh-CN"/>
        </w:rPr>
        <w:t>1.81</w:t>
      </w:r>
      <w:r>
        <w:rPr>
          <w:rFonts w:hint="eastAsia" w:ascii="宋体" w:hAnsi="宋体" w:eastAsia="宋体" w:cs="宋体"/>
          <w:i w:val="0"/>
          <w:caps w:val="0"/>
          <w:color w:val="auto"/>
          <w:spacing w:val="0"/>
          <w:sz w:val="32"/>
          <w:szCs w:val="32"/>
          <w:shd w:val="clear" w:fill="FFFFFF"/>
        </w:rPr>
        <w:t>万元。支出按功能分类分为：一般公共服务</w:t>
      </w:r>
      <w:r>
        <w:rPr>
          <w:rFonts w:hint="eastAsia" w:cs="宋体"/>
          <w:i w:val="0"/>
          <w:caps w:val="0"/>
          <w:color w:val="auto"/>
          <w:spacing w:val="0"/>
          <w:sz w:val="32"/>
          <w:szCs w:val="32"/>
          <w:shd w:val="clear" w:fill="FFFFFF"/>
          <w:lang w:eastAsia="zh-CN"/>
        </w:rPr>
        <w:t>支出</w:t>
      </w:r>
      <w:r>
        <w:rPr>
          <w:rFonts w:hint="eastAsia" w:cs="宋体"/>
          <w:i w:val="0"/>
          <w:caps w:val="0"/>
          <w:color w:val="auto"/>
          <w:spacing w:val="0"/>
          <w:sz w:val="32"/>
          <w:szCs w:val="32"/>
          <w:shd w:val="clear" w:fill="FFFFFF"/>
          <w:lang w:val="en-US" w:eastAsia="zh-CN"/>
        </w:rPr>
        <w:t>1618.00</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40.29</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val="en-US" w:eastAsia="zh-CN"/>
        </w:rPr>
        <w:t>文化体育与传媒支出36.29万元，占0.92%；</w:t>
      </w:r>
      <w:r>
        <w:rPr>
          <w:rFonts w:hint="eastAsia" w:ascii="宋体" w:hAnsi="宋体" w:eastAsia="宋体" w:cs="宋体"/>
          <w:i w:val="0"/>
          <w:caps w:val="0"/>
          <w:color w:val="auto"/>
          <w:spacing w:val="0"/>
          <w:sz w:val="32"/>
          <w:szCs w:val="32"/>
          <w:shd w:val="clear" w:fill="FFFFFF"/>
        </w:rPr>
        <w:t>社会保障和就业支出</w:t>
      </w:r>
      <w:r>
        <w:rPr>
          <w:rFonts w:hint="eastAsia" w:cs="宋体"/>
          <w:i w:val="0"/>
          <w:caps w:val="0"/>
          <w:color w:val="auto"/>
          <w:spacing w:val="0"/>
          <w:sz w:val="32"/>
          <w:szCs w:val="32"/>
          <w:shd w:val="clear" w:fill="FFFFFF"/>
          <w:lang w:val="en-US" w:eastAsia="zh-CN"/>
        </w:rPr>
        <w:t>461.42</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11.49</w:t>
      </w:r>
      <w:r>
        <w:rPr>
          <w:rFonts w:hint="eastAsia" w:ascii="宋体" w:hAnsi="宋体" w:eastAsia="宋体" w:cs="宋体"/>
          <w:i w:val="0"/>
          <w:caps w:val="0"/>
          <w:color w:val="auto"/>
          <w:spacing w:val="0"/>
          <w:sz w:val="32"/>
          <w:szCs w:val="32"/>
          <w:shd w:val="clear" w:fill="FFFFFF"/>
        </w:rPr>
        <w:t>%；医疗卫生支出</w:t>
      </w:r>
      <w:r>
        <w:rPr>
          <w:rFonts w:hint="eastAsia" w:cs="宋体"/>
          <w:i w:val="0"/>
          <w:caps w:val="0"/>
          <w:color w:val="auto"/>
          <w:spacing w:val="0"/>
          <w:sz w:val="32"/>
          <w:szCs w:val="32"/>
          <w:shd w:val="clear" w:fill="FFFFFF"/>
          <w:lang w:val="en-US" w:eastAsia="zh-CN"/>
        </w:rPr>
        <w:t>90.85</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2.26</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eastAsia="zh-CN"/>
        </w:rPr>
        <w:t>城乡社区支出</w:t>
      </w:r>
      <w:r>
        <w:rPr>
          <w:rFonts w:hint="eastAsia" w:cs="宋体"/>
          <w:i w:val="0"/>
          <w:caps w:val="0"/>
          <w:color w:val="auto"/>
          <w:spacing w:val="0"/>
          <w:sz w:val="32"/>
          <w:szCs w:val="32"/>
          <w:shd w:val="clear" w:fill="FFFFFF"/>
          <w:lang w:val="en-US" w:eastAsia="zh-CN"/>
        </w:rPr>
        <w:t>1154.70万元，占28.76%；农林水支出527.95万元，占13.15%；其他支持中小企业发展和管理支出100万元，占2.49%；</w:t>
      </w:r>
      <w:r>
        <w:rPr>
          <w:rFonts w:hint="eastAsia" w:ascii="宋体" w:hAnsi="宋体" w:eastAsia="宋体" w:cs="宋体"/>
          <w:i w:val="0"/>
          <w:caps w:val="0"/>
          <w:color w:val="auto"/>
          <w:spacing w:val="0"/>
          <w:sz w:val="32"/>
          <w:szCs w:val="32"/>
          <w:shd w:val="clear" w:fill="FFFFFF"/>
        </w:rPr>
        <w:t>住房保障支出</w:t>
      </w:r>
      <w:r>
        <w:rPr>
          <w:rFonts w:hint="eastAsia" w:cs="宋体"/>
          <w:i w:val="0"/>
          <w:caps w:val="0"/>
          <w:color w:val="auto"/>
          <w:spacing w:val="0"/>
          <w:sz w:val="32"/>
          <w:szCs w:val="32"/>
          <w:shd w:val="clear" w:fill="FFFFFF"/>
          <w:lang w:val="en-US" w:eastAsia="zh-CN"/>
        </w:rPr>
        <w:t>25.79</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0.64</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eastAsia="zh-CN"/>
        </w:rPr>
        <w:t>。</w:t>
      </w:r>
      <w:bookmarkStart w:id="0" w:name="_GoBack"/>
      <w:bookmarkEnd w:id="0"/>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ascii="宋体" w:hAnsi="宋体" w:eastAsia="宋体" w:cs="宋体"/>
          <w:b/>
          <w:bCs/>
          <w:i w:val="0"/>
          <w:caps w:val="0"/>
          <w:color w:val="auto"/>
          <w:spacing w:val="0"/>
          <w:sz w:val="32"/>
          <w:szCs w:val="32"/>
          <w:shd w:val="clear" w:fill="FFFFFF"/>
        </w:rPr>
        <w:t>二、关于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年一般公共预算拨款情况说明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32"/>
          <w:szCs w:val="32"/>
        </w:rPr>
      </w:pPr>
      <w:r>
        <w:rPr>
          <w:rFonts w:hint="eastAsia" w:ascii="宋体" w:hAnsi="宋体" w:eastAsia="宋体" w:cs="宋体"/>
          <w:b/>
          <w:i w:val="0"/>
          <w:caps w:val="0"/>
          <w:color w:val="auto"/>
          <w:spacing w:val="0"/>
          <w:sz w:val="32"/>
          <w:szCs w:val="32"/>
          <w:shd w:val="clear" w:fill="FFFFFF"/>
        </w:rPr>
        <w:t>（一）一般公共预算拨款规模变化情况。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32"/>
          <w:szCs w:val="32"/>
          <w:lang w:eastAsia="zh-CN"/>
        </w:rPr>
      </w:pPr>
      <w:r>
        <w:rPr>
          <w:rFonts w:hint="eastAsia" w:cs="宋体"/>
          <w:i w:val="0"/>
          <w:caps w:val="0"/>
          <w:color w:val="auto"/>
          <w:spacing w:val="0"/>
          <w:sz w:val="32"/>
          <w:szCs w:val="32"/>
          <w:shd w:val="clear" w:fill="FFFFFF"/>
          <w:lang w:eastAsia="zh-CN"/>
        </w:rPr>
        <w:t>木镇镇人民政府2021</w:t>
      </w:r>
      <w:r>
        <w:rPr>
          <w:rFonts w:hint="eastAsia" w:ascii="宋体" w:hAnsi="宋体" w:eastAsia="宋体" w:cs="宋体"/>
          <w:i w:val="0"/>
          <w:caps w:val="0"/>
          <w:color w:val="auto"/>
          <w:spacing w:val="0"/>
          <w:sz w:val="32"/>
          <w:szCs w:val="32"/>
          <w:shd w:val="clear" w:fill="FFFFFF"/>
        </w:rPr>
        <w:t>年一般公共预算拨款</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万元，比20</w:t>
      </w:r>
      <w:r>
        <w:rPr>
          <w:rFonts w:hint="eastAsia" w:cs="宋体"/>
          <w:i w:val="0"/>
          <w:caps w:val="0"/>
          <w:color w:val="auto"/>
          <w:spacing w:val="0"/>
          <w:sz w:val="32"/>
          <w:szCs w:val="32"/>
          <w:shd w:val="clear" w:fill="FFFFFF"/>
          <w:lang w:val="en-US" w:eastAsia="zh-CN"/>
        </w:rPr>
        <w:t>20</w:t>
      </w:r>
      <w:r>
        <w:rPr>
          <w:rFonts w:hint="eastAsia" w:ascii="宋体" w:hAnsi="宋体" w:eastAsia="宋体" w:cs="宋体"/>
          <w:i w:val="0"/>
          <w:caps w:val="0"/>
          <w:color w:val="auto"/>
          <w:spacing w:val="0"/>
          <w:sz w:val="32"/>
          <w:szCs w:val="32"/>
          <w:shd w:val="clear" w:fill="FFFFFF"/>
        </w:rPr>
        <w:t>年预算拨款</w:t>
      </w:r>
      <w:r>
        <w:rPr>
          <w:rFonts w:hint="eastAsia" w:cs="宋体"/>
          <w:i w:val="0"/>
          <w:caps w:val="0"/>
          <w:color w:val="auto"/>
          <w:spacing w:val="0"/>
          <w:sz w:val="32"/>
          <w:szCs w:val="32"/>
          <w:shd w:val="clear" w:fill="FFFFFF"/>
          <w:lang w:eastAsia="zh-CN"/>
        </w:rPr>
        <w:t>减少</w:t>
      </w:r>
      <w:r>
        <w:rPr>
          <w:rFonts w:hint="eastAsia" w:cs="宋体"/>
          <w:i w:val="0"/>
          <w:caps w:val="0"/>
          <w:color w:val="auto"/>
          <w:spacing w:val="0"/>
          <w:sz w:val="32"/>
          <w:szCs w:val="32"/>
          <w:shd w:val="clear" w:fill="FFFFFF"/>
          <w:lang w:val="en-US" w:eastAsia="zh-CN"/>
        </w:rPr>
        <w:t>206</w:t>
      </w:r>
      <w:r>
        <w:rPr>
          <w:rFonts w:hint="eastAsia" w:ascii="宋体" w:hAnsi="宋体" w:eastAsia="宋体" w:cs="宋体"/>
          <w:i w:val="0"/>
          <w:caps w:val="0"/>
          <w:color w:val="auto"/>
          <w:spacing w:val="0"/>
          <w:sz w:val="32"/>
          <w:szCs w:val="32"/>
          <w:shd w:val="clear" w:fill="FFFFFF"/>
        </w:rPr>
        <w:t>万元，</w:t>
      </w:r>
      <w:r>
        <w:rPr>
          <w:rFonts w:hint="eastAsia" w:cs="宋体"/>
          <w:i w:val="0"/>
          <w:caps w:val="0"/>
          <w:color w:val="auto"/>
          <w:spacing w:val="0"/>
          <w:sz w:val="32"/>
          <w:szCs w:val="32"/>
          <w:shd w:val="clear" w:fill="FFFFFF"/>
          <w:lang w:eastAsia="zh-CN"/>
        </w:rPr>
        <w:t>减少了</w:t>
      </w:r>
      <w:r>
        <w:rPr>
          <w:rFonts w:hint="eastAsia" w:cs="宋体"/>
          <w:i w:val="0"/>
          <w:caps w:val="0"/>
          <w:color w:val="auto"/>
          <w:spacing w:val="0"/>
          <w:sz w:val="32"/>
          <w:szCs w:val="32"/>
          <w:shd w:val="clear" w:fill="FFFFFF"/>
          <w:lang w:val="en-US" w:eastAsia="zh-CN"/>
        </w:rPr>
        <w:t>4.88</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eastAsia="zh-CN"/>
        </w:rPr>
        <w:t>。增加原因主要是缩减经费开支以及人员调动。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32"/>
          <w:szCs w:val="32"/>
        </w:rPr>
      </w:pPr>
      <w:r>
        <w:rPr>
          <w:rFonts w:hint="eastAsia" w:ascii="宋体" w:hAnsi="宋体" w:eastAsia="宋体" w:cs="宋体"/>
          <w:b/>
          <w:i w:val="0"/>
          <w:caps w:val="0"/>
          <w:color w:val="auto"/>
          <w:spacing w:val="0"/>
          <w:sz w:val="32"/>
          <w:szCs w:val="32"/>
          <w:shd w:val="clear" w:fill="FFFFFF"/>
        </w:rPr>
        <w:t>（二）一般公共预算拨款结构情况。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32"/>
          <w:szCs w:val="32"/>
          <w:lang w:eastAsia="zh-CN"/>
        </w:rPr>
      </w:pPr>
      <w:r>
        <w:rPr>
          <w:rFonts w:hint="eastAsia" w:ascii="宋体" w:hAnsi="宋体" w:eastAsia="宋体" w:cs="宋体"/>
          <w:i w:val="0"/>
          <w:caps w:val="0"/>
          <w:color w:val="auto"/>
          <w:spacing w:val="0"/>
          <w:sz w:val="32"/>
          <w:szCs w:val="32"/>
          <w:shd w:val="clear" w:fill="FFFFFF"/>
        </w:rPr>
        <w:t>一般公共服务</w:t>
      </w:r>
      <w:r>
        <w:rPr>
          <w:rFonts w:hint="eastAsia" w:cs="宋体"/>
          <w:i w:val="0"/>
          <w:caps w:val="0"/>
          <w:color w:val="auto"/>
          <w:spacing w:val="0"/>
          <w:sz w:val="32"/>
          <w:szCs w:val="32"/>
          <w:shd w:val="clear" w:fill="FFFFFF"/>
          <w:lang w:eastAsia="zh-CN"/>
        </w:rPr>
        <w:t>支出</w:t>
      </w:r>
      <w:r>
        <w:rPr>
          <w:rFonts w:hint="eastAsia" w:cs="宋体"/>
          <w:i w:val="0"/>
          <w:caps w:val="0"/>
          <w:color w:val="auto"/>
          <w:spacing w:val="0"/>
          <w:sz w:val="32"/>
          <w:szCs w:val="32"/>
          <w:shd w:val="clear" w:fill="FFFFFF"/>
          <w:lang w:val="en-US" w:eastAsia="zh-CN"/>
        </w:rPr>
        <w:t>1618.00</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40.29</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val="en-US" w:eastAsia="zh-CN"/>
        </w:rPr>
        <w:t>文化体育与传媒支出36.29万元，占0.92%；</w:t>
      </w:r>
      <w:r>
        <w:rPr>
          <w:rFonts w:hint="eastAsia" w:ascii="宋体" w:hAnsi="宋体" w:eastAsia="宋体" w:cs="宋体"/>
          <w:i w:val="0"/>
          <w:caps w:val="0"/>
          <w:color w:val="auto"/>
          <w:spacing w:val="0"/>
          <w:sz w:val="32"/>
          <w:szCs w:val="32"/>
          <w:shd w:val="clear" w:fill="FFFFFF"/>
        </w:rPr>
        <w:t>社会保障和就业支出</w:t>
      </w:r>
      <w:r>
        <w:rPr>
          <w:rFonts w:hint="eastAsia" w:cs="宋体"/>
          <w:i w:val="0"/>
          <w:caps w:val="0"/>
          <w:color w:val="auto"/>
          <w:spacing w:val="0"/>
          <w:sz w:val="32"/>
          <w:szCs w:val="32"/>
          <w:shd w:val="clear" w:fill="FFFFFF"/>
          <w:lang w:val="en-US" w:eastAsia="zh-CN"/>
        </w:rPr>
        <w:t>461.42</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11.49</w:t>
      </w:r>
      <w:r>
        <w:rPr>
          <w:rFonts w:hint="eastAsia" w:ascii="宋体" w:hAnsi="宋体" w:eastAsia="宋体" w:cs="宋体"/>
          <w:i w:val="0"/>
          <w:caps w:val="0"/>
          <w:color w:val="auto"/>
          <w:spacing w:val="0"/>
          <w:sz w:val="32"/>
          <w:szCs w:val="32"/>
          <w:shd w:val="clear" w:fill="FFFFFF"/>
        </w:rPr>
        <w:t>%；医疗卫生支出</w:t>
      </w:r>
      <w:r>
        <w:rPr>
          <w:rFonts w:hint="eastAsia" w:cs="宋体"/>
          <w:i w:val="0"/>
          <w:caps w:val="0"/>
          <w:color w:val="auto"/>
          <w:spacing w:val="0"/>
          <w:sz w:val="32"/>
          <w:szCs w:val="32"/>
          <w:shd w:val="clear" w:fill="FFFFFF"/>
          <w:lang w:val="en-US" w:eastAsia="zh-CN"/>
        </w:rPr>
        <w:t>90.85</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2.26</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eastAsia="zh-CN"/>
        </w:rPr>
        <w:t>城乡社区支出</w:t>
      </w:r>
      <w:r>
        <w:rPr>
          <w:rFonts w:hint="eastAsia" w:cs="宋体"/>
          <w:i w:val="0"/>
          <w:caps w:val="0"/>
          <w:color w:val="auto"/>
          <w:spacing w:val="0"/>
          <w:sz w:val="32"/>
          <w:szCs w:val="32"/>
          <w:shd w:val="clear" w:fill="FFFFFF"/>
          <w:lang w:val="en-US" w:eastAsia="zh-CN"/>
        </w:rPr>
        <w:t>1154.70万元，占28.76%；农林水支出527.95万元，占13.15%；其他支持中小企业发展和管理支出100万元，占2.49%；</w:t>
      </w:r>
      <w:r>
        <w:rPr>
          <w:rFonts w:hint="eastAsia" w:ascii="宋体" w:hAnsi="宋体" w:eastAsia="宋体" w:cs="宋体"/>
          <w:i w:val="0"/>
          <w:caps w:val="0"/>
          <w:color w:val="auto"/>
          <w:spacing w:val="0"/>
          <w:sz w:val="32"/>
          <w:szCs w:val="32"/>
          <w:shd w:val="clear" w:fill="FFFFFF"/>
        </w:rPr>
        <w:t>住房保障支出</w:t>
      </w:r>
      <w:r>
        <w:rPr>
          <w:rFonts w:hint="eastAsia" w:cs="宋体"/>
          <w:i w:val="0"/>
          <w:caps w:val="0"/>
          <w:color w:val="auto"/>
          <w:spacing w:val="0"/>
          <w:sz w:val="32"/>
          <w:szCs w:val="32"/>
          <w:shd w:val="clear" w:fill="FFFFFF"/>
          <w:lang w:val="en-US" w:eastAsia="zh-CN"/>
        </w:rPr>
        <w:t>25.79</w:t>
      </w:r>
      <w:r>
        <w:rPr>
          <w:rFonts w:hint="eastAsia" w:ascii="宋体" w:hAnsi="宋体" w:eastAsia="宋体" w:cs="宋体"/>
          <w:i w:val="0"/>
          <w:caps w:val="0"/>
          <w:color w:val="auto"/>
          <w:spacing w:val="0"/>
          <w:sz w:val="32"/>
          <w:szCs w:val="32"/>
          <w:shd w:val="clear" w:fill="FFFFFF"/>
        </w:rPr>
        <w:t>万元，占</w:t>
      </w:r>
      <w:r>
        <w:rPr>
          <w:rFonts w:hint="eastAsia" w:cs="宋体"/>
          <w:i w:val="0"/>
          <w:caps w:val="0"/>
          <w:color w:val="auto"/>
          <w:spacing w:val="0"/>
          <w:sz w:val="32"/>
          <w:szCs w:val="32"/>
          <w:shd w:val="clear" w:fill="FFFFFF"/>
          <w:lang w:val="en-US" w:eastAsia="zh-CN"/>
        </w:rPr>
        <w:t>0.64</w:t>
      </w:r>
      <w:r>
        <w:rPr>
          <w:rFonts w:hint="eastAsia" w:ascii="宋体" w:hAnsi="宋体" w:eastAsia="宋体" w:cs="宋体"/>
          <w:i w:val="0"/>
          <w:caps w:val="0"/>
          <w:color w:val="auto"/>
          <w:spacing w:val="0"/>
          <w:sz w:val="32"/>
          <w:szCs w:val="32"/>
          <w:shd w:val="clear" w:fill="FFFFFF"/>
        </w:rPr>
        <w:t>%</w:t>
      </w:r>
      <w:r>
        <w:rPr>
          <w:rFonts w:hint="eastAsia" w:cs="宋体"/>
          <w:i w:val="0"/>
          <w:caps w:val="0"/>
          <w:color w:val="auto"/>
          <w:spacing w:val="0"/>
          <w:sz w:val="32"/>
          <w:szCs w:val="32"/>
          <w:shd w:val="clear" w:fill="FFFFFF"/>
          <w:lang w:eastAsia="zh-CN"/>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ascii="宋体" w:hAnsi="宋体" w:eastAsia="宋体" w:cs="宋体"/>
          <w:b/>
          <w:bCs/>
          <w:i w:val="0"/>
          <w:caps w:val="0"/>
          <w:color w:val="auto"/>
          <w:spacing w:val="0"/>
          <w:sz w:val="32"/>
          <w:szCs w:val="32"/>
          <w:shd w:val="clear" w:fill="FFFFFF"/>
        </w:rPr>
        <w:t>三、关于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年一般公共预算基本支出情况说明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textAlignment w:val="auto"/>
        <w:rPr>
          <w:rFonts w:hint="eastAsia" w:cs="宋体"/>
          <w:i w:val="0"/>
          <w:caps w:val="0"/>
          <w:color w:val="auto"/>
          <w:spacing w:val="0"/>
          <w:sz w:val="32"/>
          <w:szCs w:val="32"/>
          <w:shd w:val="clear" w:fill="FFFFFF"/>
          <w:lang w:val="en-US" w:eastAsia="zh-CN"/>
        </w:rPr>
      </w:pPr>
      <w:r>
        <w:rPr>
          <w:rFonts w:hint="eastAsia" w:cs="宋体"/>
          <w:i w:val="0"/>
          <w:caps w:val="0"/>
          <w:color w:val="auto"/>
          <w:spacing w:val="0"/>
          <w:sz w:val="32"/>
          <w:szCs w:val="32"/>
          <w:shd w:val="clear" w:fill="FFFFFF"/>
          <w:lang w:eastAsia="zh-CN"/>
        </w:rPr>
        <w:t>木镇镇人民政府2021</w:t>
      </w:r>
      <w:r>
        <w:rPr>
          <w:rFonts w:hint="eastAsia" w:ascii="宋体" w:hAnsi="宋体" w:eastAsia="宋体" w:cs="宋体"/>
          <w:i w:val="0"/>
          <w:caps w:val="0"/>
          <w:color w:val="auto"/>
          <w:spacing w:val="0"/>
          <w:sz w:val="32"/>
          <w:szCs w:val="32"/>
          <w:shd w:val="clear" w:fill="FFFFFF"/>
        </w:rPr>
        <w:t>年一般公共预算基本支出</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万元，其中：工资福利支出</w:t>
      </w:r>
      <w:r>
        <w:rPr>
          <w:rFonts w:hint="eastAsia" w:cs="宋体"/>
          <w:i w:val="0"/>
          <w:caps w:val="0"/>
          <w:color w:val="auto"/>
          <w:spacing w:val="0"/>
          <w:sz w:val="32"/>
          <w:szCs w:val="32"/>
          <w:shd w:val="clear" w:fill="FFFFFF"/>
          <w:lang w:val="en-US" w:eastAsia="zh-CN"/>
        </w:rPr>
        <w:t>550.59</w:t>
      </w:r>
      <w:r>
        <w:rPr>
          <w:rFonts w:hint="eastAsia" w:ascii="宋体" w:hAnsi="宋体" w:eastAsia="宋体" w:cs="宋体"/>
          <w:i w:val="0"/>
          <w:caps w:val="0"/>
          <w:color w:val="auto"/>
          <w:spacing w:val="0"/>
          <w:sz w:val="32"/>
          <w:szCs w:val="32"/>
          <w:shd w:val="clear" w:fill="FFFFFF"/>
        </w:rPr>
        <w:t>万元，主要包括：基本工资、津贴补贴、</w:t>
      </w:r>
      <w:r>
        <w:rPr>
          <w:rFonts w:hint="eastAsia" w:cs="宋体"/>
          <w:i w:val="0"/>
          <w:caps w:val="0"/>
          <w:color w:val="auto"/>
          <w:spacing w:val="0"/>
          <w:sz w:val="32"/>
          <w:szCs w:val="32"/>
          <w:shd w:val="clear" w:fill="FFFFFF"/>
          <w:lang w:eastAsia="zh-CN"/>
        </w:rPr>
        <w:t>奖金</w:t>
      </w:r>
      <w:r>
        <w:rPr>
          <w:rFonts w:hint="eastAsia" w:ascii="宋体" w:hAnsi="宋体" w:eastAsia="宋体" w:cs="宋体"/>
          <w:i w:val="0"/>
          <w:caps w:val="0"/>
          <w:color w:val="auto"/>
          <w:spacing w:val="0"/>
          <w:sz w:val="32"/>
          <w:szCs w:val="32"/>
          <w:shd w:val="clear" w:fill="FFFFFF"/>
        </w:rPr>
        <w:t>、机关事业单位基本养老保险缴费、城镇职工基本医疗保险缴费</w:t>
      </w:r>
      <w:r>
        <w:rPr>
          <w:rFonts w:hint="eastAsia" w:cs="宋体"/>
          <w:i w:val="0"/>
          <w:caps w:val="0"/>
          <w:color w:val="auto"/>
          <w:spacing w:val="0"/>
          <w:sz w:val="32"/>
          <w:szCs w:val="32"/>
          <w:shd w:val="clear" w:fill="FFFFFF"/>
          <w:lang w:eastAsia="zh-CN"/>
        </w:rPr>
        <w:t>、其他社会保障缴费</w:t>
      </w:r>
      <w:r>
        <w:rPr>
          <w:rFonts w:hint="eastAsia" w:ascii="宋体" w:hAnsi="宋体" w:eastAsia="宋体" w:cs="宋体"/>
          <w:i w:val="0"/>
          <w:caps w:val="0"/>
          <w:color w:val="auto"/>
          <w:spacing w:val="0"/>
          <w:sz w:val="32"/>
          <w:szCs w:val="32"/>
          <w:shd w:val="clear" w:fill="FFFFFF"/>
        </w:rPr>
        <w:t>、住房公积金、其他工资福利支出等。商品和服务支出</w:t>
      </w:r>
      <w:r>
        <w:rPr>
          <w:rFonts w:hint="eastAsia" w:cs="宋体"/>
          <w:i w:val="0"/>
          <w:caps w:val="0"/>
          <w:color w:val="auto"/>
          <w:spacing w:val="0"/>
          <w:sz w:val="32"/>
          <w:szCs w:val="32"/>
          <w:shd w:val="clear" w:fill="FFFFFF"/>
          <w:lang w:val="en-US" w:eastAsia="zh-CN"/>
        </w:rPr>
        <w:t>117.18</w:t>
      </w:r>
      <w:r>
        <w:rPr>
          <w:rFonts w:hint="eastAsia" w:ascii="宋体" w:hAnsi="宋体" w:eastAsia="宋体" w:cs="宋体"/>
          <w:i w:val="0"/>
          <w:caps w:val="0"/>
          <w:color w:val="auto"/>
          <w:spacing w:val="0"/>
          <w:sz w:val="32"/>
          <w:szCs w:val="32"/>
          <w:shd w:val="clear" w:fill="FFFFFF"/>
        </w:rPr>
        <w:t>万元，主要包括：办公费、印刷费、水费、电费、邮电费、差旅费、维修（护）费、会议费、培训费、</w:t>
      </w:r>
      <w:r>
        <w:rPr>
          <w:rFonts w:hint="eastAsia" w:cs="宋体"/>
          <w:i w:val="0"/>
          <w:caps w:val="0"/>
          <w:color w:val="auto"/>
          <w:spacing w:val="0"/>
          <w:sz w:val="32"/>
          <w:szCs w:val="32"/>
          <w:shd w:val="clear" w:fill="FFFFFF"/>
          <w:lang w:eastAsia="zh-CN"/>
        </w:rPr>
        <w:t>公务接待费、</w:t>
      </w:r>
      <w:r>
        <w:rPr>
          <w:rFonts w:hint="eastAsia" w:ascii="宋体" w:hAnsi="宋体" w:eastAsia="宋体" w:cs="宋体"/>
          <w:i w:val="0"/>
          <w:caps w:val="0"/>
          <w:color w:val="auto"/>
          <w:spacing w:val="0"/>
          <w:sz w:val="32"/>
          <w:szCs w:val="32"/>
          <w:shd w:val="clear" w:fill="FFFFFF"/>
        </w:rPr>
        <w:t>劳务费、工会经费</w:t>
      </w:r>
      <w:r>
        <w:rPr>
          <w:rFonts w:hint="eastAsia" w:cs="宋体"/>
          <w:i w:val="0"/>
          <w:caps w:val="0"/>
          <w:color w:val="auto"/>
          <w:spacing w:val="0"/>
          <w:sz w:val="32"/>
          <w:szCs w:val="32"/>
          <w:shd w:val="clear" w:fill="FFFFFF"/>
          <w:lang w:eastAsia="zh-CN"/>
        </w:rPr>
        <w:t>、</w:t>
      </w:r>
      <w:r>
        <w:rPr>
          <w:rFonts w:hint="eastAsia" w:ascii="宋体" w:hAnsi="宋体" w:eastAsia="宋体" w:cs="宋体"/>
          <w:i w:val="0"/>
          <w:caps w:val="0"/>
          <w:color w:val="auto"/>
          <w:spacing w:val="0"/>
          <w:sz w:val="32"/>
          <w:szCs w:val="32"/>
          <w:shd w:val="clear" w:fill="FFFFFF"/>
        </w:rPr>
        <w:t>福利费、</w:t>
      </w:r>
      <w:r>
        <w:rPr>
          <w:rFonts w:hint="eastAsia" w:cs="宋体"/>
          <w:i w:val="0"/>
          <w:caps w:val="0"/>
          <w:color w:val="auto"/>
          <w:spacing w:val="0"/>
          <w:sz w:val="32"/>
          <w:szCs w:val="32"/>
          <w:shd w:val="clear" w:fill="FFFFFF"/>
          <w:lang w:eastAsia="zh-CN"/>
        </w:rPr>
        <w:t>公车运行、</w:t>
      </w:r>
      <w:r>
        <w:rPr>
          <w:rFonts w:hint="eastAsia" w:ascii="宋体" w:hAnsi="宋体" w:eastAsia="宋体" w:cs="宋体"/>
          <w:i w:val="0"/>
          <w:caps w:val="0"/>
          <w:color w:val="auto"/>
          <w:spacing w:val="0"/>
          <w:sz w:val="32"/>
          <w:szCs w:val="32"/>
          <w:shd w:val="clear" w:fill="FFFFFF"/>
        </w:rPr>
        <w:t>其他交通费</w:t>
      </w:r>
      <w:r>
        <w:rPr>
          <w:rFonts w:hint="eastAsia" w:cs="宋体"/>
          <w:i w:val="0"/>
          <w:caps w:val="0"/>
          <w:color w:val="auto"/>
          <w:spacing w:val="0"/>
          <w:sz w:val="32"/>
          <w:szCs w:val="32"/>
          <w:shd w:val="clear" w:fill="FFFFFF"/>
          <w:lang w:eastAsia="zh-CN"/>
        </w:rPr>
        <w:t>用</w:t>
      </w:r>
      <w:r>
        <w:rPr>
          <w:rFonts w:hint="eastAsia" w:ascii="宋体" w:hAnsi="宋体" w:eastAsia="宋体" w:cs="宋体"/>
          <w:i w:val="0"/>
          <w:caps w:val="0"/>
          <w:color w:val="auto"/>
          <w:spacing w:val="0"/>
          <w:sz w:val="32"/>
          <w:szCs w:val="32"/>
          <w:shd w:val="clear" w:fill="FFFFFF"/>
        </w:rPr>
        <w:t>、其他商品和服务支出等。对个人和家庭的补助</w:t>
      </w:r>
      <w:r>
        <w:rPr>
          <w:rFonts w:hint="eastAsia" w:cs="宋体"/>
          <w:i w:val="0"/>
          <w:caps w:val="0"/>
          <w:color w:val="auto"/>
          <w:spacing w:val="0"/>
          <w:sz w:val="32"/>
          <w:szCs w:val="32"/>
          <w:shd w:val="clear" w:fill="FFFFFF"/>
          <w:lang w:val="en-US" w:eastAsia="zh-CN"/>
        </w:rPr>
        <w:t>492.49</w:t>
      </w:r>
      <w:r>
        <w:rPr>
          <w:rFonts w:hint="eastAsia" w:ascii="宋体" w:hAnsi="宋体" w:eastAsia="宋体" w:cs="宋体"/>
          <w:i w:val="0"/>
          <w:caps w:val="0"/>
          <w:color w:val="auto"/>
          <w:spacing w:val="0"/>
          <w:sz w:val="32"/>
          <w:szCs w:val="32"/>
          <w:shd w:val="clear" w:fill="FFFFFF"/>
        </w:rPr>
        <w:t>万元，主要包括：抚恤金、生活补助、救济费、奖励金</w:t>
      </w:r>
      <w:r>
        <w:rPr>
          <w:rFonts w:hint="eastAsia" w:cs="宋体"/>
          <w:i w:val="0"/>
          <w:caps w:val="0"/>
          <w:color w:val="auto"/>
          <w:spacing w:val="0"/>
          <w:sz w:val="32"/>
          <w:szCs w:val="32"/>
          <w:shd w:val="clear" w:fill="FFFFFF"/>
          <w:lang w:eastAsia="zh-CN"/>
        </w:rPr>
        <w:t>和其他对个人和家庭的补助</w:t>
      </w:r>
      <w:r>
        <w:rPr>
          <w:rFonts w:hint="eastAsia" w:ascii="宋体" w:hAnsi="宋体" w:eastAsia="宋体" w:cs="宋体"/>
          <w:i w:val="0"/>
          <w:caps w:val="0"/>
          <w:color w:val="auto"/>
          <w:spacing w:val="0"/>
          <w:sz w:val="32"/>
          <w:szCs w:val="32"/>
          <w:shd w:val="clear" w:fill="FFFFFF"/>
        </w:rPr>
        <w:t>等。</w:t>
      </w:r>
      <w:r>
        <w:rPr>
          <w:rFonts w:hint="eastAsia" w:cs="宋体"/>
          <w:i w:val="0"/>
          <w:caps w:val="0"/>
          <w:color w:val="auto"/>
          <w:spacing w:val="0"/>
          <w:sz w:val="32"/>
          <w:szCs w:val="32"/>
          <w:shd w:val="clear" w:fill="FFFFFF"/>
          <w:lang w:eastAsia="zh-CN"/>
        </w:rPr>
        <w:t>资本性支出</w:t>
      </w:r>
      <w:r>
        <w:rPr>
          <w:rFonts w:hint="eastAsia" w:cs="宋体"/>
          <w:i w:val="0"/>
          <w:caps w:val="0"/>
          <w:color w:val="auto"/>
          <w:spacing w:val="0"/>
          <w:sz w:val="32"/>
          <w:szCs w:val="32"/>
          <w:shd w:val="clear" w:fill="FFFFFF"/>
          <w:lang w:val="en-US" w:eastAsia="zh-CN"/>
        </w:rPr>
        <w:t>2854.74</w:t>
      </w:r>
      <w:r>
        <w:rPr>
          <w:rFonts w:hint="eastAsia" w:cs="宋体"/>
          <w:i w:val="0"/>
          <w:caps w:val="0"/>
          <w:color w:val="auto"/>
          <w:spacing w:val="0"/>
          <w:sz w:val="32"/>
          <w:szCs w:val="32"/>
          <w:shd w:val="clear" w:fill="FFFFFF"/>
          <w:lang w:eastAsia="zh-CN"/>
        </w:rPr>
        <w:t>万元，主要包括办公设备购置、基础设施建设等。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3" w:firstLineChars="200"/>
        <w:textAlignment w:val="auto"/>
        <w:rPr>
          <w:rFonts w:hint="eastAsia" w:ascii="宋体" w:hAnsi="宋体" w:eastAsia="宋体" w:cs="宋体"/>
          <w:b/>
          <w:bCs/>
          <w:i w:val="0"/>
          <w:caps w:val="0"/>
          <w:color w:val="auto"/>
          <w:spacing w:val="0"/>
          <w:sz w:val="32"/>
          <w:szCs w:val="32"/>
        </w:rPr>
      </w:pPr>
      <w:r>
        <w:rPr>
          <w:rFonts w:hint="eastAsia" w:cs="宋体"/>
          <w:b/>
          <w:bCs/>
          <w:i w:val="0"/>
          <w:caps w:val="0"/>
          <w:color w:val="auto"/>
          <w:spacing w:val="0"/>
          <w:sz w:val="32"/>
          <w:szCs w:val="32"/>
          <w:shd w:val="clear" w:fill="FFFFFF"/>
          <w:lang w:eastAsia="zh-CN"/>
        </w:rPr>
        <w:t>四</w:t>
      </w:r>
      <w:r>
        <w:rPr>
          <w:rFonts w:hint="eastAsia" w:ascii="宋体" w:hAnsi="宋体" w:eastAsia="宋体" w:cs="宋体"/>
          <w:b/>
          <w:bCs/>
          <w:i w:val="0"/>
          <w:caps w:val="0"/>
          <w:color w:val="auto"/>
          <w:spacing w:val="0"/>
          <w:sz w:val="32"/>
          <w:szCs w:val="32"/>
          <w:shd w:val="clear" w:fill="FFFFFF"/>
        </w:rPr>
        <w:t>、关于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年政府性基金预算拨款情况说明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textAlignment w:val="auto"/>
        <w:rPr>
          <w:rFonts w:hint="eastAsia" w:ascii="宋体" w:hAnsi="宋体" w:eastAsia="宋体" w:cs="宋体"/>
          <w:i w:val="0"/>
          <w:caps w:val="0"/>
          <w:color w:val="auto"/>
          <w:spacing w:val="0"/>
          <w:sz w:val="32"/>
          <w:szCs w:val="32"/>
        </w:rPr>
      </w:pPr>
      <w:r>
        <w:rPr>
          <w:rFonts w:hint="eastAsia" w:cs="宋体"/>
          <w:i w:val="0"/>
          <w:caps w:val="0"/>
          <w:color w:val="auto"/>
          <w:spacing w:val="0"/>
          <w:sz w:val="32"/>
          <w:szCs w:val="32"/>
          <w:shd w:val="clear" w:fill="FFFFFF"/>
          <w:lang w:eastAsia="zh-CN"/>
        </w:rPr>
        <w:t>木镇镇人民政府2021</w:t>
      </w:r>
      <w:r>
        <w:rPr>
          <w:rFonts w:hint="eastAsia" w:ascii="宋体" w:hAnsi="宋体" w:eastAsia="宋体" w:cs="宋体"/>
          <w:i w:val="0"/>
          <w:caps w:val="0"/>
          <w:color w:val="auto"/>
          <w:spacing w:val="0"/>
          <w:sz w:val="32"/>
          <w:szCs w:val="32"/>
          <w:shd w:val="clear" w:fill="FFFFFF"/>
        </w:rPr>
        <w:t>年没有政府性基金预算拨款收入，也没有使用政府性基金预算拨款安排的支出。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3" w:firstLineChars="200"/>
        <w:textAlignment w:val="auto"/>
        <w:rPr>
          <w:rFonts w:hint="eastAsia" w:ascii="宋体" w:hAnsi="宋体" w:eastAsia="宋体" w:cs="宋体"/>
          <w:b/>
          <w:bCs/>
          <w:i w:val="0"/>
          <w:caps w:val="0"/>
          <w:color w:val="auto"/>
          <w:spacing w:val="0"/>
          <w:sz w:val="32"/>
          <w:szCs w:val="32"/>
        </w:rPr>
      </w:pPr>
      <w:r>
        <w:rPr>
          <w:rFonts w:hint="eastAsia" w:cs="宋体"/>
          <w:b/>
          <w:bCs/>
          <w:i w:val="0"/>
          <w:caps w:val="0"/>
          <w:color w:val="auto"/>
          <w:spacing w:val="0"/>
          <w:sz w:val="32"/>
          <w:szCs w:val="32"/>
          <w:shd w:val="clear" w:fill="FFFFFF"/>
          <w:lang w:eastAsia="zh-CN"/>
        </w:rPr>
        <w:t>五</w:t>
      </w:r>
      <w:r>
        <w:rPr>
          <w:rFonts w:hint="eastAsia" w:ascii="宋体" w:hAnsi="宋体" w:eastAsia="宋体" w:cs="宋体"/>
          <w:b/>
          <w:bCs/>
          <w:i w:val="0"/>
          <w:caps w:val="0"/>
          <w:color w:val="auto"/>
          <w:spacing w:val="0"/>
          <w:sz w:val="32"/>
          <w:szCs w:val="32"/>
          <w:shd w:val="clear" w:fill="FFFFFF"/>
        </w:rPr>
        <w:t>、关于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w:t>
      </w:r>
      <w:r>
        <w:rPr>
          <w:rFonts w:hint="eastAsia" w:cs="宋体"/>
          <w:b/>
          <w:bCs/>
          <w:i w:val="0"/>
          <w:caps w:val="0"/>
          <w:color w:val="auto"/>
          <w:spacing w:val="0"/>
          <w:sz w:val="32"/>
          <w:szCs w:val="32"/>
          <w:shd w:val="clear" w:fill="FFFFFF"/>
          <w:lang w:eastAsia="zh-CN"/>
        </w:rPr>
        <w:t>“三公”经费</w:t>
      </w:r>
      <w:r>
        <w:rPr>
          <w:rFonts w:hint="eastAsia" w:ascii="宋体" w:hAnsi="宋体" w:eastAsia="宋体" w:cs="宋体"/>
          <w:b/>
          <w:bCs/>
          <w:i w:val="0"/>
          <w:caps w:val="0"/>
          <w:color w:val="auto"/>
          <w:spacing w:val="0"/>
          <w:sz w:val="32"/>
          <w:szCs w:val="32"/>
          <w:shd w:val="clear" w:fill="FFFFFF"/>
        </w:rPr>
        <w:t>预算拨款情况说明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textAlignment w:val="auto"/>
        <w:rPr>
          <w:rFonts w:hint="eastAsia" w:ascii="宋体" w:hAnsi="宋体" w:eastAsia="宋体" w:cs="宋体"/>
          <w:i w:val="0"/>
          <w:caps w:val="0"/>
          <w:color w:val="auto"/>
          <w:spacing w:val="0"/>
          <w:sz w:val="32"/>
          <w:szCs w:val="32"/>
          <w:lang w:val="en-US"/>
        </w:rPr>
      </w:pPr>
      <w:r>
        <w:rPr>
          <w:rFonts w:hint="eastAsia" w:cs="宋体"/>
          <w:i w:val="0"/>
          <w:caps w:val="0"/>
          <w:color w:val="auto"/>
          <w:spacing w:val="0"/>
          <w:sz w:val="32"/>
          <w:szCs w:val="32"/>
          <w:shd w:val="clear" w:fill="FFFFFF"/>
          <w:lang w:eastAsia="zh-CN"/>
        </w:rPr>
        <w:t>木镇镇人民政府2021</w:t>
      </w:r>
      <w:r>
        <w:rPr>
          <w:rFonts w:hint="eastAsia" w:ascii="宋体" w:hAnsi="宋体" w:eastAsia="宋体" w:cs="宋体"/>
          <w:i w:val="0"/>
          <w:caps w:val="0"/>
          <w:color w:val="auto"/>
          <w:spacing w:val="0"/>
          <w:sz w:val="32"/>
          <w:szCs w:val="32"/>
          <w:shd w:val="clear" w:fill="FFFFFF"/>
        </w:rPr>
        <w:t>年</w:t>
      </w:r>
      <w:r>
        <w:rPr>
          <w:rFonts w:hint="eastAsia" w:cs="宋体"/>
          <w:i w:val="0"/>
          <w:caps w:val="0"/>
          <w:color w:val="auto"/>
          <w:spacing w:val="0"/>
          <w:sz w:val="32"/>
          <w:szCs w:val="32"/>
          <w:shd w:val="clear" w:fill="FFFFFF"/>
          <w:lang w:eastAsia="zh-CN"/>
        </w:rPr>
        <w:t>“三公”经费</w:t>
      </w:r>
      <w:r>
        <w:rPr>
          <w:rFonts w:hint="eastAsia" w:cs="宋体"/>
          <w:i w:val="0"/>
          <w:caps w:val="0"/>
          <w:color w:val="auto"/>
          <w:spacing w:val="0"/>
          <w:sz w:val="32"/>
          <w:szCs w:val="32"/>
          <w:shd w:val="clear" w:fill="FFFFFF"/>
          <w:lang w:val="en-US" w:eastAsia="zh-CN"/>
        </w:rPr>
        <w:t>50.75万元，其中：公务接待费42.75万元；公务用车购置及运行费8万元，其中：公务用车运行费8万元，公务用车购置费0万元；因公出国（境）费0万元。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cs="宋体"/>
          <w:b/>
          <w:bCs/>
          <w:i w:val="0"/>
          <w:caps w:val="0"/>
          <w:color w:val="auto"/>
          <w:spacing w:val="0"/>
          <w:sz w:val="32"/>
          <w:szCs w:val="32"/>
          <w:shd w:val="clear" w:fill="FFFFFF"/>
          <w:lang w:eastAsia="zh-CN"/>
        </w:rPr>
        <w:t>六</w:t>
      </w:r>
      <w:r>
        <w:rPr>
          <w:rFonts w:hint="eastAsia" w:ascii="宋体" w:hAnsi="宋体" w:eastAsia="宋体" w:cs="宋体"/>
          <w:b/>
          <w:bCs/>
          <w:i w:val="0"/>
          <w:caps w:val="0"/>
          <w:color w:val="auto"/>
          <w:spacing w:val="0"/>
          <w:sz w:val="32"/>
          <w:szCs w:val="32"/>
          <w:shd w:val="clear" w:fill="FFFFFF"/>
        </w:rPr>
        <w:t>、关于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年收支预算总体情况说明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both"/>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sz w:val="32"/>
          <w:szCs w:val="32"/>
          <w:shd w:val="clear" w:fill="FFFFFF"/>
        </w:rPr>
        <w:t>按照综合预算管理原则，</w:t>
      </w:r>
      <w:r>
        <w:rPr>
          <w:rFonts w:hint="eastAsia" w:cs="宋体"/>
          <w:i w:val="0"/>
          <w:caps w:val="0"/>
          <w:color w:val="auto"/>
          <w:spacing w:val="0"/>
          <w:sz w:val="32"/>
          <w:szCs w:val="32"/>
          <w:shd w:val="clear" w:fill="FFFFFF"/>
          <w:lang w:eastAsia="zh-CN"/>
        </w:rPr>
        <w:t>木镇镇人民政府</w:t>
      </w:r>
      <w:r>
        <w:rPr>
          <w:rFonts w:hint="eastAsia" w:ascii="宋体" w:hAnsi="宋体" w:eastAsia="宋体" w:cs="宋体"/>
          <w:i w:val="0"/>
          <w:caps w:val="0"/>
          <w:color w:val="auto"/>
          <w:spacing w:val="0"/>
          <w:sz w:val="32"/>
          <w:szCs w:val="32"/>
          <w:shd w:val="clear" w:fill="FFFFFF"/>
        </w:rPr>
        <w:t>所有收入和支出均纳入部门预算管理。</w:t>
      </w:r>
      <w:r>
        <w:rPr>
          <w:rFonts w:hint="eastAsia" w:cs="宋体"/>
          <w:i w:val="0"/>
          <w:caps w:val="0"/>
          <w:color w:val="auto"/>
          <w:spacing w:val="0"/>
          <w:sz w:val="32"/>
          <w:szCs w:val="32"/>
          <w:shd w:val="clear" w:fill="FFFFFF"/>
          <w:lang w:eastAsia="zh-CN"/>
        </w:rPr>
        <w:t>木镇镇人民政府</w:t>
      </w:r>
      <w:r>
        <w:rPr>
          <w:rFonts w:hint="eastAsia" w:ascii="宋体" w:hAnsi="宋体" w:eastAsia="宋体" w:cs="宋体"/>
          <w:i w:val="0"/>
          <w:caps w:val="0"/>
          <w:color w:val="auto"/>
          <w:spacing w:val="0"/>
          <w:sz w:val="32"/>
          <w:szCs w:val="32"/>
          <w:shd w:val="clear" w:fill="FFFFFF"/>
        </w:rPr>
        <w:t>年收支总预算</w:t>
      </w:r>
      <w:r>
        <w:rPr>
          <w:rFonts w:hint="eastAsia" w:cs="宋体"/>
          <w:i w:val="0"/>
          <w:caps w:val="0"/>
          <w:color w:val="auto"/>
          <w:spacing w:val="0"/>
          <w:sz w:val="32"/>
          <w:szCs w:val="32"/>
          <w:shd w:val="clear" w:fill="FFFFFF"/>
          <w:lang w:val="en-US" w:eastAsia="zh-CN"/>
        </w:rPr>
        <w:t>4015.00</w:t>
      </w:r>
      <w:r>
        <w:rPr>
          <w:rFonts w:hint="eastAsia" w:ascii="宋体" w:hAnsi="宋体" w:eastAsia="宋体" w:cs="宋体"/>
          <w:i w:val="0"/>
          <w:caps w:val="0"/>
          <w:color w:val="auto"/>
          <w:spacing w:val="0"/>
          <w:sz w:val="32"/>
          <w:szCs w:val="32"/>
          <w:shd w:val="clear" w:fill="FFFFFF"/>
        </w:rPr>
        <w:t>万元，收入包括一般公共预算拨款收入、政府性基金预算拨款收入、国有资本经营预算拨款收入、纳入专户管理政府非税收入，支出包括：一般公共服务、教育支出</w:t>
      </w:r>
      <w:r>
        <w:rPr>
          <w:rFonts w:hint="eastAsia" w:cs="宋体"/>
          <w:i w:val="0"/>
          <w:caps w:val="0"/>
          <w:color w:val="auto"/>
          <w:spacing w:val="0"/>
          <w:sz w:val="32"/>
          <w:szCs w:val="32"/>
          <w:shd w:val="clear" w:fill="FFFFFF"/>
          <w:lang w:eastAsia="zh-CN"/>
        </w:rPr>
        <w:t>、文化体育与传媒支出、</w:t>
      </w:r>
      <w:r>
        <w:rPr>
          <w:rFonts w:hint="eastAsia" w:ascii="宋体" w:hAnsi="宋体" w:eastAsia="宋体" w:cs="宋体"/>
          <w:i w:val="0"/>
          <w:caps w:val="0"/>
          <w:color w:val="auto"/>
          <w:spacing w:val="0"/>
          <w:sz w:val="32"/>
          <w:szCs w:val="32"/>
          <w:shd w:val="clear" w:fill="FFFFFF"/>
        </w:rPr>
        <w:t>社会保障和就业支出、医疗卫生与计划生育支出</w:t>
      </w:r>
      <w:r>
        <w:rPr>
          <w:rFonts w:hint="eastAsia" w:cs="宋体"/>
          <w:i w:val="0"/>
          <w:caps w:val="0"/>
          <w:color w:val="auto"/>
          <w:spacing w:val="0"/>
          <w:sz w:val="32"/>
          <w:szCs w:val="32"/>
          <w:shd w:val="clear" w:fill="FFFFFF"/>
          <w:lang w:eastAsia="zh-CN"/>
        </w:rPr>
        <w:t>、</w:t>
      </w:r>
      <w:r>
        <w:rPr>
          <w:rFonts w:hint="eastAsia" w:ascii="宋体" w:hAnsi="宋体" w:eastAsia="宋体" w:cs="宋体"/>
          <w:i w:val="0"/>
          <w:caps w:val="0"/>
          <w:color w:val="auto"/>
          <w:spacing w:val="0"/>
          <w:sz w:val="32"/>
          <w:szCs w:val="32"/>
          <w:shd w:val="clear" w:fill="FFFFFF"/>
        </w:rPr>
        <w:t>城乡社区支出</w:t>
      </w:r>
      <w:r>
        <w:rPr>
          <w:rFonts w:hint="eastAsia" w:cs="宋体"/>
          <w:i w:val="0"/>
          <w:caps w:val="0"/>
          <w:color w:val="auto"/>
          <w:spacing w:val="0"/>
          <w:sz w:val="32"/>
          <w:szCs w:val="32"/>
          <w:shd w:val="clear" w:fill="FFFFFF"/>
          <w:lang w:eastAsia="zh-CN"/>
        </w:rPr>
        <w:t>、农林水支出、</w:t>
      </w:r>
      <w:r>
        <w:rPr>
          <w:rFonts w:hint="eastAsia" w:ascii="宋体" w:hAnsi="宋体" w:eastAsia="宋体" w:cs="宋体"/>
          <w:i w:val="0"/>
          <w:caps w:val="0"/>
          <w:color w:val="auto"/>
          <w:spacing w:val="0"/>
          <w:sz w:val="32"/>
          <w:szCs w:val="32"/>
          <w:shd w:val="clear" w:fill="FFFFFF"/>
        </w:rPr>
        <w:t>住房保障支出</w:t>
      </w:r>
      <w:r>
        <w:rPr>
          <w:rFonts w:hint="eastAsia" w:cs="宋体"/>
          <w:i w:val="0"/>
          <w:caps w:val="0"/>
          <w:color w:val="auto"/>
          <w:spacing w:val="0"/>
          <w:sz w:val="32"/>
          <w:szCs w:val="32"/>
          <w:shd w:val="clear" w:fill="FFFFFF"/>
          <w:lang w:eastAsia="zh-CN"/>
        </w:rPr>
        <w:t>、</w:t>
      </w:r>
      <w:r>
        <w:rPr>
          <w:rFonts w:hint="eastAsia" w:ascii="宋体" w:hAnsi="宋体" w:eastAsia="宋体" w:cs="宋体"/>
          <w:i w:val="0"/>
          <w:caps w:val="0"/>
          <w:color w:val="auto"/>
          <w:spacing w:val="0"/>
          <w:sz w:val="32"/>
          <w:szCs w:val="32"/>
          <w:shd w:val="clear" w:fill="FFFFFF"/>
        </w:rPr>
        <w:t>预备费等。</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cs="宋体"/>
          <w:b/>
          <w:bCs/>
          <w:i w:val="0"/>
          <w:caps w:val="0"/>
          <w:color w:val="auto"/>
          <w:spacing w:val="0"/>
          <w:sz w:val="32"/>
          <w:szCs w:val="32"/>
          <w:shd w:val="clear" w:fill="FFFFFF"/>
          <w:lang w:eastAsia="zh-CN"/>
        </w:rPr>
        <w:t>七</w:t>
      </w:r>
      <w:r>
        <w:rPr>
          <w:rFonts w:hint="eastAsia" w:ascii="宋体" w:hAnsi="宋体" w:eastAsia="宋体" w:cs="宋体"/>
          <w:b/>
          <w:bCs/>
          <w:i w:val="0"/>
          <w:caps w:val="0"/>
          <w:color w:val="auto"/>
          <w:spacing w:val="0"/>
          <w:sz w:val="32"/>
          <w:szCs w:val="32"/>
          <w:shd w:val="clear" w:fill="FFFFFF"/>
        </w:rPr>
        <w:t>、关于</w:t>
      </w:r>
      <w:r>
        <w:rPr>
          <w:rFonts w:hint="eastAsia" w:cs="宋体"/>
          <w:b/>
          <w:bCs/>
          <w:i w:val="0"/>
          <w:caps w:val="0"/>
          <w:color w:val="auto"/>
          <w:spacing w:val="0"/>
          <w:sz w:val="32"/>
          <w:szCs w:val="32"/>
          <w:shd w:val="clear" w:fill="FFFFFF"/>
          <w:lang w:eastAsia="zh-CN"/>
        </w:rPr>
        <w:t>2021</w:t>
      </w:r>
      <w:r>
        <w:rPr>
          <w:rFonts w:hint="eastAsia" w:ascii="宋体" w:hAnsi="宋体" w:eastAsia="宋体" w:cs="宋体"/>
          <w:b/>
          <w:bCs/>
          <w:i w:val="0"/>
          <w:caps w:val="0"/>
          <w:color w:val="auto"/>
          <w:spacing w:val="0"/>
          <w:sz w:val="32"/>
          <w:szCs w:val="32"/>
          <w:shd w:val="clear" w:fill="FFFFFF"/>
        </w:rPr>
        <w:t>年收入预算情况说明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default" w:ascii="宋体" w:hAnsi="宋体" w:cs="宋体"/>
          <w:i w:val="0"/>
          <w:caps w:val="0"/>
          <w:color w:val="auto"/>
          <w:spacing w:val="0"/>
          <w:kern w:val="0"/>
          <w:sz w:val="32"/>
          <w:szCs w:val="32"/>
          <w:shd w:val="clear" w:fill="FFFFFF"/>
          <w:lang w:val="en-US" w:eastAsia="zh-CN" w:bidi="ar"/>
        </w:rPr>
      </w:pPr>
      <w:r>
        <w:rPr>
          <w:rFonts w:hint="eastAsia" w:ascii="宋体" w:hAnsi="宋体" w:cs="宋体"/>
          <w:i w:val="0"/>
          <w:caps w:val="0"/>
          <w:color w:val="auto"/>
          <w:spacing w:val="0"/>
          <w:kern w:val="0"/>
          <w:sz w:val="32"/>
          <w:szCs w:val="32"/>
          <w:shd w:val="clear" w:fill="FFFFFF"/>
          <w:lang w:val="en-US" w:eastAsia="zh-CN" w:bidi="ar"/>
        </w:rPr>
        <w:t>木镇镇人民政府2021</w:t>
      </w:r>
      <w:r>
        <w:rPr>
          <w:rFonts w:hint="eastAsia" w:ascii="宋体" w:hAnsi="宋体" w:eastAsia="宋体" w:cs="宋体"/>
          <w:i w:val="0"/>
          <w:caps w:val="0"/>
          <w:color w:val="auto"/>
          <w:spacing w:val="0"/>
          <w:kern w:val="0"/>
          <w:sz w:val="32"/>
          <w:szCs w:val="32"/>
          <w:shd w:val="clear" w:fill="FFFFFF"/>
          <w:lang w:val="en-US" w:eastAsia="zh-CN" w:bidi="ar"/>
        </w:rPr>
        <w:t>年收入预算</w:t>
      </w:r>
      <w:r>
        <w:rPr>
          <w:rFonts w:hint="eastAsia" w:ascii="宋体" w:hAnsi="宋体" w:cs="宋体"/>
          <w:i w:val="0"/>
          <w:caps w:val="0"/>
          <w:color w:val="auto"/>
          <w:spacing w:val="0"/>
          <w:kern w:val="0"/>
          <w:sz w:val="32"/>
          <w:szCs w:val="32"/>
          <w:shd w:val="clear" w:fill="FFFFFF"/>
          <w:lang w:val="en-US" w:eastAsia="zh-CN" w:bidi="ar"/>
        </w:rPr>
        <w:t>4015.00</w:t>
      </w:r>
      <w:r>
        <w:rPr>
          <w:rFonts w:hint="eastAsia" w:ascii="宋体" w:hAnsi="宋体" w:eastAsia="宋体" w:cs="宋体"/>
          <w:i w:val="0"/>
          <w:caps w:val="0"/>
          <w:color w:val="auto"/>
          <w:spacing w:val="0"/>
          <w:kern w:val="0"/>
          <w:sz w:val="32"/>
          <w:szCs w:val="32"/>
          <w:shd w:val="clear" w:fill="FFFFFF"/>
          <w:lang w:val="en-US" w:eastAsia="zh-CN" w:bidi="ar"/>
        </w:rPr>
        <w:t>万元，其中：一般公共预算拨款收入</w:t>
      </w:r>
      <w:r>
        <w:rPr>
          <w:rFonts w:hint="eastAsia" w:ascii="宋体" w:hAnsi="宋体" w:cs="宋体"/>
          <w:i w:val="0"/>
          <w:caps w:val="0"/>
          <w:color w:val="auto"/>
          <w:spacing w:val="0"/>
          <w:kern w:val="0"/>
          <w:sz w:val="32"/>
          <w:szCs w:val="32"/>
          <w:shd w:val="clear" w:fill="FFFFFF"/>
          <w:lang w:val="en-US" w:eastAsia="zh-CN" w:bidi="ar"/>
        </w:rPr>
        <w:t>4015.00</w:t>
      </w:r>
      <w:r>
        <w:rPr>
          <w:rFonts w:hint="eastAsia" w:ascii="宋体" w:hAnsi="宋体" w:eastAsia="宋体" w:cs="宋体"/>
          <w:i w:val="0"/>
          <w:caps w:val="0"/>
          <w:color w:val="auto"/>
          <w:spacing w:val="0"/>
          <w:kern w:val="0"/>
          <w:sz w:val="32"/>
          <w:szCs w:val="32"/>
          <w:shd w:val="clear" w:fill="FFFFFF"/>
          <w:lang w:val="en-US" w:eastAsia="zh-CN" w:bidi="ar"/>
        </w:rPr>
        <w:t>万元，占100%</w:t>
      </w:r>
      <w:r>
        <w:rPr>
          <w:rFonts w:hint="eastAsia" w:ascii="宋体" w:hAnsi="宋体" w:cs="宋体"/>
          <w:i w:val="0"/>
          <w:caps w:val="0"/>
          <w:color w:val="auto"/>
          <w:spacing w:val="0"/>
          <w:kern w:val="0"/>
          <w:sz w:val="32"/>
          <w:szCs w:val="32"/>
          <w:shd w:val="clear" w:fill="FFFFFF"/>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b/>
          <w:bCs/>
          <w:i w:val="0"/>
          <w:caps w:val="0"/>
          <w:color w:val="auto"/>
          <w:spacing w:val="0"/>
          <w:sz w:val="32"/>
          <w:szCs w:val="32"/>
        </w:rPr>
      </w:pPr>
      <w:r>
        <w:rPr>
          <w:rFonts w:hint="eastAsia" w:ascii="宋体" w:hAnsi="宋体" w:cs="宋体"/>
          <w:b/>
          <w:bCs/>
          <w:i w:val="0"/>
          <w:caps w:val="0"/>
          <w:color w:val="auto"/>
          <w:spacing w:val="0"/>
          <w:kern w:val="0"/>
          <w:sz w:val="32"/>
          <w:szCs w:val="32"/>
          <w:shd w:val="clear" w:fill="FFFFFF"/>
          <w:lang w:val="en-US" w:eastAsia="zh-CN" w:bidi="ar"/>
        </w:rPr>
        <w:t>八</w:t>
      </w:r>
      <w:r>
        <w:rPr>
          <w:rFonts w:hint="eastAsia" w:ascii="宋体" w:hAnsi="宋体" w:eastAsia="宋体" w:cs="宋体"/>
          <w:b/>
          <w:bCs/>
          <w:i w:val="0"/>
          <w:caps w:val="0"/>
          <w:color w:val="auto"/>
          <w:spacing w:val="0"/>
          <w:kern w:val="0"/>
          <w:sz w:val="32"/>
          <w:szCs w:val="32"/>
          <w:shd w:val="clear" w:fill="FFFFFF"/>
          <w:lang w:val="en-US" w:eastAsia="zh-CN" w:bidi="ar"/>
        </w:rPr>
        <w:t>、关于</w:t>
      </w:r>
      <w:r>
        <w:rPr>
          <w:rFonts w:hint="eastAsia" w:ascii="宋体" w:hAnsi="宋体" w:cs="宋体"/>
          <w:b/>
          <w:bCs/>
          <w:i w:val="0"/>
          <w:caps w:val="0"/>
          <w:color w:val="auto"/>
          <w:spacing w:val="0"/>
          <w:kern w:val="0"/>
          <w:sz w:val="32"/>
          <w:szCs w:val="32"/>
          <w:shd w:val="clear" w:fill="FFFFFF"/>
          <w:lang w:val="en-US" w:eastAsia="zh-CN" w:bidi="ar"/>
        </w:rPr>
        <w:t>2021</w:t>
      </w:r>
      <w:r>
        <w:rPr>
          <w:rFonts w:hint="eastAsia" w:ascii="宋体" w:hAnsi="宋体" w:eastAsia="宋体" w:cs="宋体"/>
          <w:b/>
          <w:bCs/>
          <w:i w:val="0"/>
          <w:caps w:val="0"/>
          <w:color w:val="auto"/>
          <w:spacing w:val="0"/>
          <w:kern w:val="0"/>
          <w:sz w:val="32"/>
          <w:szCs w:val="32"/>
          <w:shd w:val="clear" w:fill="FFFFFF"/>
          <w:lang w:val="en-US" w:eastAsia="zh-CN" w:bidi="ar"/>
        </w:rPr>
        <w:t>年支出预算情况说明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宋体" w:hAnsi="宋体" w:eastAsia="宋体" w:cs="宋体"/>
          <w:i w:val="0"/>
          <w:caps w:val="0"/>
          <w:color w:val="auto"/>
          <w:spacing w:val="0"/>
          <w:kern w:val="0"/>
          <w:sz w:val="32"/>
          <w:szCs w:val="32"/>
          <w:shd w:val="clear" w:fill="FFFFFF"/>
          <w:lang w:val="en-US" w:eastAsia="zh-CN" w:bidi="ar"/>
        </w:rPr>
      </w:pPr>
      <w:r>
        <w:rPr>
          <w:rFonts w:hint="eastAsia" w:ascii="宋体" w:hAnsi="宋体" w:cs="宋体"/>
          <w:i w:val="0"/>
          <w:caps w:val="0"/>
          <w:color w:val="auto"/>
          <w:spacing w:val="0"/>
          <w:kern w:val="0"/>
          <w:sz w:val="32"/>
          <w:szCs w:val="32"/>
          <w:shd w:val="clear" w:fill="FFFFFF"/>
          <w:lang w:val="en-US" w:eastAsia="zh-CN" w:bidi="ar"/>
        </w:rPr>
        <w:t>木镇镇人民政府2021</w:t>
      </w:r>
      <w:r>
        <w:rPr>
          <w:rFonts w:hint="eastAsia" w:ascii="宋体" w:hAnsi="宋体" w:eastAsia="宋体" w:cs="宋体"/>
          <w:i w:val="0"/>
          <w:caps w:val="0"/>
          <w:color w:val="auto"/>
          <w:spacing w:val="0"/>
          <w:kern w:val="0"/>
          <w:sz w:val="32"/>
          <w:szCs w:val="32"/>
          <w:shd w:val="clear" w:fill="FFFFFF"/>
          <w:lang w:val="en-US" w:eastAsia="zh-CN" w:bidi="ar"/>
        </w:rPr>
        <w:t>年支出预算</w:t>
      </w:r>
      <w:r>
        <w:rPr>
          <w:rFonts w:hint="eastAsia" w:ascii="宋体" w:hAnsi="宋体" w:cs="宋体"/>
          <w:i w:val="0"/>
          <w:caps w:val="0"/>
          <w:color w:val="auto"/>
          <w:spacing w:val="0"/>
          <w:kern w:val="0"/>
          <w:sz w:val="32"/>
          <w:szCs w:val="32"/>
          <w:shd w:val="clear" w:fill="FFFFFF"/>
          <w:lang w:val="en-US" w:eastAsia="zh-CN" w:bidi="ar"/>
        </w:rPr>
        <w:t>4015.00</w:t>
      </w:r>
      <w:r>
        <w:rPr>
          <w:rFonts w:hint="eastAsia" w:ascii="宋体" w:hAnsi="宋体" w:eastAsia="宋体" w:cs="宋体"/>
          <w:i w:val="0"/>
          <w:caps w:val="0"/>
          <w:color w:val="auto"/>
          <w:spacing w:val="0"/>
          <w:kern w:val="0"/>
          <w:sz w:val="32"/>
          <w:szCs w:val="32"/>
          <w:shd w:val="clear" w:fill="FFFFFF"/>
          <w:lang w:val="en-US" w:eastAsia="zh-CN" w:bidi="ar"/>
        </w:rPr>
        <w:t>万元</w:t>
      </w:r>
      <w:r>
        <w:rPr>
          <w:rFonts w:hint="eastAsia" w:ascii="宋体" w:hAnsi="宋体" w:cs="宋体"/>
          <w:i w:val="0"/>
          <w:caps w:val="0"/>
          <w:color w:val="auto"/>
          <w:spacing w:val="0"/>
          <w:kern w:val="0"/>
          <w:sz w:val="32"/>
          <w:szCs w:val="32"/>
          <w:shd w:val="clear" w:fill="FFFFFF"/>
          <w:lang w:val="en-US" w:eastAsia="zh-CN" w:bidi="ar"/>
        </w:rPr>
        <w:t>。</w:t>
      </w:r>
      <w:r>
        <w:rPr>
          <w:rFonts w:hint="eastAsia" w:ascii="宋体" w:hAnsi="宋体" w:eastAsia="宋体" w:cs="宋体"/>
          <w:i w:val="0"/>
          <w:caps w:val="0"/>
          <w:color w:val="auto"/>
          <w:spacing w:val="0"/>
          <w:kern w:val="0"/>
          <w:sz w:val="32"/>
          <w:szCs w:val="32"/>
          <w:shd w:val="clear" w:fill="FFFFFF"/>
          <w:lang w:val="en-US" w:eastAsia="zh-CN" w:bidi="ar"/>
        </w:rPr>
        <w:t>其中，</w:t>
      </w:r>
      <w:r>
        <w:rPr>
          <w:rFonts w:hint="eastAsia" w:ascii="宋体" w:hAnsi="宋体" w:eastAsia="宋体" w:cs="宋体"/>
          <w:i w:val="0"/>
          <w:caps w:val="0"/>
          <w:color w:val="auto"/>
          <w:spacing w:val="0"/>
          <w:kern w:val="0"/>
          <w:sz w:val="32"/>
          <w:szCs w:val="32"/>
          <w:shd w:val="clear" w:color="auto" w:fill="auto"/>
          <w:lang w:val="en-US" w:eastAsia="zh-CN" w:bidi="ar"/>
        </w:rPr>
        <w:t>基本支出</w:t>
      </w:r>
      <w:r>
        <w:rPr>
          <w:rFonts w:hint="eastAsia" w:ascii="宋体" w:hAnsi="宋体" w:cs="宋体"/>
          <w:i w:val="0"/>
          <w:caps w:val="0"/>
          <w:color w:val="auto"/>
          <w:spacing w:val="0"/>
          <w:kern w:val="0"/>
          <w:sz w:val="32"/>
          <w:szCs w:val="32"/>
          <w:shd w:val="clear" w:color="auto" w:fill="auto"/>
          <w:lang w:val="en-US" w:eastAsia="zh-CN" w:bidi="ar"/>
        </w:rPr>
        <w:t>1160.26</w:t>
      </w:r>
      <w:r>
        <w:rPr>
          <w:rFonts w:hint="eastAsia" w:ascii="宋体" w:hAnsi="宋体" w:eastAsia="宋体" w:cs="宋体"/>
          <w:i w:val="0"/>
          <w:caps w:val="0"/>
          <w:color w:val="auto"/>
          <w:spacing w:val="0"/>
          <w:kern w:val="0"/>
          <w:sz w:val="32"/>
          <w:szCs w:val="32"/>
          <w:shd w:val="clear" w:color="auto" w:fill="auto"/>
          <w:lang w:val="en-US" w:eastAsia="zh-CN" w:bidi="ar"/>
        </w:rPr>
        <w:t>万元，占</w:t>
      </w:r>
      <w:r>
        <w:rPr>
          <w:rFonts w:hint="eastAsia" w:ascii="宋体" w:hAnsi="宋体" w:cs="宋体"/>
          <w:i w:val="0"/>
          <w:caps w:val="0"/>
          <w:color w:val="auto"/>
          <w:spacing w:val="0"/>
          <w:kern w:val="0"/>
          <w:sz w:val="32"/>
          <w:szCs w:val="32"/>
          <w:shd w:val="clear" w:color="auto" w:fill="auto"/>
          <w:lang w:val="en-US" w:eastAsia="zh-CN" w:bidi="ar"/>
        </w:rPr>
        <w:t>28.90%</w:t>
      </w:r>
      <w:r>
        <w:rPr>
          <w:rFonts w:hint="eastAsia" w:ascii="宋体" w:hAnsi="宋体" w:eastAsia="宋体" w:cs="宋体"/>
          <w:i w:val="0"/>
          <w:caps w:val="0"/>
          <w:color w:val="auto"/>
          <w:spacing w:val="0"/>
          <w:kern w:val="0"/>
          <w:sz w:val="32"/>
          <w:szCs w:val="32"/>
          <w:shd w:val="clear" w:color="auto" w:fill="auto"/>
          <w:lang w:val="en-US" w:eastAsia="zh-CN" w:bidi="ar"/>
        </w:rPr>
        <w:t>，主要用于保障机构日常运转、完成日常工作任务等；项目支出</w:t>
      </w:r>
      <w:r>
        <w:rPr>
          <w:rFonts w:hint="eastAsia" w:ascii="宋体" w:hAnsi="宋体" w:cs="宋体"/>
          <w:i w:val="0"/>
          <w:caps w:val="0"/>
          <w:color w:val="auto"/>
          <w:spacing w:val="0"/>
          <w:kern w:val="0"/>
          <w:sz w:val="32"/>
          <w:szCs w:val="32"/>
          <w:shd w:val="clear" w:color="auto" w:fill="auto"/>
          <w:lang w:val="en-US" w:eastAsia="zh-CN" w:bidi="ar"/>
        </w:rPr>
        <w:t>2854.74</w:t>
      </w:r>
      <w:r>
        <w:rPr>
          <w:rFonts w:hint="eastAsia" w:ascii="宋体" w:hAnsi="宋体" w:eastAsia="宋体" w:cs="宋体"/>
          <w:i w:val="0"/>
          <w:caps w:val="0"/>
          <w:color w:val="auto"/>
          <w:spacing w:val="0"/>
          <w:kern w:val="0"/>
          <w:sz w:val="32"/>
          <w:szCs w:val="32"/>
          <w:shd w:val="clear" w:color="auto" w:fill="auto"/>
          <w:lang w:val="en-US" w:eastAsia="zh-CN" w:bidi="ar"/>
        </w:rPr>
        <w:t>万元，占</w:t>
      </w:r>
      <w:r>
        <w:rPr>
          <w:rFonts w:hint="eastAsia" w:ascii="宋体" w:hAnsi="宋体" w:cs="宋体"/>
          <w:i w:val="0"/>
          <w:caps w:val="0"/>
          <w:color w:val="auto"/>
          <w:spacing w:val="0"/>
          <w:kern w:val="0"/>
          <w:sz w:val="32"/>
          <w:szCs w:val="32"/>
          <w:shd w:val="clear" w:color="auto" w:fill="auto"/>
          <w:lang w:val="en-US" w:eastAsia="zh-CN" w:bidi="ar"/>
        </w:rPr>
        <w:t>71.10</w:t>
      </w:r>
      <w:r>
        <w:rPr>
          <w:rFonts w:hint="eastAsia" w:ascii="宋体" w:hAnsi="宋体" w:eastAsia="宋体" w:cs="宋体"/>
          <w:i w:val="0"/>
          <w:caps w:val="0"/>
          <w:color w:val="auto"/>
          <w:spacing w:val="0"/>
          <w:kern w:val="0"/>
          <w:sz w:val="32"/>
          <w:szCs w:val="32"/>
          <w:shd w:val="clear" w:color="auto" w:fill="auto"/>
          <w:lang w:val="en-US" w:eastAsia="zh-CN" w:bidi="ar"/>
        </w:rPr>
        <w:t>%，主要用于</w:t>
      </w:r>
      <w:r>
        <w:rPr>
          <w:rFonts w:hint="eastAsia" w:ascii="宋体" w:hAnsi="宋体" w:cs="宋体"/>
          <w:i w:val="0"/>
          <w:caps w:val="0"/>
          <w:color w:val="auto"/>
          <w:spacing w:val="0"/>
          <w:kern w:val="0"/>
          <w:sz w:val="32"/>
          <w:szCs w:val="32"/>
          <w:shd w:val="clear" w:color="auto" w:fill="auto"/>
          <w:lang w:val="en-US" w:eastAsia="zh-CN" w:bidi="ar"/>
        </w:rPr>
        <w:t>基础设施建设</w:t>
      </w:r>
      <w:r>
        <w:rPr>
          <w:rFonts w:hint="eastAsia" w:ascii="宋体" w:hAnsi="宋体" w:eastAsia="宋体" w:cs="宋体"/>
          <w:i w:val="0"/>
          <w:caps w:val="0"/>
          <w:color w:val="auto"/>
          <w:spacing w:val="0"/>
          <w:kern w:val="0"/>
          <w:sz w:val="32"/>
          <w:szCs w:val="32"/>
          <w:shd w:val="clear" w:color="auto" w:fill="auto"/>
          <w:lang w:val="en-US" w:eastAsia="zh-CN" w:bidi="ar"/>
        </w:rPr>
        <w:t>等支出。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b/>
          <w:bCs/>
          <w:i w:val="0"/>
          <w:caps w:val="0"/>
          <w:color w:val="auto"/>
          <w:spacing w:val="0"/>
          <w:sz w:val="32"/>
          <w:szCs w:val="32"/>
        </w:rPr>
      </w:pPr>
      <w:r>
        <w:rPr>
          <w:rFonts w:hint="eastAsia" w:cs="宋体"/>
          <w:b/>
          <w:bCs/>
          <w:i w:val="0"/>
          <w:caps w:val="0"/>
          <w:color w:val="auto"/>
          <w:spacing w:val="0"/>
          <w:sz w:val="32"/>
          <w:szCs w:val="32"/>
          <w:shd w:val="clear" w:fill="FFFFFF"/>
          <w:lang w:eastAsia="zh-CN"/>
        </w:rPr>
        <w:t>九、</w:t>
      </w:r>
      <w:r>
        <w:rPr>
          <w:rFonts w:hint="eastAsia" w:ascii="宋体" w:hAnsi="宋体" w:eastAsia="宋体" w:cs="宋体"/>
          <w:b/>
          <w:bCs/>
          <w:i w:val="0"/>
          <w:caps w:val="0"/>
          <w:color w:val="auto"/>
          <w:spacing w:val="0"/>
          <w:sz w:val="32"/>
          <w:szCs w:val="32"/>
          <w:shd w:val="clear" w:fill="FFFFFF"/>
        </w:rPr>
        <w:t>其他重要事项情况说明</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321" w:firstLineChars="100"/>
        <w:jc w:val="left"/>
        <w:textAlignment w:val="auto"/>
        <w:rPr>
          <w:rFonts w:hint="eastAsia" w:ascii="宋体" w:hAnsi="宋体" w:eastAsia="宋体" w:cs="宋体"/>
          <w:i w:val="0"/>
          <w:caps w:val="0"/>
          <w:color w:val="auto"/>
          <w:spacing w:val="0"/>
          <w:sz w:val="32"/>
          <w:szCs w:val="32"/>
        </w:rPr>
      </w:pPr>
      <w:r>
        <w:rPr>
          <w:rFonts w:hint="eastAsia" w:ascii="宋体" w:hAnsi="宋体" w:eastAsia="宋体" w:cs="宋体"/>
          <w:b/>
          <w:i w:val="0"/>
          <w:caps w:val="0"/>
          <w:color w:val="auto"/>
          <w:spacing w:val="0"/>
          <w:kern w:val="0"/>
          <w:sz w:val="32"/>
          <w:szCs w:val="32"/>
          <w:shd w:val="clear" w:fill="FFFFFF"/>
          <w:lang w:val="en-US" w:eastAsia="zh-CN" w:bidi="ar"/>
        </w:rPr>
        <w:t>（一）机关运行经费。</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宋体" w:hAnsi="宋体" w:eastAsia="宋体" w:cs="宋体"/>
          <w:i w:val="0"/>
          <w:caps w:val="0"/>
          <w:color w:val="auto"/>
          <w:spacing w:val="0"/>
          <w:sz w:val="32"/>
          <w:szCs w:val="32"/>
        </w:rPr>
      </w:pPr>
      <w:r>
        <w:rPr>
          <w:rFonts w:hint="eastAsia" w:ascii="宋体" w:hAnsi="宋体" w:cs="宋体"/>
          <w:i w:val="0"/>
          <w:caps w:val="0"/>
          <w:color w:val="auto"/>
          <w:spacing w:val="0"/>
          <w:kern w:val="0"/>
          <w:sz w:val="32"/>
          <w:szCs w:val="32"/>
          <w:shd w:val="clear" w:fill="FFFFFF"/>
          <w:lang w:val="en-US" w:eastAsia="zh-CN" w:bidi="ar"/>
        </w:rPr>
        <w:t>木镇镇人民政府2021</w:t>
      </w:r>
      <w:r>
        <w:rPr>
          <w:rFonts w:hint="eastAsia" w:ascii="宋体" w:hAnsi="宋体" w:eastAsia="宋体" w:cs="宋体"/>
          <w:i w:val="0"/>
          <w:caps w:val="0"/>
          <w:color w:val="auto"/>
          <w:spacing w:val="0"/>
          <w:kern w:val="0"/>
          <w:sz w:val="32"/>
          <w:szCs w:val="32"/>
          <w:shd w:val="clear" w:fill="FFFFFF"/>
          <w:lang w:val="en-US" w:eastAsia="zh-CN" w:bidi="ar"/>
        </w:rPr>
        <w:t>年机关运行经费财政拨款预算</w:t>
      </w:r>
      <w:r>
        <w:rPr>
          <w:rFonts w:hint="eastAsia" w:ascii="宋体" w:hAnsi="宋体" w:cs="宋体"/>
          <w:i w:val="0"/>
          <w:caps w:val="0"/>
          <w:color w:val="auto"/>
          <w:spacing w:val="0"/>
          <w:kern w:val="0"/>
          <w:sz w:val="32"/>
          <w:szCs w:val="32"/>
          <w:shd w:val="clear" w:fill="FFFFFF"/>
          <w:lang w:val="en-US" w:eastAsia="zh-CN" w:bidi="ar"/>
        </w:rPr>
        <w:t>117.18</w:t>
      </w:r>
      <w:r>
        <w:rPr>
          <w:rFonts w:hint="eastAsia" w:ascii="宋体" w:hAnsi="宋体" w:eastAsia="宋体" w:cs="宋体"/>
          <w:i w:val="0"/>
          <w:caps w:val="0"/>
          <w:color w:val="auto"/>
          <w:spacing w:val="0"/>
          <w:kern w:val="0"/>
          <w:sz w:val="32"/>
          <w:szCs w:val="32"/>
          <w:shd w:val="clear" w:fill="FFFFFF"/>
          <w:lang w:val="en-US" w:eastAsia="zh-CN" w:bidi="ar"/>
        </w:rPr>
        <w:t>万元，主要用于保障办公区日常维修、办公用房水电费、日常运转办公费等日常运行支出。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kern w:val="0"/>
          <w:sz w:val="32"/>
          <w:szCs w:val="32"/>
          <w:shd w:val="clear" w:fill="FFFFFF"/>
          <w:lang w:val="en-US" w:eastAsia="zh-CN" w:bidi="ar"/>
        </w:rPr>
        <w:t>（机关运行经费是指各部门的公用经费，包括办公及印刷费、邮电费、差旅费、会议费、福利费、日常维修费、专用材料及一般设备购置费、办公用房水电费、办公用房取暖费、办公用房物业管理费、公务用车运行维护费以及其他费用。）</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i w:val="0"/>
          <w:caps w:val="0"/>
          <w:color w:val="auto"/>
          <w:spacing w:val="0"/>
          <w:sz w:val="32"/>
          <w:szCs w:val="32"/>
        </w:rPr>
      </w:pPr>
      <w:r>
        <w:rPr>
          <w:rFonts w:hint="eastAsia" w:ascii="宋体" w:hAnsi="宋体" w:eastAsia="宋体" w:cs="宋体"/>
          <w:b/>
          <w:i w:val="0"/>
          <w:caps w:val="0"/>
          <w:color w:val="auto"/>
          <w:spacing w:val="0"/>
          <w:kern w:val="0"/>
          <w:sz w:val="32"/>
          <w:szCs w:val="32"/>
          <w:shd w:val="clear" w:fill="FFFFFF"/>
          <w:lang w:val="en-US" w:eastAsia="zh-CN" w:bidi="ar"/>
        </w:rPr>
        <w:t>（</w:t>
      </w:r>
      <w:r>
        <w:rPr>
          <w:rFonts w:hint="eastAsia" w:ascii="宋体" w:hAnsi="宋体" w:cs="宋体"/>
          <w:b/>
          <w:i w:val="0"/>
          <w:caps w:val="0"/>
          <w:color w:val="auto"/>
          <w:spacing w:val="0"/>
          <w:kern w:val="0"/>
          <w:sz w:val="32"/>
          <w:szCs w:val="32"/>
          <w:shd w:val="clear" w:fill="FFFFFF"/>
          <w:lang w:val="en-US" w:eastAsia="zh-CN" w:bidi="ar"/>
        </w:rPr>
        <w:t>二</w:t>
      </w:r>
      <w:r>
        <w:rPr>
          <w:rFonts w:hint="eastAsia" w:ascii="宋体" w:hAnsi="宋体" w:eastAsia="宋体" w:cs="宋体"/>
          <w:b/>
          <w:i w:val="0"/>
          <w:caps w:val="0"/>
          <w:color w:val="auto"/>
          <w:spacing w:val="0"/>
          <w:kern w:val="0"/>
          <w:sz w:val="32"/>
          <w:szCs w:val="32"/>
          <w:shd w:val="clear" w:fill="FFFFFF"/>
          <w:lang w:val="en-US" w:eastAsia="zh-CN" w:bidi="ar"/>
        </w:rPr>
        <w:t>）国有资产占有使用情况。</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firstLine="640" w:firstLineChars="200"/>
        <w:jc w:val="left"/>
        <w:textAlignment w:val="auto"/>
        <w:rPr>
          <w:rFonts w:hint="eastAsia" w:ascii="宋体" w:hAnsi="宋体" w:eastAsia="宋体" w:cs="宋体"/>
          <w:i w:val="0"/>
          <w:caps w:val="0"/>
          <w:color w:val="auto"/>
          <w:spacing w:val="0"/>
          <w:sz w:val="32"/>
          <w:szCs w:val="32"/>
          <w:lang w:val="en-US"/>
        </w:rPr>
      </w:pPr>
      <w:r>
        <w:rPr>
          <w:rFonts w:hint="eastAsia" w:ascii="宋体" w:hAnsi="宋体" w:cs="宋体"/>
          <w:i w:val="0"/>
          <w:caps w:val="0"/>
          <w:color w:val="auto"/>
          <w:spacing w:val="0"/>
          <w:kern w:val="0"/>
          <w:sz w:val="32"/>
          <w:szCs w:val="32"/>
          <w:shd w:val="clear" w:fill="FFFFFF"/>
          <w:lang w:val="en-US" w:eastAsia="zh-CN" w:bidi="ar"/>
        </w:rPr>
        <w:t>木镇镇人民政府现有2辆公务用车，2021年公务用车运行费预算总额8万元。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center"/>
        <w:textAlignment w:val="auto"/>
        <w:rPr>
          <w:rFonts w:hint="eastAsia" w:ascii="宋体" w:hAnsi="宋体" w:eastAsia="宋体" w:cs="宋体"/>
          <w:i w:val="0"/>
          <w:caps w:val="0"/>
          <w:color w:val="auto"/>
          <w:spacing w:val="0"/>
          <w:sz w:val="32"/>
          <w:szCs w:val="32"/>
        </w:rPr>
      </w:pPr>
      <w:r>
        <w:rPr>
          <w:rFonts w:hint="eastAsia" w:ascii="宋体" w:hAnsi="宋体" w:eastAsia="宋体" w:cs="宋体"/>
          <w:b/>
          <w:bCs/>
          <w:i w:val="0"/>
          <w:caps w:val="0"/>
          <w:color w:val="auto"/>
          <w:spacing w:val="0"/>
          <w:kern w:val="0"/>
          <w:sz w:val="32"/>
          <w:szCs w:val="32"/>
          <w:shd w:val="clear" w:fill="FFFFFF"/>
          <w:lang w:val="en-US" w:eastAsia="zh-CN" w:bidi="ar"/>
        </w:rPr>
        <w:t>第四部分 名词解释</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kern w:val="0"/>
          <w:sz w:val="32"/>
          <w:szCs w:val="32"/>
          <w:shd w:val="clear" w:fill="FFFFFF"/>
          <w:lang w:val="en-US" w:eastAsia="zh-CN" w:bidi="ar"/>
        </w:rPr>
        <w:t>一、财政拨款收入</w:t>
      </w:r>
      <w:r>
        <w:rPr>
          <w:rFonts w:hint="eastAsia" w:ascii="宋体" w:hAnsi="宋体" w:eastAsia="宋体" w:cs="宋体"/>
          <w:b/>
          <w:i w:val="0"/>
          <w:caps w:val="0"/>
          <w:color w:val="auto"/>
          <w:spacing w:val="0"/>
          <w:kern w:val="0"/>
          <w:sz w:val="32"/>
          <w:szCs w:val="32"/>
          <w:shd w:val="clear" w:fill="FFFFFF"/>
          <w:lang w:val="en-US" w:eastAsia="zh-CN" w:bidi="ar"/>
        </w:rPr>
        <w:t>：</w:t>
      </w:r>
      <w:r>
        <w:rPr>
          <w:rFonts w:hint="eastAsia" w:ascii="宋体" w:hAnsi="宋体" w:eastAsia="宋体" w:cs="宋体"/>
          <w:i w:val="0"/>
          <w:caps w:val="0"/>
          <w:color w:val="auto"/>
          <w:spacing w:val="0"/>
          <w:kern w:val="0"/>
          <w:sz w:val="32"/>
          <w:szCs w:val="32"/>
          <w:shd w:val="clear" w:fill="FFFFFF"/>
          <w:lang w:val="en-US" w:eastAsia="zh-CN" w:bidi="ar"/>
        </w:rPr>
        <w:t>指省财政当年拨付的资金，主要包括一般公共预算拨款收入和政府性基金拨款收入。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sz w:val="32"/>
          <w:szCs w:val="32"/>
          <w:shd w:val="clear" w:fill="FFFFFF"/>
        </w:rPr>
        <w:t>二、基本支出</w:t>
      </w:r>
      <w:r>
        <w:rPr>
          <w:rFonts w:hint="eastAsia" w:ascii="宋体" w:hAnsi="宋体" w:eastAsia="宋体" w:cs="宋体"/>
          <w:b/>
          <w:i w:val="0"/>
          <w:caps w:val="0"/>
          <w:color w:val="auto"/>
          <w:spacing w:val="0"/>
          <w:sz w:val="32"/>
          <w:szCs w:val="32"/>
          <w:shd w:val="clear" w:fill="FFFFFF"/>
        </w:rPr>
        <w:t>：</w:t>
      </w:r>
      <w:r>
        <w:rPr>
          <w:rFonts w:hint="eastAsia" w:ascii="宋体" w:hAnsi="宋体" w:eastAsia="宋体" w:cs="宋体"/>
          <w:i w:val="0"/>
          <w:caps w:val="0"/>
          <w:color w:val="auto"/>
          <w:spacing w:val="0"/>
          <w:sz w:val="32"/>
          <w:szCs w:val="32"/>
          <w:shd w:val="clear" w:fill="FFFFFF"/>
        </w:rPr>
        <w:t>指为保障机构正常运转、完成日常工作任务而发生的人员支出和公用支出。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caps w:val="0"/>
          <w:color w:val="auto"/>
          <w:spacing w:val="0"/>
          <w:sz w:val="32"/>
          <w:szCs w:val="32"/>
        </w:rPr>
      </w:pPr>
      <w:r>
        <w:rPr>
          <w:rFonts w:hint="eastAsia" w:ascii="宋体" w:hAnsi="宋体" w:eastAsia="宋体" w:cs="宋体"/>
          <w:i w:val="0"/>
          <w:caps w:val="0"/>
          <w:color w:val="auto"/>
          <w:spacing w:val="0"/>
          <w:sz w:val="32"/>
          <w:szCs w:val="32"/>
          <w:shd w:val="clear" w:fill="FFFFFF"/>
        </w:rPr>
        <w:t>三、项目支出</w:t>
      </w:r>
      <w:r>
        <w:rPr>
          <w:rFonts w:hint="eastAsia" w:ascii="宋体" w:hAnsi="宋体" w:eastAsia="宋体" w:cs="宋体"/>
          <w:b/>
          <w:i w:val="0"/>
          <w:caps w:val="0"/>
          <w:color w:val="auto"/>
          <w:spacing w:val="0"/>
          <w:sz w:val="32"/>
          <w:szCs w:val="32"/>
          <w:shd w:val="clear" w:fill="FFFFFF"/>
        </w:rPr>
        <w:t>：</w:t>
      </w:r>
      <w:r>
        <w:rPr>
          <w:rFonts w:hint="eastAsia" w:ascii="宋体" w:hAnsi="宋体" w:eastAsia="宋体" w:cs="宋体"/>
          <w:i w:val="0"/>
          <w:caps w:val="0"/>
          <w:color w:val="auto"/>
          <w:spacing w:val="0"/>
          <w:sz w:val="32"/>
          <w:szCs w:val="32"/>
          <w:shd w:val="clear" w:fill="FFFFFF"/>
        </w:rPr>
        <w:t>指在基本支出之外为完成特定行政任务和事业发展目标所发生的支出。</w:t>
      </w:r>
      <w:r>
        <w:rPr>
          <w:rFonts w:hint="eastAsia" w:ascii="宋体" w:hAnsi="宋体" w:eastAsia="宋体" w:cs="宋体"/>
          <w:i w:val="0"/>
          <w:caps w:val="0"/>
          <w:color w:val="auto"/>
          <w:spacing w:val="0"/>
          <w:sz w:val="32"/>
          <w:szCs w:val="32"/>
          <w:shd w:val="clear" w:fill="FFFFFF"/>
        </w:rPr>
        <w:br w:type="textWrapping"/>
      </w:r>
      <w:r>
        <w:rPr>
          <w:rFonts w:hint="eastAsia" w:ascii="宋体" w:hAnsi="宋体" w:eastAsia="宋体" w:cs="宋体"/>
          <w:i w:val="0"/>
          <w:caps w:val="0"/>
          <w:color w:val="auto"/>
          <w:spacing w:val="0"/>
          <w:sz w:val="32"/>
          <w:szCs w:val="32"/>
          <w:shd w:val="clear" w:fill="FFFFFF"/>
        </w:rPr>
        <w:t> </w:t>
      </w:r>
      <w:r>
        <w:rPr>
          <w:rFonts w:hint="eastAsia" w:cs="宋体"/>
          <w:i w:val="0"/>
          <w:caps w:val="0"/>
          <w:color w:val="auto"/>
          <w:spacing w:val="0"/>
          <w:sz w:val="32"/>
          <w:szCs w:val="32"/>
          <w:shd w:val="clear" w:fill="FFFFFF"/>
          <w:lang w:val="en-US" w:eastAsia="zh-CN"/>
        </w:rPr>
        <w:t xml:space="preserve"> </w:t>
      </w:r>
      <w:r>
        <w:rPr>
          <w:rFonts w:hint="eastAsia" w:ascii="宋体" w:hAnsi="宋体" w:eastAsia="宋体" w:cs="宋体"/>
          <w:i w:val="0"/>
          <w:caps w:val="0"/>
          <w:color w:val="auto"/>
          <w:spacing w:val="0"/>
          <w:sz w:val="32"/>
          <w:szCs w:val="32"/>
          <w:shd w:val="clear" w:fill="FFFFFF"/>
        </w:rPr>
        <w:t>四、机关运行经费：机关运行经费是指各部门的公用经费，包括办公及印刷费、邮电费、差旅费、会议费、福利费、日常维修费、专用材料及一般设备购置费、办公用房水电费、办公用房取暖费、办公用房物业管理费、公务用车运行维护费以及其他费用。</w:t>
      </w:r>
      <w:r>
        <w:rPr>
          <w:rStyle w:val="4"/>
          <w:rFonts w:hint="eastAsia" w:ascii="宋体" w:hAnsi="宋体" w:eastAsia="宋体" w:cs="宋体"/>
          <w:i w:val="0"/>
          <w:caps w:val="0"/>
          <w:color w:val="auto"/>
          <w:spacing w:val="0"/>
          <w:sz w:val="32"/>
          <w:szCs w:val="32"/>
          <w:shd w:val="clear" w:fill="FFFFFF"/>
        </w:rPr>
        <w:t> </w:t>
      </w:r>
    </w:p>
    <w:p>
      <w:pPr>
        <w:rPr>
          <w:color w:val="auto"/>
          <w:sz w:val="32"/>
          <w:szCs w:val="32"/>
        </w:rPr>
      </w:pPr>
    </w:p>
    <w:p>
      <w:pPr>
        <w:rPr>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CF6F98"/>
    <w:rsid w:val="001B5D61"/>
    <w:rsid w:val="00BA407B"/>
    <w:rsid w:val="01E82B99"/>
    <w:rsid w:val="044212C6"/>
    <w:rsid w:val="04F52D7C"/>
    <w:rsid w:val="065A7ABC"/>
    <w:rsid w:val="07397370"/>
    <w:rsid w:val="07626F82"/>
    <w:rsid w:val="087858F4"/>
    <w:rsid w:val="08E3267A"/>
    <w:rsid w:val="0A636081"/>
    <w:rsid w:val="0AB80261"/>
    <w:rsid w:val="0BFC56F8"/>
    <w:rsid w:val="0C1C04FC"/>
    <w:rsid w:val="0C213FC8"/>
    <w:rsid w:val="0DA30BB3"/>
    <w:rsid w:val="0DE93D30"/>
    <w:rsid w:val="0E194C09"/>
    <w:rsid w:val="0FA824A4"/>
    <w:rsid w:val="0FDD527F"/>
    <w:rsid w:val="100B48A5"/>
    <w:rsid w:val="10200F53"/>
    <w:rsid w:val="12412C6E"/>
    <w:rsid w:val="16CB5AAD"/>
    <w:rsid w:val="17363BDD"/>
    <w:rsid w:val="18CF6F98"/>
    <w:rsid w:val="19C1420C"/>
    <w:rsid w:val="1CE94B0A"/>
    <w:rsid w:val="1CF60269"/>
    <w:rsid w:val="1EC254E7"/>
    <w:rsid w:val="1F39406E"/>
    <w:rsid w:val="1FCC539C"/>
    <w:rsid w:val="20D367BD"/>
    <w:rsid w:val="23711FCD"/>
    <w:rsid w:val="23C2091B"/>
    <w:rsid w:val="24140013"/>
    <w:rsid w:val="2464636D"/>
    <w:rsid w:val="25F96068"/>
    <w:rsid w:val="268C2A0C"/>
    <w:rsid w:val="26B55C2C"/>
    <w:rsid w:val="291D4507"/>
    <w:rsid w:val="2C890E3B"/>
    <w:rsid w:val="2F477012"/>
    <w:rsid w:val="2FE040FD"/>
    <w:rsid w:val="3319613E"/>
    <w:rsid w:val="33BD0D7E"/>
    <w:rsid w:val="36160DF0"/>
    <w:rsid w:val="36D07559"/>
    <w:rsid w:val="3A80338A"/>
    <w:rsid w:val="3AB93106"/>
    <w:rsid w:val="3D353681"/>
    <w:rsid w:val="3E6A7C7F"/>
    <w:rsid w:val="3ED15386"/>
    <w:rsid w:val="3ED87587"/>
    <w:rsid w:val="3FEF2E26"/>
    <w:rsid w:val="4073401E"/>
    <w:rsid w:val="417C16AF"/>
    <w:rsid w:val="463967C8"/>
    <w:rsid w:val="46A11460"/>
    <w:rsid w:val="47164984"/>
    <w:rsid w:val="47755BAD"/>
    <w:rsid w:val="478A1608"/>
    <w:rsid w:val="487C3780"/>
    <w:rsid w:val="49405D7A"/>
    <w:rsid w:val="49E37FAF"/>
    <w:rsid w:val="4A344054"/>
    <w:rsid w:val="4B096051"/>
    <w:rsid w:val="4E014ED1"/>
    <w:rsid w:val="4E2968DE"/>
    <w:rsid w:val="4FE4062C"/>
    <w:rsid w:val="50080086"/>
    <w:rsid w:val="503958D0"/>
    <w:rsid w:val="560260F7"/>
    <w:rsid w:val="571505EC"/>
    <w:rsid w:val="5A9A456D"/>
    <w:rsid w:val="5B9720A8"/>
    <w:rsid w:val="5C1043D9"/>
    <w:rsid w:val="5CFA0F40"/>
    <w:rsid w:val="5DBD7F07"/>
    <w:rsid w:val="5E0F74F3"/>
    <w:rsid w:val="5E3D5AD4"/>
    <w:rsid w:val="5F7A46B0"/>
    <w:rsid w:val="61FD68DB"/>
    <w:rsid w:val="64940CD6"/>
    <w:rsid w:val="684A659A"/>
    <w:rsid w:val="6AE34351"/>
    <w:rsid w:val="6D1D55ED"/>
    <w:rsid w:val="6F9B0A30"/>
    <w:rsid w:val="721D0BFA"/>
    <w:rsid w:val="728E0C9E"/>
    <w:rsid w:val="736B11F5"/>
    <w:rsid w:val="73C6552D"/>
    <w:rsid w:val="75077D9A"/>
    <w:rsid w:val="76D31AB4"/>
    <w:rsid w:val="76E5587E"/>
    <w:rsid w:val="78412FB3"/>
    <w:rsid w:val="78925C71"/>
    <w:rsid w:val="79694603"/>
    <w:rsid w:val="7B9A269B"/>
    <w:rsid w:val="7D5263E3"/>
    <w:rsid w:val="7D937EF6"/>
    <w:rsid w:val="7D9E122A"/>
    <w:rsid w:val="7DFD0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4">
    <w:name w:val="Strong"/>
    <w:basedOn w:val="3"/>
    <w:qFormat/>
    <w:uiPriority w:val="0"/>
    <w:rPr>
      <w:b/>
    </w:rPr>
  </w:style>
  <w:style w:type="character" w:styleId="5">
    <w:name w:val="FollowedHyperlink"/>
    <w:basedOn w:val="3"/>
    <w:qFormat/>
    <w:uiPriority w:val="0"/>
    <w:rPr>
      <w:color w:val="800080"/>
      <w:u w:val="single"/>
    </w:rPr>
  </w:style>
  <w:style w:type="character" w:styleId="6">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2019-03-12T02:33:00Z</dcterms:created>
  <dc:creator>黎儿</dc:creator>
  <cp:lastModifiedBy>随遇而安</cp:lastModifiedBy>
  <cp:lastPrinted>2022-02-22T01:41:51Z</cp:lastPrinted>
  <dcterms:modified xsi:type="dcterms:W3CDTF">2022-02-22T01:43:02Z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y fmtid="{D5CDD505-2E9C-101B-9397-08002B2CF9AE}" pid="3" name="ICV">
    <vt:lpwstr>7B9BF821DF90410A8B4449FA35B4D956</vt:lpwstr>
  </property>
</Properties>
</file>