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宋体" w:eastAsia="黑体" w:cs="Times New Roman"/>
          <w:sz w:val="32"/>
          <w:szCs w:val="32"/>
        </w:rPr>
      </w:pPr>
      <w:r>
        <w:rPr>
          <w:rFonts w:hint="eastAsia" w:ascii="Times New Roman" w:hAnsi="宋体" w:eastAsia="黑体" w:cs="黑体"/>
          <w:sz w:val="32"/>
          <w:szCs w:val="32"/>
          <w:lang w:bidi="ar"/>
        </w:rPr>
        <w:t>附件</w:t>
      </w:r>
      <w:r>
        <w:rPr>
          <w:rFonts w:ascii="Times New Roman" w:hAnsi="宋体" w:eastAsia="黑体" w:cs="Times New Roman"/>
          <w:sz w:val="32"/>
          <w:szCs w:val="32"/>
          <w:lang w:bidi="ar"/>
        </w:rPr>
        <w:t>1</w:t>
      </w:r>
    </w:p>
    <w:p>
      <w:pPr>
        <w:adjustRightInd w:val="0"/>
        <w:snapToGrid w:val="0"/>
        <w:spacing w:line="360" w:lineRule="auto"/>
        <w:jc w:val="center"/>
        <w:rPr>
          <w:rFonts w:ascii="宋体" w:hAnsi="宋体"/>
          <w:b/>
          <w:sz w:val="44"/>
          <w:szCs w:val="44"/>
          <w:u w:val="single"/>
        </w:rPr>
      </w:pPr>
    </w:p>
    <w:p>
      <w:pPr>
        <w:adjustRightInd w:val="0"/>
        <w:snapToGrid w:val="0"/>
        <w:spacing w:line="360" w:lineRule="auto"/>
        <w:jc w:val="center"/>
        <w:rPr>
          <w:rFonts w:ascii="宋体" w:hAnsi="宋体"/>
          <w:b/>
          <w:sz w:val="44"/>
          <w:szCs w:val="44"/>
          <w:u w:val="single"/>
        </w:rPr>
      </w:pPr>
    </w:p>
    <w:p>
      <w:pPr>
        <w:adjustRightInd w:val="0"/>
        <w:snapToGrid w:val="0"/>
        <w:spacing w:line="360" w:lineRule="auto"/>
        <w:jc w:val="center"/>
        <w:rPr>
          <w:rFonts w:ascii="宋体" w:hAnsi="宋体"/>
          <w:b/>
          <w:sz w:val="44"/>
          <w:szCs w:val="44"/>
          <w:u w:val="single"/>
        </w:rPr>
      </w:pPr>
    </w:p>
    <w:p>
      <w:pPr>
        <w:jc w:val="center"/>
        <w:rPr>
          <w:rFonts w:ascii="华文中宋" w:hAnsi="华文中宋" w:eastAsia="华文中宋" w:cs="华文中宋"/>
          <w:b/>
          <w:sz w:val="44"/>
          <w:szCs w:val="44"/>
        </w:rPr>
      </w:pPr>
      <w:r>
        <w:rPr>
          <w:rFonts w:hint="eastAsia" w:ascii="华文中宋" w:hAnsi="华文中宋" w:eastAsia="华文中宋" w:cs="华文中宋"/>
          <w:b/>
          <w:sz w:val="44"/>
          <w:szCs w:val="44"/>
        </w:rPr>
        <w:t>青阳县</w:t>
      </w:r>
      <w:r>
        <w:rPr>
          <w:rFonts w:hint="eastAsia" w:ascii="华文中宋" w:hAnsi="华文中宋" w:eastAsia="华文中宋" w:cs="华文中宋"/>
          <w:b/>
          <w:sz w:val="44"/>
          <w:szCs w:val="44"/>
          <w:lang w:val="en-US" w:eastAsia="zh-CN"/>
        </w:rPr>
        <w:t>木镇镇人民政府</w:t>
      </w:r>
      <w:r>
        <w:rPr>
          <w:rFonts w:hint="eastAsia" w:ascii="华文中宋" w:hAnsi="华文中宋" w:eastAsia="华文中宋" w:cs="华文中宋"/>
          <w:b/>
          <w:sz w:val="44"/>
          <w:szCs w:val="44"/>
        </w:rPr>
        <w:t>2023年部门预算</w:t>
      </w:r>
    </w:p>
    <w:p>
      <w:pPr>
        <w:pStyle w:val="5"/>
        <w:adjustRightInd w:val="0"/>
        <w:snapToGrid w:val="0"/>
        <w:spacing w:before="0" w:beforeAutospacing="0" w:after="0" w:afterAutospacing="0" w:line="360" w:lineRule="auto"/>
        <w:jc w:val="center"/>
        <w:outlineLvl w:val="0"/>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44"/>
          <w:szCs w:val="44"/>
        </w:rPr>
      </w:pPr>
      <w:r>
        <w:rPr>
          <w:rFonts w:hint="eastAsia" w:ascii="黑体" w:hAnsi="黑体" w:eastAsia="黑体"/>
          <w:bCs/>
          <w:sz w:val="44"/>
          <w:szCs w:val="44"/>
        </w:rPr>
        <w:t>2023年</w:t>
      </w:r>
      <w:r>
        <w:rPr>
          <w:rFonts w:ascii="黑体" w:hAnsi="黑体" w:eastAsia="黑体"/>
          <w:bCs/>
          <w:sz w:val="44"/>
          <w:szCs w:val="44"/>
        </w:rPr>
        <w:t>3</w:t>
      </w:r>
      <w:r>
        <w:rPr>
          <w:rFonts w:hint="eastAsia" w:ascii="黑体" w:hAnsi="黑体" w:eastAsia="黑体"/>
          <w:bCs/>
          <w:sz w:val="44"/>
          <w:szCs w:val="44"/>
        </w:rPr>
        <w:t>月</w:t>
      </w:r>
    </w:p>
    <w:p>
      <w:pPr>
        <w:pStyle w:val="5"/>
        <w:adjustRightInd w:val="0"/>
        <w:snapToGrid w:val="0"/>
        <w:spacing w:before="0" w:beforeAutospacing="0" w:after="0" w:afterAutospacing="0" w:line="360" w:lineRule="auto"/>
        <w:jc w:val="both"/>
        <w:rPr>
          <w:rFonts w:ascii="黑体" w:hAnsi="黑体" w:eastAsia="黑体"/>
          <w:bCs/>
          <w:sz w:val="36"/>
          <w:szCs w:val="36"/>
        </w:rPr>
      </w:pPr>
    </w:p>
    <w:p>
      <w:pPr>
        <w:pStyle w:val="5"/>
        <w:adjustRightInd w:val="0"/>
        <w:snapToGrid w:val="0"/>
        <w:spacing w:before="0" w:beforeAutospacing="0" w:after="0" w:afterAutospacing="0" w:line="500" w:lineRule="exact"/>
        <w:jc w:val="both"/>
        <w:rPr>
          <w:rFonts w:ascii="黑体" w:hAnsi="黑体" w:eastAsia="黑体"/>
          <w:bCs/>
          <w:sz w:val="44"/>
          <w:szCs w:val="44"/>
        </w:rPr>
      </w:pPr>
    </w:p>
    <w:p>
      <w:pPr>
        <w:pStyle w:val="5"/>
        <w:adjustRightInd w:val="0"/>
        <w:snapToGrid w:val="0"/>
        <w:spacing w:before="0" w:beforeAutospacing="0" w:after="0" w:afterAutospacing="0" w:line="500" w:lineRule="exact"/>
        <w:jc w:val="center"/>
        <w:rPr>
          <w:rFonts w:ascii="黑体" w:hAnsi="黑体" w:eastAsia="黑体"/>
          <w:bCs/>
          <w:sz w:val="44"/>
          <w:szCs w:val="44"/>
        </w:rPr>
      </w:pPr>
      <w:r>
        <w:rPr>
          <w:rFonts w:hint="eastAsia" w:ascii="黑体" w:hAnsi="黑体" w:eastAsia="黑体"/>
          <w:bCs/>
          <w:sz w:val="44"/>
          <w:szCs w:val="44"/>
        </w:rPr>
        <w:t>目 录</w:t>
      </w:r>
    </w:p>
    <w:p>
      <w:pPr>
        <w:pStyle w:val="5"/>
        <w:adjustRightInd w:val="0"/>
        <w:snapToGrid w:val="0"/>
        <w:spacing w:before="0" w:beforeAutospacing="0" w:after="0" w:afterAutospacing="0" w:line="500" w:lineRule="exact"/>
        <w:ind w:firstLine="643" w:firstLineChars="200"/>
        <w:jc w:val="both"/>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jc w:val="both"/>
        <w:rPr>
          <w:rFonts w:ascii="仿宋_GB2312" w:hAnsi="仿宋" w:eastAsia="仿宋_GB2312" w:cs="仿宋"/>
          <w:b/>
          <w:sz w:val="32"/>
          <w:szCs w:val="32"/>
        </w:rPr>
      </w:pPr>
      <w:r>
        <w:rPr>
          <w:rFonts w:hint="eastAsia" w:ascii="仿宋_GB2312" w:hAnsi="仿宋" w:eastAsia="仿宋_GB2312" w:cs="仿宋"/>
          <w:b/>
          <w:sz w:val="32"/>
          <w:szCs w:val="32"/>
        </w:rPr>
        <w:t>第一部分 部门概况</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1.主要职责</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2.部门预算构成</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3.202</w:t>
      </w:r>
      <w:r>
        <w:rPr>
          <w:rFonts w:ascii="仿宋_GB2312" w:hAnsi="仿宋" w:eastAsia="仿宋_GB2312" w:cs="仿宋"/>
          <w:bCs/>
          <w:sz w:val="32"/>
          <w:szCs w:val="32"/>
        </w:rPr>
        <w:t>3</w:t>
      </w:r>
      <w:r>
        <w:rPr>
          <w:rFonts w:hint="eastAsia" w:ascii="仿宋_GB2312" w:hAnsi="仿宋" w:eastAsia="仿宋_GB2312" w:cs="仿宋"/>
          <w:bCs/>
          <w:sz w:val="32"/>
          <w:szCs w:val="32"/>
        </w:rPr>
        <w:t>年度主要工作任务</w:t>
      </w: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第二部分 2023年部门预算表</w:t>
      </w:r>
    </w:p>
    <w:p>
      <w:pPr>
        <w:pStyle w:val="5"/>
        <w:adjustRightInd w:val="0"/>
        <w:snapToGrid w:val="0"/>
        <w:spacing w:before="0" w:beforeAutospacing="0" w:after="0" w:afterAutospacing="0" w:line="500" w:lineRule="exact"/>
        <w:ind w:firstLine="640" w:firstLineChars="200"/>
        <w:outlineLvl w:val="0"/>
        <w:rPr>
          <w:rFonts w:ascii="仿宋_GB2312" w:hAnsi="仿宋" w:eastAsia="仿宋_GB2312" w:cs="仿宋"/>
          <w:bCs/>
          <w:sz w:val="32"/>
          <w:szCs w:val="32"/>
        </w:rPr>
      </w:pPr>
      <w:r>
        <w:rPr>
          <w:rFonts w:hint="eastAsia" w:ascii="仿宋_GB2312" w:hAnsi="仿宋" w:eastAsia="仿宋_GB2312" w:cs="仿宋"/>
          <w:bCs/>
          <w:sz w:val="32"/>
          <w:szCs w:val="32"/>
        </w:rPr>
        <w:t>1.青阳县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2023年收支总表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2023年收入总表</w:t>
      </w:r>
    </w:p>
    <w:p>
      <w:pPr>
        <w:pStyle w:val="5"/>
        <w:adjustRightInd w:val="0"/>
        <w:snapToGrid w:val="0"/>
        <w:spacing w:before="0" w:beforeAutospacing="0" w:after="0" w:afterAutospacing="0" w:line="500" w:lineRule="exact"/>
        <w:ind w:firstLine="640" w:firstLineChars="200"/>
        <w:outlineLvl w:val="0"/>
        <w:rPr>
          <w:rFonts w:ascii="仿宋_GB2312" w:hAnsi="仿宋" w:eastAsia="仿宋_GB2312" w:cs="仿宋"/>
          <w:bCs/>
          <w:sz w:val="32"/>
          <w:szCs w:val="32"/>
        </w:rPr>
      </w:pPr>
      <w:r>
        <w:rPr>
          <w:rFonts w:hint="eastAsia" w:ascii="仿宋_GB2312" w:hAnsi="仿宋" w:eastAsia="仿宋_GB2312" w:cs="仿宋"/>
          <w:bCs/>
          <w:sz w:val="32"/>
          <w:szCs w:val="32"/>
        </w:rPr>
        <w:t>3.青阳县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2023年支出总表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4.青阳县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2023年财政拨款收支总表</w:t>
      </w:r>
    </w:p>
    <w:p>
      <w:pPr>
        <w:pStyle w:val="5"/>
        <w:adjustRightInd w:val="0"/>
        <w:snapToGrid w:val="0"/>
        <w:spacing w:before="0" w:beforeAutospacing="0" w:after="0" w:afterAutospacing="0" w:line="500" w:lineRule="exact"/>
        <w:ind w:firstLine="640" w:firstLineChars="200"/>
        <w:outlineLvl w:val="0"/>
        <w:rPr>
          <w:rFonts w:ascii="仿宋_GB2312" w:hAnsi="仿宋" w:eastAsia="仿宋_GB2312" w:cs="仿宋"/>
          <w:bCs/>
          <w:sz w:val="32"/>
          <w:szCs w:val="32"/>
        </w:rPr>
      </w:pPr>
      <w:r>
        <w:rPr>
          <w:rFonts w:hint="eastAsia" w:ascii="仿宋_GB2312" w:hAnsi="仿宋" w:eastAsia="仿宋_GB2312" w:cs="仿宋"/>
          <w:bCs/>
          <w:sz w:val="32"/>
          <w:szCs w:val="32"/>
        </w:rPr>
        <w:t>5.青阳县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2023年一般公共预算支出表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6.青阳县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2023年一般公共预算基本支出表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7.青阳县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2023年政府性基金预算支出表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8.青阳县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2023年国有资本经营预算支出表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9.青阳县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2023年项目支出表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10.青阳县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2023年政府采购支出表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11.青阳县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2023年政府购买服务支出表</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12.青阳县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cs="仿宋"/>
          <w:bCs/>
          <w:sz w:val="32"/>
          <w:szCs w:val="32"/>
        </w:rPr>
        <w:t>2023年项目支出绩效目标及项目情况表</w:t>
      </w: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第三部分 2023年部门预算情况说明</w:t>
      </w:r>
    </w:p>
    <w:p>
      <w:pPr>
        <w:pStyle w:val="5"/>
        <w:adjustRightInd w:val="0"/>
        <w:snapToGrid w:val="0"/>
        <w:spacing w:before="0" w:beforeAutospacing="0" w:after="0" w:afterAutospacing="0" w:line="500" w:lineRule="exact"/>
        <w:ind w:firstLine="640" w:firstLineChars="200"/>
        <w:outlineLvl w:val="0"/>
        <w:rPr>
          <w:rFonts w:ascii="仿宋_GB2312" w:hAnsi="仿宋" w:eastAsia="仿宋_GB2312" w:cs="仿宋"/>
          <w:bCs/>
          <w:sz w:val="32"/>
          <w:szCs w:val="32"/>
        </w:rPr>
      </w:pPr>
      <w:r>
        <w:rPr>
          <w:rFonts w:hint="eastAsia" w:ascii="仿宋_GB2312" w:hAnsi="仿宋" w:eastAsia="仿宋_GB2312" w:cs="仿宋"/>
          <w:bCs/>
          <w:sz w:val="32"/>
          <w:szCs w:val="32"/>
        </w:rPr>
        <w:t>1.关于2023年收支总表的说明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2.关于2023年收入总表的说明</w:t>
      </w:r>
    </w:p>
    <w:p>
      <w:pPr>
        <w:adjustRightInd w:val="0"/>
        <w:snapToGrid w:val="0"/>
        <w:spacing w:line="600" w:lineRule="exact"/>
        <w:ind w:firstLine="640" w:firstLineChars="200"/>
        <w:rPr>
          <w:rFonts w:ascii="仿宋_GB2312" w:hAnsi="仿宋" w:eastAsia="仿宋_GB2312" w:cs="仿宋"/>
          <w:bCs/>
          <w:kern w:val="0"/>
          <w:sz w:val="32"/>
          <w:szCs w:val="32"/>
        </w:rPr>
      </w:pPr>
      <w:r>
        <w:rPr>
          <w:rFonts w:hint="eastAsia" w:ascii="仿宋_GB2312" w:hAnsi="仿宋" w:eastAsia="仿宋_GB2312" w:cs="仿宋"/>
          <w:bCs/>
          <w:kern w:val="0"/>
          <w:sz w:val="32"/>
          <w:szCs w:val="32"/>
        </w:rPr>
        <w:t>3.关于2023年支出总表的说明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4.关于2023年财政拨款收支总表的说明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5.关于2023年一般公共预算支出表的说明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6.关于2023年一般公共预算基本支出表的说明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7.关于2023年政府性基金预算支出表的说明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8.关于2023年国有资本经营预算支出表的说明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lang w:val="en-US" w:eastAsia="zh-CN"/>
        </w:rPr>
        <w:t>9</w:t>
      </w:r>
      <w:r>
        <w:rPr>
          <w:rFonts w:hint="eastAsia" w:ascii="仿宋_GB2312" w:hAnsi="仿宋" w:eastAsia="仿宋_GB2312" w:cs="仿宋"/>
          <w:bCs/>
          <w:sz w:val="32"/>
          <w:szCs w:val="32"/>
        </w:rPr>
        <w:t>.关于2023年政府采购支出表的说明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w:t>
      </w:r>
      <w:r>
        <w:rPr>
          <w:rFonts w:hint="eastAsia" w:ascii="仿宋_GB2312" w:hAnsi="仿宋" w:eastAsia="仿宋_GB2312" w:cs="仿宋"/>
          <w:bCs/>
          <w:sz w:val="32"/>
          <w:szCs w:val="32"/>
          <w:lang w:val="en-US" w:eastAsia="zh-CN"/>
        </w:rPr>
        <w:t>0</w:t>
      </w:r>
      <w:r>
        <w:rPr>
          <w:rFonts w:hint="eastAsia" w:ascii="仿宋_GB2312" w:hAnsi="仿宋" w:eastAsia="仿宋_GB2312" w:cs="仿宋"/>
          <w:bCs/>
          <w:sz w:val="32"/>
          <w:szCs w:val="32"/>
        </w:rPr>
        <w:t>.关于2023年政府购买服务支出表的说明</w:t>
      </w:r>
    </w:p>
    <w:p>
      <w:pPr>
        <w:pStyle w:val="5"/>
        <w:adjustRightInd w:val="0"/>
        <w:snapToGrid w:val="0"/>
        <w:spacing w:before="0" w:beforeAutospacing="0" w:after="0" w:afterAutospacing="0" w:line="500" w:lineRule="exact"/>
        <w:ind w:firstLine="640" w:firstLineChars="200"/>
        <w:rPr>
          <w:rFonts w:ascii="仿宋_GB2312" w:hAnsi="仿宋" w:eastAsia="仿宋_GB2312" w:cs="仿宋"/>
          <w:bCs/>
          <w:sz w:val="32"/>
          <w:szCs w:val="32"/>
        </w:rPr>
      </w:pPr>
      <w:r>
        <w:rPr>
          <w:rFonts w:hint="eastAsia" w:ascii="仿宋_GB2312" w:hAnsi="仿宋" w:eastAsia="仿宋_GB2312" w:cs="仿宋"/>
          <w:bCs/>
          <w:sz w:val="32"/>
          <w:szCs w:val="32"/>
        </w:rPr>
        <w:t>1</w:t>
      </w:r>
      <w:r>
        <w:rPr>
          <w:rFonts w:hint="eastAsia" w:ascii="仿宋_GB2312" w:hAnsi="仿宋" w:eastAsia="仿宋_GB2312" w:cs="仿宋"/>
          <w:bCs/>
          <w:sz w:val="32"/>
          <w:szCs w:val="32"/>
          <w:lang w:val="en-US" w:eastAsia="zh-CN"/>
        </w:rPr>
        <w:t>1</w:t>
      </w:r>
      <w:r>
        <w:rPr>
          <w:rFonts w:hint="eastAsia" w:ascii="仿宋_GB2312" w:hAnsi="仿宋" w:eastAsia="仿宋_GB2312" w:cs="仿宋"/>
          <w:bCs/>
          <w:sz w:val="32"/>
          <w:szCs w:val="32"/>
        </w:rPr>
        <w:t>.其他重要事项情况说明</w:t>
      </w: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第四部分 名词解释</w:t>
      </w: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p>
    <w:p>
      <w:pPr>
        <w:pStyle w:val="5"/>
        <w:adjustRightInd w:val="0"/>
        <w:snapToGrid w:val="0"/>
        <w:spacing w:before="0" w:beforeAutospacing="0" w:after="0" w:afterAutospacing="0" w:line="500" w:lineRule="exact"/>
        <w:ind w:firstLine="643" w:firstLineChars="200"/>
        <w:rPr>
          <w:rFonts w:ascii="仿宋_GB2312" w:hAnsi="仿宋" w:eastAsia="仿宋_GB2312" w:cs="仿宋"/>
          <w:b/>
          <w:sz w:val="32"/>
          <w:szCs w:val="32"/>
        </w:rPr>
      </w:pPr>
      <w:bookmarkStart w:id="0" w:name="_GoBack"/>
      <w:bookmarkEnd w:id="0"/>
    </w:p>
    <w:p>
      <w:pPr>
        <w:pStyle w:val="5"/>
        <w:adjustRightInd w:val="0"/>
        <w:snapToGrid w:val="0"/>
        <w:spacing w:before="0" w:beforeAutospacing="0" w:after="0" w:afterAutospacing="0" w:line="500" w:lineRule="exact"/>
        <w:rPr>
          <w:rFonts w:ascii="仿宋_GB2312" w:hAnsi="仿宋" w:eastAsia="仿宋_GB2312" w:cs="仿宋"/>
          <w:b/>
          <w:sz w:val="32"/>
          <w:szCs w:val="32"/>
        </w:rPr>
      </w:pPr>
    </w:p>
    <w:p>
      <w:pPr>
        <w:pStyle w:val="5"/>
        <w:adjustRightInd w:val="0"/>
        <w:snapToGrid w:val="0"/>
        <w:spacing w:before="0" w:beforeAutospacing="0" w:after="0" w:afterAutospacing="0" w:line="500" w:lineRule="exact"/>
        <w:rPr>
          <w:rFonts w:ascii="仿宋_GB2312" w:hAnsi="仿宋" w:eastAsia="仿宋_GB2312" w:cs="仿宋"/>
          <w:b/>
          <w:sz w:val="32"/>
          <w:szCs w:val="32"/>
        </w:rPr>
      </w:pPr>
    </w:p>
    <w:p>
      <w:pPr>
        <w:pStyle w:val="5"/>
        <w:adjustRightInd w:val="0"/>
        <w:snapToGrid w:val="0"/>
        <w:spacing w:before="0" w:beforeAutospacing="0" w:after="0" w:afterAutospacing="0" w:line="360" w:lineRule="auto"/>
        <w:jc w:val="center"/>
        <w:rPr>
          <w:rFonts w:ascii="黑体" w:hAnsi="黑体" w:eastAsia="黑体"/>
          <w:bCs/>
          <w:sz w:val="36"/>
          <w:szCs w:val="36"/>
        </w:rPr>
      </w:pPr>
      <w:r>
        <w:rPr>
          <w:rFonts w:hint="eastAsia" w:ascii="黑体" w:hAnsi="黑体" w:eastAsia="黑体"/>
          <w:bCs/>
          <w:sz w:val="36"/>
          <w:szCs w:val="36"/>
        </w:rPr>
        <w:t>第一部分 部门概况</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黑体" w:hAnsi="黑体" w:eastAsia="黑体" w:cs="宋体"/>
          <w:bCs/>
          <w:sz w:val="32"/>
          <w:szCs w:val="32"/>
        </w:rPr>
      </w:pPr>
      <w:r>
        <w:rPr>
          <w:rFonts w:hint="eastAsia" w:ascii="黑体" w:hAnsi="黑体" w:eastAsia="黑体" w:cs="宋体"/>
          <w:bCs/>
          <w:sz w:val="32"/>
          <w:szCs w:val="32"/>
        </w:rPr>
        <w:t>一、主要职责</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木镇镇是青阳县首镇，古称木竹潭、吴潭镇，距今已有300多年的历史。木镇地处著名佛教圣地九华山东麓，距县城12公里。辖区面积107.5平方公里，辖10个行政村、1个街道社区，常住人口3.6万人，为青阳县东部地区的经济、文化、商贸中心；区位优势突出。木镇镇地处318国道和103省道交汇处，是安徽省“两山一湖”（黄山、九华山、太平湖）旅游热线上的重镇。地理位置得天独厚，距长江铜陵港、池州港均在40公里以内，距九华山风景区40公里，距黄山风景区100公里，距合铜黄高速青阳出口3公里、沿江高速出口20公里，距铜九铁路青阳站20公里；商贸优势明显。由于独特的地理位置，木镇镇自古以来便是周边乡镇农副产品集散地。主要职责是：</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 xml:space="preserve">1.执行本级人民代表大会决议以及上级国家行政机关的决定和命令；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 xml:space="preserve">2.执行全镇的社会和经济发展计划、决算，管理本镇内的经济、教育、科技、文化、卫生、体育事业和财政、民政、治安、人民调解、安全生产监督管理、移民开发、计划生育等行政工作；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 xml:space="preserve">3.保护社会主义的全民所有财产和劳动群众集体所有财产，保护公民私人所有的合法财产，维护社会秩序，保障公民的人身权利、民主权利和其他权利；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 xml:space="preserve">4.保护各种经济组织的合法权益；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 xml:space="preserve">5.贯彻执行党和国家的民族宗教政策，保障少数民族的权利和尊重少数民族的风俗习惯，尊重民族宗教信仰；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6.抓好精神文明建设，丰富</w:t>
      </w:r>
      <w:r>
        <w:rPr>
          <w:rFonts w:hint="eastAsia" w:ascii="仿宋_GB2312" w:hAnsi="仿宋" w:eastAsia="仿宋_GB2312" w:cs="宋体"/>
          <w:kern w:val="0"/>
          <w:sz w:val="32"/>
          <w:szCs w:val="32"/>
          <w:lang w:val="en-US" w:eastAsia="zh-CN" w:bidi="ar-SA"/>
        </w:rPr>
        <w:fldChar w:fldCharType="begin"/>
      </w:r>
      <w:r>
        <w:rPr>
          <w:rFonts w:hint="eastAsia" w:ascii="仿宋_GB2312" w:hAnsi="仿宋" w:eastAsia="仿宋_GB2312" w:cs="宋体"/>
          <w:kern w:val="0"/>
          <w:sz w:val="32"/>
          <w:szCs w:val="32"/>
          <w:lang w:val="en-US" w:eastAsia="zh-CN" w:bidi="ar-SA"/>
        </w:rPr>
        <w:instrText xml:space="preserve"> HYPERLINK "http://www.so.com/s?q=%E7%BE%A4%E4%BC%97%E6%96%87%E5%8C%96&amp;ie=utf-8&amp;src=internal_wenda_recommend_textn" \t "https://wenda.so.com/q/_blank" </w:instrText>
      </w:r>
      <w:r>
        <w:rPr>
          <w:rFonts w:hint="eastAsia" w:ascii="仿宋_GB2312" w:hAnsi="仿宋" w:eastAsia="仿宋_GB2312" w:cs="宋体"/>
          <w:kern w:val="0"/>
          <w:sz w:val="32"/>
          <w:szCs w:val="32"/>
          <w:lang w:val="en-US" w:eastAsia="zh-CN" w:bidi="ar-SA"/>
        </w:rPr>
        <w:fldChar w:fldCharType="separate"/>
      </w:r>
      <w:r>
        <w:rPr>
          <w:rFonts w:hint="eastAsia" w:ascii="仿宋_GB2312" w:hAnsi="仿宋" w:eastAsia="仿宋_GB2312" w:cs="宋体"/>
          <w:kern w:val="0"/>
          <w:sz w:val="32"/>
          <w:szCs w:val="32"/>
          <w:lang w:val="en-US" w:eastAsia="zh-CN" w:bidi="ar-SA"/>
        </w:rPr>
        <w:t>群众文化</w:t>
      </w:r>
      <w:r>
        <w:rPr>
          <w:rFonts w:hint="eastAsia" w:ascii="仿宋_GB2312" w:hAnsi="仿宋" w:eastAsia="仿宋_GB2312" w:cs="宋体"/>
          <w:kern w:val="0"/>
          <w:sz w:val="32"/>
          <w:szCs w:val="32"/>
          <w:lang w:val="en-US" w:eastAsia="zh-CN" w:bidi="ar-SA"/>
        </w:rPr>
        <w:fldChar w:fldCharType="end"/>
      </w:r>
      <w:r>
        <w:rPr>
          <w:rFonts w:hint="eastAsia" w:ascii="仿宋_GB2312" w:hAnsi="仿宋" w:eastAsia="仿宋_GB2312" w:cs="宋体"/>
          <w:kern w:val="0"/>
          <w:sz w:val="32"/>
          <w:szCs w:val="32"/>
          <w:lang w:val="en-US" w:eastAsia="zh-CN" w:bidi="ar-SA"/>
        </w:rPr>
        <w:t>生活，提倡移风易俗，反对封建迷信，破除陈规陋习，树立</w:t>
      </w:r>
      <w:r>
        <w:rPr>
          <w:rFonts w:hint="eastAsia" w:ascii="仿宋_GB2312" w:hAnsi="仿宋" w:eastAsia="仿宋_GB2312" w:cs="宋体"/>
          <w:kern w:val="0"/>
          <w:sz w:val="32"/>
          <w:szCs w:val="32"/>
          <w:lang w:val="en-US" w:eastAsia="zh-CN" w:bidi="ar-SA"/>
        </w:rPr>
        <w:fldChar w:fldCharType="begin"/>
      </w:r>
      <w:r>
        <w:rPr>
          <w:rFonts w:hint="eastAsia" w:ascii="仿宋_GB2312" w:hAnsi="仿宋" w:eastAsia="仿宋_GB2312" w:cs="宋体"/>
          <w:kern w:val="0"/>
          <w:sz w:val="32"/>
          <w:szCs w:val="32"/>
          <w:lang w:val="en-US" w:eastAsia="zh-CN" w:bidi="ar-SA"/>
        </w:rPr>
        <w:instrText xml:space="preserve"> HYPERLINK "http://www.so.com/s?q=%E7%A4%BE%E4%BC%9A%E4%B8%BB%E4%B9%89&amp;ie=utf-8&amp;src=internal_wenda_recommend_textn" \t "https://wenda.so.com/q/_blank" </w:instrText>
      </w:r>
      <w:r>
        <w:rPr>
          <w:rFonts w:hint="eastAsia" w:ascii="仿宋_GB2312" w:hAnsi="仿宋" w:eastAsia="仿宋_GB2312" w:cs="宋体"/>
          <w:kern w:val="0"/>
          <w:sz w:val="32"/>
          <w:szCs w:val="32"/>
          <w:lang w:val="en-US" w:eastAsia="zh-CN" w:bidi="ar-SA"/>
        </w:rPr>
        <w:fldChar w:fldCharType="separate"/>
      </w:r>
      <w:r>
        <w:rPr>
          <w:rFonts w:hint="eastAsia" w:ascii="仿宋_GB2312" w:hAnsi="仿宋" w:eastAsia="仿宋_GB2312" w:cs="宋体"/>
          <w:kern w:val="0"/>
          <w:sz w:val="32"/>
          <w:szCs w:val="32"/>
          <w:lang w:val="en-US" w:eastAsia="zh-CN" w:bidi="ar-SA"/>
        </w:rPr>
        <w:t>社会主义</w:t>
      </w:r>
      <w:r>
        <w:rPr>
          <w:rFonts w:hint="eastAsia" w:ascii="仿宋_GB2312" w:hAnsi="仿宋" w:eastAsia="仿宋_GB2312" w:cs="宋体"/>
          <w:kern w:val="0"/>
          <w:sz w:val="32"/>
          <w:szCs w:val="32"/>
          <w:lang w:val="en-US" w:eastAsia="zh-CN" w:bidi="ar-SA"/>
        </w:rPr>
        <w:fldChar w:fldCharType="end"/>
      </w:r>
      <w:r>
        <w:rPr>
          <w:rFonts w:hint="eastAsia" w:ascii="仿宋_GB2312" w:hAnsi="仿宋" w:eastAsia="仿宋_GB2312" w:cs="宋体"/>
          <w:kern w:val="0"/>
          <w:sz w:val="32"/>
          <w:szCs w:val="32"/>
          <w:lang w:val="en-US" w:eastAsia="zh-CN" w:bidi="ar-SA"/>
        </w:rPr>
        <w:t>新风尚；</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7.办理上级人民政府交办的其他事项。</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黑体" w:hAnsi="黑体" w:eastAsia="黑体" w:cs="宋体"/>
          <w:bCs/>
          <w:sz w:val="32"/>
          <w:szCs w:val="32"/>
          <w:lang w:val="en-US" w:eastAsia="zh-CN"/>
        </w:rPr>
      </w:pPr>
      <w:r>
        <w:rPr>
          <w:rFonts w:hint="eastAsia" w:ascii="黑体" w:hAnsi="黑体" w:eastAsia="黑体" w:cs="宋体"/>
          <w:bCs/>
          <w:sz w:val="32"/>
          <w:szCs w:val="32"/>
          <w:lang w:val="en-US" w:eastAsia="zh-CN"/>
        </w:rPr>
        <w:t>二、部门（单位）预算构成</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480" w:firstLineChars="150"/>
        <w:outlineLvl w:val="0"/>
        <w:rPr>
          <w:rFonts w:ascii="仿宋_GB2312" w:hAnsi="仿宋" w:eastAsia="仿宋_GB2312" w:cs="仿宋"/>
          <w:bCs/>
          <w:sz w:val="32"/>
          <w:szCs w:val="32"/>
          <w:u w:val="single"/>
        </w:rPr>
      </w:pPr>
      <w:r>
        <w:rPr>
          <w:rFonts w:hint="eastAsia" w:ascii="仿宋_GB2312" w:hAnsi="仿宋" w:eastAsia="仿宋_GB2312"/>
          <w:sz w:val="32"/>
          <w:szCs w:val="32"/>
        </w:rPr>
        <w:t>从预算单位构成看，</w:t>
      </w:r>
      <w:r>
        <w:rPr>
          <w:rFonts w:hint="eastAsia" w:ascii="仿宋_GB2312" w:hAnsi="仿宋" w:eastAsia="仿宋_GB2312" w:cs="仿宋"/>
          <w:bCs/>
          <w:sz w:val="32"/>
          <w:szCs w:val="32"/>
        </w:rPr>
        <w:t>青阳县</w:t>
      </w:r>
      <w:r>
        <w:rPr>
          <w:rFonts w:hint="eastAsia" w:ascii="仿宋_GB2312" w:hAnsi="仿宋" w:eastAsia="仿宋_GB2312" w:cs="仿宋"/>
          <w:bCs/>
          <w:sz w:val="32"/>
          <w:szCs w:val="32"/>
          <w:lang w:val="en-US" w:eastAsia="zh-CN"/>
        </w:rPr>
        <w:t>木镇镇人民政府</w:t>
      </w:r>
      <w:r>
        <w:rPr>
          <w:rFonts w:hint="eastAsia" w:ascii="仿宋_GB2312" w:hAnsi="仿宋" w:eastAsia="仿宋_GB2312"/>
          <w:sz w:val="32"/>
          <w:szCs w:val="32"/>
        </w:rPr>
        <w:t>2022年度部门预算仅包括</w:t>
      </w:r>
      <w:r>
        <w:rPr>
          <w:rFonts w:hint="eastAsia" w:ascii="仿宋_GB2312" w:hAnsi="仿宋" w:eastAsia="仿宋_GB2312"/>
          <w:sz w:val="32"/>
          <w:szCs w:val="32"/>
          <w:lang w:val="en-US" w:eastAsia="zh-CN"/>
        </w:rPr>
        <w:t>政府本级</w:t>
      </w:r>
      <w:r>
        <w:rPr>
          <w:rFonts w:hint="eastAsia" w:ascii="仿宋_GB2312" w:hAnsi="仿宋" w:eastAsia="仿宋_GB2312"/>
          <w:sz w:val="32"/>
          <w:szCs w:val="32"/>
        </w:rPr>
        <w:t>，无其他下属单位预算。</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黑体" w:hAnsi="黑体" w:eastAsia="黑体" w:cs="宋体"/>
          <w:bCs/>
          <w:sz w:val="32"/>
          <w:szCs w:val="32"/>
          <w:lang w:val="en-US" w:eastAsia="zh-CN"/>
        </w:rPr>
      </w:pPr>
      <w:r>
        <w:rPr>
          <w:rFonts w:hint="eastAsia" w:ascii="黑体" w:hAnsi="黑体" w:eastAsia="黑体" w:cs="宋体"/>
          <w:bCs/>
          <w:sz w:val="32"/>
          <w:szCs w:val="32"/>
          <w:lang w:val="en-US" w:eastAsia="zh-CN"/>
        </w:rPr>
        <w:t>三、2023年度主要工作任务</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2023年全镇经济社会发展的主要预期目标是：</w:t>
      </w:r>
      <w:r>
        <w:rPr>
          <w:rFonts w:hint="eastAsia" w:ascii="仿宋_GB2312" w:eastAsia="仿宋_GB2312"/>
          <w:color w:val="auto"/>
          <w:sz w:val="32"/>
          <w:szCs w:val="32"/>
          <w:lang w:val="en-US" w:eastAsia="zh-CN"/>
        </w:rPr>
        <w:t>2023年</w:t>
      </w:r>
      <w:r>
        <w:rPr>
          <w:rFonts w:hint="eastAsia" w:ascii="仿宋_GB2312" w:eastAsia="仿宋_GB2312"/>
          <w:color w:val="auto"/>
          <w:sz w:val="32"/>
          <w:szCs w:val="32"/>
        </w:rPr>
        <w:t>力争财政收入</w:t>
      </w:r>
      <w:r>
        <w:rPr>
          <w:rFonts w:hint="eastAsia" w:ascii="仿宋_GB2312" w:eastAsia="仿宋_GB2312"/>
          <w:color w:val="auto"/>
          <w:sz w:val="32"/>
          <w:szCs w:val="32"/>
          <w:lang w:eastAsia="zh-CN"/>
        </w:rPr>
        <w:t>破亿</w:t>
      </w:r>
      <w:r>
        <w:rPr>
          <w:rFonts w:hint="eastAsia" w:ascii="仿宋_GB2312" w:eastAsia="仿宋_GB2312"/>
          <w:color w:val="auto"/>
          <w:sz w:val="32"/>
          <w:szCs w:val="32"/>
        </w:rPr>
        <w:t>，完成规模工业产值16亿元，同比增长15%，完成固定资产投资5亿元，工业投资4.6亿元，技改投资2.5亿，外贸进出口完成200万美元。</w:t>
      </w:r>
      <w:r>
        <w:rPr>
          <w:rFonts w:hint="eastAsia" w:ascii="仿宋_GB2312" w:eastAsia="仿宋_GB2312" w:cs="Times New Roman"/>
          <w:color w:val="auto"/>
          <w:kern w:val="2"/>
          <w:sz w:val="32"/>
          <w:szCs w:val="32"/>
          <w:lang w:val="en-US" w:eastAsia="zh-CN" w:bidi="ar-SA"/>
        </w:rPr>
        <w:t>为实现</w:t>
      </w:r>
      <w:r>
        <w:rPr>
          <w:rFonts w:hint="eastAsia" w:ascii="仿宋_GB2312" w:hAnsi="Calibri" w:eastAsia="仿宋_GB2312" w:cs="Times New Roman"/>
          <w:color w:val="auto"/>
          <w:kern w:val="2"/>
          <w:sz w:val="32"/>
          <w:szCs w:val="32"/>
          <w:lang w:val="en-US" w:eastAsia="zh-CN" w:bidi="ar-SA"/>
        </w:rPr>
        <w:t>上述预期目标，今</w:t>
      </w:r>
      <w:r>
        <w:rPr>
          <w:rFonts w:hint="eastAsia" w:ascii="仿宋_GB2312" w:hAnsi="仿宋" w:eastAsia="仿宋_GB2312" w:cs="宋体"/>
          <w:kern w:val="0"/>
          <w:sz w:val="32"/>
          <w:szCs w:val="32"/>
          <w:lang w:val="en-US" w:eastAsia="zh-CN" w:bidi="ar-SA"/>
        </w:rPr>
        <w:t>年我们主要做到三个同步提升：</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一、把发展放在首位，问计于民，力求经济运行速度与质量同步提升。一是写好“双招双引”这篇文章。积极开展以商招商、商协会招商的模式，围绕“主导产业、七大新兴产业、比较优势、目标龙头企业”精准招商，提高招商落户成功率。突出长三角、珠三角等重点区域,抓住民营经济向内地转移的机遇,跟踪相关产业,做好项目对接，特别是围绕宝镁项目配套及上下游和镁铝轻合金加工装备、应用等环节，引进更多关联项目，加快推动产业集聚发展。二是写好项目建设这篇文章。推进在建项目快速投产、意向明确项目尽快落户、洽谈成熟项目早日签约。力促广源新材料、同佑环保设备等12个重点在建项目早日达产达效，总投资10亿元的力劲高端智能装备及百吨级智能装备组件项目、总投资5亿元的振宇二期精加工项目等8个意向明确的洽谈项目启动建设，总投资10亿元的台湾永冠、总投资7亿元的孚润达润滑油项目早日签约。三是写好营商环境这篇文章。提升“为企优环境”效能，坚持当好“有呼必应、无事不扰”的“金牌店小二”，与签约方共同制定“一企一策”推进方案，对项目审批、落户、建设、投产等环节提供全生命周期服务，着力打造办事效率最高、投资环境最优、企业获得感最强的工业园区，全力打造“‘木’名而来，‘镇’重企事”优化营商环境品牌。</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right="0" w:firstLine="640" w:firstLineChars="200"/>
        <w:jc w:val="both"/>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二、把群众放在心上，造福于民，力求群众收入与幸福指数同步提升。一是加快现代农业建设。</w:t>
      </w:r>
      <w:r>
        <w:rPr>
          <w:rFonts w:hint="eastAsia" w:ascii="仿宋_GB2312" w:hAnsi="仿宋" w:eastAsia="仿宋_GB2312" w:cs="宋体"/>
          <w:kern w:val="0"/>
          <w:sz w:val="32"/>
          <w:szCs w:val="32"/>
          <w:lang w:val="en-US" w:eastAsia="zh-Hans" w:bidi="ar-SA"/>
        </w:rPr>
        <w:t>实施产业振兴战略，</w:t>
      </w:r>
      <w:r>
        <w:rPr>
          <w:rFonts w:hint="eastAsia" w:ascii="仿宋_GB2312" w:hAnsi="仿宋" w:eastAsia="仿宋_GB2312" w:cs="宋体"/>
          <w:kern w:val="0"/>
          <w:sz w:val="32"/>
          <w:szCs w:val="32"/>
          <w:lang w:val="en-US" w:eastAsia="zh-CN" w:bidi="ar-SA"/>
        </w:rPr>
        <w:t>继续以创建全国农业产业强镇为契机，重点围绕黄精产业，</w:t>
      </w:r>
      <w:r>
        <w:rPr>
          <w:rFonts w:hint="eastAsia" w:ascii="仿宋_GB2312" w:hAnsi="仿宋" w:eastAsia="仿宋_GB2312" w:cs="宋体"/>
          <w:kern w:val="0"/>
          <w:sz w:val="32"/>
          <w:szCs w:val="32"/>
          <w:lang w:val="en-US" w:eastAsia="zh-Hans" w:bidi="ar-SA"/>
        </w:rPr>
        <w:t>深入实施特色农业提质计划，调优种植结构、做大产业规模、培强加工能力。</w:t>
      </w:r>
      <w:r>
        <w:rPr>
          <w:rFonts w:hint="eastAsia" w:ascii="仿宋_GB2312" w:hAnsi="仿宋" w:eastAsia="仿宋_GB2312" w:cs="宋体"/>
          <w:kern w:val="0"/>
          <w:sz w:val="32"/>
          <w:szCs w:val="32"/>
          <w:lang w:val="en-US" w:eastAsia="zh-CN" w:bidi="ar-SA"/>
        </w:rPr>
        <w:t>二是加快民生工程建设。深化农村人居环境整治，加快美丽乡村建设，突出农村生活污水治理、城乡基础设施建设、公共服务补短板等重点，实施一批提升公共服务水平的重点项目。积极推进城乡供水一体化，提升镇区供水保障水平，推动河北村新建自来水厂尽快开工建设。实施木镇片区排涝能力建设工程，新建木镇排涝二站，保障居民生命财产安全。全面实施集镇面貌提升行动，完成铜陵路、北河路公共停车场征地拆迁及修建，实施芜湖路、铜陵路亮化工程。巩固内河治理成效，形成水体循环，提升河道水质，改善人居环境。三是加快村级集体经济建设。始终把发展壮大农村集体经济摆在突出位置，挖掘优势资源、拓展发展空间、加强要素保障，稳步推动总量扩大、质量提升、实力增强。对村级集体所有的经营性资产，采取直营、承包、租赁等有效实现形式，提高村级集体资产利用率，大力发展“村级+”合作模式，培植特色优势“一村一产业”。</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right="0" w:firstLine="640" w:firstLineChars="200"/>
        <w:jc w:val="both"/>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lang w:val="en-US" w:eastAsia="zh-CN" w:bidi="ar-SA"/>
        </w:rPr>
        <w:t>三、把稳定担在肩上，尽责于民，力求社会治理水平和效果同步提升。一是强化党建引领。筑牢“新基建”，坚持“一村一特色，一非公一品牌”打造党建示范点，确保基层党建全面进步、全面过硬。持续推行党建引领信用村建设，着力解决产业发展缺资金、陈规陋习缺约束、组织建设缺抓手等问题，努力形成高等级农村信用生态环境。重点围绕“1（党建）+5（五大发展）”内容，按季度开展“党建引领 赛马争先”活动，凝聚发展共识，提振精神士气。持续巩固作风建设成效，改进文风、会风，抓住普遍发生、反复出现的问题开展作风整治。二是强化源头治理。切实提高初信初访办理质效，充分发挥群众来访接待中心重要作用，确保群众反映问题一站式受理、一揽子解决，力争让群众“只访一次”。深入推动重复信访治理、信访积案化解，对合理诉求千方百计解决，对无理诉求耐心疏导教育，对困难群体用心帮扶救助。三是强化管理创新。创新社会治理模式，以深化新时代“枫桥经验”为牵引，探索符合镇域特点和规律的社会治理新路子，全面推进网格化治理新模式的实体化运行，建立党委统领、资源统筹、工作统揽、模式统一、保障统管的基层社会治理“一张网”，实现“全镇治理一张网、微事不出格、小事不出村、大事不出镇、矛盾不上交”。</w:t>
      </w:r>
    </w:p>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firstLine="627" w:firstLineChars="196"/>
        <w:jc w:val="both"/>
        <w:rPr>
          <w:rFonts w:hint="eastAsia" w:ascii="仿宋_GB2312" w:hAnsi="仿宋" w:eastAsia="仿宋_GB2312" w:cs="宋体"/>
          <w:kern w:val="0"/>
          <w:sz w:val="32"/>
          <w:szCs w:val="32"/>
          <w:lang w:val="en-US" w:eastAsia="zh-CN" w:bidi="ar-SA"/>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rPr>
          <w:rFonts w:ascii="黑体" w:hAnsi="黑体" w:eastAsia="黑体"/>
          <w:bCs/>
          <w:sz w:val="36"/>
          <w:szCs w:val="36"/>
        </w:rPr>
      </w:pPr>
    </w:p>
    <w:p>
      <w:pPr>
        <w:pStyle w:val="5"/>
        <w:adjustRightInd w:val="0"/>
        <w:snapToGrid w:val="0"/>
        <w:spacing w:before="0" w:beforeAutospacing="0" w:after="0" w:afterAutospacing="0" w:line="360" w:lineRule="auto"/>
        <w:jc w:val="center"/>
        <w:rPr>
          <w:rFonts w:ascii="黑体" w:hAnsi="黑体" w:eastAsia="黑体"/>
          <w:bCs/>
          <w:sz w:val="36"/>
          <w:szCs w:val="36"/>
        </w:rPr>
      </w:pPr>
      <w:r>
        <w:rPr>
          <w:rFonts w:hint="eastAsia" w:ascii="黑体" w:hAnsi="黑体" w:eastAsia="黑体"/>
          <w:bCs/>
          <w:sz w:val="36"/>
          <w:szCs w:val="36"/>
        </w:rPr>
        <w:t>第二部分 2023年部门预算表</w:t>
      </w:r>
    </w:p>
    <w:p>
      <w:pPr>
        <w:jc w:val="right"/>
        <w:rPr>
          <w:rFonts w:ascii="宋体" w:hAnsi="宋体" w:cs="宋体"/>
          <w:kern w:val="0"/>
          <w:sz w:val="20"/>
          <w:szCs w:val="20"/>
        </w:rPr>
      </w:pPr>
      <w:r>
        <w:rPr>
          <w:rFonts w:hint="eastAsia" w:ascii="宋体" w:hAnsi="宋体" w:cs="宋体"/>
          <w:kern w:val="0"/>
          <w:sz w:val="20"/>
          <w:szCs w:val="20"/>
        </w:rPr>
        <w:t xml:space="preserve">                                                                部门公开表1</w:t>
      </w:r>
    </w:p>
    <w:p>
      <w:pPr>
        <w:rPr>
          <w:rFonts w:ascii="华文中宋" w:hAnsi="华文中宋" w:eastAsia="华文中宋" w:cs="宋体"/>
          <w:b/>
          <w:bCs/>
          <w:kern w:val="0"/>
          <w:sz w:val="32"/>
          <w:szCs w:val="32"/>
        </w:rPr>
      </w:pPr>
      <w:r>
        <w:rPr>
          <w:rFonts w:hint="eastAsia" w:ascii="华文中宋" w:hAnsi="华文中宋" w:eastAsia="华文中宋" w:cs="宋体"/>
          <w:b/>
          <w:bCs/>
          <w:kern w:val="0"/>
          <w:sz w:val="32"/>
          <w:szCs w:val="32"/>
        </w:rPr>
        <w:t xml:space="preserve">     青阳县</w:t>
      </w:r>
      <w:r>
        <w:rPr>
          <w:rFonts w:hint="eastAsia" w:ascii="华文中宋" w:hAnsi="华文中宋" w:eastAsia="华文中宋" w:cs="宋体"/>
          <w:b/>
          <w:bCs/>
          <w:kern w:val="0"/>
          <w:sz w:val="32"/>
          <w:szCs w:val="32"/>
          <w:lang w:val="en-US" w:eastAsia="zh-CN"/>
        </w:rPr>
        <w:t>木镇镇人民政府</w:t>
      </w:r>
      <w:r>
        <w:rPr>
          <w:rFonts w:hint="eastAsia" w:ascii="华文中宋" w:hAnsi="华文中宋" w:eastAsia="华文中宋" w:cs="宋体"/>
          <w:b/>
          <w:bCs/>
          <w:kern w:val="0"/>
          <w:sz w:val="32"/>
          <w:szCs w:val="32"/>
        </w:rPr>
        <w:t>2023年收支总表</w:t>
      </w:r>
    </w:p>
    <w:p>
      <w:pPr>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8460" w:type="dxa"/>
        <w:tblInd w:w="93" w:type="dxa"/>
        <w:tblLayout w:type="fixed"/>
        <w:tblCellMar>
          <w:top w:w="0" w:type="dxa"/>
          <w:left w:w="108" w:type="dxa"/>
          <w:bottom w:w="0" w:type="dxa"/>
          <w:right w:w="108" w:type="dxa"/>
        </w:tblCellMar>
      </w:tblPr>
      <w:tblGrid>
        <w:gridCol w:w="3298"/>
        <w:gridCol w:w="1020"/>
        <w:gridCol w:w="3210"/>
        <w:gridCol w:w="932"/>
      </w:tblGrid>
      <w:tr>
        <w:tblPrEx>
          <w:tblCellMar>
            <w:top w:w="0" w:type="dxa"/>
            <w:left w:w="108" w:type="dxa"/>
            <w:bottom w:w="0" w:type="dxa"/>
            <w:right w:w="108" w:type="dxa"/>
          </w:tblCellMar>
        </w:tblPrEx>
        <w:trPr>
          <w:trHeight w:val="240" w:hRule="atLeast"/>
        </w:trPr>
        <w:tc>
          <w:tcPr>
            <w:tcW w:w="43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kern w:val="0"/>
                <w:sz w:val="20"/>
                <w:szCs w:val="20"/>
              </w:rPr>
            </w:pPr>
            <w:r>
              <w:rPr>
                <w:rFonts w:hint="eastAsia" w:ascii="宋体" w:hAnsi="宋体" w:eastAsia="宋体" w:cs="宋体"/>
                <w:b/>
                <w:kern w:val="0"/>
                <w:sz w:val="20"/>
                <w:szCs w:val="20"/>
              </w:rPr>
              <w:t xml:space="preserve">          收            入             </w:t>
            </w:r>
          </w:p>
        </w:tc>
        <w:tc>
          <w:tcPr>
            <w:tcW w:w="4142"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kern w:val="0"/>
                <w:sz w:val="20"/>
                <w:szCs w:val="20"/>
              </w:rPr>
            </w:pPr>
            <w:r>
              <w:rPr>
                <w:rFonts w:hint="eastAsia" w:ascii="宋体" w:hAnsi="宋体" w:eastAsia="宋体" w:cs="宋体"/>
                <w:b/>
                <w:kern w:val="0"/>
                <w:sz w:val="20"/>
                <w:szCs w:val="20"/>
              </w:rPr>
              <w:t>支          出</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kern w:val="0"/>
                <w:sz w:val="20"/>
                <w:szCs w:val="20"/>
              </w:rPr>
            </w:pPr>
            <w:r>
              <w:rPr>
                <w:rFonts w:hint="eastAsia" w:ascii="宋体" w:hAnsi="宋体" w:eastAsia="宋体" w:cs="宋体"/>
                <w:b/>
                <w:kern w:val="0"/>
                <w:sz w:val="20"/>
                <w:szCs w:val="20"/>
              </w:rPr>
              <w:t>收 入 项 目</w:t>
            </w:r>
          </w:p>
        </w:tc>
        <w:tc>
          <w:tcPr>
            <w:tcW w:w="1020"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kern w:val="0"/>
                <w:sz w:val="20"/>
                <w:szCs w:val="20"/>
              </w:rPr>
            </w:pPr>
            <w:r>
              <w:rPr>
                <w:rFonts w:hint="eastAsia" w:ascii="宋体" w:hAnsi="宋体" w:eastAsia="宋体" w:cs="宋体"/>
                <w:b/>
                <w:kern w:val="0"/>
                <w:sz w:val="20"/>
                <w:szCs w:val="20"/>
              </w:rPr>
              <w:t>预算数</w:t>
            </w:r>
          </w:p>
        </w:tc>
        <w:tc>
          <w:tcPr>
            <w:tcW w:w="32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kern w:val="0"/>
                <w:sz w:val="20"/>
                <w:szCs w:val="20"/>
              </w:rPr>
            </w:pPr>
            <w:r>
              <w:rPr>
                <w:rFonts w:hint="eastAsia" w:ascii="宋体" w:hAnsi="宋体" w:eastAsia="宋体" w:cs="宋体"/>
                <w:b/>
                <w:kern w:val="0"/>
                <w:sz w:val="20"/>
                <w:szCs w:val="20"/>
              </w:rPr>
              <w:t>支出功能分类科目</w:t>
            </w:r>
          </w:p>
        </w:tc>
        <w:tc>
          <w:tcPr>
            <w:tcW w:w="932"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kern w:val="0"/>
                <w:sz w:val="20"/>
                <w:szCs w:val="20"/>
              </w:rPr>
            </w:pPr>
            <w:r>
              <w:rPr>
                <w:rFonts w:hint="eastAsia" w:ascii="宋体" w:hAnsi="宋体" w:eastAsia="宋体" w:cs="宋体"/>
                <w:b/>
                <w:kern w:val="0"/>
                <w:sz w:val="20"/>
                <w:szCs w:val="20"/>
              </w:rPr>
              <w:t>预算数</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一、一般公共预算拨款收入</w:t>
            </w:r>
          </w:p>
        </w:tc>
        <w:tc>
          <w:tcPr>
            <w:tcW w:w="10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2374.73</w:t>
            </w: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一、一般公共服务支出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559.89</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其中：中央转移支付收入</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二、外交支出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三、国防支出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二、政府性基金预算拨款收入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四、公共安全支出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其中：中央转移支付收入</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五、教育支出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六、科学技术支出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color w:val="000000"/>
                <w:kern w:val="0"/>
                <w:sz w:val="18"/>
                <w:szCs w:val="18"/>
              </w:rPr>
            </w:pPr>
            <w:r>
              <w:rPr>
                <w:rFonts w:hint="eastAsia" w:ascii="宋体" w:hAnsi="宋体" w:eastAsia="宋体" w:cs="宋体"/>
                <w:color w:val="000000"/>
                <w:kern w:val="0"/>
                <w:sz w:val="18"/>
                <w:szCs w:val="18"/>
              </w:rPr>
              <w:t>三、国有资本经营预算拨款收入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七、文化旅游体育与传媒支出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26.26</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其中：中央转移支付收入</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八、社会保障和就业支出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557.21</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九、卫生健康支出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17.45</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四、财政专户管理资金收入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十、节能环保支出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十一、城乡社区支出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500</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五、单位资金收入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十二、农林水支出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664.15</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其中：事业收入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十三、交通运输支出</w:t>
            </w:r>
          </w:p>
        </w:tc>
        <w:tc>
          <w:tcPr>
            <w:tcW w:w="932" w:type="dxa"/>
            <w:tcBorders>
              <w:top w:val="single" w:color="auto" w:sz="4" w:space="0"/>
              <w:left w:val="single" w:color="auto" w:sz="4" w:space="0"/>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事业单位经营收入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十四、资源勘探工业信息等支出</w:t>
            </w:r>
          </w:p>
        </w:tc>
        <w:tc>
          <w:tcPr>
            <w:tcW w:w="932" w:type="dxa"/>
            <w:tcBorders>
              <w:top w:val="single" w:color="auto" w:sz="4" w:space="0"/>
              <w:left w:val="nil"/>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上级补助收入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十五、商业服务业等支出</w:t>
            </w:r>
          </w:p>
        </w:tc>
        <w:tc>
          <w:tcPr>
            <w:tcW w:w="932" w:type="dxa"/>
            <w:tcBorders>
              <w:top w:val="single" w:color="auto" w:sz="4" w:space="0"/>
              <w:left w:val="nil"/>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附属单位上缴收入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十六、金融支出</w:t>
            </w:r>
          </w:p>
        </w:tc>
        <w:tc>
          <w:tcPr>
            <w:tcW w:w="932" w:type="dxa"/>
            <w:tcBorders>
              <w:top w:val="single" w:color="auto" w:sz="4" w:space="0"/>
              <w:left w:val="nil"/>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其他收入</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十七、援助其他地区支出</w:t>
            </w:r>
          </w:p>
        </w:tc>
        <w:tc>
          <w:tcPr>
            <w:tcW w:w="932" w:type="dxa"/>
            <w:tcBorders>
              <w:top w:val="single" w:color="auto" w:sz="4" w:space="0"/>
              <w:left w:val="nil"/>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十八、自然资源海洋气象等支出</w:t>
            </w:r>
          </w:p>
        </w:tc>
        <w:tc>
          <w:tcPr>
            <w:tcW w:w="932" w:type="dxa"/>
            <w:tcBorders>
              <w:top w:val="single" w:color="auto" w:sz="4" w:space="0"/>
              <w:left w:val="nil"/>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十九、住房保障支出</w:t>
            </w:r>
          </w:p>
        </w:tc>
        <w:tc>
          <w:tcPr>
            <w:tcW w:w="932" w:type="dxa"/>
            <w:tcBorders>
              <w:top w:val="single" w:color="auto" w:sz="4" w:space="0"/>
              <w:left w:val="nil"/>
              <w:bottom w:val="nil"/>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59.77</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二十、粮油物资储备支出</w:t>
            </w:r>
          </w:p>
        </w:tc>
        <w:tc>
          <w:tcPr>
            <w:tcW w:w="932"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二十一、灾害防治及应急管理支出</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二十二、预备费</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二十三、其他支出</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二十四、转移性支出</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二十五、债务还本支出</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二十六、债务付息支出</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w:t>
            </w:r>
          </w:p>
        </w:tc>
        <w:tc>
          <w:tcPr>
            <w:tcW w:w="102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二十七、债务发行费用支出</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rPr>
              <w:t>本  年  收  入  小  计</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2374.73</w:t>
            </w: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rPr>
              <w:t>本  年  支  出  小  计</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lang w:val="en-US" w:eastAsia="zh-CN"/>
              </w:rPr>
              <w:t>2374.73</w:t>
            </w: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上年结转结余</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结转下年</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一般公共预算</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一般公共预算</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政府性基金预算</w:t>
            </w:r>
          </w:p>
        </w:tc>
        <w:tc>
          <w:tcPr>
            <w:tcW w:w="10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政府性基金预算</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国有资本经营预算</w:t>
            </w:r>
          </w:p>
        </w:tc>
        <w:tc>
          <w:tcPr>
            <w:tcW w:w="1020" w:type="dxa"/>
            <w:tcBorders>
              <w:top w:val="nil"/>
              <w:left w:val="nil"/>
              <w:bottom w:val="single" w:color="auto" w:sz="4" w:space="0"/>
              <w:right w:val="single" w:color="auto" w:sz="4" w:space="0"/>
            </w:tcBorders>
            <w:shd w:val="clear" w:color="auto" w:fill="auto"/>
            <w:vAlign w:val="bottom"/>
          </w:tcPr>
          <w:p>
            <w:pPr>
              <w:widowControl/>
              <w:jc w:val="right"/>
              <w:rPr>
                <w:rFonts w:ascii="宋体" w:hAnsi="宋体" w:eastAsia="宋体" w:cs="宋体"/>
                <w:kern w:val="0"/>
                <w:sz w:val="18"/>
                <w:szCs w:val="18"/>
              </w:rPr>
            </w:pPr>
            <w:r>
              <w:rPr>
                <w:rFonts w:hint="eastAsia" w:ascii="宋体" w:hAnsi="宋体" w:eastAsia="宋体" w:cs="宋体"/>
                <w:kern w:val="0"/>
                <w:sz w:val="18"/>
                <w:szCs w:val="18"/>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国有资本经营预算</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财政专户管理资金</w:t>
            </w:r>
          </w:p>
        </w:tc>
        <w:tc>
          <w:tcPr>
            <w:tcW w:w="1020" w:type="dxa"/>
            <w:tcBorders>
              <w:top w:val="nil"/>
              <w:left w:val="nil"/>
              <w:bottom w:val="single" w:color="auto" w:sz="4" w:space="0"/>
              <w:right w:val="single" w:color="auto" w:sz="4" w:space="0"/>
            </w:tcBorders>
            <w:shd w:val="clear" w:color="auto" w:fill="auto"/>
            <w:vAlign w:val="bottom"/>
          </w:tcPr>
          <w:p>
            <w:pPr>
              <w:widowControl/>
              <w:jc w:val="right"/>
              <w:rPr>
                <w:rFonts w:ascii="宋体" w:hAnsi="宋体" w:eastAsia="宋体" w:cs="宋体"/>
                <w:kern w:val="0"/>
                <w:sz w:val="18"/>
                <w:szCs w:val="18"/>
              </w:rPr>
            </w:pPr>
            <w:r>
              <w:rPr>
                <w:rFonts w:hint="eastAsia" w:ascii="宋体" w:hAnsi="宋体" w:eastAsia="宋体" w:cs="宋体"/>
                <w:kern w:val="0"/>
                <w:sz w:val="18"/>
                <w:szCs w:val="18"/>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财政专户管理资金</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单位资金</w:t>
            </w:r>
          </w:p>
        </w:tc>
        <w:tc>
          <w:tcPr>
            <w:tcW w:w="1020" w:type="dxa"/>
            <w:tcBorders>
              <w:top w:val="nil"/>
              <w:left w:val="nil"/>
              <w:bottom w:val="single" w:color="auto" w:sz="4" w:space="0"/>
              <w:right w:val="single" w:color="auto" w:sz="4" w:space="0"/>
            </w:tcBorders>
            <w:shd w:val="clear" w:color="auto" w:fill="auto"/>
            <w:vAlign w:val="bottom"/>
          </w:tcPr>
          <w:p>
            <w:pPr>
              <w:widowControl/>
              <w:jc w:val="right"/>
              <w:rPr>
                <w:rFonts w:ascii="宋体" w:hAnsi="宋体" w:eastAsia="宋体" w:cs="宋体"/>
                <w:kern w:val="0"/>
                <w:sz w:val="18"/>
                <w:szCs w:val="18"/>
              </w:rPr>
            </w:pPr>
            <w:r>
              <w:rPr>
                <w:rFonts w:hint="eastAsia" w:ascii="宋体" w:hAnsi="宋体" w:eastAsia="宋体" w:cs="宋体"/>
                <w:kern w:val="0"/>
                <w:sz w:val="18"/>
                <w:szCs w:val="18"/>
              </w:rPr>
              <w:t>　</w:t>
            </w:r>
          </w:p>
        </w:tc>
        <w:tc>
          <w:tcPr>
            <w:tcW w:w="321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 xml:space="preserve">    单位资金</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240" w:hRule="atLeast"/>
        </w:trPr>
        <w:tc>
          <w:tcPr>
            <w:tcW w:w="329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收   入   总   计</w:t>
            </w:r>
          </w:p>
        </w:tc>
        <w:tc>
          <w:tcPr>
            <w:tcW w:w="1020" w:type="dxa"/>
            <w:tcBorders>
              <w:top w:val="nil"/>
              <w:left w:val="nil"/>
              <w:bottom w:val="single" w:color="auto" w:sz="4" w:space="0"/>
              <w:right w:val="single" w:color="auto" w:sz="4" w:space="0"/>
            </w:tcBorders>
            <w:shd w:val="clear" w:color="auto" w:fill="auto"/>
            <w:vAlign w:val="bottom"/>
          </w:tcPr>
          <w:p>
            <w:pPr>
              <w:widowControl/>
              <w:jc w:val="right"/>
              <w:rPr>
                <w:rFonts w:ascii="宋体" w:hAnsi="宋体" w:eastAsia="宋体" w:cs="宋体"/>
                <w:b/>
                <w:bCs/>
                <w:kern w:val="0"/>
                <w:sz w:val="18"/>
                <w:szCs w:val="18"/>
              </w:rPr>
            </w:pPr>
            <w:r>
              <w:rPr>
                <w:rFonts w:hint="eastAsia" w:ascii="宋体" w:hAnsi="宋体" w:eastAsia="宋体" w:cs="宋体"/>
                <w:b/>
                <w:bCs/>
                <w:kern w:val="0"/>
                <w:sz w:val="18"/>
                <w:szCs w:val="18"/>
              </w:rPr>
              <w:t>　</w:t>
            </w:r>
          </w:p>
        </w:tc>
        <w:tc>
          <w:tcPr>
            <w:tcW w:w="32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支　出  总　计</w:t>
            </w:r>
          </w:p>
        </w:tc>
        <w:tc>
          <w:tcPr>
            <w:tcW w:w="93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kern w:val="0"/>
                <w:sz w:val="20"/>
                <w:szCs w:val="20"/>
              </w:rPr>
            </w:pPr>
            <w:r>
              <w:rPr>
                <w:rFonts w:hint="eastAsia" w:ascii="宋体" w:hAnsi="宋体" w:eastAsia="宋体" w:cs="宋体"/>
                <w:kern w:val="0"/>
                <w:sz w:val="20"/>
                <w:szCs w:val="20"/>
              </w:rPr>
              <w:t>　</w:t>
            </w:r>
          </w:p>
        </w:tc>
      </w:tr>
    </w:tbl>
    <w:p>
      <w:pPr>
        <w:rPr>
          <w:rFonts w:ascii="宋体" w:hAnsi="宋体" w:cs="宋体"/>
          <w:kern w:val="0"/>
          <w:sz w:val="20"/>
          <w:szCs w:val="20"/>
        </w:rPr>
        <w:sectPr>
          <w:footerReference r:id="rId3" w:type="default"/>
          <w:pgSz w:w="11906" w:h="16838"/>
          <w:pgMar w:top="1440" w:right="1800" w:bottom="1440" w:left="1800" w:header="851" w:footer="992" w:gutter="0"/>
          <w:cols w:space="425" w:num="1"/>
          <w:docGrid w:type="lines" w:linePitch="312" w:charSpace="0"/>
        </w:sectPr>
      </w:pPr>
    </w:p>
    <w:p>
      <w:pPr>
        <w:rPr>
          <w:rFonts w:ascii="宋体" w:hAnsi="宋体" w:cs="宋体"/>
          <w:kern w:val="0"/>
          <w:sz w:val="20"/>
          <w:szCs w:val="20"/>
        </w:rPr>
      </w:pPr>
      <w:r>
        <w:rPr>
          <w:rFonts w:hint="eastAsia" w:ascii="宋体" w:hAnsi="宋体" w:cs="宋体"/>
          <w:kern w:val="0"/>
          <w:sz w:val="20"/>
          <w:szCs w:val="20"/>
        </w:rPr>
        <w:t xml:space="preserve">                                                                                                                    部门</w:t>
      </w:r>
      <w:r>
        <w:rPr>
          <w:rFonts w:hint="eastAsia" w:ascii="宋体" w:hAnsi="宋体" w:cs="宋体"/>
          <w:kern w:val="0"/>
          <w:sz w:val="20"/>
          <w:szCs w:val="20"/>
          <w:u w:val="single"/>
        </w:rPr>
        <w:t>（单位）</w:t>
      </w:r>
      <w:r>
        <w:rPr>
          <w:rFonts w:hint="eastAsia" w:ascii="宋体" w:hAnsi="宋体" w:cs="宋体"/>
          <w:kern w:val="0"/>
          <w:sz w:val="20"/>
          <w:szCs w:val="20"/>
        </w:rPr>
        <w:t>公开表2</w:t>
      </w:r>
    </w:p>
    <w:p>
      <w:pPr>
        <w:rPr>
          <w:rFonts w:ascii="华文中宋" w:hAnsi="华文中宋" w:eastAsia="华文中宋" w:cs="宋体"/>
          <w:b/>
          <w:bCs/>
          <w:kern w:val="0"/>
          <w:sz w:val="32"/>
          <w:szCs w:val="32"/>
        </w:rPr>
      </w:pPr>
      <w:r>
        <w:rPr>
          <w:rFonts w:hint="eastAsia" w:ascii="华文中宋" w:hAnsi="华文中宋" w:eastAsia="华文中宋" w:cs="宋体"/>
          <w:b/>
          <w:bCs/>
          <w:kern w:val="0"/>
          <w:sz w:val="32"/>
          <w:szCs w:val="32"/>
        </w:rPr>
        <w:t xml:space="preserve">                   青阳县</w:t>
      </w:r>
      <w:r>
        <w:rPr>
          <w:rFonts w:hint="eastAsia" w:ascii="华文中宋" w:hAnsi="华文中宋" w:eastAsia="华文中宋" w:cs="宋体"/>
          <w:b/>
          <w:bCs/>
          <w:kern w:val="0"/>
          <w:sz w:val="32"/>
          <w:szCs w:val="32"/>
          <w:lang w:val="en-US" w:eastAsia="zh-CN"/>
        </w:rPr>
        <w:t>木镇镇人民政府</w:t>
      </w:r>
      <w:r>
        <w:rPr>
          <w:rFonts w:hint="eastAsia" w:ascii="华文中宋" w:hAnsi="华文中宋" w:eastAsia="华文中宋" w:cs="宋体"/>
          <w:b/>
          <w:bCs/>
          <w:kern w:val="0"/>
          <w:sz w:val="32"/>
          <w:szCs w:val="32"/>
        </w:rPr>
        <w:t>2023年收入总表</w:t>
      </w:r>
    </w:p>
    <w:p>
      <w:pPr>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14020" w:type="dxa"/>
        <w:tblInd w:w="100" w:type="dxa"/>
        <w:tblLayout w:type="fixed"/>
        <w:tblCellMar>
          <w:top w:w="0" w:type="dxa"/>
          <w:left w:w="108" w:type="dxa"/>
          <w:bottom w:w="0" w:type="dxa"/>
          <w:right w:w="108" w:type="dxa"/>
        </w:tblCellMar>
      </w:tblPr>
      <w:tblGrid>
        <w:gridCol w:w="2059"/>
        <w:gridCol w:w="945"/>
        <w:gridCol w:w="1005"/>
        <w:gridCol w:w="990"/>
        <w:gridCol w:w="555"/>
        <w:gridCol w:w="735"/>
        <w:gridCol w:w="690"/>
        <w:gridCol w:w="480"/>
        <w:gridCol w:w="405"/>
        <w:gridCol w:w="675"/>
        <w:gridCol w:w="585"/>
        <w:gridCol w:w="675"/>
        <w:gridCol w:w="525"/>
        <w:gridCol w:w="480"/>
        <w:gridCol w:w="735"/>
        <w:gridCol w:w="630"/>
        <w:gridCol w:w="690"/>
        <w:gridCol w:w="660"/>
        <w:gridCol w:w="501"/>
      </w:tblGrid>
      <w:tr>
        <w:tblPrEx>
          <w:tblCellMar>
            <w:top w:w="0" w:type="dxa"/>
            <w:left w:w="108" w:type="dxa"/>
            <w:bottom w:w="0" w:type="dxa"/>
            <w:right w:w="108" w:type="dxa"/>
          </w:tblCellMar>
        </w:tblPrEx>
        <w:trPr>
          <w:trHeight w:val="420" w:hRule="atLeast"/>
        </w:trPr>
        <w:tc>
          <w:tcPr>
            <w:tcW w:w="20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部门（单位）名称</w:t>
            </w:r>
          </w:p>
        </w:tc>
        <w:tc>
          <w:tcPr>
            <w:tcW w:w="9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合计</w:t>
            </w:r>
          </w:p>
        </w:tc>
        <w:tc>
          <w:tcPr>
            <w:tcW w:w="7320" w:type="dxa"/>
            <w:gridSpan w:val="11"/>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本年收入</w:t>
            </w:r>
          </w:p>
        </w:tc>
        <w:tc>
          <w:tcPr>
            <w:tcW w:w="3696" w:type="dxa"/>
            <w:gridSpan w:val="6"/>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上年结转结余</w:t>
            </w:r>
          </w:p>
        </w:tc>
      </w:tr>
      <w:tr>
        <w:tblPrEx>
          <w:tblCellMar>
            <w:top w:w="0" w:type="dxa"/>
            <w:left w:w="108" w:type="dxa"/>
            <w:bottom w:w="0" w:type="dxa"/>
            <w:right w:w="108" w:type="dxa"/>
          </w:tblCellMar>
        </w:tblPrEx>
        <w:trPr>
          <w:trHeight w:val="420" w:hRule="atLeast"/>
        </w:trPr>
        <w:tc>
          <w:tcPr>
            <w:tcW w:w="205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color w:val="000000"/>
                <w:kern w:val="0"/>
                <w:sz w:val="20"/>
                <w:szCs w:val="20"/>
              </w:rPr>
            </w:pPr>
          </w:p>
        </w:tc>
        <w:tc>
          <w:tcPr>
            <w:tcW w:w="9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color w:val="000000"/>
                <w:kern w:val="0"/>
                <w:sz w:val="20"/>
                <w:szCs w:val="20"/>
              </w:rPr>
            </w:pPr>
          </w:p>
        </w:tc>
        <w:tc>
          <w:tcPr>
            <w:tcW w:w="1005"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小计</w:t>
            </w:r>
          </w:p>
        </w:tc>
        <w:tc>
          <w:tcPr>
            <w:tcW w:w="990"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一般公共预算</w:t>
            </w:r>
          </w:p>
        </w:tc>
        <w:tc>
          <w:tcPr>
            <w:tcW w:w="555"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政府性基金预算</w:t>
            </w:r>
          </w:p>
        </w:tc>
        <w:tc>
          <w:tcPr>
            <w:tcW w:w="735"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国有资本经营预算</w:t>
            </w:r>
          </w:p>
        </w:tc>
        <w:tc>
          <w:tcPr>
            <w:tcW w:w="690"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财政专户管理资金</w:t>
            </w:r>
          </w:p>
        </w:tc>
        <w:tc>
          <w:tcPr>
            <w:tcW w:w="3345" w:type="dxa"/>
            <w:gridSpan w:val="6"/>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单位资金</w:t>
            </w:r>
          </w:p>
        </w:tc>
        <w:tc>
          <w:tcPr>
            <w:tcW w:w="480"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小计</w:t>
            </w:r>
          </w:p>
        </w:tc>
        <w:tc>
          <w:tcPr>
            <w:tcW w:w="735"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一般公共预算</w:t>
            </w:r>
          </w:p>
        </w:tc>
        <w:tc>
          <w:tcPr>
            <w:tcW w:w="630"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政府性基金预算</w:t>
            </w:r>
          </w:p>
        </w:tc>
        <w:tc>
          <w:tcPr>
            <w:tcW w:w="690"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国有资本经营预算</w:t>
            </w:r>
          </w:p>
        </w:tc>
        <w:tc>
          <w:tcPr>
            <w:tcW w:w="660"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财政专户管理资金</w:t>
            </w:r>
          </w:p>
        </w:tc>
        <w:tc>
          <w:tcPr>
            <w:tcW w:w="501" w:type="dxa"/>
            <w:vMerge w:val="restart"/>
            <w:tcBorders>
              <w:top w:val="nil"/>
              <w:left w:val="single" w:color="auto" w:sz="4" w:space="0"/>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单位资金</w:t>
            </w:r>
          </w:p>
        </w:tc>
      </w:tr>
      <w:tr>
        <w:tblPrEx>
          <w:tblCellMar>
            <w:top w:w="0" w:type="dxa"/>
            <w:left w:w="108" w:type="dxa"/>
            <w:bottom w:w="0" w:type="dxa"/>
            <w:right w:w="108" w:type="dxa"/>
          </w:tblCellMar>
        </w:tblPrEx>
        <w:trPr>
          <w:trHeight w:val="2203" w:hRule="atLeast"/>
        </w:trPr>
        <w:tc>
          <w:tcPr>
            <w:tcW w:w="205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94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1005"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990"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555"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735"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690"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0"/>
                <w:szCs w:val="20"/>
              </w:rPr>
            </w:pPr>
          </w:p>
        </w:tc>
        <w:tc>
          <w:tcPr>
            <w:tcW w:w="48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小计</w:t>
            </w:r>
          </w:p>
        </w:tc>
        <w:tc>
          <w:tcPr>
            <w:tcW w:w="40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事业     收入</w:t>
            </w:r>
          </w:p>
        </w:tc>
        <w:tc>
          <w:tcPr>
            <w:tcW w:w="6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事业单位经营收入</w:t>
            </w:r>
          </w:p>
        </w:tc>
        <w:tc>
          <w:tcPr>
            <w:tcW w:w="585"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上级补助收入</w:t>
            </w:r>
          </w:p>
        </w:tc>
        <w:tc>
          <w:tcPr>
            <w:tcW w:w="675"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附属单位上缴收入</w:t>
            </w:r>
          </w:p>
        </w:tc>
        <w:tc>
          <w:tcPr>
            <w:tcW w:w="525"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color w:val="000000"/>
                <w:kern w:val="0"/>
                <w:sz w:val="20"/>
                <w:szCs w:val="20"/>
              </w:rPr>
            </w:pPr>
            <w:r>
              <w:rPr>
                <w:rFonts w:hint="eastAsia" w:ascii="宋体" w:hAnsi="宋体" w:eastAsia="宋体" w:cs="宋体"/>
                <w:b/>
                <w:color w:val="000000"/>
                <w:kern w:val="0"/>
                <w:sz w:val="20"/>
                <w:szCs w:val="20"/>
              </w:rPr>
              <w:t>其他   收入</w:t>
            </w:r>
          </w:p>
        </w:tc>
        <w:tc>
          <w:tcPr>
            <w:tcW w:w="480"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735"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630"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690"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660"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c>
          <w:tcPr>
            <w:tcW w:w="501" w:type="dxa"/>
            <w:vMerge w:val="continue"/>
            <w:tcBorders>
              <w:top w:val="nil"/>
              <w:left w:val="single" w:color="auto" w:sz="4" w:space="0"/>
              <w:bottom w:val="nil"/>
              <w:right w:val="single" w:color="auto" w:sz="4" w:space="0"/>
            </w:tcBorders>
            <w:vAlign w:val="center"/>
          </w:tcPr>
          <w:p>
            <w:pPr>
              <w:widowControl/>
              <w:jc w:val="lef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600" w:hRule="atLeast"/>
        </w:trPr>
        <w:tc>
          <w:tcPr>
            <w:tcW w:w="20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木镇镇人民政府</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100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99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55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73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58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7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52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8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73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6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501"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670" w:hRule="atLeast"/>
        </w:trPr>
        <w:tc>
          <w:tcPr>
            <w:tcW w:w="20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木镇镇人民政府</w:t>
            </w:r>
            <w:r>
              <w:rPr>
                <w:rFonts w:hint="eastAsia" w:ascii="宋体" w:hAnsi="宋体" w:eastAsia="宋体" w:cs="宋体"/>
                <w:color w:val="000000"/>
                <w:kern w:val="0"/>
                <w:sz w:val="20"/>
                <w:szCs w:val="20"/>
              </w:rPr>
              <w:t>本级</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10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9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lang w:val="en-US" w:eastAsia="zh-CN" w:bidi="ar-SA"/>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5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73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58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5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73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50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bl>
    <w:p>
      <w:pPr>
        <w:rPr>
          <w:rFonts w:ascii="宋体" w:hAnsi="宋体" w:cs="宋体"/>
          <w:kern w:val="0"/>
          <w:sz w:val="20"/>
          <w:szCs w:val="20"/>
        </w:rPr>
      </w:pPr>
    </w:p>
    <w:p>
      <w:pPr>
        <w:rPr>
          <w:rFonts w:ascii="宋体" w:hAnsi="宋体" w:cs="宋体"/>
          <w:kern w:val="0"/>
          <w:sz w:val="20"/>
          <w:szCs w:val="20"/>
        </w:rPr>
      </w:pPr>
    </w:p>
    <w:p>
      <w:pPr>
        <w:sectPr>
          <w:pgSz w:w="16838" w:h="11906" w:orient="landscape"/>
          <w:pgMar w:top="1797" w:right="1440" w:bottom="1797" w:left="1440" w:header="851" w:footer="992" w:gutter="0"/>
          <w:cols w:space="425" w:num="1"/>
          <w:docGrid w:type="linesAndChars" w:linePitch="312" w:charSpace="0"/>
        </w:sectPr>
      </w:pPr>
    </w:p>
    <w:p>
      <w:pPr>
        <w:rPr>
          <w:rFonts w:ascii="宋体" w:hAnsi="宋体" w:cs="宋体"/>
          <w:kern w:val="0"/>
          <w:sz w:val="20"/>
          <w:szCs w:val="20"/>
        </w:rPr>
      </w:pPr>
      <w:r>
        <w:rPr>
          <w:rFonts w:hint="eastAsia" w:ascii="宋体" w:hAnsi="宋体" w:cs="宋体"/>
          <w:kern w:val="0"/>
          <w:sz w:val="20"/>
          <w:szCs w:val="20"/>
        </w:rPr>
        <w:t xml:space="preserve">                                                                部门</w:t>
      </w:r>
      <w:r>
        <w:rPr>
          <w:rFonts w:hint="eastAsia" w:ascii="宋体" w:hAnsi="宋体" w:cs="宋体"/>
          <w:kern w:val="0"/>
          <w:sz w:val="20"/>
          <w:szCs w:val="20"/>
          <w:u w:val="single"/>
        </w:rPr>
        <w:t>（单位）</w:t>
      </w:r>
      <w:r>
        <w:rPr>
          <w:rFonts w:hint="eastAsia" w:ascii="宋体" w:hAnsi="宋体" w:cs="宋体"/>
          <w:kern w:val="0"/>
          <w:sz w:val="20"/>
          <w:szCs w:val="20"/>
        </w:rPr>
        <w:t>公开表3</w:t>
      </w:r>
    </w:p>
    <w:p>
      <w:pPr>
        <w:jc w:val="center"/>
        <w:rPr>
          <w:rFonts w:ascii="宋体" w:hAnsi="宋体" w:cs="宋体"/>
          <w:kern w:val="0"/>
          <w:sz w:val="20"/>
          <w:szCs w:val="20"/>
        </w:rPr>
      </w:pPr>
      <w:r>
        <w:rPr>
          <w:rFonts w:hint="eastAsia" w:ascii="华文中宋" w:hAnsi="华文中宋" w:eastAsia="华文中宋" w:cs="宋体"/>
          <w:b/>
          <w:bCs/>
          <w:kern w:val="0"/>
          <w:sz w:val="32"/>
          <w:szCs w:val="32"/>
        </w:rPr>
        <w:t>青阳县</w:t>
      </w:r>
      <w:r>
        <w:rPr>
          <w:rFonts w:hint="eastAsia" w:ascii="华文中宋" w:hAnsi="华文中宋" w:eastAsia="华文中宋" w:cs="宋体"/>
          <w:b/>
          <w:bCs/>
          <w:kern w:val="0"/>
          <w:sz w:val="32"/>
          <w:szCs w:val="32"/>
          <w:lang w:val="en-US" w:eastAsia="zh-CN"/>
        </w:rPr>
        <w:t>木镇镇人民政府</w:t>
      </w:r>
      <w:r>
        <w:rPr>
          <w:rFonts w:hint="eastAsia" w:ascii="华文中宋" w:hAnsi="华文中宋" w:eastAsia="华文中宋" w:cs="宋体"/>
          <w:b/>
          <w:bCs/>
          <w:kern w:val="0"/>
          <w:sz w:val="32"/>
          <w:szCs w:val="32"/>
        </w:rPr>
        <w:t>2023年支出总表</w:t>
      </w:r>
      <w:r>
        <w:rPr>
          <w:rFonts w:hint="eastAsia" w:ascii="宋体" w:hAnsi="宋体" w:cs="宋体"/>
          <w:kern w:val="0"/>
          <w:sz w:val="20"/>
          <w:szCs w:val="20"/>
        </w:rPr>
        <w:t xml:space="preserve">                                                                                                             </w:t>
      </w:r>
      <w:r>
        <w:rPr>
          <w:rFonts w:hint="eastAsia" w:ascii="宋体" w:hAnsi="宋体" w:cs="宋体"/>
          <w:kern w:val="0"/>
          <w:sz w:val="20"/>
          <w:szCs w:val="20"/>
          <w:lang w:val="en-US" w:eastAsia="zh-CN"/>
        </w:rPr>
        <w:t xml:space="preserve">  </w:t>
      </w:r>
      <w:r>
        <w:rPr>
          <w:rFonts w:hint="eastAsia" w:ascii="宋体" w:hAnsi="宋体" w:cs="宋体"/>
          <w:kern w:val="0"/>
          <w:sz w:val="20"/>
          <w:szCs w:val="20"/>
        </w:rPr>
        <w:t>单位：万元</w:t>
      </w:r>
    </w:p>
    <w:tbl>
      <w:tblPr>
        <w:tblStyle w:val="6"/>
        <w:tblW w:w="8931" w:type="dxa"/>
        <w:tblInd w:w="-34" w:type="dxa"/>
        <w:tblLayout w:type="fixed"/>
        <w:tblCellMar>
          <w:top w:w="0" w:type="dxa"/>
          <w:left w:w="108" w:type="dxa"/>
          <w:bottom w:w="0" w:type="dxa"/>
          <w:right w:w="108" w:type="dxa"/>
        </w:tblCellMar>
      </w:tblPr>
      <w:tblGrid>
        <w:gridCol w:w="917"/>
        <w:gridCol w:w="2202"/>
        <w:gridCol w:w="1098"/>
        <w:gridCol w:w="900"/>
        <w:gridCol w:w="1095"/>
        <w:gridCol w:w="945"/>
        <w:gridCol w:w="855"/>
        <w:gridCol w:w="919"/>
      </w:tblGrid>
      <w:tr>
        <w:tblPrEx>
          <w:tblCellMar>
            <w:top w:w="0" w:type="dxa"/>
            <w:left w:w="108" w:type="dxa"/>
            <w:bottom w:w="0" w:type="dxa"/>
            <w:right w:w="108" w:type="dxa"/>
          </w:tblCellMar>
        </w:tblPrEx>
        <w:trPr>
          <w:trHeight w:val="690" w:hRule="atLeast"/>
        </w:trPr>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科目编码</w:t>
            </w:r>
          </w:p>
        </w:tc>
        <w:tc>
          <w:tcPr>
            <w:tcW w:w="220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科目名称</w:t>
            </w:r>
          </w:p>
        </w:tc>
        <w:tc>
          <w:tcPr>
            <w:tcW w:w="109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合计</w:t>
            </w:r>
          </w:p>
        </w:tc>
        <w:tc>
          <w:tcPr>
            <w:tcW w:w="9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基本支出</w:t>
            </w:r>
          </w:p>
        </w:tc>
        <w:tc>
          <w:tcPr>
            <w:tcW w:w="109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项目支出</w:t>
            </w:r>
          </w:p>
        </w:tc>
        <w:tc>
          <w:tcPr>
            <w:tcW w:w="94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事业单位经营支出</w:t>
            </w:r>
          </w:p>
        </w:tc>
        <w:tc>
          <w:tcPr>
            <w:tcW w:w="85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上缴上级支出</w:t>
            </w:r>
          </w:p>
        </w:tc>
        <w:tc>
          <w:tcPr>
            <w:tcW w:w="91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对附属单位补助支出</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201</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一般公共服务支出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559.89</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559.89</w:t>
            </w:r>
          </w:p>
        </w:tc>
        <w:tc>
          <w:tcPr>
            <w:tcW w:w="109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20103</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政府办公厅（室）及相关机构事务</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559.89</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559.89</w:t>
            </w:r>
          </w:p>
        </w:tc>
        <w:tc>
          <w:tcPr>
            <w:tcW w:w="109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2010301</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行政运行</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441.01</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441.01</w:t>
            </w:r>
          </w:p>
        </w:tc>
        <w:tc>
          <w:tcPr>
            <w:tcW w:w="109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2010350</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事业运行</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118.88</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118.88</w:t>
            </w:r>
          </w:p>
        </w:tc>
        <w:tc>
          <w:tcPr>
            <w:tcW w:w="109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207</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文化旅游体育与传媒支出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16.26</w:t>
            </w:r>
          </w:p>
        </w:tc>
        <w:tc>
          <w:tcPr>
            <w:tcW w:w="900"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16.26</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20799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其他文化旅游体育与传媒支出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16.26</w:t>
            </w:r>
          </w:p>
        </w:tc>
        <w:tc>
          <w:tcPr>
            <w:tcW w:w="900"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16.26</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2079999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其他文化旅游体育与传媒支出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16.26</w:t>
            </w:r>
          </w:p>
        </w:tc>
        <w:tc>
          <w:tcPr>
            <w:tcW w:w="900"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16.26</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社会保障和就业支出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557.21</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557.21</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20805</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行政事业单位养老支出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60.44</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60.44</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2080505</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机关事业单位基本养老保险缴费支出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38.34</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38.34</w:t>
            </w:r>
          </w:p>
        </w:tc>
        <w:tc>
          <w:tcPr>
            <w:tcW w:w="109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2080506</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机关事业单位职业年金缴费支出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22.10</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22.10</w:t>
            </w:r>
          </w:p>
        </w:tc>
        <w:tc>
          <w:tcPr>
            <w:tcW w:w="109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20808</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抚恤</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221.43</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221.43</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2080805</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义务兵优待</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68.87</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68.87</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2080899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其他优抚支出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152.56</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152.56</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20810</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社会福利</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119.90</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119.90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2081099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其他社会福利支出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119.90</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119.90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20819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最低生活保障</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153.00</w:t>
            </w:r>
          </w:p>
        </w:tc>
        <w:tc>
          <w:tcPr>
            <w:tcW w:w="900" w:type="dxa"/>
            <w:tcBorders>
              <w:top w:val="nil"/>
              <w:left w:val="nil"/>
              <w:bottom w:val="single" w:color="auto" w:sz="4" w:space="0"/>
              <w:right w:val="single" w:color="auto" w:sz="4" w:space="0"/>
            </w:tcBorders>
            <w:shd w:val="clear" w:color="auto" w:fill="auto"/>
            <w:vAlign w:val="center"/>
          </w:tcPr>
          <w:p>
            <w:pPr>
              <w:rPr>
                <w:rFonts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153.00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2081902</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农村最低生活保障金支出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153.00</w:t>
            </w:r>
          </w:p>
        </w:tc>
        <w:tc>
          <w:tcPr>
            <w:tcW w:w="900" w:type="dxa"/>
            <w:tcBorders>
              <w:top w:val="nil"/>
              <w:left w:val="nil"/>
              <w:bottom w:val="single" w:color="auto" w:sz="4" w:space="0"/>
              <w:right w:val="single" w:color="auto" w:sz="4" w:space="0"/>
            </w:tcBorders>
            <w:shd w:val="clear" w:color="auto" w:fill="auto"/>
            <w:vAlign w:val="center"/>
          </w:tcPr>
          <w:p>
            <w:pPr>
              <w:rPr>
                <w:rFonts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153.00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其他社会保障和就业支出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2.44</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2.44</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2089999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其他社会保障和就业支出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2.44</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2.44</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210</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卫生健康支出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17.45</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17.45</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21011</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行政事业单位医疗</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17.45</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17.45</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2101101</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行政单位医疗</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13.31</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13.31</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2101102</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事业单位医疗</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4.13</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4.13</w:t>
            </w:r>
          </w:p>
        </w:tc>
        <w:tc>
          <w:tcPr>
            <w:tcW w:w="109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212</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城乡社区支出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500.00</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500.00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21299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其他城乡社区支出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500.00</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500.00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2029999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其他城乡社区支出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500.00</w:t>
            </w:r>
          </w:p>
        </w:tc>
        <w:tc>
          <w:tcPr>
            <w:tcW w:w="900" w:type="dxa"/>
            <w:tcBorders>
              <w:top w:val="nil"/>
              <w:left w:val="nil"/>
              <w:bottom w:val="single" w:color="auto" w:sz="4" w:space="0"/>
              <w:right w:val="single" w:color="auto" w:sz="4" w:space="0"/>
            </w:tcBorders>
            <w:shd w:val="clear" w:color="auto" w:fill="auto"/>
            <w:vAlign w:val="center"/>
          </w:tcPr>
          <w:p>
            <w:pPr>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500.00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213</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农林水支出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664.15</w:t>
            </w:r>
          </w:p>
        </w:tc>
        <w:tc>
          <w:tcPr>
            <w:tcW w:w="900"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664.15</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21301</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农业农村</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642.35</w:t>
            </w:r>
          </w:p>
        </w:tc>
        <w:tc>
          <w:tcPr>
            <w:tcW w:w="900"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642.35</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2130199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其他农业农村支出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642.35</w:t>
            </w:r>
          </w:p>
        </w:tc>
        <w:tc>
          <w:tcPr>
            <w:tcW w:w="900"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642.35</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21399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其他农林水支出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21.80</w:t>
            </w:r>
          </w:p>
        </w:tc>
        <w:tc>
          <w:tcPr>
            <w:tcW w:w="900"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21.80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2139999</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其他农林水支出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21.80</w:t>
            </w:r>
          </w:p>
        </w:tc>
        <w:tc>
          <w:tcPr>
            <w:tcW w:w="900"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b w:val="0"/>
                <w:bCs w:val="0"/>
                <w:color w:val="000000"/>
                <w:kern w:val="0"/>
                <w:sz w:val="20"/>
                <w:szCs w:val="20"/>
              </w:rPr>
            </w:pP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21.80</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val="0"/>
                <w:bCs w:val="0"/>
                <w:color w:val="000000"/>
                <w:kern w:val="0"/>
                <w:sz w:val="20"/>
                <w:szCs w:val="20"/>
                <w:lang w:val="en-US" w:eastAsia="zh-CN"/>
              </w:rPr>
            </w:pPr>
            <w:r>
              <w:rPr>
                <w:rFonts w:hint="eastAsia" w:ascii="宋体" w:hAnsi="宋体" w:eastAsia="宋体" w:cs="宋体"/>
                <w:b w:val="0"/>
                <w:bCs w:val="0"/>
                <w:color w:val="000000"/>
                <w:kern w:val="0"/>
                <w:sz w:val="20"/>
                <w:szCs w:val="20"/>
                <w:lang w:val="en-US" w:eastAsia="zh-CN"/>
              </w:rPr>
              <w:t>221</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val="0"/>
                <w:bCs w:val="0"/>
                <w:color w:val="000000"/>
                <w:kern w:val="0"/>
                <w:sz w:val="20"/>
                <w:szCs w:val="20"/>
                <w:lang w:val="en-US"/>
              </w:rPr>
            </w:pPr>
            <w:r>
              <w:rPr>
                <w:rFonts w:hint="eastAsia" w:ascii="宋体" w:hAnsi="宋体" w:eastAsia="宋体" w:cs="宋体"/>
                <w:b w:val="0"/>
                <w:bCs w:val="0"/>
                <w:i w:val="0"/>
                <w:iCs w:val="0"/>
                <w:color w:val="000000"/>
                <w:kern w:val="0"/>
                <w:sz w:val="20"/>
                <w:szCs w:val="20"/>
                <w:u w:val="none"/>
                <w:lang w:val="en-US" w:eastAsia="zh-CN" w:bidi="ar"/>
              </w:rPr>
              <w:t>住房保障支出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color w:val="000000"/>
                <w:kern w:val="0"/>
                <w:sz w:val="20"/>
                <w:szCs w:val="20"/>
                <w:lang w:val="en-US"/>
              </w:rPr>
            </w:pPr>
            <w:r>
              <w:rPr>
                <w:rFonts w:hint="eastAsia" w:ascii="宋体" w:hAnsi="宋体" w:eastAsia="宋体" w:cs="宋体"/>
                <w:b w:val="0"/>
                <w:bCs w:val="0"/>
                <w:i w:val="0"/>
                <w:iCs w:val="0"/>
                <w:color w:val="000000"/>
                <w:kern w:val="0"/>
                <w:sz w:val="20"/>
                <w:szCs w:val="20"/>
                <w:u w:val="none"/>
                <w:lang w:val="en-US" w:eastAsia="zh-CN" w:bidi="ar"/>
              </w:rPr>
              <w:t>59.77</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59.77</w:t>
            </w: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color w:val="000000"/>
                <w:kern w:val="0"/>
                <w:sz w:val="20"/>
                <w:szCs w:val="20"/>
                <w:lang w:val="en-US"/>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val="0"/>
                <w:bCs w:val="0"/>
                <w:color w:val="000000"/>
                <w:kern w:val="0"/>
                <w:sz w:val="20"/>
                <w:szCs w:val="20"/>
                <w:lang w:val="en-US" w:eastAsia="zh-CN"/>
              </w:rPr>
            </w:pPr>
            <w:r>
              <w:rPr>
                <w:rFonts w:hint="eastAsia" w:ascii="宋体" w:hAnsi="宋体" w:eastAsia="宋体" w:cs="宋体"/>
                <w:b w:val="0"/>
                <w:bCs w:val="0"/>
                <w:color w:val="000000"/>
                <w:kern w:val="0"/>
                <w:sz w:val="20"/>
                <w:szCs w:val="20"/>
                <w:lang w:val="en-US" w:eastAsia="zh-CN"/>
              </w:rPr>
              <w:t>22102</w:t>
            </w:r>
          </w:p>
        </w:tc>
        <w:tc>
          <w:tcPr>
            <w:tcW w:w="2202"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val="0"/>
                <w:bCs w:val="0"/>
                <w:color w:val="000000"/>
                <w:kern w:val="0"/>
                <w:sz w:val="20"/>
                <w:szCs w:val="20"/>
              </w:rPr>
            </w:pPr>
            <w:r>
              <w:rPr>
                <w:rFonts w:hint="eastAsia" w:ascii="宋体" w:hAnsi="宋体" w:eastAsia="宋体" w:cs="宋体"/>
                <w:b w:val="0"/>
                <w:bCs w:val="0"/>
                <w:i w:val="0"/>
                <w:iCs w:val="0"/>
                <w:color w:val="000000"/>
                <w:kern w:val="0"/>
                <w:sz w:val="20"/>
                <w:szCs w:val="20"/>
                <w:u w:val="none"/>
                <w:lang w:val="en-US" w:eastAsia="zh-CN" w:bidi="ar"/>
              </w:rPr>
              <w:t>住房保障支出</w:t>
            </w:r>
          </w:p>
        </w:tc>
        <w:tc>
          <w:tcPr>
            <w:tcW w:w="109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color w:val="000000"/>
                <w:kern w:val="0"/>
                <w:sz w:val="20"/>
                <w:szCs w:val="20"/>
                <w:lang w:val="en-US"/>
              </w:rPr>
            </w:pPr>
            <w:r>
              <w:rPr>
                <w:rFonts w:hint="eastAsia" w:ascii="宋体" w:hAnsi="宋体" w:eastAsia="宋体" w:cs="宋体"/>
                <w:b w:val="0"/>
                <w:bCs w:val="0"/>
                <w:i w:val="0"/>
                <w:iCs w:val="0"/>
                <w:color w:val="000000"/>
                <w:kern w:val="0"/>
                <w:sz w:val="20"/>
                <w:szCs w:val="20"/>
                <w:u w:val="none"/>
                <w:lang w:val="en-US" w:eastAsia="zh-CN" w:bidi="ar"/>
              </w:rPr>
              <w:t>59.77</w:t>
            </w:r>
          </w:p>
        </w:tc>
        <w:tc>
          <w:tcPr>
            <w:tcW w:w="9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val="0"/>
                <w:bCs w:val="0"/>
                <w:color w:val="000000"/>
                <w:kern w:val="0"/>
                <w:sz w:val="20"/>
                <w:szCs w:val="20"/>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59.77</w:t>
            </w:r>
          </w:p>
        </w:tc>
        <w:tc>
          <w:tcPr>
            <w:tcW w:w="10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color w:val="000000"/>
                <w:kern w:val="0"/>
                <w:sz w:val="20"/>
                <w:szCs w:val="20"/>
                <w:lang w:val="en-US"/>
              </w:rPr>
            </w:pP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2010201</w:t>
            </w:r>
          </w:p>
        </w:tc>
        <w:tc>
          <w:tcPr>
            <w:tcW w:w="2202" w:type="dxa"/>
            <w:tcBorders>
              <w:top w:val="nil"/>
              <w:left w:val="nil"/>
              <w:bottom w:val="single" w:color="auto" w:sz="4" w:space="0"/>
              <w:right w:val="single" w:color="auto" w:sz="4" w:space="0"/>
            </w:tcBorders>
            <w:shd w:val="clear" w:color="auto" w:fill="auto"/>
            <w:vAlign w:val="center"/>
          </w:tcPr>
          <w:p>
            <w:pPr>
              <w:widowControl/>
              <w:jc w:val="left"/>
              <w:rPr>
                <w:rFonts w:hint="default" w:ascii="宋体" w:hAnsi="宋体" w:eastAsia="宋体" w:cs="宋体"/>
                <w:color w:val="000000"/>
                <w:kern w:val="0"/>
                <w:sz w:val="20"/>
                <w:szCs w:val="20"/>
                <w:lang w:val="en-US" w:eastAsia="zh-CN"/>
              </w:rPr>
            </w:pPr>
            <w:r>
              <w:rPr>
                <w:rFonts w:hint="eastAsia" w:ascii="宋体" w:hAnsi="宋体" w:eastAsia="宋体" w:cs="宋体"/>
                <w:color w:val="000000"/>
                <w:kern w:val="0"/>
                <w:sz w:val="20"/>
                <w:szCs w:val="20"/>
                <w:lang w:val="en-US" w:eastAsia="zh-CN"/>
              </w:rPr>
              <w:t>住房公积金</w:t>
            </w:r>
          </w:p>
        </w:tc>
        <w:tc>
          <w:tcPr>
            <w:tcW w:w="1098"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59.77</w:t>
            </w:r>
            <w:r>
              <w:rPr>
                <w:rFonts w:hint="eastAsia" w:ascii="宋体" w:hAnsi="宋体" w:eastAsia="宋体" w:cs="宋体"/>
                <w:color w:val="000000"/>
                <w:kern w:val="0"/>
                <w:sz w:val="20"/>
                <w:szCs w:val="20"/>
              </w:rPr>
              <w:t>　</w:t>
            </w:r>
          </w:p>
        </w:tc>
        <w:tc>
          <w:tcPr>
            <w:tcW w:w="90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59.77</w:t>
            </w:r>
            <w:r>
              <w:rPr>
                <w:rFonts w:hint="eastAsia" w:ascii="宋体" w:hAnsi="宋体" w:eastAsia="宋体" w:cs="宋体"/>
                <w:color w:val="000000"/>
                <w:kern w:val="0"/>
                <w:sz w:val="20"/>
                <w:szCs w:val="20"/>
              </w:rPr>
              <w:t>　</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szCs w:val="22"/>
              </w:rPr>
            </w:pPr>
            <w:r>
              <w:rPr>
                <w:rFonts w:hint="eastAsia" w:ascii="宋体" w:hAnsi="宋体" w:eastAsia="宋体" w:cs="宋体"/>
                <w:color w:val="000000"/>
                <w:kern w:val="0"/>
                <w:sz w:val="22"/>
                <w:szCs w:val="22"/>
              </w:rPr>
              <w:t>　</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91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220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rPr>
              <w:t xml:space="preserve">    合      计</w:t>
            </w:r>
          </w:p>
        </w:tc>
        <w:tc>
          <w:tcPr>
            <w:tcW w:w="1098"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2374.73</w:t>
            </w:r>
            <w:r>
              <w:rPr>
                <w:rFonts w:hint="eastAsia" w:ascii="宋体" w:hAnsi="宋体" w:eastAsia="宋体" w:cs="宋体"/>
                <w:b/>
                <w:bCs/>
                <w:color w:val="000000"/>
                <w:kern w:val="0"/>
                <w:sz w:val="22"/>
              </w:rPr>
              <w:t>　</w:t>
            </w:r>
          </w:p>
        </w:tc>
        <w:tc>
          <w:tcPr>
            <w:tcW w:w="90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699.99</w:t>
            </w:r>
            <w:r>
              <w:rPr>
                <w:rFonts w:hint="eastAsia" w:ascii="宋体" w:hAnsi="宋体" w:eastAsia="宋体" w:cs="宋体"/>
                <w:b/>
                <w:bCs/>
                <w:color w:val="000000"/>
                <w:kern w:val="0"/>
                <w:sz w:val="22"/>
              </w:rPr>
              <w:t>　</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1674.74</w:t>
            </w:r>
            <w:r>
              <w:rPr>
                <w:rFonts w:hint="eastAsia" w:ascii="宋体" w:hAnsi="宋体" w:eastAsia="宋体" w:cs="宋体"/>
                <w:b/>
                <w:bCs/>
                <w:color w:val="000000"/>
                <w:kern w:val="0"/>
                <w:sz w:val="22"/>
              </w:rPr>
              <w:t>　</w:t>
            </w:r>
          </w:p>
        </w:tc>
        <w:tc>
          <w:tcPr>
            <w:tcW w:w="94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85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91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r>
    </w:tbl>
    <w:p/>
    <w:p>
      <w:pPr>
        <w:rPr>
          <w:rFonts w:ascii="宋体" w:hAnsi="宋体" w:cs="宋体"/>
          <w:kern w:val="0"/>
          <w:sz w:val="20"/>
          <w:szCs w:val="20"/>
        </w:rPr>
      </w:pPr>
      <w:r>
        <w:rPr>
          <w:rFonts w:hint="eastAsia" w:ascii="宋体" w:hAnsi="宋体" w:cs="宋体"/>
          <w:kern w:val="0"/>
          <w:sz w:val="20"/>
          <w:szCs w:val="20"/>
        </w:rPr>
        <w:t xml:space="preserve">                                                               部门</w:t>
      </w:r>
      <w:r>
        <w:rPr>
          <w:rFonts w:hint="eastAsia" w:ascii="宋体" w:hAnsi="宋体" w:cs="宋体"/>
          <w:kern w:val="0"/>
          <w:sz w:val="20"/>
          <w:szCs w:val="20"/>
          <w:u w:val="single"/>
        </w:rPr>
        <w:t>（单位）</w:t>
      </w:r>
      <w:r>
        <w:rPr>
          <w:rFonts w:hint="eastAsia" w:ascii="宋体" w:hAnsi="宋体" w:cs="宋体"/>
          <w:kern w:val="0"/>
          <w:sz w:val="20"/>
          <w:szCs w:val="20"/>
        </w:rPr>
        <w:t>公开表4</w:t>
      </w:r>
    </w:p>
    <w:p>
      <w:pPr>
        <w:widowControl/>
        <w:ind w:firstLine="150" w:firstLineChars="50"/>
        <w:jc w:val="center"/>
        <w:rPr>
          <w:rFonts w:ascii="华文中宋" w:hAnsi="华文中宋" w:eastAsia="华文中宋" w:cs="宋体"/>
          <w:b/>
          <w:bCs/>
          <w:kern w:val="0"/>
          <w:sz w:val="30"/>
          <w:szCs w:val="30"/>
        </w:rPr>
      </w:pPr>
      <w:r>
        <w:rPr>
          <w:rFonts w:hint="eastAsia" w:ascii="华文中宋" w:hAnsi="华文中宋" w:eastAsia="华文中宋" w:cs="宋体"/>
          <w:b/>
          <w:bCs/>
          <w:kern w:val="0"/>
          <w:sz w:val="30"/>
          <w:szCs w:val="30"/>
        </w:rPr>
        <w:t>青阳县</w:t>
      </w:r>
      <w:r>
        <w:rPr>
          <w:rFonts w:hint="eastAsia" w:ascii="华文中宋" w:hAnsi="华文中宋" w:eastAsia="华文中宋" w:cs="宋体"/>
          <w:b/>
          <w:bCs/>
          <w:kern w:val="0"/>
          <w:sz w:val="30"/>
          <w:szCs w:val="30"/>
          <w:lang w:val="en-US" w:eastAsia="zh-CN"/>
        </w:rPr>
        <w:t>木镇镇人民政府</w:t>
      </w:r>
      <w:r>
        <w:rPr>
          <w:rFonts w:hint="eastAsia" w:ascii="华文中宋" w:hAnsi="华文中宋" w:eastAsia="华文中宋" w:cs="宋体"/>
          <w:b/>
          <w:bCs/>
          <w:kern w:val="0"/>
          <w:sz w:val="30"/>
          <w:szCs w:val="30"/>
        </w:rPr>
        <w:t>2023年财政拨款收支总表</w:t>
      </w:r>
    </w:p>
    <w:p>
      <w:pPr>
        <w:ind w:left="7400" w:hanging="7400" w:hangingChars="3700"/>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8340" w:type="dxa"/>
        <w:tblInd w:w="93" w:type="dxa"/>
        <w:tblLayout w:type="fixed"/>
        <w:tblCellMar>
          <w:top w:w="0" w:type="dxa"/>
          <w:left w:w="108" w:type="dxa"/>
          <w:bottom w:w="0" w:type="dxa"/>
          <w:right w:w="108" w:type="dxa"/>
        </w:tblCellMar>
      </w:tblPr>
      <w:tblGrid>
        <w:gridCol w:w="2718"/>
        <w:gridCol w:w="1059"/>
        <w:gridCol w:w="3468"/>
        <w:gridCol w:w="1095"/>
      </w:tblGrid>
      <w:tr>
        <w:tblPrEx>
          <w:tblCellMar>
            <w:top w:w="0" w:type="dxa"/>
            <w:left w:w="108" w:type="dxa"/>
            <w:bottom w:w="0" w:type="dxa"/>
            <w:right w:w="108" w:type="dxa"/>
          </w:tblCellMar>
        </w:tblPrEx>
        <w:trPr>
          <w:trHeight w:val="319" w:hRule="atLeast"/>
        </w:trPr>
        <w:tc>
          <w:tcPr>
            <w:tcW w:w="377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收      入</w:t>
            </w:r>
          </w:p>
        </w:tc>
        <w:tc>
          <w:tcPr>
            <w:tcW w:w="4563"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支      出</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项目</w:t>
            </w:r>
          </w:p>
        </w:tc>
        <w:tc>
          <w:tcPr>
            <w:tcW w:w="105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预算数</w:t>
            </w:r>
          </w:p>
        </w:tc>
        <w:tc>
          <w:tcPr>
            <w:tcW w:w="346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项目</w:t>
            </w:r>
          </w:p>
        </w:tc>
        <w:tc>
          <w:tcPr>
            <w:tcW w:w="10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预算数</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一、本年收入</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一、本年支出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（一）一般公共预算拨款</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（一）一般公共服务支出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559.89</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（二）政府性基金预算拨款</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（二）外交支出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（三）国有资本经营预算拨款</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（三）国防支出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（四）公共安全支出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二、上年结转</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（五）教育支出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（一）一般公共预算拨款</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（六）科学技术支出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（二）政府性基金预算拨款</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（七）文化旅游体育与传媒支出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26.26</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（三）国有资本经营预算拨款</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（八）社会保障和就业支出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557.21</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（九）卫生健康支出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17.45</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（十）节能环保支出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（十一）城乡社区支出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500</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（十二）农林水支出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664.15</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nil"/>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（十三）交通运输支出</w:t>
            </w:r>
          </w:p>
        </w:tc>
        <w:tc>
          <w:tcPr>
            <w:tcW w:w="1095"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（十四）资源勘探工业信息等支出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（十五）商业服务业等支出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（十六）金融支出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（十七）援助其他地区支出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（十八）自然资源海洋气象等支出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（十九）住房保障支出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59.77</w:t>
            </w: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（二十）粮油物资储备支出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（二十一）灾害防治及应急管理支出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（二十二）预备费</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（二十三）其他支出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（二十四）转移性支出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（二十五）债务还本支出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（二十六）债务付息支出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（二十七）债务发行费用支出</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二、年终结转结余</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（一）一般公共预算结转结余</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（二）政府性基金预算结转结余</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（三）国有资本经营预算结转结余</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r>
      <w:tr>
        <w:tblPrEx>
          <w:tblCellMar>
            <w:top w:w="0" w:type="dxa"/>
            <w:left w:w="108" w:type="dxa"/>
            <w:bottom w:w="0" w:type="dxa"/>
            <w:right w:w="108" w:type="dxa"/>
          </w:tblCellMar>
        </w:tblPrEx>
        <w:trPr>
          <w:trHeight w:val="319" w:hRule="atLeast"/>
        </w:trPr>
        <w:tc>
          <w:tcPr>
            <w:tcW w:w="271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收    入    总    计</w:t>
            </w:r>
          </w:p>
        </w:tc>
        <w:tc>
          <w:tcPr>
            <w:tcW w:w="10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lang w:val="en-US" w:eastAsia="zh-CN"/>
              </w:rPr>
              <w:t>2374.73</w:t>
            </w:r>
            <w:r>
              <w:rPr>
                <w:rFonts w:hint="eastAsia" w:ascii="宋体" w:hAnsi="宋体" w:eastAsia="宋体" w:cs="宋体"/>
                <w:b/>
                <w:bCs/>
                <w:color w:val="000000"/>
                <w:kern w:val="0"/>
                <w:sz w:val="20"/>
                <w:szCs w:val="20"/>
              </w:rPr>
              <w:t>　</w:t>
            </w:r>
          </w:p>
        </w:tc>
        <w:tc>
          <w:tcPr>
            <w:tcW w:w="346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支    出    总    计</w:t>
            </w:r>
          </w:p>
        </w:tc>
        <w:tc>
          <w:tcPr>
            <w:tcW w:w="109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lang w:val="en-US" w:eastAsia="zh-CN"/>
              </w:rPr>
              <w:t>2374.73</w:t>
            </w:r>
            <w:r>
              <w:rPr>
                <w:rFonts w:hint="eastAsia" w:ascii="宋体" w:hAnsi="宋体" w:eastAsia="宋体" w:cs="宋体"/>
                <w:color w:val="000000"/>
                <w:kern w:val="0"/>
                <w:sz w:val="20"/>
                <w:szCs w:val="20"/>
              </w:rPr>
              <w:t>　</w:t>
            </w:r>
          </w:p>
        </w:tc>
      </w:tr>
    </w:tbl>
    <w:p>
      <w:pPr>
        <w:ind w:firstLine="6300" w:firstLineChars="3150"/>
        <w:rPr>
          <w:rFonts w:ascii="宋体" w:hAnsi="宋体" w:cs="宋体"/>
          <w:kern w:val="0"/>
          <w:sz w:val="20"/>
          <w:szCs w:val="20"/>
        </w:rPr>
      </w:pPr>
    </w:p>
    <w:p>
      <w:pPr>
        <w:rPr>
          <w:rFonts w:ascii="宋体" w:hAnsi="宋体" w:cs="宋体"/>
          <w:kern w:val="0"/>
          <w:sz w:val="20"/>
          <w:szCs w:val="20"/>
        </w:rPr>
      </w:pPr>
    </w:p>
    <w:p>
      <w:pPr>
        <w:ind w:firstLine="6300" w:firstLineChars="3150"/>
        <w:rPr>
          <w:rFonts w:ascii="宋体" w:hAnsi="宋体" w:cs="宋体"/>
          <w:kern w:val="0"/>
          <w:sz w:val="20"/>
          <w:szCs w:val="20"/>
        </w:rPr>
      </w:pPr>
      <w:r>
        <w:rPr>
          <w:rFonts w:hint="eastAsia" w:ascii="宋体" w:hAnsi="宋体" w:cs="宋体"/>
          <w:kern w:val="0"/>
          <w:sz w:val="20"/>
          <w:szCs w:val="20"/>
        </w:rPr>
        <w:t>部门</w:t>
      </w:r>
      <w:r>
        <w:rPr>
          <w:rFonts w:hint="eastAsia" w:ascii="宋体" w:hAnsi="宋体" w:cs="宋体"/>
          <w:kern w:val="0"/>
          <w:sz w:val="20"/>
          <w:szCs w:val="20"/>
          <w:u w:val="single"/>
        </w:rPr>
        <w:t>（单位）</w:t>
      </w:r>
      <w:r>
        <w:rPr>
          <w:rFonts w:hint="eastAsia" w:ascii="宋体" w:hAnsi="宋体" w:cs="宋体"/>
          <w:kern w:val="0"/>
          <w:sz w:val="20"/>
          <w:szCs w:val="20"/>
        </w:rPr>
        <w:t>公开表5</w:t>
      </w:r>
    </w:p>
    <w:p>
      <w:pPr>
        <w:widowControl/>
        <w:jc w:val="center"/>
        <w:rPr>
          <w:rFonts w:ascii="华文中宋" w:hAnsi="华文中宋" w:eastAsia="华文中宋" w:cs="宋体"/>
          <w:b/>
          <w:bCs/>
          <w:kern w:val="0"/>
          <w:sz w:val="28"/>
          <w:szCs w:val="28"/>
        </w:rPr>
      </w:pPr>
      <w:r>
        <w:rPr>
          <w:rFonts w:hint="eastAsia" w:ascii="华文中宋" w:hAnsi="华文中宋" w:eastAsia="华文中宋" w:cs="宋体"/>
          <w:b/>
          <w:bCs/>
          <w:kern w:val="0"/>
          <w:sz w:val="28"/>
          <w:szCs w:val="28"/>
        </w:rPr>
        <w:t>青阳县</w:t>
      </w:r>
      <w:r>
        <w:rPr>
          <w:rFonts w:hint="eastAsia" w:ascii="华文中宋" w:hAnsi="华文中宋" w:eastAsia="华文中宋" w:cs="宋体"/>
          <w:b/>
          <w:bCs/>
          <w:kern w:val="0"/>
          <w:sz w:val="28"/>
          <w:szCs w:val="28"/>
          <w:lang w:val="en-US" w:eastAsia="zh-CN"/>
        </w:rPr>
        <w:t>木镇镇人民政府</w:t>
      </w:r>
      <w:r>
        <w:rPr>
          <w:rFonts w:hint="eastAsia" w:ascii="华文中宋" w:hAnsi="华文中宋" w:eastAsia="华文中宋" w:cs="宋体"/>
          <w:b/>
          <w:bCs/>
          <w:kern w:val="0"/>
          <w:sz w:val="28"/>
          <w:szCs w:val="28"/>
        </w:rPr>
        <w:t>2023年一般公共预算支出表</w:t>
      </w:r>
    </w:p>
    <w:p>
      <w:pPr>
        <w:ind w:left="7400" w:hanging="7400" w:hangingChars="3700"/>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9080" w:type="dxa"/>
        <w:tblInd w:w="100" w:type="dxa"/>
        <w:tblLayout w:type="fixed"/>
        <w:tblCellMar>
          <w:top w:w="0" w:type="dxa"/>
          <w:left w:w="108" w:type="dxa"/>
          <w:bottom w:w="0" w:type="dxa"/>
          <w:right w:w="108" w:type="dxa"/>
        </w:tblCellMar>
      </w:tblPr>
      <w:tblGrid>
        <w:gridCol w:w="1231"/>
        <w:gridCol w:w="2225"/>
        <w:gridCol w:w="1124"/>
        <w:gridCol w:w="1125"/>
        <w:gridCol w:w="1125"/>
        <w:gridCol w:w="1125"/>
        <w:gridCol w:w="1125"/>
      </w:tblGrid>
      <w:tr>
        <w:tblPrEx>
          <w:tblCellMar>
            <w:top w:w="0" w:type="dxa"/>
            <w:left w:w="108" w:type="dxa"/>
            <w:bottom w:w="0" w:type="dxa"/>
            <w:right w:w="108" w:type="dxa"/>
          </w:tblCellMar>
        </w:tblPrEx>
        <w:trPr>
          <w:trHeight w:val="360" w:hRule="atLeast"/>
        </w:trPr>
        <w:tc>
          <w:tcPr>
            <w:tcW w:w="1231" w:type="dxa"/>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科目编码</w:t>
            </w:r>
          </w:p>
        </w:tc>
        <w:tc>
          <w:tcPr>
            <w:tcW w:w="2225" w:type="dxa"/>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科目名称</w:t>
            </w:r>
          </w:p>
        </w:tc>
        <w:tc>
          <w:tcPr>
            <w:tcW w:w="1124"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合计</w:t>
            </w:r>
          </w:p>
        </w:tc>
        <w:tc>
          <w:tcPr>
            <w:tcW w:w="3375"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基本支出</w:t>
            </w:r>
          </w:p>
        </w:tc>
        <w:tc>
          <w:tcPr>
            <w:tcW w:w="1125" w:type="dxa"/>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项目支出</w:t>
            </w:r>
          </w:p>
        </w:tc>
      </w:tr>
      <w:tr>
        <w:tblPrEx>
          <w:tblCellMar>
            <w:top w:w="0" w:type="dxa"/>
            <w:left w:w="108" w:type="dxa"/>
            <w:bottom w:w="0" w:type="dxa"/>
            <w:right w:w="108" w:type="dxa"/>
          </w:tblCellMar>
        </w:tblPrEx>
        <w:trPr>
          <w:trHeight w:val="360" w:hRule="atLeast"/>
        </w:trPr>
        <w:tc>
          <w:tcPr>
            <w:tcW w:w="1231"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宋体"/>
                <w:b/>
                <w:bCs/>
                <w:color w:val="000000"/>
                <w:kern w:val="0"/>
                <w:sz w:val="22"/>
              </w:rPr>
            </w:pPr>
          </w:p>
        </w:tc>
        <w:tc>
          <w:tcPr>
            <w:tcW w:w="2225"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宋体"/>
                <w:b/>
                <w:bCs/>
                <w:color w:val="000000"/>
                <w:kern w:val="0"/>
                <w:sz w:val="22"/>
              </w:rPr>
            </w:pPr>
          </w:p>
        </w:tc>
        <w:tc>
          <w:tcPr>
            <w:tcW w:w="1124"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ascii="宋体" w:hAnsi="宋体" w:eastAsia="宋体" w:cs="宋体"/>
                <w:b/>
                <w:bCs/>
                <w:color w:val="000000"/>
                <w:kern w:val="0"/>
                <w:sz w:val="22"/>
              </w:rPr>
            </w:pPr>
          </w:p>
        </w:tc>
        <w:tc>
          <w:tcPr>
            <w:tcW w:w="112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小计</w:t>
            </w:r>
          </w:p>
        </w:tc>
        <w:tc>
          <w:tcPr>
            <w:tcW w:w="112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人员经费</w:t>
            </w:r>
          </w:p>
        </w:tc>
        <w:tc>
          <w:tcPr>
            <w:tcW w:w="112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公用经费</w:t>
            </w:r>
          </w:p>
        </w:tc>
        <w:tc>
          <w:tcPr>
            <w:tcW w:w="1125"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宋体"/>
                <w:b/>
                <w:bCs/>
                <w:color w:val="000000"/>
                <w:kern w:val="0"/>
                <w:sz w:val="22"/>
              </w:rPr>
            </w:pPr>
          </w:p>
        </w:tc>
      </w:tr>
      <w:tr>
        <w:tblPrEx>
          <w:tblCellMar>
            <w:top w:w="0" w:type="dxa"/>
            <w:left w:w="108" w:type="dxa"/>
            <w:bottom w:w="0" w:type="dxa"/>
            <w:right w:w="108" w:type="dxa"/>
          </w:tblCellMar>
        </w:tblPrEx>
        <w:trPr>
          <w:trHeight w:val="360" w:hRule="atLeast"/>
        </w:trPr>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201</w:t>
            </w: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一般公共服务支出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559.89</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559.89</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446.54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113.35</w:t>
            </w:r>
          </w:p>
        </w:tc>
        <w:tc>
          <w:tcPr>
            <w:tcW w:w="1125" w:type="dxa"/>
            <w:tcBorders>
              <w:top w:val="single" w:color="auto" w:sz="4" w:space="0"/>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20103</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政府办公厅（室）及相关机构事务</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559.89</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559.89</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446.54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113.35</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2010301</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行政运行</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441.01</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441.01</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347.47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93.55</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2010350</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事业运行</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118.88</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118.88</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99.08</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19.80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207</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文化旅游体育与传媒支出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16.26</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16.26</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20799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其他文化旅游体育与传媒支出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16.26</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16.26</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2079999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其他文化旅游体育与传媒支出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16.26</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16.26</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社会保障和就业支出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62.88</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62.88</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62.88</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20805</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行政事业单位养老支出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60.44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60.44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60.44</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2080505</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机关事业单位基本养老保险缴费支出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38.34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38.34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38.34</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2080506</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机关事业单位职业年金缴费支出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22.10</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22.10</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20808</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抚恤</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221.43</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221.43</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2080805</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义务兵优待</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68.87</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68.87</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2080899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其他优抚支出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152.56</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152.56</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20810</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社会福利</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119.90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119.90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2081099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其他社会福利支出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119.90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119.90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20819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最低生活保障</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153.00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153.00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2081902</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农村最低生活保障金支出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153.00</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153.00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其他社会保障和就业支出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2089999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其他社会保障和就业支出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210</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卫生健康支出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21011</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行政事业单位医疗</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2101101</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行政单位医疗</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13.31</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13.31</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13.31</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2101102</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事业单位医疗</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4.13</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4.13</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4.13</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212</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城乡社区支出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500.00</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500.00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21299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其他城乡社区支出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500.00</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500.00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2029999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其他城乡社区支出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500.00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500.00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213</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农林水支出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664.15</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664.15</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21301</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农业农村</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642.35</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642.35</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2130199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其他农业农村支出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642.35</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642.35</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21399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其他农林水支出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21.80</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21.80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2139999</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其他农林水支出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21.80</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21.80</w:t>
            </w: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住房保障支出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22102</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住房改革支出</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2210201</w:t>
            </w:r>
          </w:p>
        </w:tc>
        <w:tc>
          <w:tcPr>
            <w:tcW w:w="22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住房公积金</w:t>
            </w:r>
          </w:p>
        </w:tc>
        <w:tc>
          <w:tcPr>
            <w:tcW w:w="112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c>
          <w:tcPr>
            <w:tcW w:w="1125"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color w:val="000000"/>
                <w:kern w:val="0"/>
                <w:sz w:val="20"/>
                <w:szCs w:val="20"/>
              </w:rPr>
            </w:pPr>
          </w:p>
        </w:tc>
      </w:tr>
      <w:tr>
        <w:tblPrEx>
          <w:tblCellMar>
            <w:top w:w="0" w:type="dxa"/>
            <w:left w:w="108" w:type="dxa"/>
            <w:bottom w:w="0" w:type="dxa"/>
            <w:right w:w="108" w:type="dxa"/>
          </w:tblCellMar>
        </w:tblPrEx>
        <w:trPr>
          <w:trHeight w:val="360" w:hRule="atLeast"/>
        </w:trPr>
        <w:tc>
          <w:tcPr>
            <w:tcW w:w="1231"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222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rPr>
              <w:t xml:space="preserve">    合      计</w:t>
            </w:r>
          </w:p>
        </w:tc>
        <w:tc>
          <w:tcPr>
            <w:tcW w:w="112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2374.73</w:t>
            </w:r>
            <w:r>
              <w:rPr>
                <w:rFonts w:hint="eastAsia" w:ascii="宋体" w:hAnsi="宋体" w:eastAsia="宋体" w:cs="宋体"/>
                <w:b/>
                <w:bCs/>
                <w:color w:val="000000"/>
                <w:kern w:val="0"/>
                <w:sz w:val="22"/>
              </w:rPr>
              <w:t>　</w:t>
            </w:r>
          </w:p>
        </w:tc>
        <w:tc>
          <w:tcPr>
            <w:tcW w:w="11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699.99</w:t>
            </w:r>
            <w:r>
              <w:rPr>
                <w:rFonts w:hint="eastAsia" w:ascii="宋体" w:hAnsi="宋体" w:eastAsia="宋体" w:cs="宋体"/>
                <w:b/>
                <w:bCs/>
                <w:color w:val="000000"/>
                <w:kern w:val="0"/>
                <w:sz w:val="22"/>
              </w:rPr>
              <w:t>　</w:t>
            </w:r>
          </w:p>
        </w:tc>
        <w:tc>
          <w:tcPr>
            <w:tcW w:w="11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586.64</w:t>
            </w:r>
            <w:r>
              <w:rPr>
                <w:rFonts w:hint="eastAsia" w:ascii="宋体" w:hAnsi="宋体" w:eastAsia="宋体" w:cs="宋体"/>
                <w:b/>
                <w:bCs/>
                <w:color w:val="000000"/>
                <w:kern w:val="0"/>
                <w:sz w:val="22"/>
              </w:rPr>
              <w:t>　</w:t>
            </w:r>
          </w:p>
        </w:tc>
        <w:tc>
          <w:tcPr>
            <w:tcW w:w="11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113.35</w:t>
            </w:r>
            <w:r>
              <w:rPr>
                <w:rFonts w:hint="eastAsia" w:ascii="宋体" w:hAnsi="宋体" w:eastAsia="宋体" w:cs="宋体"/>
                <w:b/>
                <w:bCs/>
                <w:color w:val="000000"/>
                <w:kern w:val="0"/>
                <w:sz w:val="22"/>
              </w:rPr>
              <w:t>　</w:t>
            </w:r>
          </w:p>
        </w:tc>
        <w:tc>
          <w:tcPr>
            <w:tcW w:w="11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1674.74</w:t>
            </w:r>
            <w:r>
              <w:rPr>
                <w:rFonts w:hint="eastAsia" w:ascii="宋体" w:hAnsi="宋体" w:eastAsia="宋体" w:cs="宋体"/>
                <w:b/>
                <w:bCs/>
                <w:color w:val="000000"/>
                <w:kern w:val="0"/>
                <w:sz w:val="22"/>
              </w:rPr>
              <w:t>　</w:t>
            </w:r>
          </w:p>
        </w:tc>
      </w:tr>
    </w:tbl>
    <w:p>
      <w:pPr>
        <w:ind w:left="7400" w:hanging="7400" w:hangingChars="3700"/>
        <w:rPr>
          <w:rFonts w:ascii="宋体" w:hAnsi="宋体" w:cs="宋体"/>
          <w:kern w:val="0"/>
          <w:sz w:val="20"/>
          <w:szCs w:val="20"/>
        </w:rPr>
      </w:pPr>
    </w:p>
    <w:p/>
    <w:p/>
    <w:p/>
    <w:p/>
    <w:p/>
    <w:p/>
    <w:p/>
    <w:p/>
    <w:p/>
    <w:p/>
    <w:p/>
    <w:p/>
    <w:p/>
    <w:p/>
    <w:p/>
    <w:p/>
    <w:p>
      <w:pPr>
        <w:ind w:left="903" w:leftChars="430" w:firstLine="5400" w:firstLineChars="2700"/>
        <w:rPr>
          <w:rFonts w:ascii="宋体" w:hAnsi="宋体" w:cs="宋体"/>
          <w:kern w:val="0"/>
          <w:sz w:val="20"/>
          <w:szCs w:val="20"/>
        </w:rPr>
      </w:pPr>
    </w:p>
    <w:p>
      <w:pPr>
        <w:ind w:left="903" w:leftChars="430" w:firstLine="5400" w:firstLineChars="2700"/>
        <w:rPr>
          <w:rFonts w:ascii="宋体" w:hAnsi="宋体" w:cs="宋体"/>
          <w:kern w:val="0"/>
          <w:sz w:val="20"/>
          <w:szCs w:val="20"/>
        </w:rPr>
      </w:pPr>
      <w:r>
        <w:rPr>
          <w:rFonts w:hint="eastAsia" w:ascii="宋体" w:hAnsi="宋体" w:cs="宋体"/>
          <w:kern w:val="0"/>
          <w:sz w:val="20"/>
          <w:szCs w:val="20"/>
        </w:rPr>
        <w:t>部门</w:t>
      </w:r>
      <w:r>
        <w:rPr>
          <w:rFonts w:hint="eastAsia" w:ascii="宋体" w:hAnsi="宋体" w:cs="宋体"/>
          <w:kern w:val="0"/>
          <w:sz w:val="20"/>
          <w:szCs w:val="20"/>
          <w:u w:val="single"/>
        </w:rPr>
        <w:t>（单位）</w:t>
      </w:r>
      <w:r>
        <w:rPr>
          <w:rFonts w:hint="eastAsia" w:ascii="宋体" w:hAnsi="宋体" w:cs="宋体"/>
          <w:kern w:val="0"/>
          <w:sz w:val="20"/>
          <w:szCs w:val="20"/>
        </w:rPr>
        <w:t>公开表6</w:t>
      </w:r>
      <w:r>
        <w:rPr>
          <w:rFonts w:hint="eastAsia" w:ascii="华文中宋" w:hAnsi="华文中宋" w:eastAsia="华文中宋" w:cs="宋体"/>
          <w:b/>
          <w:bCs/>
          <w:kern w:val="0"/>
          <w:sz w:val="24"/>
          <w:szCs w:val="24"/>
        </w:rPr>
        <w:t>青阳县</w:t>
      </w:r>
      <w:r>
        <w:rPr>
          <w:rFonts w:hint="eastAsia" w:ascii="华文中宋" w:hAnsi="华文中宋" w:eastAsia="华文中宋" w:cs="宋体"/>
          <w:b/>
          <w:bCs/>
          <w:kern w:val="0"/>
          <w:sz w:val="24"/>
          <w:szCs w:val="24"/>
          <w:lang w:val="en-US" w:eastAsia="zh-CN"/>
        </w:rPr>
        <w:t>木镇镇人民政府</w:t>
      </w:r>
      <w:r>
        <w:rPr>
          <w:rFonts w:hint="eastAsia" w:ascii="华文中宋" w:hAnsi="华文中宋" w:eastAsia="华文中宋" w:cs="宋体"/>
          <w:b/>
          <w:bCs/>
          <w:color w:val="000000"/>
          <w:kern w:val="0"/>
          <w:sz w:val="24"/>
          <w:szCs w:val="24"/>
        </w:rPr>
        <w:t>2023年一般公共预算基本支出表</w:t>
      </w:r>
    </w:p>
    <w:p>
      <w:pPr>
        <w:ind w:left="7400" w:hanging="7400" w:hangingChars="3700"/>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8961" w:type="dxa"/>
        <w:tblInd w:w="100" w:type="dxa"/>
        <w:tblLayout w:type="fixed"/>
        <w:tblCellMar>
          <w:top w:w="0" w:type="dxa"/>
          <w:left w:w="108" w:type="dxa"/>
          <w:bottom w:w="0" w:type="dxa"/>
          <w:right w:w="108" w:type="dxa"/>
        </w:tblCellMar>
      </w:tblPr>
      <w:tblGrid>
        <w:gridCol w:w="1771"/>
        <w:gridCol w:w="2629"/>
        <w:gridCol w:w="1438"/>
        <w:gridCol w:w="1485"/>
        <w:gridCol w:w="1638"/>
      </w:tblGrid>
      <w:tr>
        <w:tblPrEx>
          <w:tblCellMar>
            <w:top w:w="0" w:type="dxa"/>
            <w:left w:w="108" w:type="dxa"/>
            <w:bottom w:w="0" w:type="dxa"/>
            <w:right w:w="108" w:type="dxa"/>
          </w:tblCellMar>
        </w:tblPrEx>
        <w:trPr>
          <w:trHeight w:val="402" w:hRule="atLeast"/>
        </w:trPr>
        <w:tc>
          <w:tcPr>
            <w:tcW w:w="44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部门预算支出经济分类科目</w:t>
            </w:r>
          </w:p>
        </w:tc>
        <w:tc>
          <w:tcPr>
            <w:tcW w:w="4561"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本年一般公共预算基本支出</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科目编码</w:t>
            </w:r>
          </w:p>
        </w:tc>
        <w:tc>
          <w:tcPr>
            <w:tcW w:w="26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科目名称</w:t>
            </w:r>
          </w:p>
        </w:tc>
        <w:tc>
          <w:tcPr>
            <w:tcW w:w="143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合计</w:t>
            </w:r>
          </w:p>
        </w:tc>
        <w:tc>
          <w:tcPr>
            <w:tcW w:w="148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人员经费</w:t>
            </w:r>
          </w:p>
        </w:tc>
        <w:tc>
          <w:tcPr>
            <w:tcW w:w="163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公用经费</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301</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工资福利支出</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575.31</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575.31</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30101</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基本工资</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188.64</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188.64</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30102</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津贴补贴</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66.18</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66.18</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30103</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奖金</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136.25</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136.25</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30107</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绩效工资</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21.39</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21.39</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30108</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机关事业单位基本养老保险缴费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38.34</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38.34</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30109</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职业年金缴费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22.10</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22.10</w:t>
            </w:r>
          </w:p>
        </w:tc>
        <w:tc>
          <w:tcPr>
            <w:tcW w:w="1638"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30110</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职工基本医疗保险缴费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17.45</w:t>
            </w:r>
          </w:p>
        </w:tc>
        <w:tc>
          <w:tcPr>
            <w:tcW w:w="1638"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30112</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其他社会保障缴费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0.88</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0.88</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30113</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住房公积金</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59.77</w:t>
            </w:r>
          </w:p>
        </w:tc>
        <w:tc>
          <w:tcPr>
            <w:tcW w:w="1638"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30199</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其他工资福利支出</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24.32</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24.32</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302</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商品和服务支出</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102.20</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8.85</w:t>
            </w: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93.35</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30205</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水费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8.20</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8.20</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30206</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电费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16.80</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16.80</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30216</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培训费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3.79</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3.79</w:t>
            </w:r>
          </w:p>
        </w:tc>
        <w:tc>
          <w:tcPr>
            <w:tcW w:w="1638"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30217</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公务接待费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36.00</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36.00</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30228</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工会经费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5.06</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5.06</w:t>
            </w:r>
          </w:p>
        </w:tc>
        <w:tc>
          <w:tcPr>
            <w:tcW w:w="1638" w:type="dxa"/>
            <w:tcBorders>
              <w:top w:val="nil"/>
              <w:left w:val="nil"/>
              <w:bottom w:val="single" w:color="auto" w:sz="4" w:space="0"/>
              <w:right w:val="single" w:color="auto" w:sz="4" w:space="0"/>
            </w:tcBorders>
            <w:shd w:val="clear" w:color="auto" w:fill="auto"/>
            <w:vAlign w:val="center"/>
          </w:tcPr>
          <w:p>
            <w:pPr>
              <w:jc w:val="right"/>
              <w:rPr>
                <w:rFonts w:hint="eastAsia"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30231</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公务用车运行维护费</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8.00</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8.00</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30239</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其他交通费用</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24.35</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24.35</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303</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对个人和家庭的补助</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2.48</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2.48</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30305</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生活补助</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2.44</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30399</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其他对个人和家庭的补助</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0.04</w:t>
            </w:r>
          </w:p>
        </w:tc>
        <w:tc>
          <w:tcPr>
            <w:tcW w:w="148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0.04</w:t>
            </w:r>
          </w:p>
        </w:tc>
        <w:tc>
          <w:tcPr>
            <w:tcW w:w="1638" w:type="dxa"/>
            <w:tcBorders>
              <w:top w:val="nil"/>
              <w:left w:val="nil"/>
              <w:bottom w:val="single" w:color="auto" w:sz="4" w:space="0"/>
              <w:right w:val="single" w:color="auto" w:sz="4" w:space="0"/>
            </w:tcBorders>
            <w:shd w:val="clear" w:color="auto" w:fill="auto"/>
            <w:vAlign w:val="center"/>
          </w:tcPr>
          <w:p>
            <w:pPr>
              <w:jc w:val="right"/>
              <w:rPr>
                <w:rFonts w:ascii="宋体" w:hAnsi="宋体" w:eastAsia="宋体" w:cs="宋体"/>
                <w:kern w:val="0"/>
                <w:sz w:val="20"/>
                <w:szCs w:val="20"/>
              </w:rPr>
            </w:pP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310</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资本性支出</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20.00</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20.00</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31002</w:t>
            </w:r>
          </w:p>
        </w:tc>
        <w:tc>
          <w:tcPr>
            <w:tcW w:w="262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　办公设备购置</w:t>
            </w:r>
          </w:p>
        </w:tc>
        <w:tc>
          <w:tcPr>
            <w:tcW w:w="14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Arial" w:hAnsi="Arial"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20.00</w:t>
            </w:r>
          </w:p>
        </w:tc>
        <w:tc>
          <w:tcPr>
            <w:tcW w:w="1485" w:type="dxa"/>
            <w:tcBorders>
              <w:top w:val="nil"/>
              <w:left w:val="nil"/>
              <w:bottom w:val="single" w:color="auto" w:sz="4" w:space="0"/>
              <w:right w:val="single" w:color="auto" w:sz="4" w:space="0"/>
            </w:tcBorders>
            <w:shd w:val="clear" w:color="auto" w:fill="auto"/>
            <w:vAlign w:val="center"/>
          </w:tcPr>
          <w:p>
            <w:pPr>
              <w:jc w:val="right"/>
              <w:rPr>
                <w:rFonts w:ascii="Arial" w:hAnsi="Arial" w:eastAsia="宋体" w:cs="Arial"/>
                <w:kern w:val="0"/>
                <w:sz w:val="20"/>
                <w:szCs w:val="20"/>
              </w:rPr>
            </w:pPr>
          </w:p>
        </w:tc>
        <w:tc>
          <w:tcPr>
            <w:tcW w:w="163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kern w:val="0"/>
                <w:sz w:val="20"/>
                <w:szCs w:val="20"/>
              </w:rPr>
            </w:pPr>
            <w:r>
              <w:rPr>
                <w:rFonts w:hint="eastAsia" w:ascii="宋体" w:hAnsi="宋体" w:eastAsia="宋体" w:cs="宋体"/>
                <w:i w:val="0"/>
                <w:iCs w:val="0"/>
                <w:color w:val="000000"/>
                <w:kern w:val="0"/>
                <w:sz w:val="20"/>
                <w:szCs w:val="20"/>
                <w:u w:val="none"/>
                <w:lang w:val="en-US" w:eastAsia="zh-CN" w:bidi="ar"/>
              </w:rPr>
              <w:t>20.00</w:t>
            </w:r>
          </w:p>
        </w:tc>
      </w:tr>
      <w:tr>
        <w:tblPrEx>
          <w:tblCellMar>
            <w:top w:w="0" w:type="dxa"/>
            <w:left w:w="108" w:type="dxa"/>
            <w:bottom w:w="0" w:type="dxa"/>
            <w:right w:w="108" w:type="dxa"/>
          </w:tblCellMar>
        </w:tblPrEx>
        <w:trPr>
          <w:trHeight w:val="402" w:hRule="atLeast"/>
        </w:trPr>
        <w:tc>
          <w:tcPr>
            <w:tcW w:w="1771" w:type="dxa"/>
            <w:tcBorders>
              <w:top w:val="nil"/>
              <w:left w:val="single" w:color="auto" w:sz="4" w:space="0"/>
              <w:bottom w:val="single" w:color="auto" w:sz="4" w:space="0"/>
              <w:right w:val="single" w:color="auto" w:sz="4" w:space="0"/>
            </w:tcBorders>
            <w:shd w:val="clear" w:color="auto" w:fill="auto"/>
            <w:vAlign w:val="center"/>
          </w:tcPr>
          <w:p>
            <w:pPr>
              <w:widowControl/>
              <w:rPr>
                <w:rFonts w:ascii="宋体" w:hAnsi="宋体" w:eastAsia="宋体" w:cs="宋体"/>
                <w:b/>
                <w:bCs/>
                <w:kern w:val="0"/>
                <w:sz w:val="22"/>
              </w:rPr>
            </w:pPr>
            <w:r>
              <w:rPr>
                <w:rFonts w:hint="eastAsia" w:ascii="宋体" w:hAnsi="宋体" w:eastAsia="宋体" w:cs="宋体"/>
                <w:b/>
                <w:bCs/>
                <w:kern w:val="0"/>
                <w:sz w:val="22"/>
              </w:rPr>
              <w:t>　</w:t>
            </w:r>
          </w:p>
        </w:tc>
        <w:tc>
          <w:tcPr>
            <w:tcW w:w="26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合  计</w:t>
            </w:r>
          </w:p>
        </w:tc>
        <w:tc>
          <w:tcPr>
            <w:tcW w:w="1438" w:type="dxa"/>
            <w:tcBorders>
              <w:top w:val="nil"/>
              <w:left w:val="nil"/>
              <w:bottom w:val="single" w:color="auto" w:sz="4" w:space="0"/>
              <w:right w:val="single" w:color="auto" w:sz="4" w:space="0"/>
            </w:tcBorders>
            <w:shd w:val="clear" w:color="auto" w:fill="auto"/>
            <w:vAlign w:val="center"/>
          </w:tcPr>
          <w:p>
            <w:pPr>
              <w:widowControl/>
              <w:jc w:val="right"/>
              <w:rPr>
                <w:rFonts w:hint="default" w:ascii="宋体" w:hAnsi="宋体" w:eastAsia="宋体" w:cs="宋体"/>
                <w:b/>
                <w:bCs/>
                <w:kern w:val="0"/>
                <w:sz w:val="22"/>
                <w:lang w:val="en-US" w:eastAsia="zh-CN"/>
              </w:rPr>
            </w:pPr>
            <w:r>
              <w:rPr>
                <w:rFonts w:hint="eastAsia" w:ascii="宋体" w:hAnsi="宋体" w:eastAsia="宋体" w:cs="宋体"/>
                <w:b/>
                <w:bCs/>
                <w:kern w:val="0"/>
                <w:sz w:val="22"/>
              </w:rPr>
              <w:t>　</w:t>
            </w:r>
            <w:r>
              <w:rPr>
                <w:rFonts w:hint="eastAsia" w:ascii="宋体" w:hAnsi="宋体" w:eastAsia="宋体" w:cs="宋体"/>
                <w:b/>
                <w:bCs/>
                <w:kern w:val="0"/>
                <w:sz w:val="22"/>
                <w:lang w:val="en-US" w:eastAsia="zh-CN"/>
              </w:rPr>
              <w:t>699.99</w:t>
            </w:r>
          </w:p>
        </w:tc>
        <w:tc>
          <w:tcPr>
            <w:tcW w:w="148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kern w:val="0"/>
                <w:sz w:val="22"/>
              </w:rPr>
            </w:pPr>
            <w:r>
              <w:rPr>
                <w:rFonts w:hint="eastAsia" w:ascii="宋体" w:hAnsi="宋体" w:eastAsia="宋体" w:cs="宋体"/>
                <w:b/>
                <w:bCs/>
                <w:kern w:val="0"/>
                <w:sz w:val="22"/>
                <w:lang w:val="en-US" w:eastAsia="zh-CN"/>
              </w:rPr>
              <w:t>586.64</w:t>
            </w:r>
            <w:r>
              <w:rPr>
                <w:rFonts w:hint="eastAsia" w:ascii="宋体" w:hAnsi="宋体" w:eastAsia="宋体" w:cs="宋体"/>
                <w:b/>
                <w:bCs/>
                <w:kern w:val="0"/>
                <w:sz w:val="22"/>
              </w:rPr>
              <w:t>　</w:t>
            </w:r>
          </w:p>
        </w:tc>
        <w:tc>
          <w:tcPr>
            <w:tcW w:w="1638"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kern w:val="0"/>
                <w:sz w:val="22"/>
              </w:rPr>
            </w:pPr>
            <w:r>
              <w:rPr>
                <w:rFonts w:hint="eastAsia" w:ascii="宋体" w:hAnsi="宋体" w:eastAsia="宋体" w:cs="宋体"/>
                <w:b/>
                <w:bCs/>
                <w:kern w:val="0"/>
                <w:sz w:val="22"/>
                <w:lang w:val="en-US" w:eastAsia="zh-CN"/>
              </w:rPr>
              <w:t>113.35</w:t>
            </w:r>
            <w:r>
              <w:rPr>
                <w:rFonts w:hint="eastAsia" w:ascii="宋体" w:hAnsi="宋体" w:eastAsia="宋体" w:cs="宋体"/>
                <w:b/>
                <w:bCs/>
                <w:kern w:val="0"/>
                <w:sz w:val="22"/>
              </w:rPr>
              <w:t>　</w:t>
            </w:r>
          </w:p>
        </w:tc>
      </w:tr>
    </w:tbl>
    <w:p/>
    <w:p/>
    <w:p/>
    <w:p/>
    <w:p>
      <w:pPr>
        <w:rPr>
          <w:rFonts w:ascii="宋体" w:hAnsi="宋体" w:cs="宋体"/>
          <w:kern w:val="0"/>
          <w:sz w:val="20"/>
          <w:szCs w:val="20"/>
        </w:rPr>
      </w:pPr>
      <w:r>
        <w:rPr>
          <w:rFonts w:hint="eastAsia" w:ascii="宋体" w:hAnsi="宋体" w:cs="宋体"/>
          <w:kern w:val="0"/>
          <w:sz w:val="20"/>
          <w:szCs w:val="20"/>
        </w:rPr>
        <w:t xml:space="preserve">                                                                部门</w:t>
      </w:r>
      <w:r>
        <w:rPr>
          <w:rFonts w:hint="eastAsia" w:ascii="宋体" w:hAnsi="宋体" w:cs="宋体"/>
          <w:kern w:val="0"/>
          <w:sz w:val="20"/>
          <w:szCs w:val="20"/>
          <w:u w:val="single"/>
        </w:rPr>
        <w:t>（单位）</w:t>
      </w:r>
      <w:r>
        <w:rPr>
          <w:rFonts w:hint="eastAsia" w:ascii="宋体" w:hAnsi="宋体" w:cs="宋体"/>
          <w:kern w:val="0"/>
          <w:sz w:val="20"/>
          <w:szCs w:val="20"/>
        </w:rPr>
        <w:t>公开表7</w:t>
      </w:r>
    </w:p>
    <w:p>
      <w:pPr>
        <w:widowControl/>
        <w:ind w:firstLine="140" w:firstLineChars="50"/>
        <w:jc w:val="center"/>
        <w:rPr>
          <w:rFonts w:ascii="华文中宋" w:hAnsi="华文中宋" w:eastAsia="华文中宋" w:cs="宋体"/>
          <w:b/>
          <w:bCs/>
          <w:kern w:val="0"/>
          <w:sz w:val="28"/>
          <w:szCs w:val="28"/>
        </w:rPr>
      </w:pPr>
      <w:r>
        <w:rPr>
          <w:rFonts w:hint="eastAsia" w:ascii="华文中宋" w:hAnsi="华文中宋" w:eastAsia="华文中宋" w:cs="宋体"/>
          <w:b/>
          <w:bCs/>
          <w:kern w:val="0"/>
          <w:sz w:val="28"/>
          <w:szCs w:val="28"/>
        </w:rPr>
        <w:t>青阳县</w:t>
      </w:r>
      <w:r>
        <w:rPr>
          <w:rFonts w:hint="eastAsia" w:ascii="华文中宋" w:hAnsi="华文中宋" w:eastAsia="华文中宋" w:cs="宋体"/>
          <w:b/>
          <w:bCs/>
          <w:kern w:val="0"/>
          <w:sz w:val="28"/>
          <w:szCs w:val="28"/>
          <w:lang w:val="en-US" w:eastAsia="zh-CN"/>
        </w:rPr>
        <w:t>木镇镇人民政府</w:t>
      </w:r>
      <w:r>
        <w:rPr>
          <w:rFonts w:hint="eastAsia" w:ascii="华文中宋" w:hAnsi="华文中宋" w:eastAsia="华文中宋" w:cs="宋体"/>
          <w:b/>
          <w:bCs/>
          <w:kern w:val="0"/>
          <w:sz w:val="28"/>
          <w:szCs w:val="28"/>
        </w:rPr>
        <w:t>2023年政府性基金预算支出表</w:t>
      </w:r>
    </w:p>
    <w:p>
      <w:pPr>
        <w:ind w:left="7400" w:hanging="7400" w:hangingChars="3700"/>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8820" w:type="dxa"/>
        <w:tblInd w:w="100" w:type="dxa"/>
        <w:tblLayout w:type="fixed"/>
        <w:tblCellMar>
          <w:top w:w="0" w:type="dxa"/>
          <w:left w:w="108" w:type="dxa"/>
          <w:bottom w:w="0" w:type="dxa"/>
          <w:right w:w="108" w:type="dxa"/>
        </w:tblCellMar>
      </w:tblPr>
      <w:tblGrid>
        <w:gridCol w:w="1400"/>
        <w:gridCol w:w="3340"/>
        <w:gridCol w:w="1360"/>
        <w:gridCol w:w="1360"/>
        <w:gridCol w:w="1360"/>
      </w:tblGrid>
      <w:tr>
        <w:tblPrEx>
          <w:tblCellMar>
            <w:top w:w="0" w:type="dxa"/>
            <w:left w:w="108" w:type="dxa"/>
            <w:bottom w:w="0" w:type="dxa"/>
            <w:right w:w="108" w:type="dxa"/>
          </w:tblCellMar>
        </w:tblPrEx>
        <w:trPr>
          <w:trHeight w:val="465" w:hRule="atLeast"/>
        </w:trPr>
        <w:tc>
          <w:tcPr>
            <w:tcW w:w="14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科目编码</w:t>
            </w:r>
          </w:p>
        </w:tc>
        <w:tc>
          <w:tcPr>
            <w:tcW w:w="33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科目名称</w:t>
            </w:r>
          </w:p>
        </w:tc>
        <w:tc>
          <w:tcPr>
            <w:tcW w:w="4080"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本年政府性基金预算支出</w:t>
            </w:r>
          </w:p>
        </w:tc>
      </w:tr>
      <w:tr>
        <w:tblPrEx>
          <w:tblCellMar>
            <w:top w:w="0" w:type="dxa"/>
            <w:left w:w="108" w:type="dxa"/>
            <w:bottom w:w="0" w:type="dxa"/>
            <w:right w:w="108" w:type="dxa"/>
          </w:tblCellMar>
        </w:tblPrEx>
        <w:trPr>
          <w:trHeight w:val="465" w:hRule="atLeast"/>
        </w:trPr>
        <w:tc>
          <w:tcPr>
            <w:tcW w:w="14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2"/>
              </w:rPr>
            </w:pPr>
          </w:p>
        </w:tc>
        <w:tc>
          <w:tcPr>
            <w:tcW w:w="33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2"/>
              </w:rPr>
            </w:pPr>
          </w:p>
        </w:tc>
        <w:tc>
          <w:tcPr>
            <w:tcW w:w="13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合计</w:t>
            </w:r>
          </w:p>
        </w:tc>
        <w:tc>
          <w:tcPr>
            <w:tcW w:w="13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基本支出</w:t>
            </w:r>
          </w:p>
        </w:tc>
        <w:tc>
          <w:tcPr>
            <w:tcW w:w="13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项目支出</w:t>
            </w:r>
          </w:p>
        </w:tc>
      </w:tr>
      <w:tr>
        <w:tblPrEx>
          <w:tblCellMar>
            <w:top w:w="0" w:type="dxa"/>
            <w:left w:w="108" w:type="dxa"/>
            <w:bottom w:w="0" w:type="dxa"/>
            <w:right w:w="108" w:type="dxa"/>
          </w:tblCellMar>
        </w:tblPrEx>
        <w:trPr>
          <w:trHeight w:val="360" w:hRule="atLeast"/>
        </w:trPr>
        <w:tc>
          <w:tcPr>
            <w:tcW w:w="14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334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14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334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14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334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14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334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14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334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140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334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rPr>
              <w:t xml:space="preserve">          合      计</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136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r>
    </w:tbl>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pPr>
      <w:r>
        <w:rPr>
          <w:rFonts w:hint="eastAsia"/>
        </w:rPr>
        <w:t>备注：青阳县</w:t>
      </w:r>
      <w:r>
        <w:rPr>
          <w:rFonts w:hint="eastAsia"/>
          <w:lang w:val="en-US" w:eastAsia="zh-CN"/>
        </w:rPr>
        <w:t>木镇镇人民政府</w:t>
      </w:r>
      <w:r>
        <w:rPr>
          <w:rFonts w:hint="eastAsia"/>
        </w:rPr>
        <w:t>没有政府性基金预算拨款收入，也没有政府性基金预算拨款安排的支出，故本表无数据。</w:t>
      </w:r>
    </w:p>
    <w:p/>
    <w:p>
      <w:pPr>
        <w:pStyle w:val="5"/>
        <w:adjustRightInd w:val="0"/>
        <w:snapToGrid w:val="0"/>
        <w:spacing w:before="0" w:beforeAutospacing="0" w:after="0" w:afterAutospacing="0" w:line="360" w:lineRule="auto"/>
        <w:ind w:right="100"/>
        <w:jc w:val="right"/>
        <w:rPr>
          <w:rFonts w:ascii="黑体" w:hAnsi="黑体" w:eastAsia="黑体"/>
          <w:bCs/>
          <w:sz w:val="36"/>
          <w:szCs w:val="36"/>
        </w:rPr>
      </w:pPr>
      <w:r>
        <w:rPr>
          <w:rFonts w:hint="eastAsia"/>
          <w:sz w:val="20"/>
          <w:szCs w:val="20"/>
        </w:rPr>
        <w:t xml:space="preserve">  部门</w:t>
      </w:r>
      <w:r>
        <w:rPr>
          <w:rFonts w:hint="eastAsia"/>
          <w:sz w:val="20"/>
          <w:szCs w:val="20"/>
          <w:u w:val="single"/>
        </w:rPr>
        <w:t>（单位）</w:t>
      </w:r>
      <w:r>
        <w:rPr>
          <w:rFonts w:hint="eastAsia"/>
          <w:sz w:val="20"/>
          <w:szCs w:val="20"/>
        </w:rPr>
        <w:t>公开表8</w:t>
      </w:r>
    </w:p>
    <w:p>
      <w:pPr>
        <w:pStyle w:val="5"/>
        <w:adjustRightInd w:val="0"/>
        <w:snapToGrid w:val="0"/>
        <w:spacing w:before="0" w:beforeAutospacing="0" w:after="0" w:afterAutospacing="0" w:line="360" w:lineRule="auto"/>
        <w:jc w:val="center"/>
        <w:rPr>
          <w:rFonts w:ascii="黑体" w:hAnsi="黑体" w:eastAsia="黑体"/>
          <w:bCs/>
          <w:sz w:val="18"/>
          <w:szCs w:val="18"/>
        </w:rPr>
      </w:pPr>
    </w:p>
    <w:tbl>
      <w:tblPr>
        <w:tblStyle w:val="6"/>
        <w:tblW w:w="9164" w:type="dxa"/>
        <w:tblInd w:w="0" w:type="dxa"/>
        <w:tblLayout w:type="fixed"/>
        <w:tblCellMar>
          <w:top w:w="0" w:type="dxa"/>
          <w:left w:w="108" w:type="dxa"/>
          <w:bottom w:w="0" w:type="dxa"/>
          <w:right w:w="108" w:type="dxa"/>
        </w:tblCellMar>
      </w:tblPr>
      <w:tblGrid>
        <w:gridCol w:w="491"/>
        <w:gridCol w:w="697"/>
        <w:gridCol w:w="3780"/>
        <w:gridCol w:w="236"/>
        <w:gridCol w:w="1024"/>
        <w:gridCol w:w="1260"/>
        <w:gridCol w:w="361"/>
        <w:gridCol w:w="1259"/>
        <w:gridCol w:w="56"/>
      </w:tblGrid>
      <w:tr>
        <w:tblPrEx>
          <w:tblCellMar>
            <w:top w:w="0" w:type="dxa"/>
            <w:left w:w="108" w:type="dxa"/>
            <w:bottom w:w="0" w:type="dxa"/>
            <w:right w:w="108" w:type="dxa"/>
          </w:tblCellMar>
        </w:tblPrEx>
        <w:trPr>
          <w:gridAfter w:val="1"/>
          <w:wAfter w:w="56" w:type="dxa"/>
          <w:trHeight w:val="510" w:hRule="atLeast"/>
        </w:trPr>
        <w:tc>
          <w:tcPr>
            <w:tcW w:w="9108" w:type="dxa"/>
            <w:gridSpan w:val="8"/>
            <w:tcBorders>
              <w:top w:val="nil"/>
              <w:left w:val="nil"/>
              <w:bottom w:val="nil"/>
              <w:right w:val="nil"/>
            </w:tcBorders>
            <w:vAlign w:val="center"/>
          </w:tcPr>
          <w:p>
            <w:pPr>
              <w:widowControl/>
              <w:jc w:val="center"/>
              <w:rPr>
                <w:rFonts w:ascii="华文中宋" w:hAnsi="华文中宋" w:eastAsia="华文中宋" w:cs="宋体"/>
                <w:b/>
                <w:bCs/>
                <w:kern w:val="0"/>
                <w:sz w:val="28"/>
                <w:szCs w:val="28"/>
                <w:u w:val="single"/>
              </w:rPr>
            </w:pPr>
            <w:r>
              <w:rPr>
                <w:rFonts w:hint="eastAsia" w:ascii="华文中宋" w:hAnsi="华文中宋" w:eastAsia="华文中宋" w:cs="宋体"/>
                <w:b/>
                <w:bCs/>
                <w:kern w:val="0"/>
                <w:sz w:val="28"/>
                <w:szCs w:val="28"/>
              </w:rPr>
              <w:t>青阳县</w:t>
            </w:r>
            <w:r>
              <w:rPr>
                <w:rFonts w:hint="eastAsia" w:ascii="华文中宋" w:hAnsi="华文中宋" w:eastAsia="华文中宋" w:cs="宋体"/>
                <w:b/>
                <w:bCs/>
                <w:kern w:val="0"/>
                <w:sz w:val="28"/>
                <w:szCs w:val="28"/>
                <w:lang w:val="en-US" w:eastAsia="zh-CN"/>
              </w:rPr>
              <w:t>木镇镇人民政府</w:t>
            </w:r>
            <w:r>
              <w:rPr>
                <w:rFonts w:hint="eastAsia" w:ascii="华文中宋" w:hAnsi="华文中宋" w:eastAsia="华文中宋" w:cs="宋体"/>
                <w:b/>
                <w:bCs/>
                <w:kern w:val="0"/>
                <w:sz w:val="28"/>
                <w:szCs w:val="28"/>
              </w:rPr>
              <w:t>2023年国有资本经营预算支出表</w:t>
            </w:r>
          </w:p>
        </w:tc>
      </w:tr>
      <w:tr>
        <w:tblPrEx>
          <w:tblCellMar>
            <w:top w:w="0" w:type="dxa"/>
            <w:left w:w="108" w:type="dxa"/>
            <w:bottom w:w="0" w:type="dxa"/>
            <w:right w:w="108" w:type="dxa"/>
          </w:tblCellMar>
        </w:tblPrEx>
        <w:trPr>
          <w:trHeight w:val="375" w:hRule="atLeast"/>
        </w:trPr>
        <w:tc>
          <w:tcPr>
            <w:tcW w:w="491" w:type="dxa"/>
            <w:tcBorders>
              <w:top w:val="nil"/>
              <w:left w:val="nil"/>
              <w:bottom w:val="single" w:color="auto" w:sz="4" w:space="0"/>
              <w:right w:val="nil"/>
            </w:tcBorders>
            <w:vAlign w:val="center"/>
          </w:tcPr>
          <w:p>
            <w:pPr>
              <w:widowControl/>
              <w:jc w:val="left"/>
              <w:rPr>
                <w:rFonts w:ascii="宋体" w:hAnsi="宋体" w:cs="宋体"/>
                <w:kern w:val="0"/>
                <w:sz w:val="18"/>
                <w:szCs w:val="18"/>
              </w:rPr>
            </w:pPr>
          </w:p>
        </w:tc>
        <w:tc>
          <w:tcPr>
            <w:tcW w:w="697" w:type="dxa"/>
            <w:tcBorders>
              <w:top w:val="nil"/>
              <w:left w:val="nil"/>
              <w:bottom w:val="single" w:color="auto" w:sz="4" w:space="0"/>
              <w:right w:val="nil"/>
            </w:tcBorders>
            <w:vAlign w:val="center"/>
          </w:tcPr>
          <w:p>
            <w:pPr>
              <w:widowControl/>
              <w:jc w:val="left"/>
              <w:rPr>
                <w:rFonts w:ascii="宋体" w:hAnsi="宋体" w:cs="宋体"/>
                <w:kern w:val="0"/>
                <w:sz w:val="20"/>
                <w:szCs w:val="20"/>
              </w:rPr>
            </w:pPr>
          </w:p>
        </w:tc>
        <w:tc>
          <w:tcPr>
            <w:tcW w:w="3780" w:type="dxa"/>
            <w:tcBorders>
              <w:top w:val="nil"/>
              <w:left w:val="nil"/>
              <w:bottom w:val="single" w:color="auto" w:sz="4" w:space="0"/>
              <w:right w:val="nil"/>
            </w:tcBorders>
            <w:vAlign w:val="center"/>
          </w:tcPr>
          <w:p>
            <w:pPr>
              <w:widowControl/>
              <w:jc w:val="left"/>
              <w:rPr>
                <w:rFonts w:ascii="宋体" w:hAnsi="宋体" w:cs="宋体"/>
                <w:kern w:val="0"/>
                <w:sz w:val="20"/>
                <w:szCs w:val="20"/>
              </w:rPr>
            </w:pPr>
          </w:p>
        </w:tc>
        <w:tc>
          <w:tcPr>
            <w:tcW w:w="236" w:type="dxa"/>
            <w:tcBorders>
              <w:top w:val="nil"/>
              <w:left w:val="nil"/>
              <w:bottom w:val="nil"/>
              <w:right w:val="nil"/>
            </w:tcBorders>
            <w:vAlign w:val="center"/>
          </w:tcPr>
          <w:p>
            <w:pPr>
              <w:widowControl/>
              <w:jc w:val="left"/>
              <w:rPr>
                <w:rFonts w:ascii="宋体" w:hAnsi="宋体" w:cs="宋体"/>
                <w:kern w:val="0"/>
                <w:sz w:val="20"/>
                <w:szCs w:val="20"/>
              </w:rPr>
            </w:pPr>
          </w:p>
        </w:tc>
        <w:tc>
          <w:tcPr>
            <w:tcW w:w="2645" w:type="dxa"/>
            <w:gridSpan w:val="3"/>
            <w:tcBorders>
              <w:top w:val="nil"/>
              <w:left w:val="nil"/>
              <w:bottom w:val="nil"/>
              <w:right w:val="nil"/>
            </w:tcBorders>
            <w:vAlign w:val="center"/>
          </w:tcPr>
          <w:p>
            <w:pPr>
              <w:widowControl/>
              <w:jc w:val="left"/>
              <w:rPr>
                <w:rFonts w:ascii="宋体" w:hAnsi="宋体" w:cs="宋体"/>
                <w:kern w:val="0"/>
                <w:sz w:val="20"/>
                <w:szCs w:val="20"/>
              </w:rPr>
            </w:pPr>
          </w:p>
        </w:tc>
        <w:tc>
          <w:tcPr>
            <w:tcW w:w="1315" w:type="dxa"/>
            <w:gridSpan w:val="2"/>
            <w:tcBorders>
              <w:top w:val="nil"/>
              <w:left w:val="nil"/>
              <w:bottom w:val="nil"/>
              <w:right w:val="nil"/>
            </w:tcBorders>
            <w:vAlign w:val="center"/>
          </w:tcPr>
          <w:p>
            <w:pPr>
              <w:widowControl/>
              <w:ind w:right="100"/>
              <w:jc w:val="right"/>
              <w:rPr>
                <w:rFonts w:ascii="宋体" w:hAnsi="宋体" w:cs="宋体"/>
                <w:kern w:val="0"/>
                <w:sz w:val="20"/>
                <w:szCs w:val="20"/>
              </w:rPr>
            </w:pPr>
            <w:r>
              <w:rPr>
                <w:rFonts w:hint="eastAsia" w:ascii="宋体" w:hAnsi="宋体" w:cs="宋体"/>
                <w:kern w:val="0"/>
                <w:sz w:val="20"/>
                <w:szCs w:val="20"/>
              </w:rPr>
              <w:t>单位：万元</w:t>
            </w:r>
          </w:p>
        </w:tc>
      </w:tr>
      <w:tr>
        <w:tblPrEx>
          <w:tblCellMar>
            <w:top w:w="0" w:type="dxa"/>
            <w:left w:w="108" w:type="dxa"/>
            <w:bottom w:w="0" w:type="dxa"/>
            <w:right w:w="108" w:type="dxa"/>
          </w:tblCellMar>
        </w:tblPrEx>
        <w:trPr>
          <w:gridAfter w:val="1"/>
          <w:wAfter w:w="56" w:type="dxa"/>
          <w:trHeight w:val="405" w:hRule="atLeast"/>
        </w:trPr>
        <w:tc>
          <w:tcPr>
            <w:tcW w:w="4968"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2"/>
              </w:rPr>
              <w:t>功能分类科目</w:t>
            </w:r>
          </w:p>
        </w:tc>
        <w:tc>
          <w:tcPr>
            <w:tcW w:w="4140"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b/>
                <w:bCs/>
                <w:kern w:val="0"/>
                <w:sz w:val="22"/>
              </w:rPr>
              <w:t>国有资本经营预算拨款支出</w:t>
            </w:r>
          </w:p>
        </w:tc>
      </w:tr>
      <w:tr>
        <w:tblPrEx>
          <w:tblCellMar>
            <w:top w:w="0" w:type="dxa"/>
            <w:left w:w="108" w:type="dxa"/>
            <w:bottom w:w="0" w:type="dxa"/>
            <w:right w:w="108" w:type="dxa"/>
          </w:tblCellMar>
        </w:tblPrEx>
        <w:trPr>
          <w:gridAfter w:val="1"/>
          <w:wAfter w:w="56" w:type="dxa"/>
          <w:trHeight w:val="405" w:hRule="atLeast"/>
        </w:trPr>
        <w:tc>
          <w:tcPr>
            <w:tcW w:w="118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2"/>
              </w:rPr>
            </w:pPr>
            <w:r>
              <w:rPr>
                <w:rFonts w:hint="eastAsia" w:ascii="宋体" w:hAnsi="宋体" w:cs="宋体"/>
                <w:b/>
                <w:bCs/>
                <w:kern w:val="0"/>
                <w:sz w:val="22"/>
              </w:rPr>
              <w:t>科目编码</w:t>
            </w:r>
          </w:p>
        </w:tc>
        <w:tc>
          <w:tcPr>
            <w:tcW w:w="378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kern w:val="0"/>
                <w:sz w:val="22"/>
              </w:rPr>
            </w:pPr>
            <w:r>
              <w:rPr>
                <w:rFonts w:hint="eastAsia" w:ascii="宋体" w:hAnsi="宋体" w:cs="宋体"/>
                <w:b/>
                <w:bCs/>
                <w:kern w:val="0"/>
                <w:sz w:val="22"/>
              </w:rPr>
              <w:t>科目名称</w:t>
            </w:r>
          </w:p>
        </w:tc>
        <w:tc>
          <w:tcPr>
            <w:tcW w:w="126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kern w:val="0"/>
                <w:sz w:val="22"/>
              </w:rPr>
            </w:pPr>
            <w:r>
              <w:rPr>
                <w:rFonts w:hint="eastAsia" w:ascii="宋体" w:hAnsi="宋体" w:cs="宋体"/>
                <w:b/>
                <w:bCs/>
                <w:kern w:val="0"/>
                <w:sz w:val="22"/>
              </w:rPr>
              <w:t>合计</w:t>
            </w: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kern w:val="0"/>
                <w:sz w:val="22"/>
              </w:rPr>
            </w:pPr>
            <w:r>
              <w:rPr>
                <w:rFonts w:hint="eastAsia" w:ascii="宋体" w:hAnsi="宋体" w:cs="宋体"/>
                <w:b/>
                <w:bCs/>
                <w:kern w:val="0"/>
                <w:sz w:val="22"/>
              </w:rPr>
              <w:t>基本支出</w:t>
            </w:r>
          </w:p>
        </w:tc>
        <w:tc>
          <w:tcPr>
            <w:tcW w:w="1620" w:type="dxa"/>
            <w:gridSpan w:val="2"/>
            <w:tcBorders>
              <w:top w:val="nil"/>
              <w:left w:val="nil"/>
              <w:bottom w:val="single" w:color="auto" w:sz="4" w:space="0"/>
              <w:right w:val="single" w:color="auto" w:sz="4" w:space="0"/>
            </w:tcBorders>
            <w:vAlign w:val="center"/>
          </w:tcPr>
          <w:p>
            <w:pPr>
              <w:widowControl/>
              <w:jc w:val="center"/>
              <w:rPr>
                <w:rFonts w:ascii="宋体" w:hAnsi="宋体" w:cs="宋体"/>
                <w:b/>
                <w:bCs/>
                <w:kern w:val="0"/>
                <w:sz w:val="22"/>
              </w:rPr>
            </w:pPr>
            <w:r>
              <w:rPr>
                <w:rFonts w:hint="eastAsia" w:ascii="宋体" w:hAnsi="宋体" w:cs="宋体"/>
                <w:b/>
                <w:bCs/>
                <w:kern w:val="0"/>
                <w:sz w:val="22"/>
              </w:rPr>
              <w:t>项目支出</w:t>
            </w:r>
          </w:p>
        </w:tc>
      </w:tr>
      <w:tr>
        <w:tblPrEx>
          <w:tblCellMar>
            <w:top w:w="0" w:type="dxa"/>
            <w:left w:w="108" w:type="dxa"/>
            <w:bottom w:w="0" w:type="dxa"/>
            <w:right w:w="108" w:type="dxa"/>
          </w:tblCellMar>
        </w:tblPrEx>
        <w:trPr>
          <w:gridAfter w:val="1"/>
          <w:wAfter w:w="56" w:type="dxa"/>
          <w:trHeight w:val="405" w:hRule="atLeast"/>
        </w:trPr>
        <w:tc>
          <w:tcPr>
            <w:tcW w:w="118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w:t>
            </w:r>
          </w:p>
        </w:tc>
        <w:tc>
          <w:tcPr>
            <w:tcW w:w="3780" w:type="dxa"/>
            <w:tcBorders>
              <w:top w:val="nil"/>
              <w:left w:val="nil"/>
              <w:bottom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1260" w:type="dxa"/>
            <w:gridSpan w:val="2"/>
            <w:tcBorders>
              <w:top w:val="nil"/>
              <w:left w:val="nil"/>
              <w:bottom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1260" w:type="dxa"/>
            <w:tcBorders>
              <w:top w:val="nil"/>
              <w:left w:val="nil"/>
              <w:bottom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1620" w:type="dxa"/>
            <w:gridSpan w:val="2"/>
            <w:tcBorders>
              <w:top w:val="nil"/>
              <w:left w:val="nil"/>
              <w:bottom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gridAfter w:val="1"/>
          <w:wAfter w:w="56" w:type="dxa"/>
          <w:trHeight w:val="405" w:hRule="atLeast"/>
        </w:trPr>
        <w:tc>
          <w:tcPr>
            <w:tcW w:w="118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w:t>
            </w:r>
          </w:p>
        </w:tc>
        <w:tc>
          <w:tcPr>
            <w:tcW w:w="3780" w:type="dxa"/>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c>
          <w:tcPr>
            <w:tcW w:w="1260" w:type="dxa"/>
            <w:gridSpan w:val="2"/>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c>
          <w:tcPr>
            <w:tcW w:w="1260" w:type="dxa"/>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c>
          <w:tcPr>
            <w:tcW w:w="1620" w:type="dxa"/>
            <w:gridSpan w:val="2"/>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r>
      <w:tr>
        <w:tblPrEx>
          <w:tblCellMar>
            <w:top w:w="0" w:type="dxa"/>
            <w:left w:w="108" w:type="dxa"/>
            <w:bottom w:w="0" w:type="dxa"/>
            <w:right w:w="108" w:type="dxa"/>
          </w:tblCellMar>
        </w:tblPrEx>
        <w:trPr>
          <w:gridAfter w:val="1"/>
          <w:wAfter w:w="56" w:type="dxa"/>
          <w:trHeight w:val="405" w:hRule="atLeast"/>
        </w:trPr>
        <w:tc>
          <w:tcPr>
            <w:tcW w:w="118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w:t>
            </w:r>
          </w:p>
        </w:tc>
        <w:tc>
          <w:tcPr>
            <w:tcW w:w="3780" w:type="dxa"/>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c>
          <w:tcPr>
            <w:tcW w:w="1260" w:type="dxa"/>
            <w:gridSpan w:val="2"/>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c>
          <w:tcPr>
            <w:tcW w:w="1260" w:type="dxa"/>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c>
          <w:tcPr>
            <w:tcW w:w="1620" w:type="dxa"/>
            <w:gridSpan w:val="2"/>
            <w:tcBorders>
              <w:top w:val="nil"/>
              <w:left w:val="nil"/>
              <w:bottom w:val="single" w:color="auto" w:sz="4" w:space="0"/>
              <w:right w:val="single" w:color="auto" w:sz="4" w:space="0"/>
            </w:tcBorders>
            <w:vAlign w:val="center"/>
          </w:tcPr>
          <w:p>
            <w:pPr>
              <w:widowControl/>
              <w:jc w:val="left"/>
              <w:rPr>
                <w:rFonts w:ascii="宋体" w:hAnsi="宋体" w:cs="宋体"/>
                <w:kern w:val="0"/>
                <w:sz w:val="24"/>
              </w:rPr>
            </w:pPr>
            <w:r>
              <w:rPr>
                <w:rFonts w:hint="eastAsia" w:ascii="宋体" w:hAnsi="宋体" w:cs="宋体"/>
                <w:kern w:val="0"/>
                <w:sz w:val="24"/>
              </w:rPr>
              <w:t>　</w:t>
            </w:r>
          </w:p>
        </w:tc>
      </w:tr>
      <w:tr>
        <w:tblPrEx>
          <w:tblCellMar>
            <w:top w:w="0" w:type="dxa"/>
            <w:left w:w="108" w:type="dxa"/>
            <w:bottom w:w="0" w:type="dxa"/>
            <w:right w:w="108" w:type="dxa"/>
          </w:tblCellMar>
        </w:tblPrEx>
        <w:trPr>
          <w:gridAfter w:val="1"/>
          <w:wAfter w:w="56" w:type="dxa"/>
          <w:trHeight w:val="405" w:hRule="atLeast"/>
        </w:trPr>
        <w:tc>
          <w:tcPr>
            <w:tcW w:w="4968"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合计</w:t>
            </w:r>
          </w:p>
        </w:tc>
        <w:tc>
          <w:tcPr>
            <w:tcW w:w="1260" w:type="dxa"/>
            <w:gridSpan w:val="2"/>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w:t>
            </w:r>
          </w:p>
        </w:tc>
        <w:tc>
          <w:tcPr>
            <w:tcW w:w="1260" w:type="dxa"/>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w:t>
            </w:r>
          </w:p>
        </w:tc>
        <w:tc>
          <w:tcPr>
            <w:tcW w:w="1620" w:type="dxa"/>
            <w:gridSpan w:val="2"/>
            <w:tcBorders>
              <w:top w:val="nil"/>
              <w:left w:val="nil"/>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　</w:t>
            </w:r>
          </w:p>
        </w:tc>
      </w:tr>
      <w:tr>
        <w:tblPrEx>
          <w:tblCellMar>
            <w:top w:w="0" w:type="dxa"/>
            <w:left w:w="108" w:type="dxa"/>
            <w:bottom w:w="0" w:type="dxa"/>
            <w:right w:w="108" w:type="dxa"/>
          </w:tblCellMar>
        </w:tblPrEx>
        <w:trPr>
          <w:gridAfter w:val="1"/>
          <w:wAfter w:w="56" w:type="dxa"/>
          <w:trHeight w:val="795" w:hRule="atLeast"/>
        </w:trPr>
        <w:tc>
          <w:tcPr>
            <w:tcW w:w="9108" w:type="dxa"/>
            <w:gridSpan w:val="8"/>
            <w:tcBorders>
              <w:top w:val="single" w:color="auto" w:sz="4" w:space="0"/>
              <w:left w:val="nil"/>
              <w:bottom w:val="nil"/>
              <w:right w:val="nil"/>
            </w:tcBorders>
            <w:vAlign w:val="center"/>
          </w:tcPr>
          <w:p>
            <w:pPr>
              <w:widowControl/>
              <w:jc w:val="left"/>
              <w:rPr>
                <w:rFonts w:ascii="宋体" w:hAnsi="宋体" w:cs="宋体"/>
                <w:kern w:val="0"/>
                <w:sz w:val="24"/>
              </w:rPr>
            </w:pPr>
            <w:r>
              <w:rPr>
                <w:rFonts w:hint="eastAsia" w:ascii="宋体" w:hAnsi="宋体" w:cs="宋体"/>
                <w:kern w:val="0"/>
                <w:sz w:val="24"/>
              </w:rPr>
              <w:t>备注：青阳县</w:t>
            </w:r>
            <w:r>
              <w:rPr>
                <w:rFonts w:hint="eastAsia" w:ascii="宋体" w:hAnsi="宋体" w:cs="宋体"/>
                <w:kern w:val="0"/>
                <w:sz w:val="24"/>
                <w:lang w:val="en-US" w:eastAsia="zh-CN"/>
              </w:rPr>
              <w:t>木镇镇人民政府</w:t>
            </w:r>
            <w:r>
              <w:rPr>
                <w:rFonts w:hint="eastAsia" w:ascii="宋体" w:hAnsi="宋体" w:cs="宋体"/>
                <w:kern w:val="0"/>
                <w:sz w:val="24"/>
              </w:rPr>
              <w:t>没有国有资本经营预算拨款收入，也没有国有资本经营预算拨款安排的支出，故本表无数据。。</w:t>
            </w:r>
          </w:p>
        </w:tc>
      </w:tr>
    </w:tbl>
    <w:p>
      <w:pPr>
        <w:pStyle w:val="5"/>
        <w:adjustRightInd w:val="0"/>
        <w:snapToGrid w:val="0"/>
        <w:spacing w:before="0" w:beforeAutospacing="0" w:after="0" w:afterAutospacing="0" w:line="360" w:lineRule="auto"/>
        <w:ind w:right="400"/>
        <w:rPr>
          <w:sz w:val="20"/>
          <w:szCs w:val="20"/>
        </w:rPr>
      </w:pPr>
    </w:p>
    <w:p/>
    <w:p>
      <w:pPr>
        <w:sectPr>
          <w:pgSz w:w="11906" w:h="16838"/>
          <w:pgMar w:top="1440" w:right="1797" w:bottom="1440" w:left="1797" w:header="851" w:footer="992" w:gutter="0"/>
          <w:cols w:space="425" w:num="1"/>
          <w:docGrid w:type="lines" w:linePitch="312" w:charSpace="0"/>
        </w:sectPr>
      </w:pPr>
    </w:p>
    <w:p>
      <w:pPr>
        <w:ind w:firstLine="9500" w:firstLineChars="4750"/>
        <w:rPr>
          <w:rFonts w:ascii="宋体" w:hAnsi="宋体" w:cs="宋体"/>
          <w:kern w:val="0"/>
          <w:sz w:val="20"/>
          <w:szCs w:val="20"/>
        </w:rPr>
      </w:pPr>
      <w:r>
        <w:rPr>
          <w:rFonts w:hint="eastAsia" w:ascii="宋体" w:hAnsi="宋体" w:cs="宋体"/>
          <w:kern w:val="0"/>
          <w:sz w:val="20"/>
          <w:szCs w:val="20"/>
        </w:rPr>
        <w:t xml:space="preserve">                      部门</w:t>
      </w:r>
      <w:r>
        <w:rPr>
          <w:rFonts w:hint="eastAsia" w:ascii="宋体" w:hAnsi="宋体" w:cs="宋体"/>
          <w:kern w:val="0"/>
          <w:sz w:val="20"/>
          <w:szCs w:val="20"/>
          <w:u w:val="single"/>
        </w:rPr>
        <w:t>（单位）</w:t>
      </w:r>
      <w:r>
        <w:rPr>
          <w:rFonts w:hint="eastAsia" w:ascii="宋体" w:hAnsi="宋体" w:cs="宋体"/>
          <w:kern w:val="0"/>
          <w:sz w:val="20"/>
          <w:szCs w:val="20"/>
        </w:rPr>
        <w:t>公开表9</w:t>
      </w:r>
    </w:p>
    <w:p>
      <w:pPr>
        <w:widowControl/>
        <w:ind w:firstLine="3201" w:firstLineChars="1067"/>
        <w:rPr>
          <w:rFonts w:ascii="华文中宋" w:hAnsi="华文中宋" w:eastAsia="华文中宋" w:cs="宋体"/>
          <w:b/>
          <w:bCs/>
          <w:kern w:val="0"/>
          <w:sz w:val="30"/>
          <w:szCs w:val="30"/>
        </w:rPr>
      </w:pPr>
      <w:r>
        <w:rPr>
          <w:rFonts w:hint="eastAsia" w:ascii="华文中宋" w:hAnsi="华文中宋" w:eastAsia="华文中宋" w:cs="宋体"/>
          <w:b/>
          <w:bCs/>
          <w:kern w:val="0"/>
          <w:sz w:val="30"/>
          <w:szCs w:val="30"/>
        </w:rPr>
        <w:t>青阳县</w:t>
      </w:r>
      <w:r>
        <w:rPr>
          <w:rFonts w:hint="eastAsia" w:ascii="华文中宋" w:hAnsi="华文中宋" w:eastAsia="华文中宋" w:cs="宋体"/>
          <w:b/>
          <w:bCs/>
          <w:kern w:val="0"/>
          <w:sz w:val="30"/>
          <w:szCs w:val="30"/>
          <w:lang w:val="en-US" w:eastAsia="zh-CN"/>
        </w:rPr>
        <w:t>木镇镇人民政府</w:t>
      </w:r>
      <w:r>
        <w:rPr>
          <w:rFonts w:hint="eastAsia" w:ascii="华文中宋" w:hAnsi="华文中宋" w:eastAsia="华文中宋" w:cs="宋体"/>
          <w:b/>
          <w:bCs/>
          <w:kern w:val="0"/>
          <w:sz w:val="30"/>
          <w:szCs w:val="30"/>
        </w:rPr>
        <w:t>2023年项目支出表</w:t>
      </w:r>
    </w:p>
    <w:p>
      <w:pPr>
        <w:ind w:left="7400" w:hanging="7400" w:hangingChars="3700"/>
        <w:rPr>
          <w:rFonts w:ascii="宋体" w:hAnsi="宋体" w:cs="宋体"/>
          <w:kern w:val="0"/>
          <w:sz w:val="20"/>
          <w:szCs w:val="20"/>
        </w:rPr>
      </w:pPr>
      <w:r>
        <w:rPr>
          <w:rFonts w:hint="eastAsia" w:ascii="宋体" w:hAnsi="宋体" w:cs="宋体"/>
          <w:kern w:val="0"/>
          <w:sz w:val="20"/>
          <w:szCs w:val="20"/>
        </w:rPr>
        <w:t xml:space="preserve">                                                                                                                                单位：万元</w:t>
      </w:r>
    </w:p>
    <w:tbl>
      <w:tblPr>
        <w:tblStyle w:val="6"/>
        <w:tblW w:w="14140" w:type="dxa"/>
        <w:tblInd w:w="100" w:type="dxa"/>
        <w:tblLayout w:type="fixed"/>
        <w:tblCellMar>
          <w:top w:w="0" w:type="dxa"/>
          <w:left w:w="108" w:type="dxa"/>
          <w:bottom w:w="0" w:type="dxa"/>
          <w:right w:w="108" w:type="dxa"/>
        </w:tblCellMar>
      </w:tblPr>
      <w:tblGrid>
        <w:gridCol w:w="2949"/>
        <w:gridCol w:w="1995"/>
        <w:gridCol w:w="1200"/>
        <w:gridCol w:w="1065"/>
        <w:gridCol w:w="1980"/>
        <w:gridCol w:w="840"/>
        <w:gridCol w:w="690"/>
        <w:gridCol w:w="705"/>
        <w:gridCol w:w="780"/>
        <w:gridCol w:w="780"/>
        <w:gridCol w:w="675"/>
        <w:gridCol w:w="481"/>
      </w:tblGrid>
      <w:tr>
        <w:tblPrEx>
          <w:tblCellMar>
            <w:top w:w="0" w:type="dxa"/>
            <w:left w:w="108" w:type="dxa"/>
            <w:bottom w:w="0" w:type="dxa"/>
            <w:right w:w="108" w:type="dxa"/>
          </w:tblCellMar>
        </w:tblPrEx>
        <w:trPr>
          <w:trHeight w:val="492" w:hRule="atLeast"/>
        </w:trPr>
        <w:tc>
          <w:tcPr>
            <w:tcW w:w="294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类型</w:t>
            </w:r>
          </w:p>
        </w:tc>
        <w:tc>
          <w:tcPr>
            <w:tcW w:w="1995" w:type="dxa"/>
            <w:vMerge w:val="restart"/>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项目名称</w:t>
            </w:r>
          </w:p>
        </w:tc>
        <w:tc>
          <w:tcPr>
            <w:tcW w:w="12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项目单位</w:t>
            </w:r>
          </w:p>
        </w:tc>
        <w:tc>
          <w:tcPr>
            <w:tcW w:w="1065"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合计</w:t>
            </w:r>
          </w:p>
        </w:tc>
        <w:tc>
          <w:tcPr>
            <w:tcW w:w="3510" w:type="dxa"/>
            <w:gridSpan w:val="3"/>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本年财政拨款</w:t>
            </w:r>
          </w:p>
        </w:tc>
        <w:tc>
          <w:tcPr>
            <w:tcW w:w="2265" w:type="dxa"/>
            <w:gridSpan w:val="3"/>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财政拨款结转结余</w:t>
            </w:r>
          </w:p>
        </w:tc>
        <w:tc>
          <w:tcPr>
            <w:tcW w:w="675"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财政专户管理资金</w:t>
            </w:r>
          </w:p>
        </w:tc>
        <w:tc>
          <w:tcPr>
            <w:tcW w:w="481"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单位</w:t>
            </w:r>
          </w:p>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资金</w:t>
            </w:r>
          </w:p>
        </w:tc>
      </w:tr>
      <w:tr>
        <w:tblPrEx>
          <w:tblCellMar>
            <w:top w:w="0" w:type="dxa"/>
            <w:left w:w="108" w:type="dxa"/>
            <w:bottom w:w="0" w:type="dxa"/>
            <w:right w:w="108" w:type="dxa"/>
          </w:tblCellMar>
        </w:tblPrEx>
        <w:trPr>
          <w:trHeight w:val="762" w:hRule="atLeast"/>
        </w:trPr>
        <w:tc>
          <w:tcPr>
            <w:tcW w:w="294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2"/>
              </w:rPr>
            </w:pPr>
          </w:p>
        </w:tc>
        <w:tc>
          <w:tcPr>
            <w:tcW w:w="1995"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宋体"/>
                <w:b/>
                <w:bCs/>
                <w:color w:val="000000"/>
                <w:kern w:val="0"/>
                <w:sz w:val="22"/>
              </w:rPr>
            </w:pPr>
          </w:p>
        </w:tc>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000000"/>
                <w:kern w:val="0"/>
                <w:sz w:val="22"/>
              </w:rPr>
            </w:pPr>
          </w:p>
        </w:tc>
        <w:tc>
          <w:tcPr>
            <w:tcW w:w="1065"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ascii="宋体" w:hAnsi="宋体" w:eastAsia="宋体" w:cs="宋体"/>
                <w:b/>
                <w:bCs/>
                <w:color w:val="000000"/>
                <w:kern w:val="0"/>
                <w:sz w:val="22"/>
              </w:rPr>
            </w:pPr>
          </w:p>
        </w:tc>
        <w:tc>
          <w:tcPr>
            <w:tcW w:w="1980"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一般公共预算</w:t>
            </w:r>
          </w:p>
        </w:tc>
        <w:tc>
          <w:tcPr>
            <w:tcW w:w="840"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政府性基金预算</w:t>
            </w:r>
          </w:p>
        </w:tc>
        <w:tc>
          <w:tcPr>
            <w:tcW w:w="690"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国有资本经营预算</w:t>
            </w:r>
          </w:p>
        </w:tc>
        <w:tc>
          <w:tcPr>
            <w:tcW w:w="705"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一般公共预算</w:t>
            </w:r>
          </w:p>
        </w:tc>
        <w:tc>
          <w:tcPr>
            <w:tcW w:w="780"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政府性基金预算</w:t>
            </w:r>
          </w:p>
        </w:tc>
        <w:tc>
          <w:tcPr>
            <w:tcW w:w="780" w:type="dxa"/>
            <w:tcBorders>
              <w:top w:val="nil"/>
              <w:left w:val="nil"/>
              <w:bottom w:val="nil"/>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国有资本经营预算</w:t>
            </w:r>
          </w:p>
        </w:tc>
        <w:tc>
          <w:tcPr>
            <w:tcW w:w="675"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ascii="宋体" w:hAnsi="宋体" w:eastAsia="宋体" w:cs="宋体"/>
                <w:b/>
                <w:bCs/>
                <w:color w:val="000000"/>
                <w:kern w:val="0"/>
                <w:sz w:val="22"/>
              </w:rPr>
            </w:pPr>
          </w:p>
        </w:tc>
        <w:tc>
          <w:tcPr>
            <w:tcW w:w="481"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ascii="宋体" w:hAnsi="宋体" w:eastAsia="宋体" w:cs="宋体"/>
                <w:b/>
                <w:bCs/>
                <w:color w:val="000000"/>
                <w:kern w:val="0"/>
                <w:sz w:val="22"/>
              </w:rPr>
            </w:pPr>
          </w:p>
        </w:tc>
      </w:tr>
      <w:tr>
        <w:tblPrEx>
          <w:tblCellMar>
            <w:top w:w="0" w:type="dxa"/>
            <w:left w:w="108" w:type="dxa"/>
            <w:bottom w:w="0" w:type="dxa"/>
            <w:right w:w="108" w:type="dxa"/>
          </w:tblCellMar>
        </w:tblPrEx>
        <w:trPr>
          <w:trHeight w:val="1440"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补助类专项支出(农村独保费、抚恤资金、优待资金、七老、村级转移支付、五保户)</w:t>
            </w:r>
          </w:p>
        </w:tc>
        <w:tc>
          <w:tcPr>
            <w:tcW w:w="199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494.33</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494.33</w:t>
            </w:r>
          </w:p>
        </w:tc>
        <w:tc>
          <w:tcPr>
            <w:tcW w:w="19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补助类专项支出(农村独保费、抚恤资金、优待资金、七老、村级转移支付、五保户)</w:t>
            </w:r>
          </w:p>
        </w:tc>
        <w:tc>
          <w:tcPr>
            <w:tcW w:w="84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　</w:t>
            </w:r>
          </w:p>
        </w:tc>
        <w:tc>
          <w:tcPr>
            <w:tcW w:w="69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0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8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8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r>
      <w:tr>
        <w:tblPrEx>
          <w:tblCellMar>
            <w:top w:w="0" w:type="dxa"/>
            <w:left w:w="108" w:type="dxa"/>
            <w:bottom w:w="0" w:type="dxa"/>
            <w:right w:w="108" w:type="dxa"/>
          </w:tblCellMar>
        </w:tblPrEx>
        <w:trPr>
          <w:trHeight w:val="549"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木镇民生工程经费</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60.00</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60.00</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木镇民生工程经费</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r>
      <w:tr>
        <w:tblPrEx>
          <w:tblCellMar>
            <w:top w:w="0" w:type="dxa"/>
            <w:left w:w="108" w:type="dxa"/>
            <w:bottom w:w="0" w:type="dxa"/>
            <w:right w:w="108" w:type="dxa"/>
          </w:tblCellMar>
        </w:tblPrEx>
        <w:trPr>
          <w:trHeight w:val="360"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应急管理项目(防汛、抗旱、疫情防控)</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34.20</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34.20</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应急管理项目(防汛、抗旱、疫情防控)</w:t>
            </w:r>
          </w:p>
        </w:tc>
        <w:tc>
          <w:tcPr>
            <w:tcW w:w="84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0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94"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司法维稳工作经费</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21.00</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21.00</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司法维稳工作经费</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474"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929.60</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929.60</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征兵民兵退役军人事务站工作经费</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14.00</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14.00</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征兵民兵退役军人事务站工作经费</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60"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乡镇各部门工作经费</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94.75</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94.75</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乡镇各部门工作经费</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color w:val="000000"/>
                <w:kern w:val="0"/>
                <w:sz w:val="20"/>
                <w:szCs w:val="20"/>
              </w:rPr>
            </w:pPr>
            <w:r>
              <w:rPr>
                <w:rFonts w:hint="eastAsia" w:ascii="宋体" w:hAnsi="宋体" w:eastAsia="宋体" w:cs="宋体"/>
                <w:i w:val="0"/>
                <w:iCs w:val="0"/>
                <w:color w:val="000000"/>
                <w:kern w:val="0"/>
                <w:sz w:val="20"/>
                <w:szCs w:val="20"/>
                <w:u w:val="none"/>
                <w:lang w:val="en-US" w:eastAsia="zh-CN" w:bidi="ar"/>
              </w:rPr>
              <w:t>新时代文明创建以及文体教育经费</w:t>
            </w:r>
          </w:p>
        </w:tc>
        <w:tc>
          <w:tcPr>
            <w:tcW w:w="199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w:t>
            </w:r>
          </w:p>
        </w:tc>
        <w:tc>
          <w:tcPr>
            <w:tcW w:w="1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26.86</w:t>
            </w:r>
          </w:p>
        </w:tc>
        <w:tc>
          <w:tcPr>
            <w:tcW w:w="106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26.86</w:t>
            </w:r>
          </w:p>
        </w:tc>
        <w:tc>
          <w:tcPr>
            <w:tcW w:w="19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color w:val="000000"/>
                <w:kern w:val="0"/>
                <w:sz w:val="20"/>
                <w:szCs w:val="20"/>
              </w:rPr>
            </w:pPr>
            <w:r>
              <w:rPr>
                <w:rFonts w:hint="eastAsia" w:ascii="宋体" w:hAnsi="宋体" w:eastAsia="宋体" w:cs="宋体"/>
                <w:i w:val="0"/>
                <w:iCs w:val="0"/>
                <w:color w:val="000000"/>
                <w:kern w:val="0"/>
                <w:sz w:val="20"/>
                <w:szCs w:val="20"/>
                <w:u w:val="none"/>
                <w:lang w:val="en-US" w:eastAsia="zh-CN" w:bidi="ar"/>
              </w:rPr>
              <w:t>新时代文明创建以及文体教育经费</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0"/>
                <w:szCs w:val="20"/>
              </w:rPr>
            </w:pP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hint="eastAsia" w:ascii="宋体" w:hAnsi="宋体" w:eastAsia="宋体" w:cs="宋体"/>
                <w:color w:val="000000"/>
                <w:kern w:val="0"/>
                <w:sz w:val="22"/>
              </w:rPr>
            </w:pPr>
          </w:p>
        </w:tc>
      </w:tr>
      <w:tr>
        <w:tblPrEx>
          <w:tblCellMar>
            <w:top w:w="0" w:type="dxa"/>
            <w:left w:w="108" w:type="dxa"/>
            <w:bottom w:w="0" w:type="dxa"/>
            <w:right w:w="108" w:type="dxa"/>
          </w:tblCellMar>
        </w:tblPrEx>
        <w:trPr>
          <w:trHeight w:val="360" w:hRule="atLeast"/>
        </w:trPr>
        <w:tc>
          <w:tcPr>
            <w:tcW w:w="294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合  计</w:t>
            </w:r>
          </w:p>
        </w:tc>
        <w:tc>
          <w:tcPr>
            <w:tcW w:w="19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12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1674.74</w:t>
            </w:r>
            <w:r>
              <w:rPr>
                <w:rFonts w:hint="eastAsia" w:ascii="宋体" w:hAnsi="宋体" w:eastAsia="宋体" w:cs="宋体"/>
                <w:b/>
                <w:bCs/>
                <w:color w:val="000000"/>
                <w:kern w:val="0"/>
                <w:sz w:val="22"/>
              </w:rPr>
              <w:t>　</w:t>
            </w:r>
          </w:p>
        </w:tc>
        <w:tc>
          <w:tcPr>
            <w:tcW w:w="1065" w:type="dxa"/>
            <w:tcBorders>
              <w:top w:val="nil"/>
              <w:left w:val="nil"/>
              <w:bottom w:val="single" w:color="auto" w:sz="4" w:space="0"/>
              <w:right w:val="single" w:color="auto" w:sz="4" w:space="0"/>
            </w:tcBorders>
            <w:shd w:val="clear" w:color="auto" w:fill="auto"/>
            <w:vAlign w:val="center"/>
          </w:tcPr>
          <w:p>
            <w:pPr>
              <w:widowControl/>
              <w:jc w:val="both"/>
              <w:rPr>
                <w:rFonts w:ascii="宋体" w:hAnsi="宋体" w:eastAsia="宋体" w:cs="宋体"/>
                <w:b/>
                <w:bCs/>
                <w:color w:val="000000"/>
                <w:kern w:val="0"/>
                <w:sz w:val="22"/>
              </w:rPr>
            </w:pPr>
            <w:r>
              <w:rPr>
                <w:rFonts w:hint="eastAsia" w:ascii="宋体" w:hAnsi="宋体" w:eastAsia="宋体" w:cs="宋体"/>
                <w:b/>
                <w:bCs/>
                <w:color w:val="000000"/>
                <w:kern w:val="0"/>
                <w:sz w:val="22"/>
                <w:lang w:val="en-US" w:eastAsia="zh-CN"/>
              </w:rPr>
              <w:t>1674.74</w:t>
            </w:r>
            <w:r>
              <w:rPr>
                <w:rFonts w:hint="eastAsia" w:ascii="宋体" w:hAnsi="宋体" w:eastAsia="宋体" w:cs="宋体"/>
                <w:b/>
                <w:bCs/>
                <w:color w:val="000000"/>
                <w:kern w:val="0"/>
                <w:sz w:val="22"/>
              </w:rPr>
              <w:t>　</w:t>
            </w:r>
          </w:p>
        </w:tc>
        <w:tc>
          <w:tcPr>
            <w:tcW w:w="19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84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69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0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78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67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c>
          <w:tcPr>
            <w:tcW w:w="48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宋体"/>
                <w:b/>
                <w:bCs/>
                <w:color w:val="000000"/>
                <w:kern w:val="0"/>
                <w:sz w:val="22"/>
              </w:rPr>
            </w:pPr>
            <w:r>
              <w:rPr>
                <w:rFonts w:hint="eastAsia" w:ascii="宋体" w:hAnsi="宋体" w:eastAsia="宋体" w:cs="宋体"/>
                <w:b/>
                <w:bCs/>
                <w:color w:val="000000"/>
                <w:kern w:val="0"/>
                <w:sz w:val="22"/>
              </w:rPr>
              <w:t>　</w:t>
            </w:r>
          </w:p>
        </w:tc>
      </w:tr>
    </w:tbl>
    <w:p>
      <w:pPr>
        <w:rPr>
          <w:rFonts w:hint="eastAsia" w:ascii="宋体" w:hAnsi="宋体" w:cs="宋体"/>
          <w:color w:val="000000"/>
          <w:kern w:val="0"/>
          <w:sz w:val="22"/>
          <w:lang w:val="en-US" w:eastAsia="zh-CN"/>
        </w:rPr>
      </w:pPr>
      <w:r>
        <w:rPr>
          <w:rFonts w:hint="eastAsia" w:ascii="宋体" w:hAnsi="宋体" w:cs="宋体"/>
          <w:color w:val="000000"/>
          <w:kern w:val="0"/>
          <w:sz w:val="22"/>
          <w:lang w:val="en-US" w:eastAsia="zh-CN"/>
        </w:rPr>
        <w:t xml:space="preserve"> </w:t>
      </w:r>
    </w:p>
    <w:p>
      <w:pPr>
        <w:pStyle w:val="2"/>
        <w:rPr>
          <w:rFonts w:hint="eastAsia" w:ascii="宋体" w:hAnsi="宋体" w:cs="宋体"/>
          <w:color w:val="000000"/>
          <w:kern w:val="0"/>
          <w:sz w:val="22"/>
          <w:lang w:val="en-US" w:eastAsia="zh-CN"/>
        </w:rPr>
      </w:pPr>
    </w:p>
    <w:p>
      <w:pPr>
        <w:rPr>
          <w:rFonts w:hint="eastAsia"/>
          <w:lang w:val="en-US" w:eastAsia="zh-CN"/>
        </w:rPr>
        <w:sectPr>
          <w:pgSz w:w="16838" w:h="11906" w:orient="landscape"/>
          <w:pgMar w:top="1797" w:right="1440" w:bottom="1797" w:left="1440" w:header="851" w:footer="992" w:gutter="0"/>
          <w:cols w:space="425" w:num="1"/>
          <w:docGrid w:type="linesAndChars" w:linePitch="312" w:charSpace="0"/>
        </w:sectPr>
      </w:pPr>
    </w:p>
    <w:p>
      <w:pPr>
        <w:pStyle w:val="5"/>
        <w:wordWrap w:val="0"/>
        <w:adjustRightInd w:val="0"/>
        <w:snapToGrid w:val="0"/>
        <w:spacing w:before="0" w:beforeAutospacing="0" w:after="0" w:afterAutospacing="0" w:line="360" w:lineRule="auto"/>
        <w:jc w:val="right"/>
        <w:rPr>
          <w:sz w:val="20"/>
          <w:szCs w:val="20"/>
        </w:rPr>
      </w:pPr>
      <w:r>
        <w:rPr>
          <w:rFonts w:hint="eastAsia"/>
          <w:sz w:val="20"/>
          <w:szCs w:val="20"/>
        </w:rPr>
        <w:t xml:space="preserve">       部门</w:t>
      </w:r>
      <w:r>
        <w:rPr>
          <w:rFonts w:hint="eastAsia"/>
          <w:sz w:val="20"/>
          <w:szCs w:val="20"/>
          <w:u w:val="single"/>
        </w:rPr>
        <w:t>（单位）</w:t>
      </w:r>
      <w:r>
        <w:rPr>
          <w:rFonts w:hint="eastAsia"/>
          <w:sz w:val="20"/>
          <w:szCs w:val="20"/>
        </w:rPr>
        <w:t>公开表10</w:t>
      </w:r>
    </w:p>
    <w:tbl>
      <w:tblPr>
        <w:tblStyle w:val="6"/>
        <w:tblW w:w="10896" w:type="dxa"/>
        <w:jc w:val="center"/>
        <w:tblLayout w:type="fixed"/>
        <w:tblCellMar>
          <w:top w:w="0" w:type="dxa"/>
          <w:left w:w="108" w:type="dxa"/>
          <w:bottom w:w="0" w:type="dxa"/>
          <w:right w:w="108" w:type="dxa"/>
        </w:tblCellMar>
      </w:tblPr>
      <w:tblGrid>
        <w:gridCol w:w="176"/>
        <w:gridCol w:w="2206"/>
        <w:gridCol w:w="2655"/>
        <w:gridCol w:w="1080"/>
        <w:gridCol w:w="945"/>
        <w:gridCol w:w="825"/>
        <w:gridCol w:w="915"/>
        <w:gridCol w:w="930"/>
        <w:gridCol w:w="627"/>
        <w:gridCol w:w="537"/>
      </w:tblGrid>
      <w:tr>
        <w:tblPrEx>
          <w:tblCellMar>
            <w:top w:w="0" w:type="dxa"/>
            <w:left w:w="108" w:type="dxa"/>
            <w:bottom w:w="0" w:type="dxa"/>
            <w:right w:w="108" w:type="dxa"/>
          </w:tblCellMar>
        </w:tblPrEx>
        <w:trPr>
          <w:gridBefore w:val="1"/>
          <w:wBefore w:w="176" w:type="dxa"/>
          <w:trHeight w:val="525" w:hRule="atLeast"/>
          <w:jc w:val="center"/>
        </w:trPr>
        <w:tc>
          <w:tcPr>
            <w:tcW w:w="10720" w:type="dxa"/>
            <w:gridSpan w:val="9"/>
            <w:tcBorders>
              <w:top w:val="nil"/>
              <w:left w:val="nil"/>
              <w:bottom w:val="nil"/>
              <w:right w:val="nil"/>
            </w:tcBorders>
            <w:vAlign w:val="center"/>
          </w:tcPr>
          <w:p>
            <w:pPr>
              <w:widowControl/>
              <w:jc w:val="center"/>
              <w:rPr>
                <w:rFonts w:ascii="华文中宋" w:hAnsi="华文中宋" w:eastAsia="华文中宋" w:cs="宋体"/>
                <w:b/>
                <w:bCs/>
                <w:kern w:val="0"/>
                <w:sz w:val="32"/>
                <w:szCs w:val="32"/>
              </w:rPr>
            </w:pPr>
            <w:r>
              <w:rPr>
                <w:rFonts w:hint="eastAsia" w:ascii="华文中宋" w:hAnsi="华文中宋" w:eastAsia="华文中宋" w:cs="宋体"/>
                <w:b/>
                <w:bCs/>
                <w:kern w:val="0"/>
                <w:sz w:val="32"/>
                <w:szCs w:val="32"/>
              </w:rPr>
              <w:t>青阳县</w:t>
            </w:r>
            <w:r>
              <w:rPr>
                <w:rFonts w:hint="eastAsia" w:ascii="华文中宋" w:hAnsi="华文中宋" w:eastAsia="华文中宋" w:cs="宋体"/>
                <w:b/>
                <w:bCs/>
                <w:kern w:val="0"/>
                <w:sz w:val="32"/>
                <w:szCs w:val="32"/>
                <w:lang w:val="en-US" w:eastAsia="zh-CN"/>
              </w:rPr>
              <w:t>木镇镇人民政府</w:t>
            </w:r>
            <w:r>
              <w:rPr>
                <w:rFonts w:hint="eastAsia" w:ascii="华文中宋" w:hAnsi="华文中宋" w:eastAsia="华文中宋" w:cs="宋体"/>
                <w:b/>
                <w:bCs/>
                <w:kern w:val="0"/>
                <w:sz w:val="32"/>
                <w:szCs w:val="32"/>
              </w:rPr>
              <w:t>2023年政府采购支出表</w:t>
            </w:r>
          </w:p>
          <w:p>
            <w:pPr>
              <w:widowControl/>
              <w:jc w:val="center"/>
              <w:rPr>
                <w:rFonts w:ascii="宋体" w:hAnsi="宋体" w:cs="宋体"/>
                <w:b/>
                <w:bCs/>
                <w:kern w:val="0"/>
                <w:sz w:val="32"/>
                <w:szCs w:val="32"/>
              </w:rPr>
            </w:pPr>
            <w:r>
              <w:rPr>
                <w:rFonts w:hint="eastAsia" w:ascii="宋体" w:hAnsi="宋体" w:cs="宋体"/>
                <w:kern w:val="0"/>
                <w:sz w:val="20"/>
                <w:szCs w:val="20"/>
              </w:rPr>
              <w:t xml:space="preserve">                                                                              单位：万元</w:t>
            </w:r>
          </w:p>
        </w:tc>
      </w:tr>
      <w:tr>
        <w:tblPrEx>
          <w:tblCellMar>
            <w:top w:w="0" w:type="dxa"/>
            <w:left w:w="108" w:type="dxa"/>
            <w:bottom w:w="0" w:type="dxa"/>
            <w:right w:w="108" w:type="dxa"/>
          </w:tblCellMar>
        </w:tblPrEx>
        <w:trPr>
          <w:gridAfter w:val="1"/>
          <w:wAfter w:w="537" w:type="dxa"/>
          <w:trHeight w:val="855" w:hRule="atLeast"/>
          <w:jc w:val="center"/>
        </w:trPr>
        <w:tc>
          <w:tcPr>
            <w:tcW w:w="2382" w:type="dxa"/>
            <w:gridSpan w:val="2"/>
            <w:tcBorders>
              <w:top w:val="single" w:color="auto" w:sz="4" w:space="0"/>
              <w:left w:val="single" w:color="auto" w:sz="4" w:space="0"/>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项目名称</w:t>
            </w:r>
          </w:p>
        </w:tc>
        <w:tc>
          <w:tcPr>
            <w:tcW w:w="2655"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政府采购品目</w:t>
            </w:r>
          </w:p>
        </w:tc>
        <w:tc>
          <w:tcPr>
            <w:tcW w:w="1080"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合计</w:t>
            </w:r>
          </w:p>
        </w:tc>
        <w:tc>
          <w:tcPr>
            <w:tcW w:w="945"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一般公共预算</w:t>
            </w:r>
          </w:p>
        </w:tc>
        <w:tc>
          <w:tcPr>
            <w:tcW w:w="825"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政府性基金预算</w:t>
            </w:r>
          </w:p>
        </w:tc>
        <w:tc>
          <w:tcPr>
            <w:tcW w:w="915"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国有资本经营预算</w:t>
            </w:r>
          </w:p>
        </w:tc>
        <w:tc>
          <w:tcPr>
            <w:tcW w:w="930"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财政专户管理资金</w:t>
            </w:r>
          </w:p>
        </w:tc>
        <w:tc>
          <w:tcPr>
            <w:tcW w:w="627" w:type="dxa"/>
            <w:tcBorders>
              <w:top w:val="single" w:color="auto" w:sz="4" w:space="0"/>
              <w:left w:val="nil"/>
              <w:bottom w:val="nil"/>
              <w:right w:val="single" w:color="auto" w:sz="4" w:space="0"/>
            </w:tcBorders>
            <w:shd w:val="clear" w:color="auto" w:fill="auto"/>
            <w:vAlign w:val="center"/>
          </w:tcPr>
          <w:p>
            <w:pPr>
              <w:widowControl/>
              <w:jc w:val="center"/>
              <w:rPr>
                <w:rFonts w:ascii="宋体" w:hAnsi="宋体" w:eastAsia="宋体" w:cs="Arial"/>
                <w:b/>
                <w:bCs/>
                <w:kern w:val="0"/>
                <w:sz w:val="20"/>
                <w:szCs w:val="20"/>
              </w:rPr>
            </w:pPr>
            <w:r>
              <w:rPr>
                <w:rFonts w:hint="eastAsia" w:ascii="宋体" w:hAnsi="宋体" w:eastAsia="宋体" w:cs="Arial"/>
                <w:b/>
                <w:bCs/>
                <w:kern w:val="0"/>
                <w:sz w:val="20"/>
                <w:szCs w:val="20"/>
              </w:rPr>
              <w:t>单位资金</w:t>
            </w: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空调机</w:t>
            </w:r>
          </w:p>
        </w:tc>
        <w:tc>
          <w:tcPr>
            <w:tcW w:w="10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3.00</w:t>
            </w:r>
          </w:p>
        </w:tc>
        <w:tc>
          <w:tcPr>
            <w:tcW w:w="94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3.00</w:t>
            </w:r>
          </w:p>
        </w:tc>
        <w:tc>
          <w:tcPr>
            <w:tcW w:w="82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915"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930"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627" w:type="dxa"/>
            <w:tcBorders>
              <w:top w:val="single" w:color="auto" w:sz="4" w:space="0"/>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木骨架为主的椅凳类</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0.50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0.50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r>
              <w:rPr>
                <w:rFonts w:hint="eastAsia" w:ascii="宋体" w:hAnsi="宋体" w:eastAsia="宋体" w:cs="Arial"/>
                <w:kern w:val="0"/>
                <w:sz w:val="20"/>
                <w:szCs w:val="20"/>
              </w:rPr>
              <w:t>　</w:t>
            </w: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青阳县木镇镇人民政府本级_综合定额（事业）</w:t>
            </w:r>
          </w:p>
        </w:tc>
        <w:tc>
          <w:tcPr>
            <w:tcW w:w="2655" w:type="dxa"/>
            <w:tcBorders>
              <w:top w:val="nil"/>
              <w:left w:val="nil"/>
              <w:bottom w:val="single" w:color="auto" w:sz="4" w:space="0"/>
              <w:right w:val="single" w:color="auto" w:sz="4" w:space="0"/>
            </w:tcBorders>
            <w:shd w:val="clear" w:color="auto" w:fill="auto"/>
            <w:vAlign w:val="center"/>
          </w:tcPr>
          <w:p>
            <w:pPr>
              <w:jc w:val="left"/>
              <w:rPr>
                <w:rFonts w:ascii="宋体" w:hAnsi="宋体" w:eastAsia="宋体" w:cs="Arial"/>
                <w:kern w:val="0"/>
                <w:sz w:val="20"/>
                <w:szCs w:val="20"/>
              </w:rPr>
            </w:pP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5.60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5.60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青阳县木镇镇人民政府本级_综合定额（行政）</w:t>
            </w:r>
          </w:p>
        </w:tc>
        <w:tc>
          <w:tcPr>
            <w:tcW w:w="2655" w:type="dxa"/>
            <w:tcBorders>
              <w:top w:val="nil"/>
              <w:left w:val="nil"/>
              <w:bottom w:val="single" w:color="auto" w:sz="4" w:space="0"/>
              <w:right w:val="single" w:color="auto" w:sz="4" w:space="0"/>
            </w:tcBorders>
            <w:shd w:val="clear" w:color="auto" w:fill="auto"/>
            <w:vAlign w:val="center"/>
          </w:tcPr>
          <w:p>
            <w:pPr>
              <w:jc w:val="left"/>
              <w:rPr>
                <w:rFonts w:ascii="宋体" w:hAnsi="宋体" w:eastAsia="宋体" w:cs="Arial"/>
                <w:kern w:val="0"/>
                <w:sz w:val="20"/>
                <w:szCs w:val="20"/>
              </w:rPr>
            </w:pP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6.50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6.50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木制台、桌类</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复印机</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木制床类</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纸制文具及办公用品</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1.36</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1.36</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小型计算机</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冷藏柜</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0.60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0.60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木骨架沙发类</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0.64</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0.64</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青阳县木镇镇人民政府本级_综合定额（行政）</w:t>
            </w:r>
          </w:p>
        </w:tc>
        <w:tc>
          <w:tcPr>
            <w:tcW w:w="2655" w:type="dxa"/>
            <w:tcBorders>
              <w:top w:val="nil"/>
              <w:left w:val="nil"/>
              <w:bottom w:val="single" w:color="auto" w:sz="4" w:space="0"/>
              <w:right w:val="single" w:color="auto" w:sz="4" w:space="0"/>
            </w:tcBorders>
            <w:shd w:val="clear" w:color="auto" w:fill="auto"/>
            <w:vAlign w:val="center"/>
          </w:tcPr>
          <w:p>
            <w:pPr>
              <w:jc w:val="left"/>
              <w:rPr>
                <w:rFonts w:ascii="宋体" w:hAnsi="宋体" w:eastAsia="宋体" w:cs="Arial"/>
                <w:kern w:val="0"/>
                <w:sz w:val="20"/>
                <w:szCs w:val="20"/>
              </w:rPr>
            </w:pP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1.90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1.90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台式计算机</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2.40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多功能一体机</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3.00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电冰箱</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1.00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青阳县木镇镇人民政府本级_综合定额（事业）</w:t>
            </w:r>
          </w:p>
        </w:tc>
        <w:tc>
          <w:tcPr>
            <w:tcW w:w="2655" w:type="dxa"/>
            <w:tcBorders>
              <w:top w:val="nil"/>
              <w:left w:val="nil"/>
              <w:bottom w:val="single" w:color="auto" w:sz="4" w:space="0"/>
              <w:right w:val="single" w:color="auto" w:sz="4" w:space="0"/>
            </w:tcBorders>
            <w:shd w:val="clear" w:color="auto" w:fill="auto"/>
            <w:vAlign w:val="center"/>
          </w:tcPr>
          <w:p>
            <w:pPr>
              <w:jc w:val="left"/>
              <w:rPr>
                <w:rFonts w:ascii="宋体" w:hAnsi="宋体" w:eastAsia="宋体" w:cs="Arial"/>
                <w:kern w:val="0"/>
                <w:sz w:val="20"/>
                <w:szCs w:val="20"/>
              </w:rPr>
            </w:pP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2.00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265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便携式计算机</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0.50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0.50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nil"/>
              <w:right w:val="single" w:color="auto" w:sz="4" w:space="0"/>
            </w:tcBorders>
            <w:shd w:val="clear" w:color="auto" w:fill="auto"/>
            <w:vAlign w:val="center"/>
          </w:tcPr>
          <w:p>
            <w:pPr>
              <w:keepNext w:val="0"/>
              <w:keepLines w:val="0"/>
              <w:widowControl/>
              <w:suppressLineNumbers w:val="0"/>
              <w:jc w:val="lef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青阳县木镇镇人民政府本级_综合定额（事业）</w:t>
            </w:r>
          </w:p>
        </w:tc>
        <w:tc>
          <w:tcPr>
            <w:tcW w:w="2655" w:type="dxa"/>
            <w:tcBorders>
              <w:top w:val="nil"/>
              <w:left w:val="nil"/>
              <w:bottom w:val="nil"/>
              <w:right w:val="single" w:color="auto" w:sz="4" w:space="0"/>
            </w:tcBorders>
            <w:shd w:val="clear" w:color="auto" w:fill="auto"/>
            <w:vAlign w:val="center"/>
          </w:tcPr>
          <w:p>
            <w:pPr>
              <w:jc w:val="left"/>
              <w:rPr>
                <w:rFonts w:ascii="宋体" w:hAnsi="宋体" w:eastAsia="宋体" w:cs="Arial"/>
                <w:kern w:val="0"/>
                <w:sz w:val="20"/>
                <w:szCs w:val="20"/>
              </w:rPr>
            </w:pPr>
          </w:p>
        </w:tc>
        <w:tc>
          <w:tcPr>
            <w:tcW w:w="1080" w:type="dxa"/>
            <w:tcBorders>
              <w:top w:val="nil"/>
              <w:left w:val="nil"/>
              <w:bottom w:val="nil"/>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4.00</w:t>
            </w:r>
          </w:p>
        </w:tc>
        <w:tc>
          <w:tcPr>
            <w:tcW w:w="945" w:type="dxa"/>
            <w:tcBorders>
              <w:top w:val="nil"/>
              <w:left w:val="nil"/>
              <w:bottom w:val="nil"/>
              <w:right w:val="single" w:color="auto" w:sz="4" w:space="0"/>
            </w:tcBorders>
            <w:shd w:val="clear" w:color="auto" w:fill="auto"/>
            <w:vAlign w:val="center"/>
          </w:tcPr>
          <w:p>
            <w:pPr>
              <w:keepNext w:val="0"/>
              <w:keepLines w:val="0"/>
              <w:widowControl/>
              <w:suppressLineNumbers w:val="0"/>
              <w:jc w:val="right"/>
              <w:textAlignment w:val="center"/>
              <w:rPr>
                <w:rFonts w:ascii="宋体" w:hAnsi="宋体" w:eastAsia="宋体" w:cs="Arial"/>
                <w:kern w:val="0"/>
                <w:sz w:val="20"/>
                <w:szCs w:val="20"/>
              </w:rPr>
            </w:pPr>
            <w:r>
              <w:rPr>
                <w:rFonts w:hint="eastAsia" w:ascii="宋体" w:hAnsi="宋体" w:eastAsia="宋体" w:cs="宋体"/>
                <w:i w:val="0"/>
                <w:iCs w:val="0"/>
                <w:color w:val="000000"/>
                <w:kern w:val="0"/>
                <w:sz w:val="20"/>
                <w:szCs w:val="20"/>
                <w:u w:val="none"/>
                <w:lang w:val="en-US" w:eastAsia="zh-CN" w:bidi="ar"/>
              </w:rPr>
              <w:t>4.00</w:t>
            </w:r>
          </w:p>
        </w:tc>
        <w:tc>
          <w:tcPr>
            <w:tcW w:w="825" w:type="dxa"/>
            <w:tcBorders>
              <w:top w:val="nil"/>
              <w:left w:val="nil"/>
              <w:bottom w:val="nil"/>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15" w:type="dxa"/>
            <w:tcBorders>
              <w:top w:val="nil"/>
              <w:left w:val="nil"/>
              <w:bottom w:val="nil"/>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nil"/>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nil"/>
              <w:right w:val="single" w:color="auto" w:sz="4" w:space="0"/>
            </w:tcBorders>
            <w:shd w:val="clear" w:color="auto" w:fill="auto"/>
            <w:vAlign w:val="center"/>
          </w:tcPr>
          <w:p>
            <w:pPr>
              <w:widowControl/>
              <w:jc w:val="right"/>
              <w:rPr>
                <w:rFonts w:ascii="宋体" w:hAnsi="宋体" w:eastAsia="宋体" w:cs="Arial"/>
                <w:kern w:val="0"/>
                <w:sz w:val="20"/>
                <w:szCs w:val="20"/>
              </w:rPr>
            </w:pPr>
          </w:p>
        </w:tc>
      </w:tr>
      <w:tr>
        <w:tblPrEx>
          <w:tblCellMar>
            <w:top w:w="0" w:type="dxa"/>
            <w:left w:w="108" w:type="dxa"/>
            <w:bottom w:w="0" w:type="dxa"/>
            <w:right w:w="108" w:type="dxa"/>
          </w:tblCellMar>
        </w:tblPrEx>
        <w:trPr>
          <w:gridAfter w:val="1"/>
          <w:wAfter w:w="537" w:type="dxa"/>
          <w:trHeight w:val="540" w:hRule="atLeast"/>
          <w:jc w:val="center"/>
        </w:trPr>
        <w:tc>
          <w:tcPr>
            <w:tcW w:w="2382"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2655" w:type="dxa"/>
            <w:tcBorders>
              <w:top w:val="nil"/>
              <w:left w:val="nil"/>
              <w:bottom w:val="single" w:color="auto" w:sz="4" w:space="0"/>
              <w:right w:val="single" w:color="auto" w:sz="4" w:space="0"/>
            </w:tcBorders>
            <w:shd w:val="clear" w:color="auto" w:fill="auto"/>
            <w:vAlign w:val="center"/>
          </w:tcPr>
          <w:p>
            <w:pPr>
              <w:jc w:val="left"/>
              <w:rPr>
                <w:rFonts w:hint="eastAsia" w:ascii="宋体" w:hAnsi="宋体" w:eastAsia="宋体" w:cs="Arial"/>
                <w:b/>
                <w:bCs/>
                <w:kern w:val="0"/>
                <w:sz w:val="20"/>
                <w:szCs w:val="20"/>
                <w:lang w:val="en-US" w:eastAsia="zh-CN"/>
              </w:rPr>
            </w:pPr>
            <w:r>
              <w:rPr>
                <w:rFonts w:hint="eastAsia" w:ascii="宋体" w:hAnsi="宋体" w:eastAsia="宋体" w:cs="Arial"/>
                <w:b/>
                <w:bCs/>
                <w:kern w:val="0"/>
                <w:sz w:val="20"/>
                <w:szCs w:val="20"/>
                <w:lang w:val="en-US" w:eastAsia="zh-CN"/>
              </w:rPr>
              <w:t>合计</w:t>
            </w:r>
          </w:p>
        </w:tc>
        <w:tc>
          <w:tcPr>
            <w:tcW w:w="108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40.00</w:t>
            </w:r>
          </w:p>
        </w:tc>
        <w:tc>
          <w:tcPr>
            <w:tcW w:w="945"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40.00</w:t>
            </w:r>
          </w:p>
        </w:tc>
        <w:tc>
          <w:tcPr>
            <w:tcW w:w="82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b/>
                <w:bCs/>
                <w:kern w:val="0"/>
                <w:sz w:val="20"/>
                <w:szCs w:val="20"/>
              </w:rPr>
            </w:pPr>
          </w:p>
        </w:tc>
        <w:tc>
          <w:tcPr>
            <w:tcW w:w="915"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93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c>
          <w:tcPr>
            <w:tcW w:w="627"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eastAsia="宋体" w:cs="Arial"/>
                <w:kern w:val="0"/>
                <w:sz w:val="20"/>
                <w:szCs w:val="20"/>
              </w:rPr>
            </w:pPr>
          </w:p>
        </w:tc>
      </w:tr>
    </w:tbl>
    <w:p>
      <w:pPr>
        <w:pStyle w:val="5"/>
        <w:adjustRightInd w:val="0"/>
        <w:snapToGrid w:val="0"/>
        <w:spacing w:before="0" w:beforeAutospacing="0" w:after="0" w:afterAutospacing="0" w:line="360" w:lineRule="auto"/>
        <w:jc w:val="both"/>
      </w:pPr>
    </w:p>
    <w:p/>
    <w:p>
      <w:pPr>
        <w:sectPr>
          <w:pgSz w:w="11906" w:h="16838"/>
          <w:pgMar w:top="1440" w:right="1797" w:bottom="1440" w:left="1797" w:header="851" w:footer="992" w:gutter="0"/>
          <w:cols w:space="425" w:num="1"/>
          <w:docGrid w:type="lines" w:linePitch="312" w:charSpace="0"/>
        </w:sectPr>
      </w:pPr>
    </w:p>
    <w:p/>
    <w:p>
      <w:pPr>
        <w:pStyle w:val="5"/>
        <w:wordWrap w:val="0"/>
        <w:adjustRightInd w:val="0"/>
        <w:snapToGrid w:val="0"/>
        <w:spacing w:before="0" w:beforeAutospacing="0" w:after="0" w:afterAutospacing="0" w:line="360" w:lineRule="auto"/>
        <w:jc w:val="both"/>
        <w:rPr>
          <w:sz w:val="20"/>
          <w:szCs w:val="20"/>
        </w:rPr>
      </w:pPr>
      <w:r>
        <w:rPr>
          <w:rFonts w:hint="eastAsia"/>
          <w:sz w:val="20"/>
          <w:szCs w:val="20"/>
        </w:rPr>
        <w:t xml:space="preserve">                                                                                                                    部门</w:t>
      </w:r>
      <w:r>
        <w:rPr>
          <w:rFonts w:hint="eastAsia"/>
          <w:sz w:val="20"/>
          <w:szCs w:val="20"/>
          <w:u w:val="single"/>
        </w:rPr>
        <w:t>（单位）</w:t>
      </w:r>
      <w:r>
        <w:rPr>
          <w:rFonts w:hint="eastAsia"/>
          <w:sz w:val="20"/>
          <w:szCs w:val="20"/>
        </w:rPr>
        <w:t>公开表11</w:t>
      </w:r>
    </w:p>
    <w:tbl>
      <w:tblPr>
        <w:tblStyle w:val="6"/>
        <w:tblW w:w="13743" w:type="dxa"/>
        <w:jc w:val="center"/>
        <w:tblLayout w:type="fixed"/>
        <w:tblCellMar>
          <w:top w:w="0" w:type="dxa"/>
          <w:left w:w="108" w:type="dxa"/>
          <w:bottom w:w="0" w:type="dxa"/>
          <w:right w:w="108" w:type="dxa"/>
        </w:tblCellMar>
      </w:tblPr>
      <w:tblGrid>
        <w:gridCol w:w="93"/>
        <w:gridCol w:w="1980"/>
        <w:gridCol w:w="1953"/>
        <w:gridCol w:w="1784"/>
        <w:gridCol w:w="1933"/>
        <w:gridCol w:w="2483"/>
        <w:gridCol w:w="1684"/>
        <w:gridCol w:w="1816"/>
        <w:gridCol w:w="17"/>
      </w:tblGrid>
      <w:tr>
        <w:tblPrEx>
          <w:tblCellMar>
            <w:top w:w="0" w:type="dxa"/>
            <w:left w:w="108" w:type="dxa"/>
            <w:bottom w:w="0" w:type="dxa"/>
            <w:right w:w="108" w:type="dxa"/>
          </w:tblCellMar>
        </w:tblPrEx>
        <w:trPr>
          <w:gridAfter w:val="1"/>
          <w:wAfter w:w="17" w:type="dxa"/>
          <w:trHeight w:val="525" w:hRule="atLeast"/>
          <w:jc w:val="center"/>
        </w:trPr>
        <w:tc>
          <w:tcPr>
            <w:tcW w:w="13726" w:type="dxa"/>
            <w:gridSpan w:val="8"/>
            <w:tcBorders>
              <w:top w:val="nil"/>
              <w:left w:val="nil"/>
              <w:bottom w:val="nil"/>
              <w:right w:val="nil"/>
            </w:tcBorders>
            <w:vAlign w:val="center"/>
          </w:tcPr>
          <w:p>
            <w:pPr>
              <w:widowControl/>
              <w:jc w:val="center"/>
              <w:rPr>
                <w:rFonts w:ascii="华文中宋" w:hAnsi="华文中宋" w:eastAsia="华文中宋" w:cs="宋体"/>
                <w:b/>
                <w:bCs/>
                <w:kern w:val="0"/>
                <w:sz w:val="32"/>
                <w:szCs w:val="32"/>
              </w:rPr>
            </w:pPr>
            <w:r>
              <w:rPr>
                <w:rFonts w:hint="eastAsia" w:ascii="华文中宋" w:hAnsi="华文中宋" w:eastAsia="华文中宋" w:cs="宋体"/>
                <w:b/>
                <w:bCs/>
                <w:kern w:val="0"/>
                <w:sz w:val="32"/>
                <w:szCs w:val="32"/>
              </w:rPr>
              <w:t>青阳县</w:t>
            </w:r>
            <w:r>
              <w:rPr>
                <w:rFonts w:hint="eastAsia" w:ascii="华文中宋" w:hAnsi="华文中宋" w:eastAsia="华文中宋" w:cs="宋体"/>
                <w:b/>
                <w:bCs/>
                <w:kern w:val="0"/>
                <w:sz w:val="32"/>
                <w:szCs w:val="32"/>
                <w:lang w:val="en-US" w:eastAsia="zh-CN"/>
              </w:rPr>
              <w:t>木镇镇人民政府</w:t>
            </w:r>
            <w:r>
              <w:rPr>
                <w:rFonts w:hint="eastAsia" w:ascii="华文中宋" w:hAnsi="华文中宋" w:eastAsia="华文中宋" w:cs="宋体"/>
                <w:b/>
                <w:bCs/>
                <w:kern w:val="0"/>
                <w:sz w:val="32"/>
                <w:szCs w:val="32"/>
              </w:rPr>
              <w:t>2023年政府购买服务支出表</w:t>
            </w:r>
          </w:p>
          <w:p>
            <w:pPr>
              <w:widowControl/>
              <w:jc w:val="center"/>
              <w:rPr>
                <w:rFonts w:ascii="宋体" w:hAnsi="宋体" w:cs="宋体"/>
                <w:kern w:val="0"/>
                <w:sz w:val="20"/>
                <w:szCs w:val="20"/>
              </w:rPr>
            </w:pPr>
            <w:r>
              <w:rPr>
                <w:rFonts w:hint="eastAsia" w:ascii="宋体" w:hAnsi="宋体" w:cs="宋体"/>
                <w:kern w:val="0"/>
                <w:sz w:val="20"/>
                <w:szCs w:val="20"/>
              </w:rPr>
              <w:t xml:space="preserve">                                                                                                                    单位：万元</w:t>
            </w:r>
          </w:p>
        </w:tc>
      </w:tr>
      <w:tr>
        <w:tblPrEx>
          <w:tblCellMar>
            <w:top w:w="15" w:type="dxa"/>
            <w:left w:w="15" w:type="dxa"/>
            <w:bottom w:w="15" w:type="dxa"/>
            <w:right w:w="15" w:type="dxa"/>
          </w:tblCellMar>
        </w:tblPrEx>
        <w:trPr>
          <w:gridBefore w:val="1"/>
          <w:wBefore w:w="93" w:type="dxa"/>
          <w:trHeight w:val="72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项目名称</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一级目录名称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二级目录名称</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三级目录名称</w:t>
            </w:r>
          </w:p>
        </w:tc>
        <w:tc>
          <w:tcPr>
            <w:tcW w:w="248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政府购买服务内容</w:t>
            </w: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购买数量</w:t>
            </w:r>
          </w:p>
        </w:tc>
        <w:tc>
          <w:tcPr>
            <w:tcW w:w="18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b/>
                <w:color w:val="000000"/>
                <w:kern w:val="0"/>
                <w:sz w:val="20"/>
                <w:szCs w:val="20"/>
                <w:lang w:bidi="ar"/>
              </w:rPr>
              <w:t>购买金额</w:t>
            </w:r>
          </w:p>
        </w:tc>
      </w:tr>
      <w:tr>
        <w:tblPrEx>
          <w:tblCellMar>
            <w:top w:w="15" w:type="dxa"/>
            <w:left w:w="15" w:type="dxa"/>
            <w:bottom w:w="15" w:type="dxa"/>
            <w:right w:w="15" w:type="dxa"/>
          </w:tblCellMar>
        </w:tblPrEx>
        <w:trPr>
          <w:gridBefore w:val="1"/>
          <w:wBefore w:w="93" w:type="dxa"/>
          <w:trHeight w:val="55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color w:val="000000"/>
                <w:sz w:val="20"/>
                <w:szCs w:val="20"/>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248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83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r>
      <w:tr>
        <w:tblPrEx>
          <w:tblCellMar>
            <w:top w:w="15" w:type="dxa"/>
            <w:left w:w="15" w:type="dxa"/>
            <w:bottom w:w="15" w:type="dxa"/>
            <w:right w:w="15" w:type="dxa"/>
          </w:tblCellMar>
        </w:tblPrEx>
        <w:trPr>
          <w:gridBefore w:val="1"/>
          <w:wBefore w:w="93" w:type="dxa"/>
          <w:trHeight w:val="55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color w:val="000000"/>
                <w:sz w:val="20"/>
                <w:szCs w:val="20"/>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248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c>
          <w:tcPr>
            <w:tcW w:w="183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color w:val="000000"/>
                <w:sz w:val="18"/>
                <w:szCs w:val="18"/>
              </w:rPr>
            </w:pPr>
          </w:p>
        </w:tc>
      </w:tr>
    </w:tbl>
    <w:p>
      <w:pPr>
        <w:pStyle w:val="5"/>
        <w:keepNext w:val="0"/>
        <w:keepLines w:val="0"/>
        <w:pageBreakBefore w:val="0"/>
        <w:kinsoku/>
        <w:overflowPunct/>
        <w:topLinePunct w:val="0"/>
        <w:autoSpaceDE/>
        <w:autoSpaceDN/>
        <w:bidi w:val="0"/>
        <w:adjustRightInd w:val="0"/>
        <w:snapToGrid w:val="0"/>
        <w:spacing w:before="0" w:beforeAutospacing="0" w:after="0" w:afterAutospacing="0" w:line="560" w:lineRule="exact"/>
        <w:ind w:left="0" w:leftChars="0" w:right="0"/>
        <w:jc w:val="both"/>
      </w:pPr>
      <w:r>
        <w:rPr>
          <w:rFonts w:hint="eastAsia"/>
        </w:rPr>
        <w:t>注：青阳县</w:t>
      </w:r>
      <w:r>
        <w:rPr>
          <w:rFonts w:hint="eastAsia"/>
          <w:lang w:val="en-US" w:eastAsia="zh-CN"/>
        </w:rPr>
        <w:t>木镇镇人民政府</w:t>
      </w:r>
      <w:r>
        <w:rPr>
          <w:rFonts w:hint="eastAsia"/>
        </w:rPr>
        <w:t>没有安排政府购买服务支出，故本表无数据。</w:t>
      </w:r>
    </w:p>
    <w:p>
      <w:pPr>
        <w:pStyle w:val="5"/>
        <w:adjustRightInd w:val="0"/>
        <w:snapToGrid w:val="0"/>
        <w:spacing w:before="0" w:beforeAutospacing="0" w:after="0" w:afterAutospacing="0" w:line="400" w:lineRule="exact"/>
        <w:jc w:val="both"/>
      </w:pPr>
    </w:p>
    <w:p>
      <w:pPr>
        <w:pStyle w:val="5"/>
        <w:adjustRightInd w:val="0"/>
        <w:snapToGrid w:val="0"/>
        <w:spacing w:before="0" w:beforeAutospacing="0" w:after="0" w:afterAutospacing="0" w:line="600" w:lineRule="exact"/>
        <w:jc w:val="center"/>
        <w:rPr>
          <w:rFonts w:ascii="黑体" w:hAnsi="黑体" w:eastAsia="黑体"/>
          <w:bCs/>
          <w:sz w:val="36"/>
          <w:szCs w:val="36"/>
        </w:rPr>
      </w:pPr>
    </w:p>
    <w:p>
      <w:pPr>
        <w:pStyle w:val="5"/>
        <w:adjustRightInd w:val="0"/>
        <w:snapToGrid w:val="0"/>
        <w:spacing w:before="0" w:beforeAutospacing="0" w:after="0" w:afterAutospacing="0" w:line="600" w:lineRule="exact"/>
        <w:jc w:val="center"/>
        <w:rPr>
          <w:rFonts w:ascii="黑体" w:hAnsi="黑体" w:eastAsia="黑体"/>
          <w:bCs/>
          <w:sz w:val="36"/>
          <w:szCs w:val="36"/>
        </w:rPr>
      </w:pPr>
    </w:p>
    <w:p>
      <w:pPr>
        <w:pStyle w:val="5"/>
        <w:adjustRightInd w:val="0"/>
        <w:snapToGrid w:val="0"/>
        <w:spacing w:before="0" w:beforeAutospacing="0" w:after="0" w:afterAutospacing="0" w:line="600" w:lineRule="exact"/>
        <w:jc w:val="center"/>
        <w:rPr>
          <w:rFonts w:ascii="黑体" w:hAnsi="黑体" w:eastAsia="黑体"/>
          <w:bCs/>
          <w:sz w:val="36"/>
          <w:szCs w:val="36"/>
        </w:rPr>
      </w:pPr>
    </w:p>
    <w:p>
      <w:pPr>
        <w:pStyle w:val="5"/>
        <w:wordWrap w:val="0"/>
        <w:adjustRightInd w:val="0"/>
        <w:snapToGrid w:val="0"/>
        <w:spacing w:before="0" w:beforeAutospacing="0" w:after="0" w:afterAutospacing="0" w:line="360" w:lineRule="auto"/>
        <w:jc w:val="both"/>
        <w:rPr>
          <w:sz w:val="20"/>
          <w:szCs w:val="20"/>
        </w:rPr>
      </w:pPr>
      <w:r>
        <w:rPr>
          <w:rFonts w:hint="eastAsia"/>
          <w:sz w:val="20"/>
          <w:szCs w:val="20"/>
        </w:rPr>
        <w:t xml:space="preserve">                                                                                                                   </w:t>
      </w:r>
    </w:p>
    <w:p>
      <w:pPr>
        <w:pStyle w:val="5"/>
        <w:wordWrap w:val="0"/>
        <w:adjustRightInd w:val="0"/>
        <w:snapToGrid w:val="0"/>
        <w:spacing w:before="0" w:beforeAutospacing="0" w:after="0" w:afterAutospacing="0" w:line="360" w:lineRule="auto"/>
        <w:jc w:val="right"/>
        <w:rPr>
          <w:rFonts w:hint="eastAsia"/>
          <w:sz w:val="20"/>
          <w:szCs w:val="20"/>
        </w:rPr>
      </w:pPr>
    </w:p>
    <w:p>
      <w:pPr>
        <w:pStyle w:val="5"/>
        <w:wordWrap w:val="0"/>
        <w:adjustRightInd w:val="0"/>
        <w:snapToGrid w:val="0"/>
        <w:spacing w:before="0" w:beforeAutospacing="0" w:after="0" w:afterAutospacing="0" w:line="360" w:lineRule="auto"/>
        <w:jc w:val="right"/>
        <w:rPr>
          <w:rFonts w:hint="eastAsia"/>
          <w:sz w:val="20"/>
          <w:szCs w:val="20"/>
        </w:rPr>
      </w:pPr>
    </w:p>
    <w:p>
      <w:pPr>
        <w:pStyle w:val="5"/>
        <w:wordWrap w:val="0"/>
        <w:adjustRightInd w:val="0"/>
        <w:snapToGrid w:val="0"/>
        <w:spacing w:before="0" w:beforeAutospacing="0" w:after="0" w:afterAutospacing="0" w:line="360" w:lineRule="auto"/>
        <w:jc w:val="right"/>
        <w:rPr>
          <w:rFonts w:hint="eastAsia"/>
          <w:sz w:val="20"/>
          <w:szCs w:val="20"/>
        </w:rPr>
      </w:pPr>
    </w:p>
    <w:p>
      <w:pPr>
        <w:pStyle w:val="5"/>
        <w:wordWrap w:val="0"/>
        <w:adjustRightInd w:val="0"/>
        <w:snapToGrid w:val="0"/>
        <w:spacing w:before="0" w:beforeAutospacing="0" w:after="0" w:afterAutospacing="0" w:line="360" w:lineRule="auto"/>
        <w:jc w:val="right"/>
        <w:rPr>
          <w:rFonts w:hint="eastAsia"/>
          <w:sz w:val="20"/>
          <w:szCs w:val="20"/>
        </w:rPr>
      </w:pPr>
    </w:p>
    <w:p>
      <w:pPr>
        <w:pStyle w:val="5"/>
        <w:wordWrap w:val="0"/>
        <w:adjustRightInd w:val="0"/>
        <w:snapToGrid w:val="0"/>
        <w:spacing w:before="0" w:beforeAutospacing="0" w:after="0" w:afterAutospacing="0" w:line="360" w:lineRule="auto"/>
        <w:jc w:val="right"/>
        <w:rPr>
          <w:sz w:val="20"/>
          <w:szCs w:val="20"/>
        </w:rPr>
      </w:pPr>
      <w:r>
        <w:rPr>
          <w:rFonts w:hint="eastAsia"/>
          <w:sz w:val="20"/>
          <w:szCs w:val="20"/>
        </w:rPr>
        <w:t xml:space="preserve"> 部门</w:t>
      </w:r>
      <w:r>
        <w:rPr>
          <w:rFonts w:hint="eastAsia"/>
          <w:sz w:val="20"/>
          <w:szCs w:val="20"/>
          <w:u w:val="single"/>
        </w:rPr>
        <w:t>（单位）</w:t>
      </w:r>
      <w:r>
        <w:rPr>
          <w:rFonts w:hint="eastAsia"/>
          <w:sz w:val="20"/>
          <w:szCs w:val="20"/>
        </w:rPr>
        <w:t>公开表12</w:t>
      </w:r>
    </w:p>
    <w:tbl>
      <w:tblPr>
        <w:tblStyle w:val="6"/>
        <w:tblW w:w="13780" w:type="dxa"/>
        <w:jc w:val="center"/>
        <w:tblLayout w:type="fixed"/>
        <w:tblCellMar>
          <w:top w:w="0" w:type="dxa"/>
          <w:left w:w="108" w:type="dxa"/>
          <w:bottom w:w="0" w:type="dxa"/>
          <w:right w:w="108" w:type="dxa"/>
        </w:tblCellMar>
      </w:tblPr>
      <w:tblGrid>
        <w:gridCol w:w="93"/>
        <w:gridCol w:w="1980"/>
        <w:gridCol w:w="1953"/>
        <w:gridCol w:w="1784"/>
        <w:gridCol w:w="1933"/>
        <w:gridCol w:w="6037"/>
      </w:tblGrid>
      <w:tr>
        <w:tblPrEx>
          <w:tblCellMar>
            <w:top w:w="0" w:type="dxa"/>
            <w:left w:w="108" w:type="dxa"/>
            <w:bottom w:w="0" w:type="dxa"/>
            <w:right w:w="108" w:type="dxa"/>
          </w:tblCellMar>
        </w:tblPrEx>
        <w:trPr>
          <w:trHeight w:val="1313" w:hRule="atLeast"/>
          <w:jc w:val="center"/>
        </w:trPr>
        <w:tc>
          <w:tcPr>
            <w:tcW w:w="13780" w:type="dxa"/>
            <w:gridSpan w:val="6"/>
            <w:tcBorders>
              <w:top w:val="nil"/>
              <w:left w:val="nil"/>
              <w:bottom w:val="nil"/>
              <w:right w:val="nil"/>
            </w:tcBorders>
            <w:vAlign w:val="center"/>
          </w:tcPr>
          <w:p>
            <w:pPr>
              <w:widowControl/>
              <w:jc w:val="center"/>
              <w:rPr>
                <w:rFonts w:ascii="华文中宋" w:hAnsi="华文中宋" w:eastAsia="华文中宋" w:cs="宋体"/>
                <w:b/>
                <w:bCs/>
                <w:kern w:val="0"/>
                <w:sz w:val="32"/>
                <w:szCs w:val="32"/>
              </w:rPr>
            </w:pPr>
            <w:r>
              <w:rPr>
                <w:rFonts w:hint="eastAsia" w:ascii="华文中宋" w:hAnsi="华文中宋" w:eastAsia="华文中宋" w:cs="宋体"/>
                <w:b/>
                <w:bCs/>
                <w:kern w:val="0"/>
                <w:sz w:val="32"/>
                <w:szCs w:val="32"/>
              </w:rPr>
              <w:t>青阳县</w:t>
            </w:r>
            <w:r>
              <w:rPr>
                <w:rFonts w:hint="eastAsia" w:ascii="华文中宋" w:hAnsi="华文中宋" w:eastAsia="华文中宋" w:cs="宋体"/>
                <w:b/>
                <w:bCs/>
                <w:kern w:val="0"/>
                <w:sz w:val="32"/>
                <w:szCs w:val="32"/>
                <w:lang w:val="en-US" w:eastAsia="zh-CN"/>
              </w:rPr>
              <w:t>木镇镇人民政府</w:t>
            </w:r>
            <w:r>
              <w:rPr>
                <w:rFonts w:hint="eastAsia" w:ascii="华文中宋" w:hAnsi="华文中宋" w:eastAsia="华文中宋" w:cs="宋体"/>
                <w:b/>
                <w:bCs/>
                <w:kern w:val="0"/>
                <w:sz w:val="32"/>
                <w:szCs w:val="32"/>
              </w:rPr>
              <w:t>2023年项目支出绩效目标及项目情况表</w:t>
            </w:r>
          </w:p>
          <w:p>
            <w:pPr>
              <w:widowControl/>
              <w:jc w:val="center"/>
              <w:rPr>
                <w:rFonts w:ascii="宋体" w:hAnsi="宋体" w:cs="宋体"/>
                <w:kern w:val="0"/>
                <w:sz w:val="20"/>
                <w:szCs w:val="20"/>
              </w:rPr>
            </w:pPr>
            <w:r>
              <w:rPr>
                <w:rFonts w:hint="eastAsia" w:ascii="宋体" w:hAnsi="宋体" w:cs="宋体"/>
                <w:kern w:val="0"/>
                <w:sz w:val="20"/>
                <w:szCs w:val="20"/>
              </w:rPr>
              <w:t xml:space="preserve">                                                                                                                    单位：万元</w:t>
            </w:r>
          </w:p>
        </w:tc>
      </w:tr>
      <w:tr>
        <w:tblPrEx>
          <w:tblCellMar>
            <w:top w:w="15" w:type="dxa"/>
            <w:left w:w="15" w:type="dxa"/>
            <w:bottom w:w="15" w:type="dxa"/>
            <w:right w:w="15" w:type="dxa"/>
          </w:tblCellMar>
        </w:tblPrEx>
        <w:trPr>
          <w:gridBefore w:val="1"/>
          <w:wBefore w:w="93" w:type="dxa"/>
          <w:trHeight w:val="1066"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color w:val="000000"/>
                <w:kern w:val="0"/>
                <w:sz w:val="20"/>
                <w:szCs w:val="20"/>
                <w:lang w:bidi="ar"/>
              </w:rPr>
              <w:t>单位名称</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color w:val="000000"/>
                <w:kern w:val="0"/>
                <w:sz w:val="20"/>
                <w:szCs w:val="20"/>
                <w:lang w:bidi="ar"/>
              </w:rPr>
              <w:t>支出项目名称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color w:val="000000"/>
                <w:kern w:val="0"/>
                <w:sz w:val="20"/>
                <w:szCs w:val="20"/>
                <w:lang w:bidi="ar"/>
              </w:rPr>
              <w:t>年度预算安排</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color w:val="000000"/>
                <w:kern w:val="0"/>
                <w:sz w:val="20"/>
                <w:szCs w:val="20"/>
                <w:lang w:bidi="ar"/>
              </w:rPr>
              <w:t>项目情况</w:t>
            </w: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color w:val="000000"/>
                <w:sz w:val="20"/>
                <w:szCs w:val="20"/>
              </w:rPr>
            </w:pPr>
            <w:r>
              <w:rPr>
                <w:rFonts w:hint="eastAsia" w:ascii="宋体" w:hAnsi="宋体" w:eastAsia="宋体" w:cs="宋体"/>
                <w:color w:val="000000"/>
                <w:kern w:val="0"/>
                <w:sz w:val="20"/>
                <w:szCs w:val="20"/>
                <w:lang w:bidi="ar"/>
              </w:rPr>
              <w:t>绩效目标</w:t>
            </w:r>
          </w:p>
        </w:tc>
      </w:tr>
      <w:tr>
        <w:tblPrEx>
          <w:tblCellMar>
            <w:top w:w="15" w:type="dxa"/>
            <w:left w:w="15" w:type="dxa"/>
            <w:bottom w:w="15" w:type="dxa"/>
            <w:right w:w="15" w:type="dxa"/>
          </w:tblCellMar>
        </w:tblPrEx>
        <w:trPr>
          <w:gridBefore w:val="1"/>
          <w:wBefore w:w="93" w:type="dxa"/>
          <w:trHeight w:val="63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新时代文明创建以及文体教育经费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val="0"/>
                <w:bCs/>
                <w:color w:val="000000"/>
                <w:sz w:val="20"/>
                <w:szCs w:val="20"/>
                <w:lang w:val="en-US" w:eastAsia="zh-CN"/>
              </w:rPr>
            </w:pPr>
            <w:r>
              <w:rPr>
                <w:rFonts w:hint="eastAsia" w:ascii="宋体" w:hAnsi="宋体" w:eastAsia="宋体" w:cs="宋体"/>
                <w:b w:val="0"/>
                <w:bCs/>
                <w:color w:val="000000"/>
                <w:sz w:val="20"/>
                <w:szCs w:val="20"/>
                <w:lang w:val="en-US" w:eastAsia="zh-CN"/>
              </w:rPr>
              <w:t>16.26</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62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乡镇各部门工作经费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94.75</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66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征兵民兵退役军人事务站工作经费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14.00</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1163"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补助类专项支出(农村独保费、抚恤资金、优待资金、七老、村级转移支付、五保户)</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472.53</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48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政府运转经费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929.60</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54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司法维稳工作经费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21.00</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690"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木镇民生工程经费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60.00</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67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新时代文明创建以及文体教育经费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10.60</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46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应急管理项目(防汛、抗旱、疫情防控)</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b w:val="0"/>
                <w:bCs/>
                <w:color w:val="000000"/>
                <w:sz w:val="20"/>
                <w:szCs w:val="20"/>
              </w:rPr>
            </w:pPr>
            <w:r>
              <w:rPr>
                <w:rFonts w:hint="eastAsia" w:ascii="宋体" w:hAnsi="宋体" w:eastAsia="宋体" w:cs="宋体"/>
                <w:i w:val="0"/>
                <w:iCs w:val="0"/>
                <w:color w:val="000000"/>
                <w:kern w:val="0"/>
                <w:sz w:val="20"/>
                <w:szCs w:val="20"/>
                <w:u w:val="none"/>
                <w:lang w:val="en-US" w:eastAsia="zh-CN" w:bidi="ar"/>
              </w:rPr>
              <w:t>34.20</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72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r>
              <w:rPr>
                <w:rFonts w:hint="eastAsia" w:ascii="宋体" w:hAnsi="宋体" w:eastAsia="宋体" w:cs="宋体"/>
                <w:b w:val="0"/>
                <w:bCs/>
                <w:color w:val="000000"/>
                <w:sz w:val="20"/>
                <w:szCs w:val="20"/>
              </w:rPr>
              <w:t>青阳县木镇镇人民政府本级</w:t>
            </w: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r>
              <w:rPr>
                <w:rFonts w:hint="eastAsia" w:ascii="宋体" w:hAnsi="宋体" w:eastAsia="宋体" w:cs="宋体"/>
                <w:b w:val="0"/>
                <w:bCs/>
                <w:color w:val="000000"/>
                <w:sz w:val="20"/>
                <w:szCs w:val="20"/>
              </w:rPr>
              <w:t>补助类专项支出(农村独保费、抚恤资金、优待资金、七老、村级转移支付、五保户)</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val="0"/>
                <w:bCs/>
                <w:color w:val="000000"/>
                <w:sz w:val="20"/>
                <w:szCs w:val="20"/>
                <w:lang w:val="en-US" w:eastAsia="zh-CN"/>
              </w:rPr>
            </w:pPr>
            <w:r>
              <w:rPr>
                <w:rFonts w:hint="eastAsia" w:ascii="宋体" w:hAnsi="宋体" w:eastAsia="宋体" w:cs="宋体"/>
                <w:b w:val="0"/>
                <w:bCs/>
                <w:color w:val="000000"/>
                <w:sz w:val="20"/>
                <w:szCs w:val="20"/>
                <w:lang w:val="en-US" w:eastAsia="zh-CN"/>
              </w:rPr>
              <w:t>21.8</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r>
        <w:tblPrEx>
          <w:tblCellMar>
            <w:top w:w="15" w:type="dxa"/>
            <w:left w:w="15" w:type="dxa"/>
            <w:bottom w:w="15" w:type="dxa"/>
            <w:right w:w="15" w:type="dxa"/>
          </w:tblCellMar>
        </w:tblPrEx>
        <w:trPr>
          <w:gridBefore w:val="1"/>
          <w:wBefore w:w="93" w:type="dxa"/>
          <w:trHeight w:val="849"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val="0"/>
                <w:bCs/>
                <w:color w:val="000000"/>
                <w:sz w:val="20"/>
                <w:szCs w:val="20"/>
              </w:rPr>
            </w:pPr>
          </w:p>
        </w:tc>
        <w:tc>
          <w:tcPr>
            <w:tcW w:w="195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eastAsia="宋体" w:cs="宋体"/>
                <w:b w:val="0"/>
                <w:bCs/>
                <w:color w:val="000000"/>
                <w:sz w:val="20"/>
                <w:szCs w:val="20"/>
              </w:rPr>
            </w:pP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c>
          <w:tcPr>
            <w:tcW w:w="6036"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eastAsia="宋体" w:cs="宋体"/>
                <w:b w:val="0"/>
                <w:bCs/>
                <w:color w:val="000000"/>
                <w:sz w:val="20"/>
                <w:szCs w:val="20"/>
              </w:rPr>
            </w:pPr>
          </w:p>
        </w:tc>
      </w:tr>
    </w:tbl>
    <w:p>
      <w:pPr>
        <w:pStyle w:val="5"/>
        <w:adjustRightInd w:val="0"/>
        <w:snapToGrid w:val="0"/>
        <w:spacing w:before="0" w:beforeAutospacing="0" w:after="0" w:afterAutospacing="0" w:line="600" w:lineRule="exact"/>
        <w:jc w:val="center"/>
        <w:rPr>
          <w:rFonts w:ascii="黑体" w:hAnsi="黑体" w:eastAsia="黑体"/>
          <w:bCs/>
          <w:sz w:val="36"/>
          <w:szCs w:val="36"/>
        </w:rPr>
      </w:pPr>
    </w:p>
    <w:p>
      <w:pPr>
        <w:pStyle w:val="5"/>
        <w:adjustRightInd w:val="0"/>
        <w:snapToGrid w:val="0"/>
        <w:spacing w:before="0" w:beforeAutospacing="0" w:after="0" w:afterAutospacing="0" w:line="600" w:lineRule="exact"/>
        <w:jc w:val="center"/>
        <w:rPr>
          <w:rFonts w:ascii="黑体" w:hAnsi="黑体" w:eastAsia="黑体"/>
          <w:bCs/>
          <w:sz w:val="36"/>
          <w:szCs w:val="36"/>
        </w:rPr>
        <w:sectPr>
          <w:pgSz w:w="16838" w:h="11906" w:orient="landscape"/>
          <w:pgMar w:top="1797" w:right="1440" w:bottom="1797" w:left="1440" w:header="851" w:footer="992" w:gutter="0"/>
          <w:cols w:space="425" w:num="1"/>
          <w:docGrid w:type="linesAndChars" w:linePitch="312" w:charSpace="0"/>
        </w:sectPr>
      </w:pPr>
    </w:p>
    <w:p>
      <w:pPr>
        <w:pStyle w:val="5"/>
        <w:adjustRightInd w:val="0"/>
        <w:snapToGrid w:val="0"/>
        <w:spacing w:before="0" w:beforeAutospacing="0" w:after="0" w:afterAutospacing="0" w:line="600" w:lineRule="exact"/>
        <w:jc w:val="center"/>
        <w:rPr>
          <w:rFonts w:ascii="黑体" w:hAnsi="黑体" w:eastAsia="黑体"/>
          <w:bCs/>
          <w:sz w:val="36"/>
          <w:szCs w:val="36"/>
        </w:rPr>
      </w:pPr>
      <w:r>
        <w:rPr>
          <w:rFonts w:hint="eastAsia" w:ascii="黑体" w:hAnsi="黑体" w:eastAsia="黑体"/>
          <w:bCs/>
          <w:sz w:val="36"/>
          <w:szCs w:val="36"/>
        </w:rPr>
        <w:t>第三部分 2023年部门预算情况说明</w:t>
      </w:r>
    </w:p>
    <w:p>
      <w:pPr>
        <w:pStyle w:val="5"/>
        <w:adjustRightInd w:val="0"/>
        <w:snapToGrid w:val="0"/>
        <w:spacing w:before="0" w:beforeAutospacing="0" w:after="0" w:afterAutospacing="0" w:line="600" w:lineRule="exact"/>
        <w:rPr>
          <w:rFonts w:ascii="黑体" w:hAnsi="黑体" w:eastAsia="黑体"/>
          <w:bCs/>
          <w:sz w:val="32"/>
          <w:szCs w:val="32"/>
        </w:rPr>
      </w:pPr>
    </w:p>
    <w:p>
      <w:pPr>
        <w:pStyle w:val="5"/>
        <w:adjustRightInd w:val="0"/>
        <w:snapToGrid w:val="0"/>
        <w:spacing w:before="0" w:beforeAutospacing="0" w:after="0" w:afterAutospacing="0" w:line="600" w:lineRule="exact"/>
        <w:ind w:firstLine="640" w:firstLineChars="200"/>
        <w:rPr>
          <w:rFonts w:ascii="黑体" w:hAnsi="仿宋" w:eastAsia="黑体"/>
          <w:color w:val="000000" w:themeColor="text1"/>
          <w:sz w:val="32"/>
          <w:szCs w:val="32"/>
        </w:rPr>
      </w:pPr>
      <w:r>
        <w:rPr>
          <w:rFonts w:hint="eastAsia" w:ascii="黑体" w:hAnsi="仿宋" w:eastAsia="黑体"/>
          <w:color w:val="000000" w:themeColor="text1"/>
          <w:sz w:val="32"/>
          <w:szCs w:val="32"/>
        </w:rPr>
        <w:t>一、关于2023年收支总表的说明</w:t>
      </w:r>
    </w:p>
    <w:p>
      <w:pPr>
        <w:pStyle w:val="5"/>
        <w:adjustRightInd w:val="0"/>
        <w:snapToGrid w:val="0"/>
        <w:spacing w:before="0" w:beforeAutospacing="0" w:after="0" w:afterAutospacing="0" w:line="600" w:lineRule="exact"/>
        <w:ind w:firstLine="627" w:firstLineChars="196"/>
        <w:jc w:val="both"/>
        <w:rPr>
          <w:rFonts w:ascii="仿宋_GB2312" w:hAnsi="仿宋" w:eastAsia="仿宋_GB2312"/>
          <w:sz w:val="32"/>
          <w:szCs w:val="32"/>
        </w:rPr>
      </w:pPr>
      <w:r>
        <w:rPr>
          <w:rFonts w:hint="eastAsia" w:ascii="仿宋_GB2312" w:hAnsi="仿宋" w:eastAsia="仿宋_GB2312"/>
          <w:sz w:val="32"/>
          <w:szCs w:val="32"/>
        </w:rPr>
        <w:t>按照综合预算的原则，青阳县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所有收入和支出均纳入部门预算管理。青阳县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2023年收支总预算</w:t>
      </w:r>
      <w:r>
        <w:rPr>
          <w:rFonts w:hint="eastAsia" w:ascii="仿宋_GB2312" w:hAnsi="仿宋" w:eastAsia="仿宋_GB2312"/>
          <w:sz w:val="32"/>
          <w:szCs w:val="32"/>
          <w:lang w:val="en-US" w:eastAsia="zh-CN"/>
        </w:rPr>
        <w:t>2374.73</w:t>
      </w:r>
      <w:r>
        <w:rPr>
          <w:rFonts w:hint="eastAsia" w:ascii="仿宋_GB2312" w:hAnsi="仿宋" w:eastAsia="仿宋_GB2312"/>
          <w:sz w:val="32"/>
          <w:szCs w:val="32"/>
        </w:rPr>
        <w:t>万元，收入包括一般公共预算拨款收入，支出包括：一般公共服务、</w:t>
      </w:r>
      <w:r>
        <w:rPr>
          <w:rFonts w:hint="eastAsia" w:ascii="仿宋_GB2312" w:hAnsi="仿宋" w:eastAsia="仿宋_GB2312"/>
          <w:sz w:val="32"/>
          <w:szCs w:val="32"/>
          <w:lang w:val="en-US" w:eastAsia="zh-CN"/>
        </w:rPr>
        <w:t>文化体育</w:t>
      </w:r>
      <w:r>
        <w:rPr>
          <w:rFonts w:hint="eastAsia" w:ascii="仿宋_GB2312" w:hAnsi="仿宋" w:eastAsia="仿宋_GB2312" w:cs="宋体"/>
          <w:sz w:val="32"/>
          <w:szCs w:val="32"/>
          <w:lang w:val="en-US" w:eastAsia="zh-CN"/>
        </w:rPr>
        <w:t>与传媒、</w:t>
      </w:r>
      <w:r>
        <w:rPr>
          <w:rFonts w:hint="eastAsia" w:ascii="仿宋_GB2312" w:hAnsi="仿宋" w:eastAsia="仿宋_GB2312" w:cs="宋体"/>
          <w:sz w:val="32"/>
          <w:szCs w:val="32"/>
        </w:rPr>
        <w:t>社会保障和就业支出、</w:t>
      </w:r>
      <w:r>
        <w:rPr>
          <w:rFonts w:hint="eastAsia" w:ascii="仿宋_GB2312" w:hAnsi="仿宋" w:eastAsia="仿宋_GB2312" w:cs="宋体"/>
          <w:sz w:val="32"/>
          <w:szCs w:val="32"/>
          <w:lang w:val="en-US" w:eastAsia="zh-CN"/>
        </w:rPr>
        <w:t>医疗卫生与计划生育</w:t>
      </w:r>
      <w:r>
        <w:rPr>
          <w:rFonts w:hint="eastAsia" w:ascii="仿宋_GB2312" w:hAnsi="仿宋" w:eastAsia="仿宋_GB2312" w:cs="宋体"/>
          <w:sz w:val="32"/>
          <w:szCs w:val="32"/>
        </w:rPr>
        <w:t>支出、</w:t>
      </w:r>
      <w:r>
        <w:rPr>
          <w:rFonts w:hint="eastAsia" w:ascii="仿宋_GB2312" w:hAnsi="仿宋" w:eastAsia="仿宋_GB2312" w:cs="宋体"/>
          <w:sz w:val="32"/>
          <w:szCs w:val="32"/>
          <w:lang w:val="en-US" w:eastAsia="zh-CN"/>
        </w:rPr>
        <w:t>节能环保支出、城乡社区</w:t>
      </w:r>
      <w:r>
        <w:rPr>
          <w:rFonts w:hint="eastAsia" w:ascii="仿宋_GB2312" w:hAnsi="仿宋" w:eastAsia="仿宋_GB2312" w:cs="宋体"/>
          <w:sz w:val="32"/>
          <w:szCs w:val="32"/>
        </w:rPr>
        <w:t>支出、</w:t>
      </w:r>
      <w:r>
        <w:rPr>
          <w:rFonts w:hint="eastAsia" w:ascii="仿宋_GB2312" w:hAnsi="仿宋" w:eastAsia="仿宋_GB2312" w:cs="宋体"/>
          <w:sz w:val="32"/>
          <w:szCs w:val="32"/>
          <w:lang w:val="en-US" w:eastAsia="zh-CN"/>
        </w:rPr>
        <w:t>农林水支出、交通运输支出、住房</w:t>
      </w:r>
      <w:r>
        <w:rPr>
          <w:rFonts w:hint="eastAsia" w:ascii="仿宋_GB2312" w:hAnsi="仿宋" w:eastAsia="仿宋_GB2312"/>
          <w:sz w:val="32"/>
          <w:szCs w:val="32"/>
          <w:lang w:val="en-US" w:eastAsia="zh-CN"/>
        </w:rPr>
        <w:t>保障支出</w:t>
      </w:r>
      <w:r>
        <w:rPr>
          <w:rFonts w:hint="eastAsia" w:ascii="仿宋_GB2312" w:hAnsi="仿宋" w:eastAsia="仿宋_GB2312"/>
          <w:sz w:val="32"/>
          <w:szCs w:val="32"/>
        </w:rPr>
        <w:t>。</w:t>
      </w:r>
    </w:p>
    <w:p>
      <w:pPr>
        <w:pStyle w:val="5"/>
        <w:adjustRightInd w:val="0"/>
        <w:snapToGrid w:val="0"/>
        <w:spacing w:before="0" w:beforeAutospacing="0" w:after="0" w:afterAutospacing="0" w:line="600" w:lineRule="exact"/>
        <w:ind w:firstLine="627" w:firstLineChars="196"/>
        <w:rPr>
          <w:rFonts w:ascii="黑体" w:hAnsi="仿宋" w:eastAsia="黑体"/>
          <w:color w:val="000000" w:themeColor="text1"/>
          <w:sz w:val="32"/>
          <w:szCs w:val="32"/>
        </w:rPr>
      </w:pPr>
      <w:r>
        <w:rPr>
          <w:rFonts w:hint="eastAsia" w:ascii="黑体" w:hAnsi="仿宋" w:eastAsia="黑体"/>
          <w:color w:val="000000" w:themeColor="text1"/>
          <w:sz w:val="32"/>
          <w:szCs w:val="32"/>
        </w:rPr>
        <w:t>二、关于2023年收入总表的说明</w:t>
      </w:r>
    </w:p>
    <w:p>
      <w:pPr>
        <w:adjustRightInd w:val="0"/>
        <w:snapToGrid w:val="0"/>
        <w:spacing w:line="600" w:lineRule="exact"/>
        <w:ind w:firstLine="640" w:firstLineChars="200"/>
        <w:rPr>
          <w:rFonts w:ascii="仿宋_GB2312" w:hAnsi="仿宋" w:eastAsia="仿宋_GB2312"/>
          <w:sz w:val="32"/>
          <w:szCs w:val="32"/>
        </w:rPr>
      </w:pPr>
      <w:r>
        <w:rPr>
          <w:rFonts w:hint="eastAsia" w:ascii="仿宋_GB2312" w:hAnsi="仿宋" w:eastAsia="仿宋_GB2312" w:cs="宋体"/>
          <w:kern w:val="0"/>
          <w:sz w:val="32"/>
          <w:szCs w:val="32"/>
        </w:rPr>
        <w:t>青阳县</w:t>
      </w:r>
      <w:r>
        <w:rPr>
          <w:rFonts w:hint="eastAsia" w:ascii="仿宋_GB2312" w:hAnsi="仿宋" w:eastAsia="仿宋_GB2312" w:cs="宋体"/>
          <w:kern w:val="0"/>
          <w:sz w:val="32"/>
          <w:szCs w:val="32"/>
          <w:lang w:val="en-US" w:eastAsia="zh-CN"/>
        </w:rPr>
        <w:t>木镇镇人民政府</w:t>
      </w:r>
      <w:r>
        <w:rPr>
          <w:rFonts w:hint="eastAsia" w:ascii="仿宋_GB2312" w:hAnsi="仿宋" w:eastAsia="仿宋_GB2312"/>
          <w:sz w:val="32"/>
          <w:szCs w:val="32"/>
        </w:rPr>
        <w:t>2023年收入预算</w:t>
      </w:r>
      <w:r>
        <w:rPr>
          <w:rFonts w:hint="eastAsia" w:ascii="仿宋_GB2312" w:hAnsi="仿宋" w:eastAsia="仿宋_GB2312"/>
          <w:sz w:val="32"/>
          <w:szCs w:val="32"/>
          <w:lang w:val="en-US" w:eastAsia="zh-CN"/>
        </w:rPr>
        <w:t>2374.73</w:t>
      </w:r>
      <w:r>
        <w:rPr>
          <w:rFonts w:hint="eastAsia" w:ascii="仿宋_GB2312" w:hAnsi="仿宋" w:eastAsia="仿宋_GB2312"/>
          <w:sz w:val="32"/>
          <w:szCs w:val="32"/>
        </w:rPr>
        <w:t>万元，其中，本年收入</w:t>
      </w:r>
      <w:r>
        <w:rPr>
          <w:rFonts w:hint="eastAsia" w:ascii="仿宋_GB2312" w:hAnsi="仿宋" w:eastAsia="仿宋_GB2312"/>
          <w:sz w:val="32"/>
          <w:szCs w:val="32"/>
          <w:lang w:val="en-US" w:eastAsia="zh-CN"/>
        </w:rPr>
        <w:t>2374.73</w:t>
      </w:r>
      <w:r>
        <w:rPr>
          <w:rFonts w:hint="eastAsia" w:ascii="仿宋_GB2312" w:hAnsi="仿宋" w:eastAsia="仿宋_GB2312"/>
          <w:sz w:val="32"/>
          <w:szCs w:val="32"/>
        </w:rPr>
        <w:t>万元。</w:t>
      </w:r>
    </w:p>
    <w:p>
      <w:pPr>
        <w:adjustRightInd w:val="0"/>
        <w:snapToGrid w:val="0"/>
        <w:spacing w:line="600" w:lineRule="exact"/>
        <w:ind w:firstLine="640" w:firstLineChars="200"/>
        <w:rPr>
          <w:rFonts w:hint="eastAsia" w:ascii="仿宋_GB2312" w:hAnsi="仿宋" w:eastAsia="仿宋_GB2312"/>
          <w:sz w:val="32"/>
          <w:szCs w:val="32"/>
          <w:lang w:eastAsia="zh-CN"/>
        </w:rPr>
      </w:pPr>
      <w:r>
        <w:rPr>
          <w:rFonts w:hint="eastAsia" w:ascii="仿宋_GB2312" w:hAnsi="仿宋" w:eastAsia="仿宋_GB2312"/>
          <w:sz w:val="32"/>
          <w:szCs w:val="32"/>
        </w:rPr>
        <w:t>（一）本年收入</w:t>
      </w:r>
      <w:r>
        <w:rPr>
          <w:rFonts w:hint="eastAsia" w:ascii="仿宋_GB2312" w:hAnsi="仿宋" w:eastAsia="仿宋_GB2312"/>
          <w:sz w:val="32"/>
          <w:szCs w:val="32"/>
          <w:lang w:val="en-US" w:eastAsia="zh-CN"/>
        </w:rPr>
        <w:t>2374.73</w:t>
      </w:r>
      <w:r>
        <w:rPr>
          <w:rFonts w:hint="eastAsia" w:ascii="仿宋_GB2312" w:hAnsi="仿宋" w:eastAsia="仿宋_GB2312"/>
          <w:sz w:val="32"/>
          <w:szCs w:val="32"/>
        </w:rPr>
        <w:t>万元，主要包括：一般公共预算拨款收入</w:t>
      </w:r>
      <w:r>
        <w:rPr>
          <w:rFonts w:hint="eastAsia" w:ascii="仿宋_GB2312" w:hAnsi="仿宋" w:eastAsia="仿宋_GB2312"/>
          <w:sz w:val="32"/>
          <w:szCs w:val="32"/>
          <w:lang w:val="en-US" w:eastAsia="zh-CN"/>
        </w:rPr>
        <w:t>2374.73</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100.00</w:t>
      </w:r>
      <w:r>
        <w:rPr>
          <w:rFonts w:hint="eastAsia" w:ascii="仿宋_GB2312" w:hAnsi="仿宋" w:eastAsia="仿宋_GB2312"/>
          <w:sz w:val="32"/>
          <w:szCs w:val="32"/>
        </w:rPr>
        <w:t>%</w:t>
      </w:r>
      <w:r>
        <w:rPr>
          <w:rFonts w:hint="eastAsia" w:ascii="仿宋_GB2312" w:hAnsi="仿宋" w:eastAsia="仿宋_GB2312"/>
          <w:sz w:val="32"/>
          <w:szCs w:val="32"/>
          <w:lang w:eastAsia="zh-CN"/>
        </w:rPr>
        <w:t>。</w:t>
      </w:r>
    </w:p>
    <w:p>
      <w:pPr>
        <w:adjustRightInd w:val="0"/>
        <w:snapToGrid w:val="0"/>
        <w:spacing w:line="600" w:lineRule="exact"/>
        <w:ind w:firstLine="640" w:firstLineChars="200"/>
        <w:rPr>
          <w:rFonts w:ascii="黑体" w:hAnsi="仿宋" w:eastAsia="黑体" w:cs="宋体"/>
          <w:color w:val="000000" w:themeColor="text1"/>
          <w:kern w:val="0"/>
          <w:sz w:val="32"/>
          <w:szCs w:val="32"/>
        </w:rPr>
      </w:pPr>
      <w:r>
        <w:rPr>
          <w:rFonts w:hint="eastAsia" w:ascii="黑体" w:hAnsi="仿宋" w:eastAsia="黑体" w:cs="宋体"/>
          <w:color w:val="000000" w:themeColor="text1"/>
          <w:kern w:val="0"/>
          <w:sz w:val="32"/>
          <w:szCs w:val="32"/>
        </w:rPr>
        <w:t>三、关于2023年支出总表的说明</w:t>
      </w:r>
    </w:p>
    <w:p>
      <w:pPr>
        <w:adjustRightInd w:val="0"/>
        <w:snapToGrid w:val="0"/>
        <w:spacing w:line="600" w:lineRule="exact"/>
        <w:ind w:firstLine="640" w:firstLineChars="200"/>
        <w:rPr>
          <w:rFonts w:hint="eastAsia" w:ascii="仿宋_GB2312" w:hAnsi="仿宋" w:eastAsia="仿宋_GB2312" w:cs="宋体"/>
          <w:kern w:val="0"/>
          <w:sz w:val="32"/>
          <w:szCs w:val="32"/>
          <w:lang w:val="en-US" w:eastAsia="zh-CN" w:bidi="ar-SA"/>
        </w:rPr>
      </w:pPr>
      <w:r>
        <w:rPr>
          <w:rFonts w:hint="eastAsia" w:ascii="仿宋_GB2312" w:hAnsi="仿宋" w:eastAsia="仿宋_GB2312" w:cs="Times New Roman"/>
          <w:sz w:val="32"/>
          <w:szCs w:val="32"/>
        </w:rPr>
        <w:t>青阳县</w:t>
      </w:r>
      <w:r>
        <w:rPr>
          <w:rFonts w:hint="eastAsia" w:ascii="仿宋_GB2312" w:hAnsi="仿宋" w:eastAsia="仿宋_GB2312" w:cs="宋体"/>
          <w:kern w:val="0"/>
          <w:sz w:val="32"/>
          <w:szCs w:val="32"/>
          <w:lang w:val="en-US" w:eastAsia="zh-CN"/>
        </w:rPr>
        <w:t>木镇镇人民政府</w:t>
      </w:r>
      <w:r>
        <w:rPr>
          <w:rFonts w:hint="eastAsia" w:ascii="仿宋_GB2312" w:hAnsi="仿宋" w:eastAsia="仿宋_GB2312" w:cs="Times New Roman"/>
          <w:sz w:val="32"/>
          <w:szCs w:val="32"/>
        </w:rPr>
        <w:t>2023年支出预算</w:t>
      </w:r>
      <w:r>
        <w:rPr>
          <w:rFonts w:hint="eastAsia" w:ascii="仿宋_GB2312" w:hAnsi="仿宋" w:eastAsia="仿宋_GB2312" w:cs="Times New Roman"/>
          <w:sz w:val="32"/>
          <w:szCs w:val="32"/>
          <w:lang w:val="en-US" w:eastAsia="zh-CN"/>
        </w:rPr>
        <w:t>2374.73</w:t>
      </w:r>
      <w:r>
        <w:rPr>
          <w:rFonts w:hint="eastAsia" w:ascii="仿宋_GB2312" w:hAnsi="仿宋" w:eastAsia="仿宋_GB2312" w:cs="Times New Roman"/>
          <w:sz w:val="32"/>
          <w:szCs w:val="32"/>
        </w:rPr>
        <w:t>万元，其中，基本支出</w:t>
      </w:r>
      <w:r>
        <w:rPr>
          <w:rFonts w:hint="eastAsia" w:ascii="仿宋_GB2312" w:hAnsi="仿宋" w:eastAsia="仿宋_GB2312" w:cs="Times New Roman"/>
          <w:sz w:val="32"/>
          <w:szCs w:val="32"/>
          <w:lang w:val="en-US" w:eastAsia="zh-CN"/>
        </w:rPr>
        <w:t>699.99</w:t>
      </w:r>
      <w:r>
        <w:rPr>
          <w:rFonts w:hint="eastAsia" w:ascii="仿宋_GB2312" w:hAnsi="仿宋" w:eastAsia="仿宋_GB2312" w:cs="Times New Roman"/>
          <w:sz w:val="32"/>
          <w:szCs w:val="32"/>
        </w:rPr>
        <w:t>万元，占</w:t>
      </w:r>
      <w:r>
        <w:rPr>
          <w:rFonts w:hint="eastAsia" w:ascii="仿宋_GB2312" w:hAnsi="仿宋" w:eastAsia="仿宋_GB2312" w:cs="Times New Roman"/>
          <w:sz w:val="32"/>
          <w:szCs w:val="32"/>
          <w:lang w:val="en-US" w:eastAsia="zh-CN"/>
        </w:rPr>
        <w:t>29.48</w:t>
      </w:r>
      <w:r>
        <w:rPr>
          <w:rFonts w:hint="eastAsia" w:ascii="仿宋_GB2312" w:hAnsi="仿宋" w:eastAsia="仿宋_GB2312" w:cs="Times New Roman"/>
          <w:sz w:val="32"/>
          <w:szCs w:val="32"/>
        </w:rPr>
        <w:t>%，主要用于保障机构日常运转、完成日常工作任务等；项目支出</w:t>
      </w:r>
      <w:r>
        <w:rPr>
          <w:rFonts w:hint="eastAsia" w:ascii="仿宋_GB2312" w:hAnsi="仿宋" w:eastAsia="仿宋_GB2312" w:cs="Times New Roman"/>
          <w:sz w:val="32"/>
          <w:szCs w:val="32"/>
          <w:lang w:val="en-US" w:eastAsia="zh-CN"/>
        </w:rPr>
        <w:t>1674.74</w:t>
      </w:r>
      <w:r>
        <w:rPr>
          <w:rFonts w:hint="eastAsia" w:ascii="仿宋_GB2312" w:hAnsi="仿宋" w:eastAsia="仿宋_GB2312" w:cs="Times New Roman"/>
          <w:sz w:val="32"/>
          <w:szCs w:val="32"/>
        </w:rPr>
        <w:t>万元，占</w:t>
      </w:r>
      <w:r>
        <w:rPr>
          <w:rFonts w:hint="eastAsia" w:ascii="仿宋_GB2312" w:hAnsi="仿宋" w:eastAsia="仿宋_GB2312" w:cs="Times New Roman"/>
          <w:sz w:val="32"/>
          <w:szCs w:val="32"/>
          <w:lang w:val="en-US" w:eastAsia="zh-CN"/>
        </w:rPr>
        <w:t>70.52</w:t>
      </w:r>
      <w:r>
        <w:rPr>
          <w:rFonts w:hint="eastAsia" w:ascii="仿宋_GB2312" w:hAnsi="仿宋" w:eastAsia="仿宋_GB2312" w:cs="Times New Roman"/>
          <w:sz w:val="32"/>
          <w:szCs w:val="32"/>
        </w:rPr>
        <w:t>%，主要用于</w:t>
      </w:r>
      <w:r>
        <w:rPr>
          <w:rFonts w:hint="eastAsia" w:ascii="仿宋_GB2312" w:hAnsi="仿宋" w:eastAsia="仿宋_GB2312" w:cs="宋体"/>
          <w:kern w:val="0"/>
          <w:sz w:val="32"/>
          <w:szCs w:val="32"/>
          <w:lang w:val="en-US" w:eastAsia="zh-CN" w:bidi="ar-SA"/>
        </w:rPr>
        <w:t>日常运转、完成日常工作任务、村干部工资、优抚定补、特困供养、交通、水利项目建设、乡村振兴建设、林业保护等。</w:t>
      </w:r>
    </w:p>
    <w:p>
      <w:pPr>
        <w:adjustRightInd w:val="0"/>
        <w:snapToGrid w:val="0"/>
        <w:spacing w:line="600" w:lineRule="exact"/>
        <w:ind w:firstLine="640" w:firstLineChars="200"/>
        <w:rPr>
          <w:rFonts w:ascii="黑体" w:hAnsi="仿宋" w:eastAsia="黑体" w:cs="宋体"/>
          <w:color w:val="000000" w:themeColor="text1"/>
          <w:kern w:val="0"/>
          <w:sz w:val="32"/>
          <w:szCs w:val="32"/>
        </w:rPr>
      </w:pPr>
      <w:r>
        <w:rPr>
          <w:rFonts w:hint="eastAsia" w:ascii="黑体" w:hAnsi="仿宋" w:eastAsia="黑体" w:cs="宋体"/>
          <w:color w:val="000000" w:themeColor="text1"/>
          <w:kern w:val="0"/>
          <w:sz w:val="32"/>
          <w:szCs w:val="32"/>
        </w:rPr>
        <w:t>四、关于2023年财政拨款收支总表的说明</w:t>
      </w:r>
    </w:p>
    <w:p>
      <w:pPr>
        <w:pStyle w:val="5"/>
        <w:adjustRightInd w:val="0"/>
        <w:snapToGrid w:val="0"/>
        <w:spacing w:before="0" w:beforeAutospacing="0" w:after="0" w:afterAutospacing="0" w:line="600" w:lineRule="exact"/>
        <w:ind w:firstLine="640" w:firstLineChars="200"/>
        <w:rPr>
          <w:rFonts w:ascii="仿宋_GB2312" w:hAnsi="仿宋" w:eastAsia="楷体_GB2312" w:cs="Times New Roman"/>
          <w:kern w:val="2"/>
          <w:sz w:val="32"/>
          <w:szCs w:val="32"/>
        </w:rPr>
      </w:pPr>
      <w:r>
        <w:rPr>
          <w:rFonts w:hint="eastAsia" w:ascii="仿宋_GB2312" w:hAnsi="仿宋" w:eastAsia="仿宋_GB2312" w:cs="Times New Roman"/>
          <w:kern w:val="2"/>
          <w:sz w:val="32"/>
          <w:szCs w:val="32"/>
        </w:rPr>
        <w:t>青阳县</w:t>
      </w:r>
      <w:r>
        <w:rPr>
          <w:rFonts w:hint="eastAsia" w:ascii="仿宋_GB2312" w:hAnsi="仿宋" w:eastAsia="仿宋_GB2312" w:cs="Times New Roman"/>
          <w:kern w:val="2"/>
          <w:sz w:val="32"/>
          <w:szCs w:val="32"/>
          <w:lang w:val="en-US" w:eastAsia="zh-CN"/>
        </w:rPr>
        <w:t>木镇镇人民政府</w:t>
      </w:r>
      <w:r>
        <w:rPr>
          <w:rFonts w:hint="eastAsia" w:ascii="仿宋_GB2312" w:hAnsi="仿宋" w:eastAsia="仿宋_GB2312" w:cs="Times New Roman"/>
          <w:kern w:val="2"/>
          <w:sz w:val="32"/>
          <w:szCs w:val="32"/>
        </w:rPr>
        <w:t>2023年财政拨款收支预算</w:t>
      </w:r>
      <w:r>
        <w:rPr>
          <w:rFonts w:hint="eastAsia" w:ascii="仿宋_GB2312" w:hAnsi="仿宋" w:eastAsia="仿宋_GB2312" w:cs="Times New Roman"/>
          <w:kern w:val="2"/>
          <w:sz w:val="32"/>
          <w:szCs w:val="32"/>
          <w:lang w:val="en-US" w:eastAsia="zh-CN"/>
        </w:rPr>
        <w:t>2374.73</w:t>
      </w:r>
      <w:r>
        <w:rPr>
          <w:rFonts w:hint="eastAsia" w:ascii="仿宋_GB2312" w:hAnsi="仿宋" w:eastAsia="仿宋_GB2312" w:cs="Times New Roman"/>
          <w:kern w:val="2"/>
          <w:sz w:val="32"/>
          <w:szCs w:val="32"/>
        </w:rPr>
        <w:t>万元。收入按资金来源分为：一般公共预算拨款</w:t>
      </w:r>
      <w:r>
        <w:rPr>
          <w:rFonts w:hint="eastAsia" w:ascii="仿宋_GB2312" w:hAnsi="仿宋" w:eastAsia="仿宋_GB2312" w:cs="Times New Roman"/>
          <w:kern w:val="2"/>
          <w:sz w:val="32"/>
          <w:szCs w:val="32"/>
          <w:lang w:val="en-US" w:eastAsia="zh-CN"/>
        </w:rPr>
        <w:t>2374.73</w:t>
      </w:r>
      <w:r>
        <w:rPr>
          <w:rFonts w:hint="eastAsia" w:ascii="仿宋_GB2312" w:hAnsi="仿宋" w:eastAsia="仿宋_GB2312" w:cs="Times New Roman"/>
          <w:kern w:val="2"/>
          <w:sz w:val="32"/>
          <w:szCs w:val="32"/>
        </w:rPr>
        <w:t>万元；按资金年度分为：本年财政拨款收入</w:t>
      </w:r>
      <w:r>
        <w:rPr>
          <w:rFonts w:hint="eastAsia" w:ascii="仿宋_GB2312" w:hAnsi="仿宋" w:eastAsia="仿宋_GB2312" w:cs="Times New Roman"/>
          <w:kern w:val="2"/>
          <w:sz w:val="32"/>
          <w:szCs w:val="32"/>
          <w:lang w:val="en-US" w:eastAsia="zh-CN"/>
        </w:rPr>
        <w:t>2374.73</w:t>
      </w:r>
      <w:r>
        <w:rPr>
          <w:rFonts w:hint="eastAsia" w:ascii="仿宋_GB2312" w:hAnsi="仿宋" w:eastAsia="仿宋_GB2312" w:cs="Times New Roman"/>
          <w:kern w:val="2"/>
          <w:sz w:val="32"/>
          <w:szCs w:val="32"/>
        </w:rPr>
        <w:t>万元。支出按功能分类分为：一般公共服务支出</w:t>
      </w:r>
      <w:r>
        <w:rPr>
          <w:rFonts w:hint="eastAsia" w:ascii="仿宋_GB2312" w:hAnsi="仿宋" w:eastAsia="仿宋_GB2312" w:cs="Times New Roman"/>
          <w:kern w:val="2"/>
          <w:sz w:val="32"/>
          <w:szCs w:val="32"/>
          <w:lang w:val="en-US" w:eastAsia="zh-CN"/>
        </w:rPr>
        <w:t>559.89</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23.58</w:t>
      </w:r>
      <w:r>
        <w:rPr>
          <w:rFonts w:hint="eastAsia" w:ascii="仿宋_GB2312" w:hAnsi="仿宋" w:eastAsia="仿宋_GB2312" w:cs="Times New Roman"/>
          <w:kern w:val="2"/>
          <w:sz w:val="32"/>
          <w:szCs w:val="32"/>
        </w:rPr>
        <w:t>%；</w:t>
      </w:r>
      <w:r>
        <w:rPr>
          <w:rFonts w:hint="eastAsia" w:ascii="仿宋_GB2312" w:hAnsi="仿宋" w:eastAsia="仿宋_GB2312" w:cs="Times New Roman"/>
          <w:kern w:val="2"/>
          <w:sz w:val="32"/>
          <w:szCs w:val="32"/>
          <w:lang w:val="en-US" w:eastAsia="zh-CN"/>
        </w:rPr>
        <w:t>文化体育与传媒支出16.26万元，占0.68%；</w:t>
      </w:r>
      <w:r>
        <w:rPr>
          <w:rFonts w:hint="eastAsia" w:ascii="仿宋_GB2312" w:hAnsi="仿宋" w:eastAsia="仿宋_GB2312" w:cs="Times New Roman"/>
          <w:kern w:val="2"/>
          <w:sz w:val="32"/>
          <w:szCs w:val="32"/>
        </w:rPr>
        <w:t>社会保障和就业支出</w:t>
      </w:r>
      <w:r>
        <w:rPr>
          <w:rFonts w:hint="eastAsia" w:ascii="仿宋_GB2312" w:hAnsi="仿宋" w:eastAsia="仿宋_GB2312" w:cs="Times New Roman"/>
          <w:kern w:val="2"/>
          <w:sz w:val="32"/>
          <w:szCs w:val="32"/>
          <w:lang w:val="en-US" w:eastAsia="zh-CN"/>
        </w:rPr>
        <w:t>557.21</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23.46</w:t>
      </w:r>
      <w:r>
        <w:rPr>
          <w:rFonts w:hint="eastAsia" w:ascii="仿宋_GB2312" w:hAnsi="仿宋" w:eastAsia="仿宋_GB2312" w:cs="Times New Roman"/>
          <w:kern w:val="2"/>
          <w:sz w:val="32"/>
          <w:szCs w:val="32"/>
        </w:rPr>
        <w:t>%；</w:t>
      </w:r>
      <w:r>
        <w:rPr>
          <w:rFonts w:hint="eastAsia" w:ascii="仿宋_GB2312" w:hAnsi="仿宋" w:eastAsia="仿宋_GB2312" w:cs="Times New Roman"/>
          <w:kern w:val="2"/>
          <w:sz w:val="32"/>
          <w:szCs w:val="32"/>
          <w:lang w:val="en-US" w:eastAsia="zh-CN"/>
        </w:rPr>
        <w:t>医疗卫生与计划生育</w:t>
      </w:r>
      <w:r>
        <w:rPr>
          <w:rFonts w:hint="eastAsia" w:ascii="仿宋_GB2312" w:hAnsi="仿宋" w:eastAsia="仿宋_GB2312" w:cs="Times New Roman"/>
          <w:kern w:val="2"/>
          <w:sz w:val="32"/>
          <w:szCs w:val="32"/>
        </w:rPr>
        <w:t>支出</w:t>
      </w:r>
      <w:r>
        <w:rPr>
          <w:rFonts w:hint="eastAsia" w:ascii="仿宋_GB2312" w:hAnsi="仿宋" w:eastAsia="仿宋_GB2312" w:cs="Times New Roman"/>
          <w:kern w:val="2"/>
          <w:sz w:val="32"/>
          <w:szCs w:val="32"/>
          <w:lang w:val="en-US" w:eastAsia="zh-CN"/>
        </w:rPr>
        <w:t>17.45</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0.73</w:t>
      </w:r>
      <w:r>
        <w:rPr>
          <w:rFonts w:hint="eastAsia" w:ascii="仿宋_GB2312" w:hAnsi="仿宋" w:eastAsia="仿宋_GB2312" w:cs="Times New Roman"/>
          <w:kern w:val="2"/>
          <w:sz w:val="32"/>
          <w:szCs w:val="32"/>
        </w:rPr>
        <w:t>%；</w:t>
      </w:r>
      <w:r>
        <w:rPr>
          <w:rFonts w:hint="eastAsia" w:ascii="仿宋_GB2312" w:hAnsi="仿宋" w:eastAsia="仿宋_GB2312" w:cs="Times New Roman"/>
          <w:kern w:val="2"/>
          <w:sz w:val="32"/>
          <w:szCs w:val="32"/>
          <w:lang w:val="en-US" w:eastAsia="zh-CN"/>
        </w:rPr>
        <w:t>城乡社区支出500万元，占21.06%；农林水支出664.15万元，占27.97%：住房保障支出59.77万元，占2.52%</w:t>
      </w:r>
      <w:r>
        <w:rPr>
          <w:rFonts w:hint="eastAsia" w:ascii="仿宋_GB2312" w:hAnsi="仿宋" w:eastAsia="仿宋_GB2312" w:cs="Times New Roman"/>
          <w:kern w:val="2"/>
          <w:sz w:val="32"/>
          <w:szCs w:val="32"/>
        </w:rPr>
        <w:t>。</w:t>
      </w:r>
    </w:p>
    <w:p>
      <w:pPr>
        <w:pStyle w:val="5"/>
        <w:adjustRightInd w:val="0"/>
        <w:snapToGrid w:val="0"/>
        <w:spacing w:before="0" w:beforeAutospacing="0" w:after="0" w:afterAutospacing="0" w:line="600" w:lineRule="exact"/>
        <w:ind w:firstLine="640" w:firstLineChars="200"/>
        <w:rPr>
          <w:rFonts w:ascii="黑体" w:hAnsi="仿宋" w:eastAsia="黑体"/>
          <w:color w:val="000000" w:themeColor="text1"/>
          <w:sz w:val="32"/>
          <w:szCs w:val="32"/>
        </w:rPr>
      </w:pPr>
      <w:r>
        <w:rPr>
          <w:rFonts w:hint="eastAsia" w:ascii="黑体" w:hAnsi="仿宋" w:eastAsia="黑体"/>
          <w:color w:val="000000" w:themeColor="text1"/>
          <w:sz w:val="32"/>
          <w:szCs w:val="32"/>
        </w:rPr>
        <w:t>五、关于2023年一般公共预算支出表的说明</w:t>
      </w:r>
    </w:p>
    <w:p>
      <w:pPr>
        <w:pStyle w:val="5"/>
        <w:adjustRightInd w:val="0"/>
        <w:snapToGrid w:val="0"/>
        <w:spacing w:before="0" w:beforeAutospacing="0" w:after="0" w:afterAutospacing="0" w:line="600" w:lineRule="exact"/>
        <w:ind w:firstLine="630" w:firstLineChars="196"/>
        <w:rPr>
          <w:rFonts w:ascii="楷体_GB2312" w:hAnsi="仿宋" w:eastAsia="楷体_GB2312" w:cs="Times New Roman"/>
          <w:b/>
          <w:kern w:val="2"/>
          <w:sz w:val="32"/>
          <w:szCs w:val="32"/>
        </w:rPr>
      </w:pPr>
      <w:r>
        <w:rPr>
          <w:rFonts w:hint="eastAsia" w:ascii="楷体_GB2312" w:hAnsi="仿宋" w:eastAsia="楷体_GB2312" w:cs="Times New Roman"/>
          <w:b/>
          <w:kern w:val="2"/>
          <w:sz w:val="32"/>
          <w:szCs w:val="32"/>
        </w:rPr>
        <w:t>（一）一般公共预算支出规模变化情况。</w:t>
      </w:r>
    </w:p>
    <w:p>
      <w:pPr>
        <w:pStyle w:val="5"/>
        <w:adjustRightInd w:val="0"/>
        <w:snapToGrid w:val="0"/>
        <w:spacing w:before="0" w:beforeAutospacing="0" w:after="0" w:afterAutospacing="0" w:line="600" w:lineRule="exact"/>
        <w:ind w:firstLine="627" w:firstLineChars="196"/>
        <w:rPr>
          <w:rFonts w:hint="eastAsia" w:ascii="仿宋_GB2312" w:hAnsi="仿宋" w:eastAsia="仿宋_GB2312" w:cs="Times New Roman"/>
          <w:kern w:val="2"/>
          <w:sz w:val="32"/>
          <w:szCs w:val="32"/>
          <w:lang w:val="en-US" w:eastAsia="zh-CN"/>
        </w:rPr>
      </w:pPr>
      <w:r>
        <w:rPr>
          <w:rFonts w:hint="eastAsia" w:ascii="仿宋_GB2312" w:hAnsi="仿宋" w:eastAsia="仿宋_GB2312" w:cs="Times New Roman"/>
          <w:kern w:val="2"/>
          <w:sz w:val="32"/>
          <w:szCs w:val="32"/>
        </w:rPr>
        <w:t>青阳县</w:t>
      </w:r>
      <w:r>
        <w:rPr>
          <w:rFonts w:hint="eastAsia" w:ascii="仿宋_GB2312" w:hAnsi="仿宋" w:eastAsia="仿宋_GB2312" w:cs="Times New Roman"/>
          <w:kern w:val="2"/>
          <w:sz w:val="32"/>
          <w:szCs w:val="32"/>
          <w:lang w:val="en-US" w:eastAsia="zh-CN"/>
        </w:rPr>
        <w:t>木镇镇人民政府</w:t>
      </w:r>
      <w:r>
        <w:rPr>
          <w:rFonts w:hint="eastAsia" w:ascii="仿宋_GB2312" w:hAnsi="仿宋" w:eastAsia="仿宋_GB2312" w:cs="Times New Roman"/>
          <w:kern w:val="2"/>
          <w:sz w:val="32"/>
          <w:szCs w:val="32"/>
        </w:rPr>
        <w:t>2023年一般公共预算支出</w:t>
      </w:r>
      <w:r>
        <w:rPr>
          <w:rFonts w:hint="eastAsia" w:ascii="仿宋_GB2312" w:hAnsi="仿宋" w:eastAsia="仿宋_GB2312" w:cs="Times New Roman"/>
          <w:kern w:val="2"/>
          <w:sz w:val="32"/>
          <w:szCs w:val="32"/>
          <w:lang w:val="en-US" w:eastAsia="zh-CN"/>
        </w:rPr>
        <w:t>2374.73</w:t>
      </w:r>
      <w:r>
        <w:rPr>
          <w:rFonts w:hint="eastAsia" w:ascii="仿宋_GB2312" w:hAnsi="仿宋" w:eastAsia="仿宋_GB2312" w:cs="Times New Roman"/>
          <w:kern w:val="2"/>
          <w:sz w:val="32"/>
          <w:szCs w:val="32"/>
        </w:rPr>
        <w:t>万元，</w:t>
      </w:r>
      <w:r>
        <w:rPr>
          <w:rFonts w:hint="eastAsia" w:ascii="仿宋_GB2312" w:hAnsi="仿宋" w:eastAsia="仿宋_GB2312" w:cs="Times New Roman"/>
          <w:kern w:val="2"/>
          <w:sz w:val="32"/>
          <w:szCs w:val="32"/>
          <w:lang w:val="en-US" w:eastAsia="zh-CN"/>
        </w:rPr>
        <w:t>比2022年预算增加225.72万元，增长10.50%，主要原因：一是加大了对村级基层党组织建设补助；二是加大了农业、水利建设的投入；三是加大了对民生保障支出；四是加大了园区基础设施建设的投入。</w:t>
      </w:r>
    </w:p>
    <w:p>
      <w:pPr>
        <w:pStyle w:val="5"/>
        <w:adjustRightInd w:val="0"/>
        <w:snapToGrid w:val="0"/>
        <w:spacing w:before="0" w:beforeAutospacing="0" w:after="0" w:afterAutospacing="0" w:line="600" w:lineRule="exact"/>
        <w:ind w:firstLine="630" w:firstLineChars="196"/>
        <w:rPr>
          <w:rFonts w:ascii="楷体_GB2312" w:hAnsi="仿宋" w:eastAsia="楷体_GB2312" w:cs="Times New Roman"/>
          <w:b/>
          <w:kern w:val="2"/>
          <w:sz w:val="32"/>
          <w:szCs w:val="32"/>
        </w:rPr>
      </w:pPr>
      <w:r>
        <w:rPr>
          <w:rFonts w:hint="eastAsia" w:ascii="楷体_GB2312" w:hAnsi="仿宋" w:eastAsia="楷体_GB2312" w:cs="Times New Roman"/>
          <w:b/>
          <w:kern w:val="2"/>
          <w:sz w:val="32"/>
          <w:szCs w:val="32"/>
        </w:rPr>
        <w:t>（二</w:t>
      </w:r>
      <w:r>
        <w:rPr>
          <w:rFonts w:ascii="楷体_GB2312" w:hAnsi="仿宋" w:eastAsia="楷体_GB2312" w:cs="Times New Roman"/>
          <w:b/>
          <w:kern w:val="2"/>
          <w:sz w:val="32"/>
          <w:szCs w:val="32"/>
        </w:rPr>
        <w:t>）</w:t>
      </w:r>
      <w:r>
        <w:rPr>
          <w:rFonts w:hint="eastAsia" w:ascii="楷体_GB2312" w:hAnsi="仿宋" w:eastAsia="楷体_GB2312" w:cs="Times New Roman"/>
          <w:b/>
          <w:kern w:val="2"/>
          <w:sz w:val="32"/>
          <w:szCs w:val="32"/>
        </w:rPr>
        <w:t>一般公共预算支出结构情况。</w:t>
      </w:r>
    </w:p>
    <w:p>
      <w:pPr>
        <w:pStyle w:val="5"/>
        <w:adjustRightInd w:val="0"/>
        <w:snapToGrid w:val="0"/>
        <w:spacing w:before="0" w:beforeAutospacing="0" w:after="0" w:afterAutospacing="0" w:line="600" w:lineRule="exact"/>
        <w:ind w:firstLine="640" w:firstLineChars="200"/>
        <w:rPr>
          <w:rFonts w:ascii="仿宋_GB2312" w:hAnsi="仿宋" w:eastAsia="楷体_GB2312" w:cs="Times New Roman"/>
          <w:kern w:val="2"/>
          <w:sz w:val="32"/>
          <w:szCs w:val="32"/>
        </w:rPr>
      </w:pPr>
      <w:r>
        <w:rPr>
          <w:rFonts w:hint="eastAsia" w:ascii="仿宋_GB2312" w:hAnsi="仿宋" w:eastAsia="仿宋_GB2312" w:cs="Times New Roman"/>
          <w:kern w:val="2"/>
          <w:sz w:val="32"/>
          <w:szCs w:val="32"/>
        </w:rPr>
        <w:t>一般公共服务支出</w:t>
      </w:r>
      <w:r>
        <w:rPr>
          <w:rFonts w:hint="eastAsia" w:ascii="仿宋_GB2312" w:hAnsi="仿宋" w:eastAsia="仿宋_GB2312" w:cs="Times New Roman"/>
          <w:kern w:val="2"/>
          <w:sz w:val="32"/>
          <w:szCs w:val="32"/>
          <w:lang w:val="en-US" w:eastAsia="zh-CN"/>
        </w:rPr>
        <w:t>559.89</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23.58</w:t>
      </w:r>
      <w:r>
        <w:rPr>
          <w:rFonts w:hint="eastAsia" w:ascii="仿宋_GB2312" w:hAnsi="仿宋" w:eastAsia="仿宋_GB2312" w:cs="Times New Roman"/>
          <w:kern w:val="2"/>
          <w:sz w:val="32"/>
          <w:szCs w:val="32"/>
        </w:rPr>
        <w:t>%；</w:t>
      </w:r>
      <w:r>
        <w:rPr>
          <w:rFonts w:hint="eastAsia" w:ascii="仿宋_GB2312" w:hAnsi="仿宋" w:eastAsia="仿宋_GB2312" w:cs="Times New Roman"/>
          <w:kern w:val="2"/>
          <w:sz w:val="32"/>
          <w:szCs w:val="32"/>
          <w:lang w:val="en-US" w:eastAsia="zh-CN"/>
        </w:rPr>
        <w:t>文化体育与传媒支出16.26万元，占0.68%；</w:t>
      </w:r>
      <w:r>
        <w:rPr>
          <w:rFonts w:hint="eastAsia" w:ascii="仿宋_GB2312" w:hAnsi="仿宋" w:eastAsia="仿宋_GB2312" w:cs="Times New Roman"/>
          <w:kern w:val="2"/>
          <w:sz w:val="32"/>
          <w:szCs w:val="32"/>
        </w:rPr>
        <w:t>社会保障和就业支出</w:t>
      </w:r>
      <w:r>
        <w:rPr>
          <w:rFonts w:hint="eastAsia" w:ascii="仿宋_GB2312" w:hAnsi="仿宋" w:eastAsia="仿宋_GB2312" w:cs="Times New Roman"/>
          <w:kern w:val="2"/>
          <w:sz w:val="32"/>
          <w:szCs w:val="32"/>
          <w:lang w:val="en-US" w:eastAsia="zh-CN"/>
        </w:rPr>
        <w:t>557.21</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23.46</w:t>
      </w:r>
      <w:r>
        <w:rPr>
          <w:rFonts w:hint="eastAsia" w:ascii="仿宋_GB2312" w:hAnsi="仿宋" w:eastAsia="仿宋_GB2312" w:cs="Times New Roman"/>
          <w:kern w:val="2"/>
          <w:sz w:val="32"/>
          <w:szCs w:val="32"/>
        </w:rPr>
        <w:t>%；</w:t>
      </w:r>
      <w:r>
        <w:rPr>
          <w:rFonts w:hint="eastAsia" w:ascii="仿宋_GB2312" w:hAnsi="仿宋" w:eastAsia="仿宋_GB2312" w:cs="Times New Roman"/>
          <w:kern w:val="2"/>
          <w:sz w:val="32"/>
          <w:szCs w:val="32"/>
          <w:lang w:val="en-US" w:eastAsia="zh-CN"/>
        </w:rPr>
        <w:t>医疗卫生与计划生育</w:t>
      </w:r>
      <w:r>
        <w:rPr>
          <w:rFonts w:hint="eastAsia" w:ascii="仿宋_GB2312" w:hAnsi="仿宋" w:eastAsia="仿宋_GB2312" w:cs="Times New Roman"/>
          <w:kern w:val="2"/>
          <w:sz w:val="32"/>
          <w:szCs w:val="32"/>
        </w:rPr>
        <w:t>支出</w:t>
      </w:r>
      <w:r>
        <w:rPr>
          <w:rFonts w:hint="eastAsia" w:ascii="仿宋_GB2312" w:hAnsi="仿宋" w:eastAsia="仿宋_GB2312" w:cs="Times New Roman"/>
          <w:kern w:val="2"/>
          <w:sz w:val="32"/>
          <w:szCs w:val="32"/>
          <w:lang w:val="en-US" w:eastAsia="zh-CN"/>
        </w:rPr>
        <w:t>17.45</w:t>
      </w:r>
      <w:r>
        <w:rPr>
          <w:rFonts w:hint="eastAsia" w:ascii="仿宋_GB2312" w:hAnsi="仿宋" w:eastAsia="仿宋_GB2312" w:cs="Times New Roman"/>
          <w:kern w:val="2"/>
          <w:sz w:val="32"/>
          <w:szCs w:val="32"/>
        </w:rPr>
        <w:t>万元，占</w:t>
      </w:r>
      <w:r>
        <w:rPr>
          <w:rFonts w:hint="eastAsia" w:ascii="仿宋_GB2312" w:hAnsi="仿宋" w:eastAsia="仿宋_GB2312" w:cs="Times New Roman"/>
          <w:kern w:val="2"/>
          <w:sz w:val="32"/>
          <w:szCs w:val="32"/>
          <w:lang w:val="en-US" w:eastAsia="zh-CN"/>
        </w:rPr>
        <w:t>0.73</w:t>
      </w:r>
      <w:r>
        <w:rPr>
          <w:rFonts w:hint="eastAsia" w:ascii="仿宋_GB2312" w:hAnsi="仿宋" w:eastAsia="仿宋_GB2312" w:cs="Times New Roman"/>
          <w:kern w:val="2"/>
          <w:sz w:val="32"/>
          <w:szCs w:val="32"/>
        </w:rPr>
        <w:t>%；</w:t>
      </w:r>
      <w:r>
        <w:rPr>
          <w:rFonts w:hint="eastAsia" w:ascii="仿宋_GB2312" w:hAnsi="仿宋" w:eastAsia="仿宋_GB2312" w:cs="Times New Roman"/>
          <w:kern w:val="2"/>
          <w:sz w:val="32"/>
          <w:szCs w:val="32"/>
          <w:lang w:val="en-US" w:eastAsia="zh-CN"/>
        </w:rPr>
        <w:t>城乡社区支出500万元，占21.06%；农林水支出664.15万元，占27.97%：住房保障支出59.77万元，占2.52%</w:t>
      </w:r>
      <w:r>
        <w:rPr>
          <w:rFonts w:hint="eastAsia" w:ascii="仿宋_GB2312" w:hAnsi="仿宋" w:eastAsia="仿宋_GB2312" w:cs="Times New Roman"/>
          <w:kern w:val="2"/>
          <w:sz w:val="32"/>
          <w:szCs w:val="32"/>
        </w:rPr>
        <w:t>。</w:t>
      </w:r>
    </w:p>
    <w:p>
      <w:pPr>
        <w:adjustRightInd w:val="0"/>
        <w:snapToGrid w:val="0"/>
        <w:spacing w:line="600" w:lineRule="exact"/>
        <w:ind w:firstLine="643" w:firstLineChars="200"/>
        <w:rPr>
          <w:rFonts w:ascii="楷体_GB2312" w:hAnsi="仿宋" w:eastAsia="楷体_GB2312"/>
          <w:b/>
          <w:sz w:val="32"/>
          <w:szCs w:val="32"/>
        </w:rPr>
      </w:pPr>
      <w:r>
        <w:rPr>
          <w:rFonts w:hint="eastAsia" w:ascii="楷体_GB2312" w:hAnsi="仿宋" w:eastAsia="楷体_GB2312"/>
          <w:b/>
          <w:sz w:val="32"/>
          <w:szCs w:val="32"/>
        </w:rPr>
        <w:t>（三）一般公共预算支出具体使用情况。</w:t>
      </w:r>
    </w:p>
    <w:p>
      <w:pPr>
        <w:adjustRightInd w:val="0"/>
        <w:snapToGrid w:val="0"/>
        <w:spacing w:line="600" w:lineRule="exact"/>
        <w:ind w:firstLine="643" w:firstLineChars="200"/>
        <w:rPr>
          <w:rFonts w:ascii="仿宋_GB2312" w:hAnsi="仿宋" w:eastAsia="仿宋_GB2312"/>
          <w:sz w:val="32"/>
          <w:szCs w:val="32"/>
        </w:rPr>
      </w:pPr>
      <w:r>
        <w:rPr>
          <w:rFonts w:hint="eastAsia" w:ascii="仿宋_GB2312" w:hAnsi="仿宋" w:eastAsia="仿宋_GB2312"/>
          <w:b/>
          <w:sz w:val="32"/>
          <w:szCs w:val="32"/>
        </w:rPr>
        <w:t>1.</w:t>
      </w:r>
      <w:r>
        <w:rPr>
          <w:rFonts w:hint="eastAsia" w:ascii="仿宋_GB2312" w:hAnsi="仿宋"/>
          <w:b/>
          <w:szCs w:val="32"/>
        </w:rPr>
        <w:t xml:space="preserve"> </w:t>
      </w:r>
      <w:r>
        <w:rPr>
          <w:rFonts w:hint="eastAsia" w:ascii="仿宋_GB2312" w:hAnsi="仿宋" w:eastAsia="仿宋_GB2312"/>
          <w:b/>
          <w:sz w:val="32"/>
          <w:szCs w:val="32"/>
        </w:rPr>
        <w:t>一般公共服务支出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559.89</w:t>
      </w:r>
      <w:r>
        <w:rPr>
          <w:rFonts w:hint="eastAsia" w:ascii="仿宋_GB2312" w:hAnsi="仿宋" w:eastAsia="仿宋_GB2312"/>
          <w:sz w:val="32"/>
          <w:szCs w:val="32"/>
        </w:rPr>
        <w:t>万元，比2022年预算减少</w:t>
      </w:r>
      <w:r>
        <w:rPr>
          <w:rFonts w:hint="eastAsia" w:ascii="仿宋_GB2312" w:hAnsi="仿宋" w:eastAsia="仿宋_GB2312"/>
          <w:sz w:val="32"/>
          <w:szCs w:val="32"/>
          <w:lang w:val="en-US" w:eastAsia="zh-CN"/>
        </w:rPr>
        <w:t>43.97</w:t>
      </w:r>
      <w:r>
        <w:rPr>
          <w:rFonts w:hint="eastAsia" w:ascii="仿宋_GB2312" w:hAnsi="仿宋" w:eastAsia="仿宋_GB2312"/>
          <w:sz w:val="32"/>
          <w:szCs w:val="32"/>
        </w:rPr>
        <w:t>万元，下降</w:t>
      </w:r>
      <w:r>
        <w:rPr>
          <w:rFonts w:hint="eastAsia" w:ascii="仿宋_GB2312" w:hAnsi="仿宋" w:eastAsia="仿宋_GB2312"/>
          <w:sz w:val="32"/>
          <w:szCs w:val="32"/>
          <w:lang w:val="en-US" w:eastAsia="zh-CN"/>
        </w:rPr>
        <w:t>7.28</w:t>
      </w:r>
      <w:r>
        <w:rPr>
          <w:rFonts w:hint="eastAsia" w:ascii="仿宋_GB2312" w:hAnsi="仿宋" w:eastAsia="仿宋_GB2312"/>
          <w:sz w:val="32"/>
          <w:szCs w:val="32"/>
        </w:rPr>
        <w:t>%，下降原因主要是</w:t>
      </w:r>
      <w:r>
        <w:rPr>
          <w:rFonts w:hint="eastAsia" w:ascii="仿宋_GB2312" w:hAnsi="仿宋" w:eastAsia="仿宋_GB2312" w:cs="Times New Roman"/>
          <w:kern w:val="2"/>
          <w:sz w:val="32"/>
          <w:szCs w:val="32"/>
          <w:lang w:val="en-US" w:eastAsia="zh-CN" w:bidi="ar-SA"/>
        </w:rPr>
        <w:t>坚持勤俭办公，从严从紧编制部门预算</w:t>
      </w:r>
      <w:r>
        <w:rPr>
          <w:rFonts w:hint="eastAsia" w:ascii="仿宋_GB2312" w:hAnsi="仿宋" w:eastAsia="仿宋_GB2312"/>
          <w:sz w:val="32"/>
          <w:szCs w:val="32"/>
        </w:rPr>
        <w:t>。</w:t>
      </w:r>
    </w:p>
    <w:p>
      <w:pPr>
        <w:adjustRightInd w:val="0"/>
        <w:snapToGrid w:val="0"/>
        <w:spacing w:line="600" w:lineRule="exact"/>
        <w:ind w:firstLine="643" w:firstLineChars="200"/>
        <w:rPr>
          <w:rFonts w:hint="eastAsia" w:ascii="仿宋_GB2312" w:hAnsi="仿宋" w:eastAsia="仿宋_GB2312"/>
          <w:sz w:val="32"/>
          <w:szCs w:val="32"/>
        </w:rPr>
      </w:pPr>
      <w:r>
        <w:rPr>
          <w:rFonts w:hint="eastAsia" w:ascii="仿宋_GB2312" w:hAnsi="仿宋" w:eastAsia="仿宋_GB2312"/>
          <w:b/>
          <w:sz w:val="32"/>
          <w:szCs w:val="32"/>
        </w:rPr>
        <w:t>2.</w:t>
      </w:r>
      <w:r>
        <w:rPr>
          <w:rFonts w:hint="eastAsia" w:ascii="仿宋_GB2312" w:hAnsi="仿宋" w:eastAsia="仿宋_GB2312"/>
          <w:b/>
          <w:sz w:val="32"/>
          <w:szCs w:val="32"/>
          <w:lang w:val="en-US" w:eastAsia="zh-CN"/>
        </w:rPr>
        <w:t>文化体育与传媒</w:t>
      </w:r>
      <w:r>
        <w:rPr>
          <w:rFonts w:hint="eastAsia" w:ascii="仿宋_GB2312" w:hAnsi="仿宋" w:eastAsia="仿宋_GB2312"/>
          <w:b/>
          <w:sz w:val="32"/>
          <w:szCs w:val="32"/>
        </w:rPr>
        <w:t>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16.26</w:t>
      </w:r>
      <w:r>
        <w:rPr>
          <w:rFonts w:hint="eastAsia" w:ascii="仿宋_GB2312" w:hAnsi="仿宋" w:eastAsia="仿宋_GB2312"/>
          <w:sz w:val="32"/>
          <w:szCs w:val="32"/>
        </w:rPr>
        <w:t>万元，比2022年预算增加</w:t>
      </w:r>
      <w:r>
        <w:rPr>
          <w:rFonts w:hint="eastAsia" w:ascii="仿宋_GB2312" w:hAnsi="仿宋" w:eastAsia="仿宋_GB2312"/>
          <w:sz w:val="32"/>
          <w:szCs w:val="32"/>
          <w:lang w:val="en-US" w:eastAsia="zh-CN"/>
        </w:rPr>
        <w:t>0.26</w:t>
      </w:r>
      <w:r>
        <w:rPr>
          <w:rFonts w:hint="eastAsia" w:ascii="仿宋_GB2312" w:hAnsi="仿宋" w:eastAsia="仿宋_GB2312"/>
          <w:sz w:val="32"/>
          <w:szCs w:val="32"/>
        </w:rPr>
        <w:t>万元，增长</w:t>
      </w:r>
      <w:r>
        <w:rPr>
          <w:rFonts w:hint="eastAsia" w:ascii="仿宋_GB2312" w:hAnsi="仿宋" w:eastAsia="仿宋_GB2312"/>
          <w:sz w:val="32"/>
          <w:szCs w:val="32"/>
          <w:lang w:val="en-US" w:eastAsia="zh-CN"/>
        </w:rPr>
        <w:t>1.62</w:t>
      </w:r>
      <w:r>
        <w:rPr>
          <w:rFonts w:hint="eastAsia" w:ascii="仿宋_GB2312" w:hAnsi="仿宋" w:eastAsia="仿宋_GB2312"/>
          <w:sz w:val="32"/>
          <w:szCs w:val="32"/>
        </w:rPr>
        <w:t>%，增长原因主要是加大了群众文化等相关支出。</w:t>
      </w:r>
    </w:p>
    <w:p>
      <w:pPr>
        <w:adjustRightInd w:val="0"/>
        <w:snapToGrid w:val="0"/>
        <w:spacing w:line="600" w:lineRule="exact"/>
        <w:ind w:firstLine="643" w:firstLineChars="200"/>
        <w:rPr>
          <w:rFonts w:hint="eastAsia" w:ascii="仿宋_GB2312" w:hAnsi="仿宋" w:eastAsia="仿宋_GB2312"/>
          <w:sz w:val="32"/>
          <w:szCs w:val="32"/>
        </w:rPr>
      </w:pPr>
      <w:r>
        <w:rPr>
          <w:rFonts w:hint="eastAsia" w:ascii="仿宋_GB2312" w:hAnsi="仿宋" w:eastAsia="仿宋_GB2312"/>
          <w:b/>
          <w:sz w:val="32"/>
          <w:szCs w:val="32"/>
        </w:rPr>
        <w:t>3.社会保障和就业支出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557.21</w:t>
      </w:r>
      <w:r>
        <w:rPr>
          <w:rFonts w:hint="eastAsia" w:ascii="仿宋_GB2312" w:hAnsi="仿宋" w:eastAsia="仿宋_GB2312"/>
          <w:sz w:val="32"/>
          <w:szCs w:val="32"/>
        </w:rPr>
        <w:t>万元，比2022年预算增加</w:t>
      </w:r>
      <w:r>
        <w:rPr>
          <w:rFonts w:hint="eastAsia" w:ascii="仿宋_GB2312" w:hAnsi="仿宋" w:eastAsia="仿宋_GB2312"/>
          <w:sz w:val="32"/>
          <w:szCs w:val="32"/>
          <w:lang w:val="en-US" w:eastAsia="zh-CN"/>
        </w:rPr>
        <w:t>396.58</w:t>
      </w:r>
      <w:r>
        <w:rPr>
          <w:rFonts w:hint="eastAsia" w:ascii="仿宋_GB2312" w:hAnsi="仿宋" w:eastAsia="仿宋_GB2312"/>
          <w:sz w:val="32"/>
          <w:szCs w:val="32"/>
        </w:rPr>
        <w:t>万元，增长</w:t>
      </w:r>
      <w:r>
        <w:rPr>
          <w:rFonts w:hint="eastAsia" w:ascii="仿宋_GB2312" w:hAnsi="仿宋" w:eastAsia="仿宋_GB2312"/>
          <w:sz w:val="32"/>
          <w:szCs w:val="32"/>
          <w:lang w:val="en-US" w:eastAsia="zh-CN"/>
        </w:rPr>
        <w:t>246.89</w:t>
      </w:r>
      <w:r>
        <w:rPr>
          <w:rFonts w:hint="eastAsia" w:ascii="仿宋_GB2312" w:hAnsi="仿宋" w:eastAsia="仿宋_GB2312"/>
          <w:sz w:val="32"/>
          <w:szCs w:val="32"/>
        </w:rPr>
        <w:t>%，增长原因主要是</w:t>
      </w:r>
      <w:r>
        <w:rPr>
          <w:rFonts w:hint="eastAsia" w:ascii="仿宋_GB2312" w:hAnsi="仿宋" w:eastAsia="仿宋_GB2312"/>
          <w:sz w:val="32"/>
          <w:szCs w:val="32"/>
          <w:lang w:val="en-US" w:eastAsia="zh-CN"/>
        </w:rPr>
        <w:t>增加了补助类专项支出（农村独保费、抚恤资金、优待资金、七老、村级转移支付、五保户）</w:t>
      </w:r>
      <w:r>
        <w:rPr>
          <w:rFonts w:hint="eastAsia" w:ascii="仿宋_GB2312" w:hAnsi="仿宋" w:eastAsia="仿宋_GB2312"/>
          <w:sz w:val="32"/>
          <w:szCs w:val="32"/>
        </w:rPr>
        <w:t>。</w:t>
      </w:r>
    </w:p>
    <w:p>
      <w:pPr>
        <w:adjustRightInd w:val="0"/>
        <w:snapToGrid w:val="0"/>
        <w:spacing w:line="600" w:lineRule="exact"/>
        <w:ind w:firstLine="643" w:firstLineChars="200"/>
        <w:rPr>
          <w:rFonts w:hint="eastAsia" w:ascii="仿宋_GB2312" w:hAnsi="仿宋" w:eastAsia="仿宋_GB2312"/>
          <w:sz w:val="32"/>
          <w:szCs w:val="32"/>
        </w:rPr>
      </w:pPr>
      <w:r>
        <w:rPr>
          <w:rFonts w:hint="eastAsia" w:ascii="仿宋_GB2312" w:hAnsi="仿宋" w:eastAsia="仿宋_GB2312"/>
          <w:b/>
          <w:sz w:val="32"/>
          <w:szCs w:val="32"/>
          <w:lang w:val="en-US" w:eastAsia="zh-CN"/>
        </w:rPr>
        <w:t>4</w:t>
      </w:r>
      <w:r>
        <w:rPr>
          <w:rFonts w:hint="eastAsia" w:ascii="仿宋_GB2312" w:hAnsi="仿宋" w:eastAsia="仿宋_GB2312"/>
          <w:b/>
          <w:sz w:val="32"/>
          <w:szCs w:val="32"/>
        </w:rPr>
        <w:t>.</w:t>
      </w:r>
      <w:r>
        <w:rPr>
          <w:rFonts w:hint="eastAsia" w:ascii="仿宋_GB2312" w:hAnsi="仿宋" w:eastAsia="仿宋_GB2312"/>
          <w:b/>
          <w:sz w:val="32"/>
          <w:szCs w:val="32"/>
          <w:lang w:val="en-US" w:eastAsia="zh-CN"/>
        </w:rPr>
        <w:t>卫生健康</w:t>
      </w:r>
      <w:r>
        <w:rPr>
          <w:rFonts w:hint="eastAsia" w:ascii="仿宋_GB2312" w:hAnsi="仿宋" w:eastAsia="仿宋_GB2312"/>
          <w:b/>
          <w:sz w:val="32"/>
          <w:szCs w:val="32"/>
        </w:rPr>
        <w:t>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17.45</w:t>
      </w:r>
      <w:r>
        <w:rPr>
          <w:rFonts w:hint="eastAsia" w:ascii="仿宋_GB2312" w:hAnsi="仿宋" w:eastAsia="仿宋_GB2312"/>
          <w:sz w:val="32"/>
          <w:szCs w:val="32"/>
        </w:rPr>
        <w:t>万元，比2022年预算</w:t>
      </w:r>
      <w:r>
        <w:rPr>
          <w:rFonts w:hint="eastAsia" w:ascii="仿宋_GB2312" w:hAnsi="仿宋" w:eastAsia="仿宋_GB2312"/>
          <w:sz w:val="32"/>
          <w:szCs w:val="32"/>
          <w:lang w:val="en-US" w:eastAsia="zh-CN"/>
        </w:rPr>
        <w:t>减少36.85</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减少67.86</w:t>
      </w:r>
      <w:r>
        <w:rPr>
          <w:rFonts w:hint="eastAsia" w:ascii="仿宋_GB2312" w:hAnsi="仿宋" w:eastAsia="仿宋_GB2312"/>
          <w:sz w:val="32"/>
          <w:szCs w:val="32"/>
        </w:rPr>
        <w:t>%，</w:t>
      </w:r>
      <w:r>
        <w:rPr>
          <w:rFonts w:hint="eastAsia" w:ascii="仿宋_GB2312" w:hAnsi="仿宋" w:eastAsia="仿宋_GB2312"/>
          <w:sz w:val="32"/>
          <w:szCs w:val="32"/>
          <w:lang w:val="en-US" w:eastAsia="zh-CN"/>
        </w:rPr>
        <w:t>减少</w:t>
      </w:r>
      <w:r>
        <w:rPr>
          <w:rFonts w:hint="eastAsia" w:ascii="仿宋_GB2312" w:hAnsi="仿宋" w:eastAsia="仿宋_GB2312"/>
          <w:sz w:val="32"/>
          <w:szCs w:val="32"/>
        </w:rPr>
        <w:t>原因主要是</w:t>
      </w:r>
      <w:r>
        <w:rPr>
          <w:rFonts w:hint="eastAsia" w:ascii="仿宋_GB2312" w:hAnsi="仿宋" w:eastAsia="仿宋_GB2312"/>
          <w:sz w:val="32"/>
          <w:szCs w:val="32"/>
          <w:lang w:val="en-US" w:eastAsia="zh-CN"/>
        </w:rPr>
        <w:t>疫情防控支出纳入一般公共服务支出。</w:t>
      </w:r>
    </w:p>
    <w:p>
      <w:pPr>
        <w:adjustRightInd w:val="0"/>
        <w:snapToGrid w:val="0"/>
        <w:spacing w:line="600" w:lineRule="exact"/>
        <w:ind w:firstLine="643" w:firstLineChars="200"/>
        <w:rPr>
          <w:rFonts w:hint="eastAsia" w:ascii="仿宋_GB2312" w:hAnsi="仿宋" w:eastAsia="仿宋_GB2312"/>
          <w:sz w:val="32"/>
          <w:szCs w:val="32"/>
        </w:rPr>
      </w:pPr>
      <w:r>
        <w:rPr>
          <w:rFonts w:hint="eastAsia" w:ascii="仿宋_GB2312" w:hAnsi="仿宋" w:eastAsia="仿宋_GB2312"/>
          <w:b/>
          <w:sz w:val="32"/>
          <w:szCs w:val="32"/>
          <w:lang w:val="en-US" w:eastAsia="zh-CN"/>
        </w:rPr>
        <w:t>5</w:t>
      </w:r>
      <w:r>
        <w:rPr>
          <w:rFonts w:hint="eastAsia" w:ascii="仿宋_GB2312" w:hAnsi="仿宋" w:eastAsia="仿宋_GB2312"/>
          <w:b/>
          <w:sz w:val="32"/>
          <w:szCs w:val="32"/>
        </w:rPr>
        <w:t>.</w:t>
      </w:r>
      <w:r>
        <w:rPr>
          <w:rFonts w:hint="eastAsia" w:ascii="仿宋_GB2312" w:hAnsi="仿宋" w:eastAsia="仿宋_GB2312"/>
          <w:b/>
          <w:sz w:val="32"/>
          <w:szCs w:val="32"/>
          <w:lang w:val="en-US" w:eastAsia="zh-CN"/>
        </w:rPr>
        <w:t>城乡社区</w:t>
      </w:r>
      <w:r>
        <w:rPr>
          <w:rFonts w:hint="eastAsia" w:ascii="仿宋_GB2312" w:hAnsi="仿宋" w:eastAsia="仿宋_GB2312"/>
          <w:b/>
          <w:sz w:val="32"/>
          <w:szCs w:val="32"/>
        </w:rPr>
        <w:t>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500</w:t>
      </w:r>
      <w:r>
        <w:rPr>
          <w:rFonts w:hint="eastAsia" w:ascii="仿宋_GB2312" w:hAnsi="仿宋" w:eastAsia="仿宋_GB2312"/>
          <w:sz w:val="32"/>
          <w:szCs w:val="32"/>
        </w:rPr>
        <w:t>万元，比2022年预算</w:t>
      </w:r>
      <w:r>
        <w:rPr>
          <w:rFonts w:hint="eastAsia" w:ascii="仿宋_GB2312" w:hAnsi="仿宋" w:eastAsia="仿宋_GB2312"/>
          <w:sz w:val="32"/>
          <w:szCs w:val="32"/>
          <w:lang w:val="en-US" w:eastAsia="zh-CN"/>
        </w:rPr>
        <w:t>减少274</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减少35.40</w:t>
      </w:r>
      <w:r>
        <w:rPr>
          <w:rFonts w:hint="eastAsia" w:ascii="仿宋_GB2312" w:hAnsi="仿宋" w:eastAsia="仿宋_GB2312"/>
          <w:sz w:val="32"/>
          <w:szCs w:val="32"/>
        </w:rPr>
        <w:t>%，</w:t>
      </w:r>
      <w:r>
        <w:rPr>
          <w:rFonts w:hint="eastAsia" w:ascii="仿宋_GB2312" w:hAnsi="仿宋" w:eastAsia="仿宋_GB2312"/>
          <w:sz w:val="32"/>
          <w:szCs w:val="32"/>
          <w:lang w:val="en-US" w:eastAsia="zh-CN"/>
        </w:rPr>
        <w:t>减少</w:t>
      </w:r>
      <w:r>
        <w:rPr>
          <w:rFonts w:hint="eastAsia" w:ascii="仿宋_GB2312" w:hAnsi="仿宋" w:eastAsia="仿宋_GB2312"/>
          <w:sz w:val="32"/>
          <w:szCs w:val="32"/>
        </w:rPr>
        <w:t>原因主要是</w:t>
      </w:r>
      <w:r>
        <w:rPr>
          <w:rFonts w:hint="eastAsia" w:ascii="仿宋_GB2312" w:hAnsi="仿宋" w:eastAsia="仿宋_GB2312"/>
          <w:sz w:val="32"/>
          <w:szCs w:val="32"/>
          <w:lang w:val="en-US" w:eastAsia="zh-CN"/>
        </w:rPr>
        <w:t>集镇建设支出缩减，节省日常开支。</w:t>
      </w:r>
    </w:p>
    <w:p>
      <w:pPr>
        <w:adjustRightInd w:val="0"/>
        <w:snapToGrid w:val="0"/>
        <w:spacing w:line="600" w:lineRule="exact"/>
        <w:ind w:firstLine="643" w:firstLineChars="200"/>
      </w:pPr>
      <w:r>
        <w:rPr>
          <w:rFonts w:hint="eastAsia" w:ascii="仿宋_GB2312" w:hAnsi="仿宋" w:eastAsia="仿宋_GB2312"/>
          <w:b/>
          <w:sz w:val="32"/>
          <w:szCs w:val="32"/>
          <w:lang w:val="en-US" w:eastAsia="zh-CN"/>
        </w:rPr>
        <w:t>6</w:t>
      </w:r>
      <w:r>
        <w:rPr>
          <w:rFonts w:hint="eastAsia" w:ascii="仿宋_GB2312" w:hAnsi="仿宋" w:eastAsia="仿宋_GB2312"/>
          <w:b/>
          <w:sz w:val="32"/>
          <w:szCs w:val="32"/>
        </w:rPr>
        <w:t>.</w:t>
      </w:r>
      <w:r>
        <w:rPr>
          <w:rFonts w:hint="eastAsia" w:ascii="仿宋_GB2312" w:hAnsi="仿宋" w:eastAsia="仿宋_GB2312"/>
          <w:b/>
          <w:sz w:val="32"/>
          <w:szCs w:val="32"/>
          <w:lang w:val="en-US" w:eastAsia="zh-CN"/>
        </w:rPr>
        <w:t>农林水</w:t>
      </w:r>
      <w:r>
        <w:rPr>
          <w:rFonts w:hint="eastAsia" w:ascii="仿宋_GB2312" w:hAnsi="仿宋" w:eastAsia="仿宋_GB2312"/>
          <w:b/>
          <w:sz w:val="32"/>
          <w:szCs w:val="32"/>
        </w:rPr>
        <w:t>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664.15</w:t>
      </w:r>
      <w:r>
        <w:rPr>
          <w:rFonts w:hint="eastAsia" w:ascii="仿宋_GB2312" w:hAnsi="仿宋" w:eastAsia="仿宋_GB2312"/>
          <w:sz w:val="32"/>
          <w:szCs w:val="32"/>
        </w:rPr>
        <w:t>万元，比2022年预算</w:t>
      </w:r>
      <w:r>
        <w:rPr>
          <w:rFonts w:hint="eastAsia" w:ascii="仿宋_GB2312" w:hAnsi="仿宋" w:eastAsia="仿宋_GB2312"/>
          <w:sz w:val="32"/>
          <w:szCs w:val="32"/>
          <w:lang w:val="en-US" w:eastAsia="zh-CN"/>
        </w:rPr>
        <w:t>减少445.05</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减少40.12</w:t>
      </w:r>
      <w:r>
        <w:rPr>
          <w:rFonts w:hint="eastAsia" w:ascii="仿宋_GB2312" w:hAnsi="仿宋" w:eastAsia="仿宋_GB2312"/>
          <w:sz w:val="32"/>
          <w:szCs w:val="32"/>
        </w:rPr>
        <w:t>%，</w:t>
      </w:r>
      <w:r>
        <w:rPr>
          <w:rFonts w:hint="eastAsia" w:ascii="仿宋_GB2312" w:hAnsi="仿宋" w:eastAsia="仿宋_GB2312"/>
          <w:sz w:val="32"/>
          <w:szCs w:val="32"/>
          <w:lang w:val="en-US" w:eastAsia="zh-CN"/>
        </w:rPr>
        <w:t>减少</w:t>
      </w:r>
      <w:r>
        <w:rPr>
          <w:rFonts w:hint="eastAsia" w:ascii="仿宋_GB2312" w:hAnsi="仿宋" w:eastAsia="仿宋_GB2312"/>
          <w:sz w:val="32"/>
          <w:szCs w:val="32"/>
        </w:rPr>
        <w:t>原因主要是</w:t>
      </w:r>
      <w:r>
        <w:rPr>
          <w:rFonts w:hint="eastAsia" w:ascii="仿宋_GB2312" w:hAnsi="仿宋" w:eastAsia="仿宋_GB2312"/>
          <w:sz w:val="32"/>
          <w:szCs w:val="32"/>
          <w:lang w:val="en-US" w:eastAsia="zh-CN"/>
        </w:rPr>
        <w:t>村级转移支付纳入社会保障和就业支出。</w:t>
      </w:r>
    </w:p>
    <w:p>
      <w:pPr>
        <w:adjustRightInd w:val="0"/>
        <w:snapToGrid w:val="0"/>
        <w:spacing w:line="600" w:lineRule="exact"/>
        <w:ind w:firstLine="643" w:firstLineChars="200"/>
        <w:rPr>
          <w:rFonts w:ascii="仿宋_GB2312" w:hAnsi="仿宋" w:eastAsia="仿宋_GB2312"/>
          <w:sz w:val="32"/>
          <w:szCs w:val="32"/>
        </w:rPr>
      </w:pPr>
      <w:r>
        <w:rPr>
          <w:rFonts w:hint="eastAsia" w:ascii="仿宋_GB2312" w:hAnsi="仿宋" w:eastAsia="仿宋_GB2312"/>
          <w:b/>
          <w:sz w:val="32"/>
          <w:szCs w:val="32"/>
          <w:lang w:val="en-US" w:eastAsia="zh-CN"/>
        </w:rPr>
        <w:t>7</w:t>
      </w:r>
      <w:r>
        <w:rPr>
          <w:rFonts w:hint="eastAsia" w:ascii="仿宋_GB2312" w:hAnsi="仿宋" w:eastAsia="仿宋_GB2312"/>
          <w:b/>
          <w:sz w:val="32"/>
          <w:szCs w:val="32"/>
        </w:rPr>
        <w:t>.住房保障支出</w:t>
      </w:r>
      <w:r>
        <w:rPr>
          <w:rFonts w:hint="eastAsia" w:ascii="仿宋_GB2312" w:hAnsi="仿宋" w:eastAsia="仿宋_GB2312"/>
          <w:sz w:val="32"/>
          <w:szCs w:val="32"/>
        </w:rPr>
        <w:t>2023年预算</w:t>
      </w:r>
      <w:r>
        <w:rPr>
          <w:rFonts w:hint="eastAsia" w:ascii="仿宋_GB2312" w:hAnsi="仿宋" w:eastAsia="仿宋_GB2312"/>
          <w:sz w:val="32"/>
          <w:szCs w:val="32"/>
          <w:lang w:val="en-US" w:eastAsia="zh-CN"/>
        </w:rPr>
        <w:t>59.77</w:t>
      </w:r>
      <w:r>
        <w:rPr>
          <w:rFonts w:hint="eastAsia" w:ascii="仿宋_GB2312" w:hAnsi="仿宋" w:eastAsia="仿宋_GB2312"/>
          <w:sz w:val="32"/>
          <w:szCs w:val="32"/>
        </w:rPr>
        <w:t>万元，比2022年预算减少</w:t>
      </w:r>
      <w:r>
        <w:rPr>
          <w:rFonts w:hint="eastAsia" w:ascii="仿宋_GB2312" w:hAnsi="仿宋" w:eastAsia="仿宋_GB2312"/>
          <w:sz w:val="32"/>
          <w:szCs w:val="32"/>
          <w:lang w:val="en-US" w:eastAsia="zh-CN"/>
        </w:rPr>
        <w:t>29.95</w:t>
      </w:r>
      <w:r>
        <w:rPr>
          <w:rFonts w:hint="eastAsia" w:ascii="仿宋_GB2312" w:hAnsi="仿宋" w:eastAsia="仿宋_GB2312"/>
          <w:sz w:val="32"/>
          <w:szCs w:val="32"/>
        </w:rPr>
        <w:t>万元，下降</w:t>
      </w:r>
      <w:r>
        <w:rPr>
          <w:rFonts w:hint="eastAsia" w:ascii="仿宋_GB2312" w:hAnsi="仿宋" w:eastAsia="仿宋_GB2312"/>
          <w:sz w:val="32"/>
          <w:szCs w:val="32"/>
          <w:lang w:val="en-US" w:eastAsia="zh-CN"/>
        </w:rPr>
        <w:t>33.38</w:t>
      </w:r>
      <w:r>
        <w:rPr>
          <w:rFonts w:hint="eastAsia" w:ascii="仿宋_GB2312" w:hAnsi="仿宋" w:eastAsia="仿宋_GB2312"/>
          <w:sz w:val="32"/>
          <w:szCs w:val="32"/>
        </w:rPr>
        <w:t>%，下降原因主要是</w:t>
      </w:r>
      <w:r>
        <w:rPr>
          <w:rFonts w:hint="eastAsia" w:ascii="仿宋_GB2312" w:hAnsi="仿宋" w:eastAsia="仿宋_GB2312"/>
          <w:sz w:val="32"/>
          <w:szCs w:val="32"/>
          <w:lang w:val="en-US" w:eastAsia="zh-CN"/>
        </w:rPr>
        <w:t>人员减少</w:t>
      </w:r>
      <w:r>
        <w:rPr>
          <w:rFonts w:hint="eastAsia" w:ascii="仿宋_GB2312" w:hAnsi="仿宋" w:eastAsia="仿宋_GB2312"/>
          <w:sz w:val="32"/>
          <w:szCs w:val="32"/>
        </w:rPr>
        <w:t>。</w:t>
      </w:r>
    </w:p>
    <w:p>
      <w:pPr>
        <w:adjustRightInd w:val="0"/>
        <w:snapToGrid w:val="0"/>
        <w:spacing w:line="600" w:lineRule="exact"/>
        <w:ind w:firstLine="640" w:firstLineChars="200"/>
        <w:rPr>
          <w:rFonts w:ascii="黑体" w:eastAsia="黑体"/>
          <w:color w:val="000000" w:themeColor="text1"/>
        </w:rPr>
      </w:pPr>
      <w:r>
        <w:rPr>
          <w:rFonts w:hint="eastAsia" w:ascii="黑体" w:hAnsi="仿宋" w:eastAsia="黑体" w:cs="Times New Roman"/>
          <w:color w:val="000000" w:themeColor="text1"/>
          <w:kern w:val="2"/>
          <w:sz w:val="32"/>
          <w:szCs w:val="32"/>
        </w:rPr>
        <w:t>六、关于2023年一般公共预算基本支出表的说明</w:t>
      </w:r>
    </w:p>
    <w:p>
      <w:pPr>
        <w:ind w:firstLine="640" w:firstLineChars="200"/>
        <w:rPr>
          <w:rFonts w:ascii="仿宋_GB2312" w:hAnsi="仿宋" w:eastAsia="仿宋_GB2312"/>
          <w:sz w:val="32"/>
          <w:szCs w:val="32"/>
        </w:rPr>
      </w:pPr>
      <w:r>
        <w:rPr>
          <w:rFonts w:hint="eastAsia" w:ascii="仿宋_GB2312" w:hAnsi="仿宋" w:eastAsia="仿宋_GB2312"/>
          <w:sz w:val="32"/>
          <w:szCs w:val="32"/>
        </w:rPr>
        <w:t>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2023年一般公共预算基本支出</w:t>
      </w:r>
      <w:r>
        <w:rPr>
          <w:rFonts w:hint="eastAsia" w:ascii="仿宋_GB2312" w:hAnsi="仿宋" w:eastAsia="仿宋_GB2312"/>
          <w:sz w:val="32"/>
          <w:szCs w:val="32"/>
          <w:lang w:val="en-US" w:eastAsia="zh-CN"/>
        </w:rPr>
        <w:t>699.99</w:t>
      </w:r>
      <w:r>
        <w:rPr>
          <w:rFonts w:hint="eastAsia" w:ascii="仿宋_GB2312" w:hAnsi="仿宋" w:eastAsia="仿宋_GB2312"/>
          <w:sz w:val="32"/>
          <w:szCs w:val="32"/>
        </w:rPr>
        <w:t>万元，其中，人员经费</w:t>
      </w:r>
      <w:r>
        <w:rPr>
          <w:rFonts w:hint="eastAsia" w:ascii="仿宋_GB2312" w:hAnsi="仿宋" w:eastAsia="仿宋_GB2312"/>
          <w:sz w:val="32"/>
          <w:szCs w:val="32"/>
          <w:lang w:val="en-US" w:eastAsia="zh-CN"/>
        </w:rPr>
        <w:t>586.64</w:t>
      </w:r>
      <w:r>
        <w:rPr>
          <w:rFonts w:hint="eastAsia" w:ascii="仿宋_GB2312" w:hAnsi="仿宋" w:eastAsia="仿宋_GB2312"/>
          <w:sz w:val="32"/>
          <w:szCs w:val="32"/>
        </w:rPr>
        <w:t>万元，公用经费</w:t>
      </w:r>
      <w:r>
        <w:rPr>
          <w:rFonts w:hint="eastAsia" w:ascii="仿宋_GB2312" w:hAnsi="仿宋" w:eastAsia="仿宋_GB2312"/>
          <w:sz w:val="32"/>
          <w:szCs w:val="32"/>
          <w:lang w:val="en-US" w:eastAsia="zh-CN"/>
        </w:rPr>
        <w:t>113.35</w:t>
      </w:r>
      <w:r>
        <w:rPr>
          <w:rFonts w:hint="eastAsia" w:ascii="仿宋_GB2312" w:hAnsi="仿宋" w:eastAsia="仿宋_GB2312"/>
          <w:sz w:val="32"/>
          <w:szCs w:val="32"/>
        </w:rPr>
        <w:t>万元。</w:t>
      </w:r>
    </w:p>
    <w:p>
      <w:pPr>
        <w:keepNext w:val="0"/>
        <w:keepLines w:val="0"/>
        <w:pageBreakBefore w:val="0"/>
        <w:kinsoku/>
        <w:overflowPunct/>
        <w:topLinePunct w:val="0"/>
        <w:autoSpaceDE/>
        <w:autoSpaceDN/>
        <w:bidi w:val="0"/>
        <w:spacing w:beforeAutospacing="0" w:afterAutospacing="0" w:line="560" w:lineRule="exact"/>
        <w:ind w:left="0" w:leftChars="0" w:right="0" w:firstLine="640" w:firstLineChars="200"/>
        <w:rPr>
          <w:rFonts w:ascii="仿宋_GB2312" w:hAnsi="仿宋" w:eastAsia="仿宋_GB2312"/>
          <w:sz w:val="32"/>
          <w:szCs w:val="32"/>
        </w:rPr>
      </w:pPr>
      <w:r>
        <w:rPr>
          <w:rFonts w:hint="eastAsia" w:ascii="仿宋_GB2312" w:hAnsi="仿宋" w:eastAsia="仿宋_GB2312"/>
          <w:sz w:val="32"/>
          <w:szCs w:val="32"/>
        </w:rPr>
        <w:t>（一）人员经费</w:t>
      </w:r>
      <w:r>
        <w:rPr>
          <w:rFonts w:hint="eastAsia" w:ascii="仿宋_GB2312" w:hAnsi="仿宋" w:eastAsia="仿宋_GB2312"/>
          <w:sz w:val="32"/>
          <w:szCs w:val="32"/>
          <w:lang w:val="en-US" w:eastAsia="zh-CN"/>
        </w:rPr>
        <w:t>586.64</w:t>
      </w:r>
      <w:r>
        <w:rPr>
          <w:rFonts w:hint="eastAsia" w:ascii="仿宋_GB2312" w:hAnsi="仿宋" w:eastAsia="仿宋_GB2312"/>
          <w:sz w:val="32"/>
          <w:szCs w:val="32"/>
        </w:rPr>
        <w:t>万元，主要包括</w:t>
      </w:r>
      <w:r>
        <w:rPr>
          <w:rFonts w:hint="eastAsia" w:ascii="仿宋_GB2312" w:hAnsi="仿宋" w:eastAsia="仿宋_GB2312"/>
          <w:sz w:val="32"/>
          <w:szCs w:val="32"/>
          <w:u w:val="none"/>
        </w:rPr>
        <w:t>:基本工资、津贴补贴、奖金、伙食补助费、绩效工资、机关事业单位基本养老保险费、职业年金缴费、职工基本医疗保险缴费、公务员医疗补助缴费、其他社会保障缴费、住房公积金、医疗费、其他工资福利支出、离休费、退休费、退职（役）费、抚恤金、生活补助、救济费、医疗费补助、助学金、奖励金、个人农业生产补贴、对其他个人和家庭的补助支出。</w:t>
      </w:r>
    </w:p>
    <w:p>
      <w:pPr>
        <w:ind w:firstLine="640" w:firstLineChars="200"/>
        <w:rPr>
          <w:rFonts w:ascii="楷体_GB2312" w:hAnsi="仿宋" w:eastAsia="楷体_GB2312"/>
          <w:sz w:val="32"/>
          <w:szCs w:val="32"/>
        </w:rPr>
      </w:pPr>
      <w:r>
        <w:rPr>
          <w:rFonts w:hint="eastAsia" w:ascii="仿宋_GB2312" w:hAnsi="仿宋" w:eastAsia="仿宋_GB2312"/>
          <w:sz w:val="32"/>
          <w:szCs w:val="32"/>
        </w:rPr>
        <w:t>（二）公用经费</w:t>
      </w:r>
      <w:r>
        <w:rPr>
          <w:rFonts w:hint="eastAsia" w:ascii="仿宋_GB2312" w:hAnsi="仿宋" w:eastAsia="仿宋_GB2312"/>
          <w:sz w:val="32"/>
          <w:szCs w:val="32"/>
          <w:lang w:val="en-US" w:eastAsia="zh-CN"/>
        </w:rPr>
        <w:t>113.35</w:t>
      </w:r>
      <w:r>
        <w:rPr>
          <w:rFonts w:hint="eastAsia" w:ascii="仿宋_GB2312" w:hAnsi="仿宋" w:eastAsia="仿宋_GB2312"/>
          <w:sz w:val="32"/>
          <w:szCs w:val="32"/>
        </w:rPr>
        <w:t>万元，主要包括</w:t>
      </w:r>
      <w:r>
        <w:rPr>
          <w:rFonts w:hint="eastAsia" w:ascii="仿宋_GB2312" w:hAnsi="仿宋" w:eastAsia="仿宋_GB2312"/>
          <w:sz w:val="32"/>
          <w:szCs w:val="32"/>
          <w:u w:val="none"/>
        </w:rPr>
        <w:t>：办公费、印刷费、咨询费、手续费、水费、电费、邮电费、取暖费、物业管理费、差旅费、因公出国（境）费、维修（护）费、租赁费、会议费、培训费、公务接待费、专用材料费、被装购置费、专用燃料费、劳务费、委托业务费、工会经费、福利费、公务用车运行维护费、其他交通费用、税金及附加费用、其他商品服务支出。</w:t>
      </w:r>
    </w:p>
    <w:p>
      <w:pPr>
        <w:pStyle w:val="5"/>
        <w:adjustRightInd w:val="0"/>
        <w:snapToGrid w:val="0"/>
        <w:spacing w:before="0" w:beforeAutospacing="0" w:after="0" w:afterAutospacing="0" w:line="600" w:lineRule="exact"/>
        <w:ind w:firstLine="640" w:firstLineChars="200"/>
        <w:rPr>
          <w:rFonts w:ascii="黑体" w:hAnsi="仿宋" w:eastAsia="黑体"/>
          <w:sz w:val="32"/>
          <w:szCs w:val="32"/>
        </w:rPr>
      </w:pPr>
      <w:r>
        <w:rPr>
          <w:rFonts w:hint="eastAsia" w:ascii="黑体" w:hAnsi="仿宋" w:eastAsia="黑体"/>
          <w:sz w:val="32"/>
          <w:szCs w:val="32"/>
        </w:rPr>
        <w:t>七、关于2023年政府性基金预算支出表的说明</w:t>
      </w:r>
    </w:p>
    <w:p>
      <w:pPr>
        <w:pStyle w:val="5"/>
        <w:adjustRightInd w:val="0"/>
        <w:snapToGrid w:val="0"/>
        <w:spacing w:before="0" w:beforeAutospacing="0" w:after="0" w:afterAutospacing="0" w:line="600" w:lineRule="exact"/>
        <w:ind w:firstLine="640" w:firstLineChars="200"/>
        <w:rPr>
          <w:rFonts w:ascii="仿宋_GB2312" w:hAnsi="仿宋" w:eastAsia="仿宋_GB2312"/>
          <w:sz w:val="32"/>
          <w:szCs w:val="32"/>
        </w:rPr>
      </w:pPr>
      <w:r>
        <w:rPr>
          <w:rFonts w:hint="eastAsia" w:ascii="仿宋_GB2312" w:hAnsi="仿宋" w:eastAsia="仿宋_GB2312"/>
          <w:sz w:val="32"/>
          <w:szCs w:val="32"/>
        </w:rPr>
        <w:t>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2023年没有政府性基金预算拨款收入，也没有使用政府性基金预算拨款安排的支出。</w:t>
      </w:r>
    </w:p>
    <w:p>
      <w:pPr>
        <w:pStyle w:val="5"/>
        <w:numPr>
          <w:ilvl w:val="0"/>
          <w:numId w:val="1"/>
        </w:numPr>
        <w:adjustRightInd w:val="0"/>
        <w:snapToGrid w:val="0"/>
        <w:spacing w:before="0" w:beforeAutospacing="0" w:after="0" w:afterAutospacing="0" w:line="600" w:lineRule="exact"/>
        <w:ind w:firstLine="640" w:firstLineChars="200"/>
        <w:rPr>
          <w:rFonts w:hint="eastAsia" w:ascii="黑体" w:hAnsi="仿宋" w:eastAsia="黑体"/>
          <w:sz w:val="32"/>
          <w:szCs w:val="32"/>
        </w:rPr>
      </w:pPr>
      <w:r>
        <w:rPr>
          <w:rFonts w:hint="eastAsia" w:ascii="黑体" w:hAnsi="仿宋" w:eastAsia="黑体"/>
          <w:sz w:val="32"/>
          <w:szCs w:val="32"/>
        </w:rPr>
        <w:t>关于2023年国有资本经营预算支出表的说明</w:t>
      </w:r>
    </w:p>
    <w:p>
      <w:pPr>
        <w:pStyle w:val="5"/>
        <w:numPr>
          <w:ilvl w:val="0"/>
          <w:numId w:val="0"/>
        </w:numPr>
        <w:adjustRightInd w:val="0"/>
        <w:snapToGrid w:val="0"/>
        <w:spacing w:before="0" w:beforeAutospacing="0" w:after="0" w:afterAutospacing="0" w:line="600" w:lineRule="exact"/>
        <w:ind w:firstLine="640" w:firstLineChars="200"/>
        <w:rPr>
          <w:rFonts w:ascii="仿宋_GB2312" w:hAnsi="仿宋" w:eastAsia="仿宋_GB2312"/>
          <w:sz w:val="32"/>
          <w:szCs w:val="32"/>
        </w:rPr>
      </w:pPr>
      <w:r>
        <w:rPr>
          <w:rFonts w:hint="eastAsia" w:ascii="仿宋_GB2312" w:hAnsi="仿宋" w:eastAsia="仿宋_GB2312"/>
          <w:sz w:val="32"/>
          <w:szCs w:val="32"/>
        </w:rPr>
        <w:t>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2023年没有国有资本经营预算拨款收入，也没有使用国有资本经营预算拨款安排的支出。</w:t>
      </w:r>
    </w:p>
    <w:p>
      <w:pPr>
        <w:pStyle w:val="5"/>
        <w:adjustRightInd w:val="0"/>
        <w:snapToGrid w:val="0"/>
        <w:spacing w:before="0" w:beforeAutospacing="0" w:after="0" w:afterAutospacing="0" w:line="600" w:lineRule="exact"/>
        <w:ind w:firstLine="640" w:firstLineChars="200"/>
        <w:rPr>
          <w:rFonts w:ascii="黑体" w:hAnsi="仿宋" w:eastAsia="黑体"/>
          <w:sz w:val="32"/>
          <w:szCs w:val="32"/>
        </w:rPr>
      </w:pPr>
      <w:r>
        <w:rPr>
          <w:rFonts w:hint="eastAsia" w:ascii="黑体" w:hAnsi="仿宋" w:eastAsia="黑体"/>
          <w:sz w:val="32"/>
          <w:szCs w:val="32"/>
          <w:lang w:val="en-US" w:eastAsia="zh-CN"/>
        </w:rPr>
        <w:t>九</w:t>
      </w:r>
      <w:r>
        <w:rPr>
          <w:rFonts w:hint="eastAsia" w:ascii="黑体" w:hAnsi="仿宋" w:eastAsia="黑体"/>
          <w:sz w:val="32"/>
          <w:szCs w:val="32"/>
        </w:rPr>
        <w:t>、关于2023年政府采购支出表的说明</w:t>
      </w:r>
    </w:p>
    <w:p>
      <w:pPr>
        <w:pStyle w:val="5"/>
        <w:adjustRightInd w:val="0"/>
        <w:snapToGrid w:val="0"/>
        <w:spacing w:before="0" w:beforeAutospacing="0" w:after="0" w:afterAutospacing="0" w:line="600" w:lineRule="exact"/>
        <w:ind w:firstLine="640" w:firstLineChars="200"/>
        <w:outlineLvl w:val="0"/>
        <w:rPr>
          <w:rFonts w:ascii="仿宋_GB2312" w:hAnsi="仿宋" w:eastAsia="仿宋_GB2312"/>
          <w:sz w:val="32"/>
          <w:szCs w:val="32"/>
        </w:rPr>
      </w:pPr>
      <w:r>
        <w:rPr>
          <w:rFonts w:hint="eastAsia" w:ascii="仿宋_GB2312" w:hAnsi="仿宋" w:eastAsia="仿宋_GB2312"/>
          <w:sz w:val="32"/>
          <w:szCs w:val="32"/>
        </w:rPr>
        <w:t>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2023年预算安排政府采购支出</w:t>
      </w:r>
      <w:r>
        <w:rPr>
          <w:rFonts w:hint="eastAsia" w:ascii="仿宋_GB2312" w:hAnsi="仿宋" w:eastAsia="仿宋_GB2312"/>
          <w:sz w:val="32"/>
          <w:szCs w:val="32"/>
          <w:lang w:val="en-US" w:eastAsia="zh-CN"/>
        </w:rPr>
        <w:t>40</w:t>
      </w:r>
      <w:r>
        <w:rPr>
          <w:rFonts w:hint="eastAsia" w:ascii="仿宋_GB2312" w:hAnsi="仿宋" w:eastAsia="仿宋_GB2312"/>
          <w:sz w:val="32"/>
          <w:szCs w:val="32"/>
        </w:rPr>
        <w:t>万元，比2022年预算增加</w:t>
      </w:r>
      <w:r>
        <w:rPr>
          <w:rFonts w:hint="eastAsia" w:ascii="仿宋_GB2312" w:hAnsi="仿宋" w:eastAsia="仿宋_GB2312"/>
          <w:sz w:val="32"/>
          <w:szCs w:val="32"/>
          <w:lang w:val="en-US" w:eastAsia="zh-CN"/>
        </w:rPr>
        <w:t>15</w:t>
      </w:r>
      <w:r>
        <w:rPr>
          <w:rFonts w:hint="eastAsia" w:ascii="仿宋_GB2312" w:hAnsi="仿宋" w:eastAsia="仿宋_GB2312"/>
          <w:sz w:val="32"/>
          <w:szCs w:val="32"/>
        </w:rPr>
        <w:t>万元，增长</w:t>
      </w:r>
      <w:r>
        <w:rPr>
          <w:rFonts w:hint="eastAsia" w:ascii="仿宋_GB2312" w:hAnsi="仿宋" w:eastAsia="仿宋_GB2312"/>
          <w:sz w:val="32"/>
          <w:szCs w:val="32"/>
          <w:lang w:val="en-US" w:eastAsia="zh-CN"/>
        </w:rPr>
        <w:t>60%</w:t>
      </w:r>
      <w:r>
        <w:rPr>
          <w:rFonts w:hint="eastAsia" w:ascii="仿宋_GB2312" w:hAnsi="仿宋" w:eastAsia="仿宋_GB2312"/>
          <w:sz w:val="32"/>
          <w:szCs w:val="32"/>
        </w:rPr>
        <w:t>，增长原因主要是</w:t>
      </w:r>
      <w:r>
        <w:rPr>
          <w:rFonts w:hint="eastAsia" w:ascii="仿宋_GB2312" w:hAnsi="仿宋" w:eastAsia="仿宋_GB2312"/>
          <w:sz w:val="32"/>
          <w:szCs w:val="32"/>
          <w:lang w:val="en-US" w:eastAsia="zh-CN"/>
        </w:rPr>
        <w:t>日常办公用品的采买纳入政府采购支出</w:t>
      </w:r>
      <w:r>
        <w:rPr>
          <w:rFonts w:hint="eastAsia" w:ascii="仿宋_GB2312" w:hAnsi="仿宋" w:eastAsia="仿宋_GB2312"/>
          <w:sz w:val="32"/>
          <w:szCs w:val="32"/>
        </w:rPr>
        <w:t>。</w:t>
      </w:r>
    </w:p>
    <w:p>
      <w:pPr>
        <w:pStyle w:val="5"/>
        <w:adjustRightInd w:val="0"/>
        <w:snapToGrid w:val="0"/>
        <w:spacing w:before="0" w:beforeAutospacing="0" w:after="0" w:afterAutospacing="0" w:line="600" w:lineRule="exact"/>
        <w:ind w:firstLine="640" w:firstLineChars="200"/>
        <w:rPr>
          <w:rFonts w:ascii="黑体" w:hAnsi="仿宋" w:eastAsia="黑体"/>
          <w:sz w:val="32"/>
          <w:szCs w:val="32"/>
        </w:rPr>
      </w:pPr>
      <w:r>
        <w:rPr>
          <w:rFonts w:hint="eastAsia" w:ascii="黑体" w:hAnsi="仿宋" w:eastAsia="黑体"/>
          <w:sz w:val="32"/>
          <w:szCs w:val="32"/>
        </w:rPr>
        <w:t>十、关于2023年政府购买服务支出表的说明</w:t>
      </w:r>
    </w:p>
    <w:p>
      <w:pPr>
        <w:pStyle w:val="5"/>
        <w:adjustRightInd w:val="0"/>
        <w:snapToGrid w:val="0"/>
        <w:spacing w:before="0" w:beforeAutospacing="0" w:after="0" w:afterAutospacing="0" w:line="600" w:lineRule="exact"/>
        <w:ind w:firstLine="640" w:firstLineChars="200"/>
        <w:outlineLvl w:val="0"/>
        <w:rPr>
          <w:rFonts w:ascii="仿宋_GB2312" w:hAnsi="仿宋" w:eastAsia="仿宋_GB2312"/>
          <w:sz w:val="32"/>
          <w:szCs w:val="32"/>
        </w:rPr>
      </w:pPr>
      <w:r>
        <w:rPr>
          <w:rFonts w:hint="eastAsia" w:ascii="仿宋_GB2312" w:hAnsi="仿宋" w:eastAsia="仿宋_GB2312"/>
          <w:sz w:val="32"/>
          <w:szCs w:val="32"/>
        </w:rPr>
        <w:t>青阳县</w:t>
      </w:r>
      <w:r>
        <w:rPr>
          <w:rFonts w:hint="eastAsia" w:ascii="仿宋_GB2312" w:hAnsi="仿宋" w:eastAsia="仿宋_GB2312"/>
          <w:sz w:val="32"/>
          <w:szCs w:val="32"/>
          <w:lang w:val="en-US" w:eastAsia="zh-CN"/>
        </w:rPr>
        <w:t>木镇镇人民政府</w:t>
      </w:r>
      <w:r>
        <w:rPr>
          <w:rFonts w:hint="eastAsia" w:ascii="仿宋_GB2312" w:hAnsi="仿宋" w:eastAsia="仿宋_GB2312"/>
          <w:sz w:val="32"/>
          <w:szCs w:val="32"/>
        </w:rPr>
        <w:t>2023年没有安排政府购买服务支出。</w:t>
      </w:r>
    </w:p>
    <w:p>
      <w:pPr>
        <w:adjustRightInd w:val="0"/>
        <w:snapToGrid w:val="0"/>
        <w:spacing w:line="600" w:lineRule="exact"/>
        <w:ind w:firstLine="640" w:firstLineChars="200"/>
        <w:rPr>
          <w:rFonts w:ascii="黑体" w:hAnsi="黑体" w:eastAsia="黑体"/>
          <w:sz w:val="32"/>
          <w:szCs w:val="32"/>
        </w:rPr>
      </w:pPr>
      <w:r>
        <w:rPr>
          <w:rFonts w:hint="eastAsia" w:ascii="黑体" w:hAnsi="黑体" w:eastAsia="黑体"/>
          <w:sz w:val="32"/>
          <w:szCs w:val="32"/>
        </w:rPr>
        <w:t>十、其他重要事项情况说明</w:t>
      </w:r>
    </w:p>
    <w:p>
      <w:pPr>
        <w:adjustRightInd w:val="0"/>
        <w:snapToGrid w:val="0"/>
        <w:spacing w:line="60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w:t>
      </w:r>
      <w:r>
        <w:rPr>
          <w:rFonts w:hint="eastAsia" w:ascii="仿宋_GB2312" w:hAnsi="楷体" w:eastAsia="仿宋_GB2312"/>
          <w:b/>
          <w:sz w:val="32"/>
          <w:szCs w:val="32"/>
          <w:lang w:val="en-US" w:eastAsia="zh-CN"/>
        </w:rPr>
        <w:t>一</w:t>
      </w:r>
      <w:r>
        <w:rPr>
          <w:rFonts w:hint="eastAsia" w:ascii="仿宋_GB2312" w:hAnsi="楷体" w:eastAsia="仿宋_GB2312"/>
          <w:b/>
          <w:sz w:val="32"/>
          <w:szCs w:val="32"/>
        </w:rPr>
        <w:t>）机关运行经费。</w:t>
      </w:r>
    </w:p>
    <w:p>
      <w:pPr>
        <w:adjustRightInd w:val="0"/>
        <w:snapToGrid w:val="0"/>
        <w:spacing w:line="600" w:lineRule="exact"/>
        <w:ind w:firstLine="640" w:firstLineChars="200"/>
        <w:rPr>
          <w:rFonts w:hint="eastAsia" w:ascii="仿宋_GB2312" w:hAnsi="仿宋" w:eastAsia="仿宋_GB2312" w:cs="宋体"/>
          <w:kern w:val="0"/>
          <w:sz w:val="32"/>
          <w:szCs w:val="32"/>
          <w:lang w:val="en-US" w:eastAsia="zh-CN" w:bidi="ar-SA"/>
        </w:rPr>
      </w:pPr>
      <w:r>
        <w:rPr>
          <w:rFonts w:hint="eastAsia" w:ascii="仿宋_GB2312" w:hAnsi="仿宋" w:eastAsia="仿宋_GB2312" w:cs="宋体"/>
          <w:kern w:val="0"/>
          <w:sz w:val="32"/>
          <w:szCs w:val="32"/>
        </w:rPr>
        <w:t>青阳县</w:t>
      </w:r>
      <w:r>
        <w:rPr>
          <w:rFonts w:hint="eastAsia" w:ascii="仿宋_GB2312" w:hAnsi="仿宋" w:eastAsia="仿宋_GB2312" w:cs="宋体"/>
          <w:kern w:val="0"/>
          <w:sz w:val="32"/>
          <w:szCs w:val="32"/>
          <w:lang w:val="en-US" w:eastAsia="zh-CN" w:bidi="ar-SA"/>
        </w:rPr>
        <w:t>木镇镇人民政府2023年机关运行经费财政拨款预算324.09万元，主要用于保障镇政府办公区日常维修、办公用房水电费、办公用房取暖费、办公用房物业管理费、日常运转办公费等日常运行支出。</w:t>
      </w:r>
    </w:p>
    <w:p>
      <w:pPr>
        <w:adjustRightInd w:val="0"/>
        <w:snapToGrid w:val="0"/>
        <w:spacing w:line="60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w:t>
      </w:r>
      <w:r>
        <w:rPr>
          <w:rFonts w:hint="eastAsia" w:ascii="仿宋_GB2312" w:hAnsi="楷体" w:eastAsia="仿宋_GB2312"/>
          <w:b/>
          <w:sz w:val="32"/>
          <w:szCs w:val="32"/>
          <w:lang w:val="en-US" w:eastAsia="zh-CN"/>
        </w:rPr>
        <w:t>二</w:t>
      </w:r>
      <w:r>
        <w:rPr>
          <w:rFonts w:hint="eastAsia" w:ascii="仿宋_GB2312" w:hAnsi="楷体" w:eastAsia="仿宋_GB2312"/>
          <w:b/>
          <w:sz w:val="32"/>
          <w:szCs w:val="32"/>
        </w:rPr>
        <w:t>）政府采购情况。</w:t>
      </w:r>
    </w:p>
    <w:p>
      <w:pPr>
        <w:adjustRightInd w:val="0"/>
        <w:snapToGrid w:val="0"/>
        <w:spacing w:line="600" w:lineRule="exact"/>
        <w:ind w:firstLine="640" w:firstLineChars="200"/>
        <w:rPr>
          <w:rFonts w:ascii="仿宋_GB2312" w:hAnsi="楷体" w:eastAsia="仿宋_GB2312"/>
          <w:sz w:val="32"/>
          <w:szCs w:val="32"/>
        </w:rPr>
      </w:pPr>
      <w:r>
        <w:rPr>
          <w:rFonts w:hint="eastAsia" w:ascii="仿宋_GB2312" w:hAnsi="仿宋" w:eastAsia="仿宋_GB2312" w:cs="宋体"/>
          <w:kern w:val="0"/>
          <w:sz w:val="32"/>
          <w:szCs w:val="32"/>
        </w:rPr>
        <w:t>青阳县</w:t>
      </w:r>
      <w:r>
        <w:rPr>
          <w:rFonts w:hint="eastAsia" w:ascii="仿宋_GB2312" w:hAnsi="仿宋" w:eastAsia="仿宋_GB2312" w:cs="宋体"/>
          <w:kern w:val="0"/>
          <w:sz w:val="32"/>
          <w:szCs w:val="32"/>
          <w:lang w:val="en-US" w:eastAsia="zh-CN"/>
        </w:rPr>
        <w:t>木镇镇人民政府</w:t>
      </w:r>
      <w:r>
        <w:rPr>
          <w:rFonts w:hint="eastAsia" w:ascii="仿宋_GB2312" w:hAnsi="楷体" w:eastAsia="仿宋_GB2312"/>
          <w:sz w:val="32"/>
          <w:szCs w:val="32"/>
        </w:rPr>
        <w:t>2023年政府采购预算</w:t>
      </w:r>
      <w:r>
        <w:rPr>
          <w:rFonts w:hint="eastAsia" w:ascii="仿宋_GB2312" w:hAnsi="楷体" w:eastAsia="仿宋_GB2312"/>
          <w:sz w:val="32"/>
          <w:szCs w:val="32"/>
          <w:lang w:val="en-US" w:eastAsia="zh-CN"/>
        </w:rPr>
        <w:t>40</w:t>
      </w:r>
      <w:r>
        <w:rPr>
          <w:rFonts w:hint="eastAsia" w:ascii="仿宋_GB2312" w:hAnsi="楷体" w:eastAsia="仿宋_GB2312"/>
          <w:sz w:val="32"/>
          <w:szCs w:val="32"/>
        </w:rPr>
        <w:t>万元。</w:t>
      </w:r>
    </w:p>
    <w:p>
      <w:pPr>
        <w:adjustRightInd w:val="0"/>
        <w:snapToGrid w:val="0"/>
        <w:spacing w:line="600" w:lineRule="exact"/>
        <w:ind w:firstLine="643" w:firstLineChars="200"/>
        <w:rPr>
          <w:rFonts w:ascii="仿宋_GB2312" w:hAnsi="楷体" w:eastAsia="仿宋_GB2312"/>
          <w:b/>
          <w:sz w:val="32"/>
          <w:szCs w:val="32"/>
        </w:rPr>
      </w:pPr>
      <w:r>
        <w:rPr>
          <w:rFonts w:hint="eastAsia" w:ascii="仿宋_GB2312" w:hAnsi="楷体" w:eastAsia="仿宋_GB2312"/>
          <w:b/>
          <w:sz w:val="32"/>
          <w:szCs w:val="32"/>
        </w:rPr>
        <w:t>（</w:t>
      </w:r>
      <w:r>
        <w:rPr>
          <w:rFonts w:hint="eastAsia" w:ascii="仿宋_GB2312" w:hAnsi="楷体" w:eastAsia="仿宋_GB2312"/>
          <w:b/>
          <w:sz w:val="32"/>
          <w:szCs w:val="32"/>
          <w:lang w:val="en-US" w:eastAsia="zh-CN"/>
        </w:rPr>
        <w:t>三</w:t>
      </w:r>
      <w:r>
        <w:rPr>
          <w:rFonts w:hint="eastAsia" w:ascii="仿宋_GB2312" w:hAnsi="楷体" w:eastAsia="仿宋_GB2312"/>
          <w:b/>
          <w:sz w:val="32"/>
          <w:szCs w:val="32"/>
        </w:rPr>
        <w:t>）国有资产占有使用情况。</w:t>
      </w:r>
    </w:p>
    <w:p>
      <w:pPr>
        <w:ind w:firstLine="640" w:firstLineChars="200"/>
        <w:rPr>
          <w:rFonts w:hint="eastAsia" w:ascii="仿宋_GB2312" w:hAnsi="楷体" w:eastAsia="仿宋_GB2312"/>
          <w:sz w:val="32"/>
          <w:szCs w:val="32"/>
          <w:lang w:eastAsia="zh-CN"/>
        </w:rPr>
      </w:pPr>
      <w:r>
        <w:rPr>
          <w:rFonts w:hint="eastAsia" w:ascii="仿宋_GB2312" w:hAnsi="仿宋" w:eastAsia="仿宋_GB2312"/>
          <w:sz w:val="32"/>
          <w:szCs w:val="32"/>
        </w:rPr>
        <w:t>截至2022年12月31日，</w:t>
      </w:r>
      <w:r>
        <w:rPr>
          <w:rFonts w:hint="eastAsia" w:ascii="仿宋_GB2312" w:hAnsi="仿宋" w:eastAsia="仿宋_GB2312" w:cs="宋体"/>
          <w:kern w:val="0"/>
          <w:sz w:val="32"/>
          <w:szCs w:val="32"/>
        </w:rPr>
        <w:t>青阳县</w:t>
      </w:r>
      <w:r>
        <w:rPr>
          <w:rFonts w:hint="eastAsia" w:ascii="仿宋_GB2312" w:hAnsi="仿宋" w:eastAsia="仿宋_GB2312" w:cs="宋体"/>
          <w:kern w:val="0"/>
          <w:sz w:val="32"/>
          <w:szCs w:val="32"/>
          <w:lang w:val="en-US" w:eastAsia="zh-CN"/>
        </w:rPr>
        <w:t>木镇镇人民政府</w:t>
      </w:r>
      <w:r>
        <w:rPr>
          <w:rFonts w:hint="eastAsia" w:ascii="仿宋_GB2312" w:hAnsi="楷体" w:eastAsia="仿宋_GB2312"/>
          <w:sz w:val="32"/>
          <w:szCs w:val="32"/>
        </w:rPr>
        <w:t>共有车辆</w:t>
      </w:r>
      <w:r>
        <w:rPr>
          <w:rFonts w:hint="eastAsia" w:ascii="仿宋_GB2312" w:hAnsi="楷体" w:eastAsia="仿宋_GB2312"/>
          <w:sz w:val="32"/>
          <w:szCs w:val="32"/>
          <w:lang w:val="en-US" w:eastAsia="zh-CN"/>
        </w:rPr>
        <w:t>4</w:t>
      </w:r>
      <w:r>
        <w:rPr>
          <w:rFonts w:hint="eastAsia" w:ascii="仿宋_GB2312" w:hAnsi="楷体" w:eastAsia="仿宋_GB2312"/>
          <w:sz w:val="32"/>
          <w:szCs w:val="32"/>
        </w:rPr>
        <w:t>辆，其中：主要公务用车</w:t>
      </w:r>
      <w:r>
        <w:rPr>
          <w:rFonts w:hint="eastAsia" w:ascii="仿宋_GB2312" w:hAnsi="楷体" w:eastAsia="仿宋_GB2312"/>
          <w:sz w:val="32"/>
          <w:szCs w:val="32"/>
          <w:lang w:val="en-US" w:eastAsia="zh-CN"/>
        </w:rPr>
        <w:t>3</w:t>
      </w:r>
      <w:r>
        <w:rPr>
          <w:rFonts w:hint="eastAsia" w:ascii="仿宋_GB2312" w:hAnsi="楷体" w:eastAsia="仿宋_GB2312"/>
          <w:sz w:val="32"/>
          <w:szCs w:val="32"/>
        </w:rPr>
        <w:t>辆、执法执勤用车</w:t>
      </w:r>
      <w:r>
        <w:rPr>
          <w:rFonts w:hint="eastAsia" w:ascii="仿宋_GB2312" w:hAnsi="楷体" w:eastAsia="仿宋_GB2312"/>
          <w:sz w:val="32"/>
          <w:szCs w:val="32"/>
          <w:lang w:val="en-US" w:eastAsia="zh-CN"/>
        </w:rPr>
        <w:t>1</w:t>
      </w:r>
      <w:r>
        <w:rPr>
          <w:rFonts w:hint="eastAsia" w:ascii="仿宋_GB2312" w:hAnsi="楷体" w:eastAsia="仿宋_GB2312"/>
          <w:sz w:val="32"/>
          <w:szCs w:val="32"/>
        </w:rPr>
        <w:t>辆</w:t>
      </w:r>
      <w:r>
        <w:rPr>
          <w:rFonts w:hint="eastAsia" w:ascii="仿宋_GB2312" w:hAnsi="楷体" w:eastAsia="仿宋_GB2312"/>
          <w:sz w:val="32"/>
          <w:szCs w:val="32"/>
          <w:lang w:eastAsia="zh-CN"/>
        </w:rPr>
        <w:t>。</w:t>
      </w:r>
    </w:p>
    <w:p>
      <w:pPr>
        <w:tabs>
          <w:tab w:val="left" w:pos="3316"/>
        </w:tabs>
        <w:adjustRightInd w:val="0"/>
        <w:snapToGrid w:val="0"/>
        <w:spacing w:line="600" w:lineRule="exact"/>
        <w:outlineLvl w:val="0"/>
        <w:rPr>
          <w:rFonts w:ascii="黑体" w:eastAsia="黑体" w:cs="宋体"/>
          <w:sz w:val="36"/>
          <w:szCs w:val="36"/>
        </w:rPr>
      </w:pPr>
    </w:p>
    <w:p>
      <w:pPr>
        <w:adjustRightInd w:val="0"/>
        <w:snapToGrid w:val="0"/>
        <w:spacing w:line="600" w:lineRule="exact"/>
        <w:jc w:val="center"/>
        <w:rPr>
          <w:rFonts w:ascii="黑体" w:eastAsia="黑体" w:cs="宋体"/>
          <w:sz w:val="36"/>
          <w:szCs w:val="36"/>
        </w:rPr>
      </w:pPr>
      <w:r>
        <w:rPr>
          <w:rFonts w:hint="eastAsia" w:ascii="黑体" w:eastAsia="黑体" w:cs="宋体"/>
          <w:sz w:val="36"/>
          <w:szCs w:val="36"/>
        </w:rPr>
        <w:t>第四部分 名词解释</w:t>
      </w:r>
    </w:p>
    <w:p>
      <w:pPr>
        <w:adjustRightInd w:val="0"/>
        <w:snapToGrid w:val="0"/>
        <w:spacing w:line="600" w:lineRule="exact"/>
        <w:jc w:val="center"/>
        <w:rPr>
          <w:rFonts w:ascii="黑体" w:hAnsi="黑体" w:eastAsia="黑体"/>
          <w:sz w:val="32"/>
          <w:szCs w:val="32"/>
        </w:rPr>
      </w:pPr>
    </w:p>
    <w:p>
      <w:pPr>
        <w:numPr>
          <w:ilvl w:val="0"/>
          <w:numId w:val="2"/>
        </w:numPr>
        <w:adjustRightInd w:val="0"/>
        <w:snapToGrid w:val="0"/>
        <w:spacing w:line="600" w:lineRule="exact"/>
        <w:ind w:firstLine="640" w:firstLineChars="200"/>
        <w:rPr>
          <w:rFonts w:ascii="仿宋_GB2312" w:hAnsi="仿宋" w:eastAsia="仿宋_GB2312"/>
          <w:sz w:val="32"/>
          <w:szCs w:val="32"/>
        </w:rPr>
      </w:pPr>
      <w:r>
        <w:rPr>
          <w:rFonts w:hint="eastAsia" w:ascii="黑体" w:hAnsi="仿宋" w:eastAsia="黑体"/>
          <w:sz w:val="32"/>
          <w:szCs w:val="32"/>
        </w:rPr>
        <w:t>财政拨款收入</w:t>
      </w:r>
      <w:r>
        <w:rPr>
          <w:rFonts w:hint="eastAsia" w:ascii="仿宋_GB2312" w:hAnsi="仿宋" w:eastAsia="仿宋_GB2312"/>
          <w:b/>
          <w:sz w:val="32"/>
          <w:szCs w:val="32"/>
        </w:rPr>
        <w:t>：</w:t>
      </w:r>
      <w:r>
        <w:rPr>
          <w:rFonts w:hint="eastAsia" w:ascii="仿宋_GB2312" w:hAnsi="仿宋" w:eastAsia="仿宋_GB2312"/>
          <w:sz w:val="32"/>
          <w:szCs w:val="32"/>
        </w:rPr>
        <w:t>指部门或单位从同级财政部门取得的财政预算资金。</w:t>
      </w:r>
    </w:p>
    <w:p>
      <w:pPr>
        <w:adjustRightInd w:val="0"/>
        <w:snapToGrid w:val="0"/>
        <w:spacing w:line="600" w:lineRule="exact"/>
        <w:ind w:firstLine="640" w:firstLineChars="200"/>
        <w:rPr>
          <w:rFonts w:ascii="黑体" w:hAnsi="黑体" w:eastAsia="黑体"/>
          <w:sz w:val="32"/>
          <w:szCs w:val="32"/>
        </w:rPr>
      </w:pPr>
      <w:r>
        <w:rPr>
          <w:rFonts w:hint="eastAsia" w:ascii="黑体" w:hAnsi="仿宋" w:eastAsia="黑体"/>
          <w:sz w:val="32"/>
          <w:szCs w:val="32"/>
        </w:rPr>
        <w:t>二、事业收入：</w:t>
      </w:r>
      <w:r>
        <w:rPr>
          <w:rFonts w:hint="eastAsia" w:ascii="仿宋_GB2312" w:hAnsi="仿宋" w:eastAsia="仿宋_GB2312"/>
          <w:sz w:val="32"/>
          <w:szCs w:val="32"/>
        </w:rPr>
        <w:t>指事业单位开展专业业务活动及辅助活动所取得的收入。</w:t>
      </w:r>
    </w:p>
    <w:p>
      <w:pPr>
        <w:pStyle w:val="5"/>
        <w:adjustRightInd w:val="0"/>
        <w:snapToGrid w:val="0"/>
        <w:spacing w:before="0" w:beforeAutospacing="0" w:after="0" w:afterAutospacing="0"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三、财政专户管理资金：</w:t>
      </w:r>
      <w:r>
        <w:rPr>
          <w:rFonts w:hint="eastAsia" w:ascii="仿宋_GB2312" w:hAnsi="仿宋" w:eastAsia="仿宋_GB2312" w:cs="Times New Roman"/>
          <w:kern w:val="2"/>
          <w:sz w:val="32"/>
          <w:szCs w:val="32"/>
        </w:rPr>
        <w:t>指按照非税收入管理相关规定，纳入财政专户管理的教育收费等。</w:t>
      </w:r>
    </w:p>
    <w:p>
      <w:pPr>
        <w:pStyle w:val="5"/>
        <w:adjustRightInd w:val="0"/>
        <w:snapToGrid w:val="0"/>
        <w:spacing w:before="0" w:beforeAutospacing="0" w:after="0" w:afterAutospacing="0"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四、事业单位经营收入：</w:t>
      </w:r>
      <w:r>
        <w:rPr>
          <w:rFonts w:hint="eastAsia" w:ascii="仿宋_GB2312" w:hAnsi="仿宋" w:eastAsia="仿宋_GB2312" w:cs="Times New Roman"/>
          <w:kern w:val="2"/>
          <w:sz w:val="32"/>
          <w:szCs w:val="32"/>
        </w:rPr>
        <w:t>指事业单位在专业业务活动及其辅助活动之外开展非独立核算经营活动取得的收入。</w:t>
      </w:r>
    </w:p>
    <w:p>
      <w:pPr>
        <w:pStyle w:val="5"/>
        <w:adjustRightInd w:val="0"/>
        <w:snapToGrid w:val="0"/>
        <w:spacing w:before="0" w:beforeAutospacing="0" w:after="0" w:afterAutospacing="0"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五、附属单位上缴收入：</w:t>
      </w:r>
      <w:r>
        <w:rPr>
          <w:rFonts w:hint="eastAsia" w:ascii="仿宋_GB2312" w:hAnsi="仿宋" w:eastAsia="仿宋_GB2312" w:cs="Times New Roman"/>
          <w:kern w:val="2"/>
          <w:sz w:val="32"/>
          <w:szCs w:val="32"/>
        </w:rPr>
        <w:t>本单位所属下级单位上缴给本单位的全部收入。</w:t>
      </w:r>
    </w:p>
    <w:p>
      <w:pPr>
        <w:pStyle w:val="5"/>
        <w:adjustRightInd w:val="0"/>
        <w:snapToGrid w:val="0"/>
        <w:spacing w:before="0" w:beforeAutospacing="0" w:after="0" w:afterAutospacing="0"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六、上年结转：</w:t>
      </w:r>
      <w:r>
        <w:rPr>
          <w:rFonts w:hint="eastAsia" w:ascii="仿宋_GB2312" w:hAnsi="仿宋" w:eastAsia="仿宋_GB2312" w:cs="Times New Roman"/>
          <w:kern w:val="2"/>
          <w:sz w:val="32"/>
          <w:szCs w:val="32"/>
        </w:rPr>
        <w:t>指以前年度安排、结转到本年仍按原用途继续使用的资金。</w:t>
      </w:r>
    </w:p>
    <w:p>
      <w:pPr>
        <w:pStyle w:val="5"/>
        <w:adjustRightInd w:val="0"/>
        <w:snapToGrid w:val="0"/>
        <w:spacing w:before="0" w:beforeAutospacing="0" w:after="0" w:afterAutospacing="0" w:line="600" w:lineRule="exact"/>
        <w:ind w:firstLine="627" w:firstLineChars="196"/>
        <w:rPr>
          <w:rFonts w:ascii="仿宋_GB2312" w:hAnsi="仿宋" w:eastAsia="仿宋_GB2312" w:cs="Times New Roman"/>
          <w:kern w:val="2"/>
          <w:sz w:val="32"/>
          <w:szCs w:val="32"/>
        </w:rPr>
      </w:pPr>
      <w:r>
        <w:rPr>
          <w:rFonts w:hint="eastAsia" w:ascii="黑体" w:hAnsi="黑体" w:eastAsia="黑体"/>
          <w:sz w:val="32"/>
          <w:szCs w:val="32"/>
        </w:rPr>
        <w:t>七、结转下年：</w:t>
      </w:r>
      <w:r>
        <w:rPr>
          <w:rFonts w:hint="eastAsia" w:ascii="仿宋_GB2312" w:hAnsi="仿宋" w:eastAsia="仿宋_GB2312" w:cs="Times New Roman"/>
          <w:kern w:val="2"/>
          <w:sz w:val="32"/>
          <w:szCs w:val="32"/>
        </w:rPr>
        <w:t>指以前年度预算安排、因客观条件发生变化无法按原计划实施，需以后年度按原用途继续使用的资金。</w:t>
      </w:r>
    </w:p>
    <w:p>
      <w:pPr>
        <w:pStyle w:val="5"/>
        <w:adjustRightInd w:val="0"/>
        <w:snapToGrid w:val="0"/>
        <w:spacing w:before="0" w:beforeAutospacing="0" w:after="0" w:afterAutospacing="0" w:line="600" w:lineRule="exact"/>
        <w:ind w:firstLine="627" w:firstLineChars="196"/>
        <w:rPr>
          <w:rFonts w:ascii="仿宋_GB2312" w:hAnsi="黑体" w:eastAsia="仿宋_GB2312"/>
          <w:sz w:val="32"/>
          <w:szCs w:val="32"/>
        </w:rPr>
      </w:pPr>
      <w:r>
        <w:rPr>
          <w:rFonts w:hint="eastAsia" w:ascii="黑体" w:hAnsi="黑体" w:eastAsia="黑体"/>
          <w:sz w:val="32"/>
          <w:szCs w:val="32"/>
        </w:rPr>
        <w:t>八、基本支出</w:t>
      </w:r>
      <w:r>
        <w:rPr>
          <w:rFonts w:hint="eastAsia" w:ascii="仿宋_GB2312" w:hAnsi="黑体" w:eastAsia="仿宋_GB2312"/>
          <w:b/>
          <w:sz w:val="32"/>
          <w:szCs w:val="32"/>
        </w:rPr>
        <w:t>：</w:t>
      </w:r>
      <w:r>
        <w:rPr>
          <w:rFonts w:hint="eastAsia" w:ascii="仿宋_GB2312" w:hAnsi="黑体" w:eastAsia="仿宋_GB2312"/>
          <w:sz w:val="32"/>
          <w:szCs w:val="32"/>
        </w:rPr>
        <w:t>指为保障机构正常运转、完成日常工作任务而发生的人员支出和公用支出。</w:t>
      </w:r>
    </w:p>
    <w:p>
      <w:pPr>
        <w:pStyle w:val="5"/>
        <w:spacing w:before="0" w:beforeAutospacing="0" w:after="0" w:afterAutospacing="0" w:line="600" w:lineRule="exact"/>
        <w:ind w:firstLine="627" w:firstLineChars="196"/>
        <w:jc w:val="both"/>
        <w:rPr>
          <w:rFonts w:ascii="仿宋_GB2312" w:hAnsi="黑体" w:eastAsia="仿宋_GB2312"/>
          <w:sz w:val="32"/>
          <w:szCs w:val="32"/>
        </w:rPr>
      </w:pPr>
      <w:r>
        <w:rPr>
          <w:rFonts w:hint="eastAsia" w:ascii="黑体" w:hAnsi="黑体" w:eastAsia="黑体"/>
          <w:sz w:val="32"/>
          <w:szCs w:val="32"/>
        </w:rPr>
        <w:t>九、项目支出</w:t>
      </w:r>
      <w:r>
        <w:rPr>
          <w:rFonts w:hint="eastAsia" w:ascii="仿宋_GB2312" w:hAnsi="黑体" w:eastAsia="仿宋_GB2312"/>
          <w:b/>
          <w:sz w:val="32"/>
          <w:szCs w:val="32"/>
        </w:rPr>
        <w:t>：</w:t>
      </w:r>
      <w:r>
        <w:rPr>
          <w:rFonts w:hint="eastAsia" w:ascii="仿宋_GB2312" w:hAnsi="黑体" w:eastAsia="仿宋_GB2312"/>
          <w:sz w:val="32"/>
          <w:szCs w:val="32"/>
        </w:rPr>
        <w:t>指在除基本支出之外的支出，主要用于完成特定的工作任务和事业发展目标。</w:t>
      </w:r>
      <w:r>
        <w:rPr>
          <w:rFonts w:ascii="仿宋_GB2312" w:hAnsi="黑体" w:eastAsia="仿宋_GB2312"/>
          <w:sz w:val="32"/>
          <w:szCs w:val="32"/>
        </w:rPr>
        <w:br w:type="textWrapping"/>
      </w:r>
      <w:r>
        <w:rPr>
          <w:rFonts w:hint="eastAsia" w:ascii="仿宋_GB2312" w:hAnsi="黑体" w:eastAsia="仿宋_GB2312"/>
          <w:sz w:val="32"/>
          <w:szCs w:val="32"/>
        </w:rPr>
        <w:t xml:space="preserve">   </w:t>
      </w:r>
      <w:r>
        <w:rPr>
          <w:rFonts w:hint="eastAsia" w:ascii="黑体" w:hAnsi="黑体" w:eastAsia="黑体"/>
          <w:sz w:val="32"/>
          <w:szCs w:val="32"/>
        </w:rPr>
        <w:t xml:space="preserve"> 十、机关运行经费:</w:t>
      </w:r>
      <w:r>
        <w:rPr>
          <w:rFonts w:hint="eastAsia" w:ascii="仿宋_GB2312" w:hAnsi="黑体" w:eastAsia="仿宋_GB2312"/>
          <w:sz w:val="32"/>
          <w:szCs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p>
    <w:p>
      <w:pPr>
        <w:ind w:firstLine="640" w:firstLineChars="200"/>
        <w:rPr>
          <w:color w:val="FF0000"/>
          <w:sz w:val="32"/>
          <w:szCs w:val="32"/>
        </w:rPr>
      </w:pP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6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55711"/>
    </w:sdtPr>
    <w:sdtContent>
      <w:p>
        <w:pPr>
          <w:pStyle w:val="3"/>
          <w:jc w:val="right"/>
        </w:pPr>
        <w:r>
          <w:fldChar w:fldCharType="begin"/>
        </w:r>
        <w:r>
          <w:instrText xml:space="preserve"> PAGE   \* MERGEFORMAT </w:instrText>
        </w:r>
        <w:r>
          <w:fldChar w:fldCharType="separate"/>
        </w:r>
        <w:r>
          <w:rPr>
            <w:lang w:val="zh-CN"/>
          </w:rPr>
          <w:t>18</w:t>
        </w:r>
        <w:r>
          <w:rPr>
            <w:lang w:val="zh-CN"/>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271B1B"/>
    <w:multiLevelType w:val="singleLevel"/>
    <w:tmpl w:val="DC271B1B"/>
    <w:lvl w:ilvl="0" w:tentative="0">
      <w:start w:val="1"/>
      <w:numFmt w:val="chineseCounting"/>
      <w:suff w:val="nothing"/>
      <w:lvlText w:val="%1、"/>
      <w:lvlJc w:val="left"/>
      <w:rPr>
        <w:rFonts w:hint="eastAsia"/>
      </w:rPr>
    </w:lvl>
  </w:abstractNum>
  <w:abstractNum w:abstractNumId="1">
    <w:nsid w:val="1F63D3C7"/>
    <w:multiLevelType w:val="singleLevel"/>
    <w:tmpl w:val="1F63D3C7"/>
    <w:lvl w:ilvl="0" w:tentative="0">
      <w:start w:val="8"/>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g1NDRhZTFkNDMzMDQyNzQwZTc1NTA4NjhiYTVkODkifQ=="/>
  </w:docVars>
  <w:rsids>
    <w:rsidRoot w:val="00DA7155"/>
    <w:rsid w:val="000003C1"/>
    <w:rsid w:val="00015821"/>
    <w:rsid w:val="00016DCE"/>
    <w:rsid w:val="00026E99"/>
    <w:rsid w:val="0005090D"/>
    <w:rsid w:val="00052923"/>
    <w:rsid w:val="0005523F"/>
    <w:rsid w:val="00066EBC"/>
    <w:rsid w:val="000720A0"/>
    <w:rsid w:val="000807F9"/>
    <w:rsid w:val="000812F3"/>
    <w:rsid w:val="000859AC"/>
    <w:rsid w:val="00086992"/>
    <w:rsid w:val="0009339B"/>
    <w:rsid w:val="000945B8"/>
    <w:rsid w:val="00095C1B"/>
    <w:rsid w:val="000B486F"/>
    <w:rsid w:val="000B701A"/>
    <w:rsid w:val="000E0593"/>
    <w:rsid w:val="000F001D"/>
    <w:rsid w:val="000F35AE"/>
    <w:rsid w:val="000F6876"/>
    <w:rsid w:val="0012431A"/>
    <w:rsid w:val="00130CD5"/>
    <w:rsid w:val="00143558"/>
    <w:rsid w:val="00145AB0"/>
    <w:rsid w:val="00150DF1"/>
    <w:rsid w:val="00152846"/>
    <w:rsid w:val="00152BF2"/>
    <w:rsid w:val="00161C3F"/>
    <w:rsid w:val="00165C02"/>
    <w:rsid w:val="00166692"/>
    <w:rsid w:val="00171C30"/>
    <w:rsid w:val="001771E6"/>
    <w:rsid w:val="001803E7"/>
    <w:rsid w:val="00194491"/>
    <w:rsid w:val="001949D0"/>
    <w:rsid w:val="001A6389"/>
    <w:rsid w:val="001A70D0"/>
    <w:rsid w:val="001C3EA4"/>
    <w:rsid w:val="001C4E9A"/>
    <w:rsid w:val="001D4149"/>
    <w:rsid w:val="001E4162"/>
    <w:rsid w:val="001E717A"/>
    <w:rsid w:val="001F54C8"/>
    <w:rsid w:val="001F739C"/>
    <w:rsid w:val="0020776B"/>
    <w:rsid w:val="00210D08"/>
    <w:rsid w:val="00226E7B"/>
    <w:rsid w:val="00234110"/>
    <w:rsid w:val="002351AD"/>
    <w:rsid w:val="002458E8"/>
    <w:rsid w:val="0024741B"/>
    <w:rsid w:val="0025289A"/>
    <w:rsid w:val="00263B7E"/>
    <w:rsid w:val="002711F0"/>
    <w:rsid w:val="002725C5"/>
    <w:rsid w:val="00277F2D"/>
    <w:rsid w:val="00280650"/>
    <w:rsid w:val="002911C3"/>
    <w:rsid w:val="00294131"/>
    <w:rsid w:val="002A6B54"/>
    <w:rsid w:val="002C2BDF"/>
    <w:rsid w:val="002C781A"/>
    <w:rsid w:val="002E11DE"/>
    <w:rsid w:val="002E284A"/>
    <w:rsid w:val="002F54FF"/>
    <w:rsid w:val="002F6AE2"/>
    <w:rsid w:val="003066B6"/>
    <w:rsid w:val="00314DEA"/>
    <w:rsid w:val="00351103"/>
    <w:rsid w:val="00352640"/>
    <w:rsid w:val="00353EE7"/>
    <w:rsid w:val="00366256"/>
    <w:rsid w:val="00370476"/>
    <w:rsid w:val="00380820"/>
    <w:rsid w:val="00383CD8"/>
    <w:rsid w:val="003B060D"/>
    <w:rsid w:val="003C17BD"/>
    <w:rsid w:val="003C40FD"/>
    <w:rsid w:val="003D30B2"/>
    <w:rsid w:val="003E096B"/>
    <w:rsid w:val="003E237C"/>
    <w:rsid w:val="003E66A3"/>
    <w:rsid w:val="003E7441"/>
    <w:rsid w:val="003E7E98"/>
    <w:rsid w:val="003F2BE9"/>
    <w:rsid w:val="003F5900"/>
    <w:rsid w:val="00415416"/>
    <w:rsid w:val="00415ED5"/>
    <w:rsid w:val="0042415B"/>
    <w:rsid w:val="00425751"/>
    <w:rsid w:val="0042713F"/>
    <w:rsid w:val="00430C41"/>
    <w:rsid w:val="00431161"/>
    <w:rsid w:val="0044737F"/>
    <w:rsid w:val="00454492"/>
    <w:rsid w:val="00482476"/>
    <w:rsid w:val="0048574C"/>
    <w:rsid w:val="00494084"/>
    <w:rsid w:val="004A6577"/>
    <w:rsid w:val="004A7283"/>
    <w:rsid w:val="004C3BD5"/>
    <w:rsid w:val="00514735"/>
    <w:rsid w:val="00516B0F"/>
    <w:rsid w:val="00532161"/>
    <w:rsid w:val="0053715F"/>
    <w:rsid w:val="00542173"/>
    <w:rsid w:val="00544C35"/>
    <w:rsid w:val="00557E03"/>
    <w:rsid w:val="00562B09"/>
    <w:rsid w:val="00565987"/>
    <w:rsid w:val="00574EF2"/>
    <w:rsid w:val="00577B14"/>
    <w:rsid w:val="00582209"/>
    <w:rsid w:val="00584B72"/>
    <w:rsid w:val="005A1CDD"/>
    <w:rsid w:val="005A262C"/>
    <w:rsid w:val="005B0577"/>
    <w:rsid w:val="005B5372"/>
    <w:rsid w:val="005C2187"/>
    <w:rsid w:val="005D2121"/>
    <w:rsid w:val="005E1DBE"/>
    <w:rsid w:val="005E66C6"/>
    <w:rsid w:val="005F1DCD"/>
    <w:rsid w:val="00600DF2"/>
    <w:rsid w:val="00601B50"/>
    <w:rsid w:val="0060284C"/>
    <w:rsid w:val="00642C39"/>
    <w:rsid w:val="00647E00"/>
    <w:rsid w:val="00657804"/>
    <w:rsid w:val="00666BD8"/>
    <w:rsid w:val="00672AEA"/>
    <w:rsid w:val="0069039D"/>
    <w:rsid w:val="00693859"/>
    <w:rsid w:val="00694264"/>
    <w:rsid w:val="006A032A"/>
    <w:rsid w:val="006B17A0"/>
    <w:rsid w:val="006B6125"/>
    <w:rsid w:val="006D39F7"/>
    <w:rsid w:val="006E3F7A"/>
    <w:rsid w:val="006F28D7"/>
    <w:rsid w:val="007221FD"/>
    <w:rsid w:val="00722B93"/>
    <w:rsid w:val="007318DE"/>
    <w:rsid w:val="0074251D"/>
    <w:rsid w:val="00752451"/>
    <w:rsid w:val="00752F7A"/>
    <w:rsid w:val="0075731C"/>
    <w:rsid w:val="0076294D"/>
    <w:rsid w:val="00772BCD"/>
    <w:rsid w:val="00784B3D"/>
    <w:rsid w:val="00796E8E"/>
    <w:rsid w:val="007A0175"/>
    <w:rsid w:val="007A0E2A"/>
    <w:rsid w:val="007B0E13"/>
    <w:rsid w:val="007D2C1D"/>
    <w:rsid w:val="007E28D7"/>
    <w:rsid w:val="007E36F8"/>
    <w:rsid w:val="00831988"/>
    <w:rsid w:val="00842138"/>
    <w:rsid w:val="00860CC8"/>
    <w:rsid w:val="00863DEC"/>
    <w:rsid w:val="00891055"/>
    <w:rsid w:val="00893638"/>
    <w:rsid w:val="008A4D1E"/>
    <w:rsid w:val="008B0535"/>
    <w:rsid w:val="008D3932"/>
    <w:rsid w:val="008E7426"/>
    <w:rsid w:val="008F1230"/>
    <w:rsid w:val="008F5697"/>
    <w:rsid w:val="00905D7A"/>
    <w:rsid w:val="009154FB"/>
    <w:rsid w:val="00915909"/>
    <w:rsid w:val="00915D08"/>
    <w:rsid w:val="00922AD1"/>
    <w:rsid w:val="00930672"/>
    <w:rsid w:val="00935BC1"/>
    <w:rsid w:val="00943723"/>
    <w:rsid w:val="00960E56"/>
    <w:rsid w:val="00962167"/>
    <w:rsid w:val="009640FF"/>
    <w:rsid w:val="009730E4"/>
    <w:rsid w:val="00976479"/>
    <w:rsid w:val="0098716A"/>
    <w:rsid w:val="009874BC"/>
    <w:rsid w:val="0099011F"/>
    <w:rsid w:val="00990C8B"/>
    <w:rsid w:val="009A3572"/>
    <w:rsid w:val="009A5CC2"/>
    <w:rsid w:val="009C10D1"/>
    <w:rsid w:val="009C7F13"/>
    <w:rsid w:val="009E5A38"/>
    <w:rsid w:val="009F2E05"/>
    <w:rsid w:val="00A13C61"/>
    <w:rsid w:val="00A25CFC"/>
    <w:rsid w:val="00A26644"/>
    <w:rsid w:val="00A266F5"/>
    <w:rsid w:val="00A33786"/>
    <w:rsid w:val="00A34D62"/>
    <w:rsid w:val="00A46E97"/>
    <w:rsid w:val="00A51BB2"/>
    <w:rsid w:val="00A566E8"/>
    <w:rsid w:val="00A62DE6"/>
    <w:rsid w:val="00A64B80"/>
    <w:rsid w:val="00A66984"/>
    <w:rsid w:val="00A759CE"/>
    <w:rsid w:val="00A80366"/>
    <w:rsid w:val="00AA019E"/>
    <w:rsid w:val="00AA63E5"/>
    <w:rsid w:val="00AC6A43"/>
    <w:rsid w:val="00AD02CD"/>
    <w:rsid w:val="00AD7F7C"/>
    <w:rsid w:val="00AE6B99"/>
    <w:rsid w:val="00B106E8"/>
    <w:rsid w:val="00B214F8"/>
    <w:rsid w:val="00B24E1E"/>
    <w:rsid w:val="00B31578"/>
    <w:rsid w:val="00B37364"/>
    <w:rsid w:val="00B40A13"/>
    <w:rsid w:val="00B51464"/>
    <w:rsid w:val="00B60BEC"/>
    <w:rsid w:val="00B679AC"/>
    <w:rsid w:val="00B7597E"/>
    <w:rsid w:val="00B9441F"/>
    <w:rsid w:val="00B96C93"/>
    <w:rsid w:val="00BA005D"/>
    <w:rsid w:val="00BE6210"/>
    <w:rsid w:val="00BF40E0"/>
    <w:rsid w:val="00C07806"/>
    <w:rsid w:val="00C10BDA"/>
    <w:rsid w:val="00C25627"/>
    <w:rsid w:val="00C32C69"/>
    <w:rsid w:val="00C34B8B"/>
    <w:rsid w:val="00C415C6"/>
    <w:rsid w:val="00C56441"/>
    <w:rsid w:val="00C720B7"/>
    <w:rsid w:val="00C82039"/>
    <w:rsid w:val="00C83D02"/>
    <w:rsid w:val="00C87C34"/>
    <w:rsid w:val="00C907C3"/>
    <w:rsid w:val="00C925A2"/>
    <w:rsid w:val="00CB3A30"/>
    <w:rsid w:val="00CC691C"/>
    <w:rsid w:val="00CD124A"/>
    <w:rsid w:val="00CE5011"/>
    <w:rsid w:val="00CE506D"/>
    <w:rsid w:val="00CF2676"/>
    <w:rsid w:val="00CF68DB"/>
    <w:rsid w:val="00D23BD9"/>
    <w:rsid w:val="00D256A1"/>
    <w:rsid w:val="00D41522"/>
    <w:rsid w:val="00D62F2F"/>
    <w:rsid w:val="00D675E1"/>
    <w:rsid w:val="00D75DE3"/>
    <w:rsid w:val="00D93A0A"/>
    <w:rsid w:val="00DA114A"/>
    <w:rsid w:val="00DA6329"/>
    <w:rsid w:val="00DA7155"/>
    <w:rsid w:val="00DD3619"/>
    <w:rsid w:val="00DD3DB1"/>
    <w:rsid w:val="00DE43E7"/>
    <w:rsid w:val="00DE4AFE"/>
    <w:rsid w:val="00DF08DE"/>
    <w:rsid w:val="00E14721"/>
    <w:rsid w:val="00E31623"/>
    <w:rsid w:val="00E33FD5"/>
    <w:rsid w:val="00E34B24"/>
    <w:rsid w:val="00E35319"/>
    <w:rsid w:val="00E36BDC"/>
    <w:rsid w:val="00E6025A"/>
    <w:rsid w:val="00E60B42"/>
    <w:rsid w:val="00E616B4"/>
    <w:rsid w:val="00E658C5"/>
    <w:rsid w:val="00E717A2"/>
    <w:rsid w:val="00E955F8"/>
    <w:rsid w:val="00E9565D"/>
    <w:rsid w:val="00EA0754"/>
    <w:rsid w:val="00EA43F9"/>
    <w:rsid w:val="00EB3D13"/>
    <w:rsid w:val="00EB6ECB"/>
    <w:rsid w:val="00EC18BD"/>
    <w:rsid w:val="00EE3CAA"/>
    <w:rsid w:val="00EE56A3"/>
    <w:rsid w:val="00EF601B"/>
    <w:rsid w:val="00F177FD"/>
    <w:rsid w:val="00F20784"/>
    <w:rsid w:val="00F354AA"/>
    <w:rsid w:val="00F43207"/>
    <w:rsid w:val="00F447BE"/>
    <w:rsid w:val="00F45865"/>
    <w:rsid w:val="00F6260A"/>
    <w:rsid w:val="00F62848"/>
    <w:rsid w:val="00F65F2C"/>
    <w:rsid w:val="00F708D4"/>
    <w:rsid w:val="00F74D65"/>
    <w:rsid w:val="00FC0EE2"/>
    <w:rsid w:val="00FC4888"/>
    <w:rsid w:val="00FE398C"/>
    <w:rsid w:val="00FE475B"/>
    <w:rsid w:val="00FE59F2"/>
    <w:rsid w:val="00FF6EF3"/>
    <w:rsid w:val="011626F0"/>
    <w:rsid w:val="031228B1"/>
    <w:rsid w:val="036730F9"/>
    <w:rsid w:val="04312069"/>
    <w:rsid w:val="04390EE3"/>
    <w:rsid w:val="04847570"/>
    <w:rsid w:val="05AF3B52"/>
    <w:rsid w:val="06D6185E"/>
    <w:rsid w:val="070116EC"/>
    <w:rsid w:val="0758370D"/>
    <w:rsid w:val="07E07FF3"/>
    <w:rsid w:val="096651D0"/>
    <w:rsid w:val="0A2037DA"/>
    <w:rsid w:val="0AA21944"/>
    <w:rsid w:val="0D181FDD"/>
    <w:rsid w:val="0E283076"/>
    <w:rsid w:val="0E9658AF"/>
    <w:rsid w:val="0F4C476E"/>
    <w:rsid w:val="106C5F4C"/>
    <w:rsid w:val="11671EAB"/>
    <w:rsid w:val="12F17558"/>
    <w:rsid w:val="13DF0A71"/>
    <w:rsid w:val="14377D86"/>
    <w:rsid w:val="15714980"/>
    <w:rsid w:val="16245F94"/>
    <w:rsid w:val="166158D1"/>
    <w:rsid w:val="168C1346"/>
    <w:rsid w:val="18982224"/>
    <w:rsid w:val="18B7274D"/>
    <w:rsid w:val="19D21766"/>
    <w:rsid w:val="1AC45552"/>
    <w:rsid w:val="1B495A57"/>
    <w:rsid w:val="1B894B4D"/>
    <w:rsid w:val="1BD16179"/>
    <w:rsid w:val="1C3109C5"/>
    <w:rsid w:val="1C4F0C9B"/>
    <w:rsid w:val="1D1A6F21"/>
    <w:rsid w:val="1DB63878"/>
    <w:rsid w:val="1F6D61B8"/>
    <w:rsid w:val="206F13D3"/>
    <w:rsid w:val="20E922CD"/>
    <w:rsid w:val="21A30E7E"/>
    <w:rsid w:val="23465857"/>
    <w:rsid w:val="2347066D"/>
    <w:rsid w:val="234863C1"/>
    <w:rsid w:val="24280770"/>
    <w:rsid w:val="2460453E"/>
    <w:rsid w:val="24730C9D"/>
    <w:rsid w:val="24A26144"/>
    <w:rsid w:val="269C3827"/>
    <w:rsid w:val="299F7B0A"/>
    <w:rsid w:val="2A2D3961"/>
    <w:rsid w:val="2A703C9F"/>
    <w:rsid w:val="2C6B3A80"/>
    <w:rsid w:val="2C7566AC"/>
    <w:rsid w:val="2CB54AB4"/>
    <w:rsid w:val="2D775239"/>
    <w:rsid w:val="319A0963"/>
    <w:rsid w:val="31D766E6"/>
    <w:rsid w:val="32B819E9"/>
    <w:rsid w:val="34F36D08"/>
    <w:rsid w:val="352F0DFC"/>
    <w:rsid w:val="35810AB0"/>
    <w:rsid w:val="36FD2397"/>
    <w:rsid w:val="373C29F8"/>
    <w:rsid w:val="38BB16BF"/>
    <w:rsid w:val="39F658BC"/>
    <w:rsid w:val="3A2B6F44"/>
    <w:rsid w:val="3B42173D"/>
    <w:rsid w:val="3B7C3B77"/>
    <w:rsid w:val="3C4036DC"/>
    <w:rsid w:val="3D395493"/>
    <w:rsid w:val="3E4B7EE3"/>
    <w:rsid w:val="3EF7595E"/>
    <w:rsid w:val="3F055B08"/>
    <w:rsid w:val="40401CFA"/>
    <w:rsid w:val="4270150C"/>
    <w:rsid w:val="430D368B"/>
    <w:rsid w:val="47034864"/>
    <w:rsid w:val="47C06F1E"/>
    <w:rsid w:val="48F32361"/>
    <w:rsid w:val="494A0E00"/>
    <w:rsid w:val="4A5B4CDC"/>
    <w:rsid w:val="4B3A21B9"/>
    <w:rsid w:val="4E5A52AA"/>
    <w:rsid w:val="512B3D66"/>
    <w:rsid w:val="51345290"/>
    <w:rsid w:val="52E80BEB"/>
    <w:rsid w:val="55302C55"/>
    <w:rsid w:val="56C97471"/>
    <w:rsid w:val="56CE4BE3"/>
    <w:rsid w:val="57E24C8E"/>
    <w:rsid w:val="59153823"/>
    <w:rsid w:val="5A5A4A5F"/>
    <w:rsid w:val="5BB71BBE"/>
    <w:rsid w:val="5C2C472A"/>
    <w:rsid w:val="5CAD5A2A"/>
    <w:rsid w:val="5D075BDA"/>
    <w:rsid w:val="5E6C2A09"/>
    <w:rsid w:val="60D97EB0"/>
    <w:rsid w:val="643D0718"/>
    <w:rsid w:val="64D616D7"/>
    <w:rsid w:val="65B35574"/>
    <w:rsid w:val="65F25193"/>
    <w:rsid w:val="66C55C7E"/>
    <w:rsid w:val="671C2E5D"/>
    <w:rsid w:val="673426E5"/>
    <w:rsid w:val="696F3EA8"/>
    <w:rsid w:val="69CA10DE"/>
    <w:rsid w:val="6A566432"/>
    <w:rsid w:val="6AF37758"/>
    <w:rsid w:val="6B0625EA"/>
    <w:rsid w:val="6C5850C7"/>
    <w:rsid w:val="6C797180"/>
    <w:rsid w:val="70D54F38"/>
    <w:rsid w:val="7265191A"/>
    <w:rsid w:val="72882D68"/>
    <w:rsid w:val="72CC459A"/>
    <w:rsid w:val="73652C13"/>
    <w:rsid w:val="738D5249"/>
    <w:rsid w:val="73A743A3"/>
    <w:rsid w:val="78620F7F"/>
    <w:rsid w:val="7BA11669"/>
    <w:rsid w:val="7C492337"/>
    <w:rsid w:val="7CEC5E4E"/>
    <w:rsid w:val="7DD57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2"/>
    <w:basedOn w:val="1"/>
    <w:next w:val="1"/>
    <w:unhideWhenUsed/>
    <w:qFormat/>
    <w:uiPriority w:val="99"/>
    <w:pPr>
      <w:spacing w:after="120" w:line="480" w:lineRule="auto"/>
      <w:ind w:left="420" w:leftChars="200"/>
    </w:pPr>
    <w:rPr>
      <w:rFonts w:ascii="Times New Roman" w:hAnsi="Times New Roman" w:eastAsia="宋体" w:cs="Times New Roman"/>
      <w:szCs w:val="24"/>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0"/>
    <w:rPr>
      <w:b/>
    </w:rPr>
  </w:style>
  <w:style w:type="character" w:customStyle="1" w:styleId="9">
    <w:name w:val="页眉 字符"/>
    <w:basedOn w:val="7"/>
    <w:link w:val="4"/>
    <w:semiHidden/>
    <w:qFormat/>
    <w:uiPriority w:val="99"/>
    <w:rPr>
      <w:sz w:val="18"/>
      <w:szCs w:val="18"/>
    </w:rPr>
  </w:style>
  <w:style w:type="character" w:customStyle="1" w:styleId="10">
    <w:name w:val="页脚 字符"/>
    <w:basedOn w:val="7"/>
    <w:link w:val="3"/>
    <w:qFormat/>
    <w:uiPriority w:val="99"/>
    <w:rPr>
      <w:sz w:val="18"/>
      <w:szCs w:val="18"/>
    </w:rPr>
  </w:style>
  <w:style w:type="paragraph" w:customStyle="1" w:styleId="1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29</Pages>
  <Words>9442</Words>
  <Characters>11838</Characters>
  <Lines>115</Lines>
  <Paragraphs>32</Paragraphs>
  <TotalTime>22</TotalTime>
  <ScaleCrop>false</ScaleCrop>
  <LinksUpToDate>false</LinksUpToDate>
  <CharactersWithSpaces>14271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2021-02-01T00:18:00Z</dcterms:created>
  <dc:creator>刘海</dc:creator>
  <cp:lastModifiedBy>随遇而安</cp:lastModifiedBy>
  <cp:lastPrinted>2021-02-07T07:09:00Z</cp:lastPrinted>
  <dcterms:modified xsi:type="dcterms:W3CDTF">2023-05-06T08:06:49Z</dcterms:modified>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7A83B8FB721D47CBBFA376531D257072</vt:lpwstr>
  </property>
</Properties>
</file>