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仿宋" w:hAnsi="仿宋" w:eastAsia="仿宋"/>
          <w:sz w:val="32"/>
          <w:szCs w:val="32"/>
        </w:rPr>
      </w:pPr>
      <w:bookmarkStart w:id="0" w:name="_GoBack"/>
      <w:r>
        <w:rPr>
          <w:rFonts w:hint="eastAsia" w:ascii="仿宋" w:hAnsi="仿宋" w:eastAsia="仿宋"/>
          <w:sz w:val="32"/>
          <w:szCs w:val="32"/>
        </w:rPr>
        <w:t>附件2</w:t>
      </w:r>
    </w:p>
    <w:p>
      <w:pPr>
        <w:jc w:val="center"/>
        <w:rPr>
          <w:rFonts w:ascii="方正小标宋简体" w:eastAsia="方正小标宋简体"/>
          <w:sz w:val="44"/>
          <w:szCs w:val="44"/>
        </w:rPr>
      </w:pPr>
      <w:r>
        <w:rPr>
          <w:rFonts w:hint="eastAsia" w:ascii="方正小标宋简体" w:eastAsia="方正小标宋简体"/>
          <w:sz w:val="44"/>
          <w:szCs w:val="44"/>
        </w:rPr>
        <w:t>青阳县2023年“徽动消费</w:t>
      </w:r>
      <w:r>
        <w:rPr>
          <w:rFonts w:hint="eastAsia" w:ascii="方正小标宋简体"/>
          <w:sz w:val="44"/>
          <w:szCs w:val="44"/>
        </w:rPr>
        <w:t>•</w:t>
      </w:r>
      <w:r>
        <w:rPr>
          <w:rFonts w:hint="eastAsia" w:ascii="方正小标宋简体" w:eastAsia="方正小标宋简体"/>
          <w:sz w:val="44"/>
          <w:szCs w:val="44"/>
        </w:rPr>
        <w:t>乐享青阳”</w:t>
      </w:r>
    </w:p>
    <w:p>
      <w:pPr>
        <w:jc w:val="center"/>
        <w:rPr>
          <w:rFonts w:ascii="方正小标宋简体" w:eastAsia="方正小标宋简体"/>
          <w:sz w:val="44"/>
          <w:szCs w:val="44"/>
        </w:rPr>
      </w:pPr>
      <w:r>
        <w:rPr>
          <w:rFonts w:hint="eastAsia" w:ascii="方正小标宋简体" w:eastAsia="方正小标宋简体"/>
          <w:sz w:val="44"/>
          <w:szCs w:val="44"/>
        </w:rPr>
        <w:t>商贸消费券发放活动承诺书</w:t>
      </w:r>
    </w:p>
    <w:bookmarkEnd w:id="0"/>
    <w:p/>
    <w:p>
      <w:pPr>
        <w:spacing w:line="560" w:lineRule="exact"/>
        <w:ind w:firstLine="640" w:firstLineChars="200"/>
        <w:rPr>
          <w:rFonts w:ascii="仿宋_GB2312" w:eastAsia="仿宋_GB2312"/>
          <w:sz w:val="32"/>
          <w:szCs w:val="32"/>
        </w:rPr>
      </w:pPr>
      <w:r>
        <w:rPr>
          <w:rFonts w:hint="eastAsia" w:ascii="仿宋_GB2312" w:eastAsia="仿宋_GB2312"/>
          <w:sz w:val="32"/>
          <w:szCs w:val="32"/>
        </w:rPr>
        <w:t>我单位自愿参与青阳县2023年“徽动消费</w:t>
      </w:r>
      <w:r>
        <w:rPr>
          <w:rFonts w:hint="eastAsia" w:ascii="仿宋_GB2312"/>
          <w:sz w:val="32"/>
          <w:szCs w:val="32"/>
        </w:rPr>
        <w:t>•</w:t>
      </w:r>
      <w:r>
        <w:rPr>
          <w:rFonts w:hint="eastAsia" w:ascii="仿宋_GB2312" w:eastAsia="仿宋_GB2312"/>
          <w:sz w:val="32"/>
          <w:szCs w:val="32"/>
        </w:rPr>
        <w:t>乐享青阳”商贸消费券发放活动，接受青阳县消费券发放工作领导小组统一管理，按要求完成数据统计、信息报送、满意度调查等方面工作。并承诺：</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一、积极配合青阳县消费券发放工作领导小组开展的商贸消费券发放工作。</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二、提供必要设备、人员等保障措施，配合第三方机构做好服务平台、消费券系统平台的接口调试等相关事宜。</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三、活动期间，不得从事虚假宣传、虚构原价、通过刷单虚假交易等违法违规行为。</w:t>
      </w:r>
      <w:r>
        <w:rPr>
          <w:rFonts w:hint="eastAsia" w:ascii="仿宋_GB2312" w:hAnsi="仿宋_GB2312" w:eastAsia="仿宋_GB2312" w:cs="仿宋_GB2312"/>
          <w:sz w:val="32"/>
          <w:szCs w:val="32"/>
        </w:rPr>
        <w:t>一经核实存在上述行为，将取消参与资格，依法追缴补贴款项，并记入失信记录;情节严重的，追究相应法律责任。</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四、按要求提供相关数据信息，接受有关机构对于消费券使用的跟踪监测和监督检查。</w:t>
      </w:r>
    </w:p>
    <w:p>
      <w:pPr>
        <w:ind w:right="2180"/>
        <w:jc w:val="right"/>
        <w:rPr>
          <w:rFonts w:hint="eastAsia" w:ascii="仿宋_GB2312" w:eastAsia="仿宋_GB2312"/>
          <w:sz w:val="32"/>
          <w:szCs w:val="32"/>
        </w:rPr>
      </w:pPr>
    </w:p>
    <w:p>
      <w:pPr>
        <w:ind w:right="2180"/>
        <w:jc w:val="right"/>
        <w:rPr>
          <w:rFonts w:ascii="仿宋_GB2312" w:eastAsia="仿宋_GB2312"/>
          <w:sz w:val="32"/>
          <w:szCs w:val="32"/>
        </w:rPr>
      </w:pPr>
      <w:r>
        <w:rPr>
          <w:rFonts w:hint="eastAsia" w:ascii="仿宋_GB2312" w:eastAsia="仿宋_GB2312"/>
          <w:sz w:val="32"/>
          <w:szCs w:val="32"/>
        </w:rPr>
        <w:t>法人代表签字：</w:t>
      </w:r>
    </w:p>
    <w:p>
      <w:pPr>
        <w:ind w:right="2020"/>
        <w:jc w:val="right"/>
        <w:rPr>
          <w:rFonts w:ascii="仿宋_GB2312" w:eastAsia="仿宋_GB2312"/>
          <w:sz w:val="32"/>
          <w:szCs w:val="32"/>
        </w:rPr>
      </w:pPr>
      <w:r>
        <w:rPr>
          <w:rFonts w:hint="eastAsia" w:ascii="仿宋_GB2312" w:eastAsia="仿宋_GB2312"/>
          <w:sz w:val="32"/>
          <w:szCs w:val="32"/>
        </w:rPr>
        <w:t>（承诺单位盖章）</w:t>
      </w:r>
    </w:p>
    <w:p>
      <w:pPr>
        <w:ind w:right="420"/>
        <w:jc w:val="right"/>
        <w:rPr>
          <w:rFonts w:ascii="仿宋_GB2312" w:eastAsia="仿宋_GB2312"/>
          <w:sz w:val="32"/>
          <w:szCs w:val="32"/>
        </w:rPr>
      </w:pPr>
      <w:r>
        <w:rPr>
          <w:rFonts w:ascii="仿宋_GB2312" w:eastAsia="仿宋_GB2312"/>
          <w:sz w:val="32"/>
          <w:szCs w:val="32"/>
        </w:rPr>
        <w:t>年     月     日</w:t>
      </w:r>
    </w:p>
    <w:p/>
    <w:sectPr>
      <w:footerReference r:id="rId3" w:type="default"/>
      <w:pgSz w:w="11906" w:h="16838"/>
      <w:pgMar w:top="1418" w:right="1701" w:bottom="1418"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fldChar w:fldCharType="begin"/>
    </w:r>
    <w:r>
      <w:instrText xml:space="preserve"> PAGE   \* MERGEFORMAT </w:instrText>
    </w:r>
    <w:r>
      <w:fldChar w:fldCharType="separate"/>
    </w:r>
    <w:r>
      <w:rPr>
        <w:lang w:val="zh-CN"/>
      </w:rPr>
      <w:t>1</w:t>
    </w:r>
    <w:r>
      <w:rPr>
        <w:lang w:val="zh-CN"/>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RjNzcwYTdlZDc3ZDljNzZjNDE4NmJmMjc1NzlmZjgifQ=="/>
  </w:docVars>
  <w:rsids>
    <w:rsidRoot w:val="00000000"/>
    <w:rsid w:val="1F7A0C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2023-07-17T08:27:00Z</dcterms:created>
  <dc:creator>Administrator</dc:creator>
  <cp:lastModifiedBy>陶维</cp:lastModifiedBy>
  <dcterms:modified xsi:type="dcterms:W3CDTF">2023-07-17T08:27:15Z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9A542A49A8C84AB1B8D73C2C43CC9A09_12</vt:lpwstr>
  </property>
</Properties>
</file>