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both"/>
        <w:rPr>
          <w:rFonts w:hint="eastAsia" w:ascii="黑体" w:hAnsi="黑体" w:eastAsia="黑体" w:cs="黑体"/>
          <w:sz w:val="28"/>
          <w:szCs w:val="28"/>
        </w:rPr>
      </w:pPr>
      <w:r>
        <w:rPr>
          <w:rFonts w:hint="eastAsia" w:ascii="黑体" w:hAnsi="黑体" w:eastAsia="黑体" w:cs="黑体"/>
          <w:sz w:val="28"/>
          <w:szCs w:val="28"/>
        </w:rPr>
        <w:t>附件</w:t>
      </w:r>
      <w:r>
        <w:rPr>
          <w:rFonts w:hint="eastAsia" w:ascii="黑体" w:hAnsi="黑体" w:eastAsia="黑体" w:cs="黑体"/>
          <w:sz w:val="28"/>
          <w:szCs w:val="28"/>
          <w:lang w:val="en-US" w:eastAsia="zh-CN"/>
        </w:rPr>
        <w:t>1</w:t>
      </w:r>
    </w:p>
    <w:p>
      <w:pPr>
        <w:spacing w:after="0" w:line="560" w:lineRule="exact"/>
        <w:jc w:val="center"/>
        <w:rPr>
          <w:rFonts w:hint="eastAsia" w:ascii="方正小标宋简体" w:hAnsi="方正小标宋简体" w:eastAsia="方正小标宋简体" w:cs="方正小标宋简体"/>
          <w:b w:val="0"/>
          <w:bCs/>
          <w:sz w:val="44"/>
          <w:szCs w:val="44"/>
        </w:rPr>
      </w:pPr>
      <w:r>
        <w:rPr>
          <w:rFonts w:hint="eastAsia" w:ascii="方正小标宋简体" w:hAnsi="方正小标宋简体" w:eastAsia="方正小标宋简体" w:cs="方正小标宋简体"/>
          <w:b w:val="0"/>
          <w:bCs/>
          <w:sz w:val="44"/>
          <w:szCs w:val="44"/>
        </w:rPr>
        <w:t>项目</w:t>
      </w:r>
      <w:r>
        <w:rPr>
          <w:rFonts w:hint="eastAsia" w:ascii="方正小标宋简体" w:hAnsi="方正小标宋简体" w:eastAsia="方正小标宋简体" w:cs="方正小标宋简体"/>
          <w:b w:val="0"/>
          <w:bCs/>
          <w:sz w:val="44"/>
          <w:szCs w:val="44"/>
          <w:lang w:eastAsia="zh-CN"/>
        </w:rPr>
        <w:t>绩效自评</w:t>
      </w:r>
      <w:r>
        <w:rPr>
          <w:rFonts w:hint="eastAsia" w:ascii="方正小标宋简体" w:hAnsi="方正小标宋简体" w:eastAsia="方正小标宋简体" w:cs="方正小标宋简体"/>
          <w:b w:val="0"/>
          <w:bCs/>
          <w:sz w:val="44"/>
          <w:szCs w:val="44"/>
        </w:rPr>
        <w:t>报告</w:t>
      </w:r>
    </w:p>
    <w:p>
      <w:pPr>
        <w:spacing w:after="0" w:line="560" w:lineRule="exact"/>
        <w:jc w:val="center"/>
        <w:rPr>
          <w:rFonts w:ascii="仿宋_GB2312" w:hAnsi="仿宋_GB2312" w:eastAsia="仿宋_GB2312" w:cs="仿宋_GB2312"/>
          <w:sz w:val="32"/>
          <w:szCs w:val="32"/>
        </w:rPr>
      </w:pPr>
    </w:p>
    <w:p>
      <w:pPr>
        <w:spacing w:after="0" w:line="560" w:lineRule="exact"/>
        <w:ind w:firstLine="600"/>
        <w:jc w:val="both"/>
        <w:rPr>
          <w:rFonts w:ascii="黑体" w:hAnsi="黑体" w:eastAsia="黑体" w:cs="黑体"/>
          <w:sz w:val="32"/>
          <w:szCs w:val="32"/>
        </w:rPr>
      </w:pPr>
      <w:r>
        <w:rPr>
          <w:rFonts w:ascii="黑体" w:hAnsi="黑体" w:eastAsia="黑体" w:cs="黑体"/>
          <w:sz w:val="32"/>
          <w:szCs w:val="32"/>
        </w:rPr>
        <w:t>一、基本情况</w:t>
      </w:r>
    </w:p>
    <w:p>
      <w:pPr>
        <w:spacing w:after="0" w:line="560" w:lineRule="exact"/>
        <w:ind w:firstLine="600"/>
        <w:jc w:val="both"/>
        <w:outlineLvl w:val="0"/>
        <w:rPr>
          <w:rFonts w:hint="default" w:ascii="仿宋_GB2312" w:hAnsi="仿宋_GB2312" w:eastAsia="仿宋_GB2312" w:cs="仿宋_GB2312"/>
          <w:sz w:val="32"/>
          <w:szCs w:val="32"/>
          <w:lang w:val="en-US" w:eastAsia="zh-CN"/>
        </w:rPr>
      </w:pPr>
      <w:r>
        <w:rPr>
          <w:rFonts w:ascii="仿宋_GB2312" w:hAnsi="仿宋_GB2312" w:eastAsia="仿宋_GB2312" w:cs="仿宋_GB2312"/>
          <w:sz w:val="32"/>
          <w:szCs w:val="32"/>
        </w:rPr>
        <w:t>（一）项目概况。</w:t>
      </w:r>
      <w:r>
        <w:rPr>
          <w:rFonts w:hint="eastAsia" w:ascii="仿宋_GB2312" w:hAnsi="仿宋_GB2312" w:eastAsia="仿宋_GB2312" w:cs="仿宋_GB2312"/>
          <w:sz w:val="32"/>
          <w:szCs w:val="32"/>
          <w:lang w:val="en-US" w:eastAsia="zh-CN"/>
        </w:rPr>
        <w:t>2022年食品安全监管经费项目</w:t>
      </w:r>
      <w:r>
        <w:rPr>
          <w:rFonts w:hint="eastAsia" w:ascii="仿宋_GB2312" w:hAnsi="仿宋_GB2312" w:eastAsia="仿宋_GB2312" w:cs="仿宋_GB2312"/>
          <w:sz w:val="32"/>
          <w:szCs w:val="32"/>
          <w:lang w:eastAsia="zh-CN"/>
        </w:rPr>
        <w:t>，实施单位为青阳县市场监督管理局，合计资金数为</w:t>
      </w:r>
      <w:r>
        <w:rPr>
          <w:rFonts w:hint="eastAsia" w:ascii="仿宋_GB2312" w:hAnsi="仿宋_GB2312" w:eastAsia="仿宋_GB2312" w:cs="仿宋_GB2312"/>
          <w:sz w:val="32"/>
          <w:szCs w:val="32"/>
          <w:lang w:val="en-US" w:eastAsia="zh-CN"/>
        </w:rPr>
        <w:t>16万元，全年项目任务食品抽检批次340批次批次、食品生产企业监督检查63家、食品小作坊监督检查39家、食品安全监管人员培训120人次、6个基层所食品安全监管装备能力提升、对10家食品小作坊能力建设培训。</w:t>
      </w:r>
    </w:p>
    <w:p>
      <w:pPr>
        <w:spacing w:after="0" w:line="560" w:lineRule="exact"/>
        <w:ind w:firstLine="600"/>
        <w:jc w:val="both"/>
        <w:outlineLvl w:val="0"/>
        <w:rPr>
          <w:rFonts w:ascii="仿宋_GB2312" w:hAnsi="仿宋_GB2312" w:eastAsia="仿宋_GB2312" w:cs="仿宋_GB2312"/>
          <w:sz w:val="32"/>
          <w:szCs w:val="32"/>
        </w:rPr>
      </w:pPr>
      <w:r>
        <w:rPr>
          <w:rFonts w:ascii="仿宋_GB2312" w:hAnsi="仿宋_GB2312" w:eastAsia="仿宋_GB2312" w:cs="仿宋_GB2312"/>
          <w:sz w:val="32"/>
          <w:szCs w:val="32"/>
        </w:rPr>
        <w:t>（二）项目绩效目标。</w:t>
      </w:r>
      <w:r>
        <w:rPr>
          <w:rFonts w:hint="eastAsia" w:ascii="仿宋_GB2312" w:hAnsi="仿宋_GB2312" w:eastAsia="仿宋_GB2312" w:cs="仿宋_GB2312"/>
          <w:sz w:val="32"/>
          <w:szCs w:val="32"/>
        </w:rPr>
        <w:t>加强食品安全监督抽检监测工作，完成各项抽检监测任务。加强食品抽检监测数据分析利用和食品风险监控，保障人民群众食品安全。加强食品安全生产经营企业监管，进一步强化食品安全企业主体责任。加强食品安全培训，提升食品安全监管队伍专业水平和综合素质。加强食品安全监管装备能力建设，提升基层所装备水平和食品检测机构技术支撑能力。加强食品安全社会宣传评议调查，推进构建政府、企业、社会共同参与的食品安全社会共治体系</w:t>
      </w:r>
    </w:p>
    <w:p>
      <w:pPr>
        <w:spacing w:after="0" w:line="560" w:lineRule="exact"/>
        <w:ind w:firstLine="600"/>
        <w:jc w:val="both"/>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val="en-US" w:eastAsia="zh-CN"/>
        </w:rPr>
        <w:t>抽检食品366批次，监督检查65家食品生产企业、42家食品小作坊，培训了132人次食品安全监管人员，对15家食品小作坊能力建设进行培训，10个基层所食品安全监管装备能力得到提升，食品安全监管人员</w:t>
      </w:r>
      <w:r>
        <w:rPr>
          <w:rFonts w:hint="eastAsia" w:ascii="仿宋_GB2312" w:hAnsi="仿宋_GB2312" w:eastAsia="仿宋_GB2312" w:cs="仿宋_GB2312"/>
          <w:sz w:val="32"/>
          <w:szCs w:val="32"/>
        </w:rPr>
        <w:t>加强食品安全监管，提升食品药品检测能力</w:t>
      </w:r>
      <w:r>
        <w:rPr>
          <w:rFonts w:hint="eastAsia" w:ascii="仿宋_GB2312" w:hAnsi="仿宋_GB2312" w:eastAsia="仿宋_GB2312" w:cs="仿宋_GB2312"/>
          <w:sz w:val="32"/>
          <w:szCs w:val="32"/>
          <w:lang w:eastAsia="zh-CN"/>
        </w:rPr>
        <w:t>，严厉打击食品违法犯罪，降低食品安全风险，促使公众满意度显著提升，食品安全治理水平稳步提高。</w:t>
      </w:r>
    </w:p>
    <w:p>
      <w:pPr>
        <w:spacing w:after="0" w:line="560" w:lineRule="exact"/>
        <w:ind w:firstLine="600"/>
        <w:jc w:val="both"/>
        <w:rPr>
          <w:rFonts w:ascii="黑体" w:hAnsi="黑体" w:eastAsia="黑体" w:cs="黑体"/>
          <w:sz w:val="32"/>
          <w:szCs w:val="32"/>
        </w:rPr>
      </w:pPr>
      <w:r>
        <w:rPr>
          <w:rFonts w:ascii="黑体" w:hAnsi="黑体" w:eastAsia="黑体" w:cs="黑体"/>
          <w:sz w:val="32"/>
          <w:szCs w:val="32"/>
        </w:rPr>
        <w:t>二、绩效</w:t>
      </w:r>
      <w:r>
        <w:rPr>
          <w:rFonts w:hint="eastAsia" w:ascii="黑体" w:hAnsi="黑体" w:eastAsia="黑体" w:cs="黑体"/>
          <w:sz w:val="32"/>
          <w:szCs w:val="32"/>
          <w:lang w:eastAsia="zh-CN"/>
        </w:rPr>
        <w:t>自评</w:t>
      </w:r>
      <w:r>
        <w:rPr>
          <w:rFonts w:ascii="黑体" w:hAnsi="黑体" w:eastAsia="黑体" w:cs="黑体"/>
          <w:sz w:val="32"/>
          <w:szCs w:val="32"/>
        </w:rPr>
        <w:t>工作开展情况</w:t>
      </w:r>
    </w:p>
    <w:p>
      <w:pPr>
        <w:spacing w:after="0" w:line="560" w:lineRule="exact"/>
        <w:ind w:firstLine="600"/>
        <w:jc w:val="both"/>
        <w:rPr>
          <w:rFonts w:ascii="仿宋_GB2312" w:hAnsi="仿宋_GB2312" w:eastAsia="仿宋_GB2312" w:cs="仿宋_GB2312"/>
          <w:sz w:val="32"/>
          <w:szCs w:val="32"/>
        </w:rPr>
      </w:pPr>
      <w:r>
        <w:rPr>
          <w:rFonts w:ascii="仿宋_GB2312" w:hAnsi="仿宋_GB2312" w:eastAsia="仿宋_GB2312" w:cs="仿宋_GB2312"/>
          <w:sz w:val="32"/>
          <w:szCs w:val="32"/>
        </w:rPr>
        <w:t>（一）</w:t>
      </w:r>
      <w:r>
        <w:rPr>
          <w:rFonts w:hint="eastAsia" w:ascii="仿宋_GB2312" w:hAnsi="仿宋_GB2312" w:eastAsia="仿宋_GB2312" w:cs="仿宋_GB2312"/>
          <w:sz w:val="32"/>
          <w:szCs w:val="32"/>
        </w:rPr>
        <w:t>绩效自评</w:t>
      </w:r>
      <w:r>
        <w:rPr>
          <w:rFonts w:ascii="仿宋_GB2312" w:hAnsi="仿宋_GB2312" w:eastAsia="仿宋_GB2312" w:cs="仿宋_GB2312"/>
          <w:sz w:val="32"/>
          <w:szCs w:val="32"/>
        </w:rPr>
        <w:t>目的、对象和范围。</w:t>
      </w:r>
    </w:p>
    <w:p>
      <w:pPr>
        <w:spacing w:after="0" w:line="560" w:lineRule="exact"/>
        <w:ind w:firstLine="600"/>
        <w:jc w:val="both"/>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2022年食品安全监管经费项目</w:t>
      </w:r>
      <w:r>
        <w:rPr>
          <w:rFonts w:hint="eastAsia" w:ascii="仿宋_GB2312" w:hAnsi="仿宋_GB2312" w:eastAsia="仿宋_GB2312" w:cs="仿宋_GB2312"/>
          <w:sz w:val="32"/>
          <w:szCs w:val="32"/>
          <w:lang w:eastAsia="zh-CN"/>
        </w:rPr>
        <w:t>自评是为了项目资金执行情况、项目投入之后的是否达到预期目标及项目实施后带来的社会效益、满意度等。此次绩效自评的对象为</w:t>
      </w:r>
      <w:r>
        <w:rPr>
          <w:rFonts w:hint="eastAsia" w:ascii="仿宋_GB2312" w:hAnsi="仿宋_GB2312" w:eastAsia="仿宋_GB2312" w:cs="仿宋_GB2312"/>
          <w:sz w:val="32"/>
          <w:szCs w:val="32"/>
          <w:lang w:val="en-US" w:eastAsia="zh-CN"/>
        </w:rPr>
        <w:t>2022年食品安全监管经费项目16万元，评价范围为青阳县市场监督管理局2022年食品安全监管经费项目。</w:t>
      </w:r>
    </w:p>
    <w:p>
      <w:pPr>
        <w:spacing w:after="0" w:line="560" w:lineRule="exact"/>
        <w:ind w:firstLine="600"/>
        <w:jc w:val="both"/>
        <w:outlineLvl w:val="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绩效自评原则、评价方法、评价标准等。</w:t>
      </w:r>
    </w:p>
    <w:p>
      <w:pPr>
        <w:spacing w:after="0" w:line="560" w:lineRule="exact"/>
        <w:ind w:firstLine="600"/>
        <w:jc w:val="both"/>
        <w:outlineLvl w:val="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 自评原则：1、履行部门主体责任。加强对单位绩效自评的组织管理，对绩效自评结果的真实性、及时性负责。 2、确保评价真实客观。对照年初设定的绩效目标及指标值，对应填报年度实际完成值。实事求是，确保数据准确、分值合理、结果客观。</w:t>
      </w:r>
    </w:p>
    <w:p>
      <w:pPr>
        <w:spacing w:after="0" w:line="560" w:lineRule="exact"/>
        <w:ind w:firstLine="600"/>
        <w:jc w:val="both"/>
        <w:outlineLvl w:val="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评价方法：项目绩效自评采取打分评价的形式，满分为100分。一级指标权重统一设置为：产出指标50分、效益指标30分、服务对象满意度指标10分、预算资金执行率10分。各部门根据各项指标重要程度确定项目的二级绩效指标和三级绩效指标的权重。</w:t>
      </w:r>
    </w:p>
    <w:p>
      <w:pPr>
        <w:spacing w:after="0" w:line="560" w:lineRule="exact"/>
        <w:ind w:firstLine="600"/>
        <w:jc w:val="both"/>
        <w:outlineLvl w:val="0"/>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评价标准：根据项目绩效自评各项分值及总分值、项目目标完成情况。</w:t>
      </w:r>
    </w:p>
    <w:p>
      <w:pPr>
        <w:numPr>
          <w:ilvl w:val="0"/>
          <w:numId w:val="1"/>
        </w:numPr>
        <w:spacing w:after="0" w:line="560" w:lineRule="exact"/>
        <w:ind w:left="0" w:leftChars="0" w:firstLine="600" w:firstLineChars="0"/>
        <w:jc w:val="both"/>
        <w:rPr>
          <w:rFonts w:ascii="仿宋_GB2312" w:hAnsi="仿宋_GB2312" w:eastAsia="仿宋_GB2312" w:cs="仿宋_GB2312"/>
          <w:sz w:val="32"/>
          <w:szCs w:val="32"/>
        </w:rPr>
      </w:pPr>
      <w:r>
        <w:rPr>
          <w:rFonts w:hint="eastAsia" w:ascii="仿宋_GB2312" w:hAnsi="仿宋_GB2312" w:eastAsia="仿宋_GB2312" w:cs="仿宋_GB2312"/>
          <w:sz w:val="32"/>
          <w:szCs w:val="32"/>
        </w:rPr>
        <w:t>绩效自评</w:t>
      </w:r>
      <w:r>
        <w:rPr>
          <w:rFonts w:ascii="仿宋_GB2312" w:hAnsi="仿宋_GB2312" w:eastAsia="仿宋_GB2312" w:cs="仿宋_GB2312"/>
          <w:sz w:val="32"/>
          <w:szCs w:val="32"/>
        </w:rPr>
        <w:t>工作过程。</w:t>
      </w:r>
    </w:p>
    <w:p>
      <w:pPr>
        <w:pStyle w:val="2"/>
        <w:keepNext w:val="0"/>
        <w:keepLines w:val="0"/>
        <w:pageBreakBefore w:val="0"/>
        <w:widowControl/>
        <w:numPr>
          <w:ilvl w:val="0"/>
          <w:numId w:val="2"/>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val="0"/>
        <w:autoSpaceDN w:val="0"/>
        <w:bidi w:val="0"/>
        <w:adjustRightInd/>
        <w:snapToGrid/>
        <w:spacing w:before="225" w:beforeAutospacing="0" w:after="0" w:afterAutospacing="0"/>
        <w:ind w:left="80" w:leftChars="0" w:right="0" w:firstLine="640" w:firstLineChars="0"/>
        <w:jc w:val="left"/>
        <w:textAlignment w:val="auto"/>
        <w:rPr>
          <w:rFonts w:hint="eastAsia" w:ascii="仿宋_GB2312" w:hAnsi="仿宋_GB2312" w:eastAsia="仿宋_GB2312" w:cs="仿宋_GB2312"/>
          <w:color w:val="auto"/>
          <w:kern w:val="0"/>
          <w:sz w:val="32"/>
          <w:szCs w:val="32"/>
          <w:lang w:val="en-US" w:eastAsia="zh-CN" w:bidi="ar-SA"/>
        </w:rPr>
      </w:pPr>
      <w:r>
        <w:rPr>
          <w:rFonts w:hint="eastAsia" w:ascii="仿宋_GB2312" w:hAnsi="仿宋_GB2312" w:eastAsia="仿宋_GB2312" w:cs="仿宋_GB2312"/>
          <w:color w:val="auto"/>
          <w:kern w:val="0"/>
          <w:sz w:val="32"/>
          <w:szCs w:val="32"/>
          <w:lang w:val="en-US" w:eastAsia="zh-CN" w:bidi="ar-SA"/>
        </w:rPr>
        <w:t>准备阶段：成立项目评价工作小组，制定项目工作计划及指标体系设计与评价方案；组织相关人员参加本次绩效评价的培训。                                                                   2、评价工作执行阶段：按照评价方案细化评价工作计划，依据评价指标体系收集相关数据。</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val="0"/>
        <w:autoSpaceDN w:val="0"/>
        <w:bidi w:val="0"/>
        <w:adjustRightInd/>
        <w:snapToGrid/>
        <w:spacing w:before="225" w:beforeAutospacing="0" w:after="0" w:afterAutospacing="0"/>
        <w:ind w:right="0" w:firstLine="640" w:firstLineChars="200"/>
        <w:jc w:val="left"/>
        <w:textAlignment w:val="auto"/>
        <w:rPr>
          <w:rFonts w:hint="eastAsia" w:ascii="仿宋_GB2312" w:hAnsi="仿宋_GB2312" w:eastAsia="仿宋_GB2312" w:cs="仿宋_GB2312"/>
          <w:color w:val="auto"/>
          <w:kern w:val="0"/>
          <w:sz w:val="32"/>
          <w:szCs w:val="32"/>
          <w:lang w:val="en-US" w:eastAsia="zh-CN" w:bidi="ar-SA"/>
        </w:rPr>
      </w:pPr>
      <w:r>
        <w:rPr>
          <w:rFonts w:hint="eastAsia" w:ascii="仿宋_GB2312" w:hAnsi="仿宋_GB2312" w:eastAsia="仿宋_GB2312" w:cs="仿宋_GB2312"/>
          <w:color w:val="auto"/>
          <w:kern w:val="0"/>
          <w:sz w:val="32"/>
          <w:szCs w:val="32"/>
          <w:lang w:val="en-US" w:eastAsia="zh-CN" w:bidi="ar-SA"/>
        </w:rPr>
        <w:t>3、自评表及报告撰写阶段：根据前期数据，撰写项目评价报告，填写项目绩效自评表；</w:t>
      </w:r>
    </w:p>
    <w:p>
      <w:pPr>
        <w:spacing w:after="0" w:line="560" w:lineRule="exact"/>
        <w:ind w:firstLine="600"/>
        <w:jc w:val="both"/>
        <w:rPr>
          <w:rFonts w:ascii="黑体" w:hAnsi="黑体" w:eastAsia="黑体" w:cs="黑体"/>
          <w:sz w:val="32"/>
          <w:szCs w:val="32"/>
        </w:rPr>
      </w:pPr>
      <w:r>
        <w:rPr>
          <w:rFonts w:ascii="黑体" w:hAnsi="黑体" w:eastAsia="黑体" w:cs="黑体"/>
          <w:sz w:val="32"/>
          <w:szCs w:val="32"/>
        </w:rPr>
        <w:t>三、绩效</w:t>
      </w:r>
      <w:r>
        <w:rPr>
          <w:rFonts w:hint="eastAsia" w:ascii="黑体" w:hAnsi="黑体" w:eastAsia="黑体" w:cs="黑体"/>
          <w:sz w:val="32"/>
          <w:szCs w:val="32"/>
          <w:lang w:eastAsia="zh-CN"/>
        </w:rPr>
        <w:t>自评综合</w:t>
      </w:r>
      <w:r>
        <w:rPr>
          <w:rFonts w:ascii="黑体" w:hAnsi="黑体" w:eastAsia="黑体" w:cs="黑体"/>
          <w:sz w:val="32"/>
          <w:szCs w:val="32"/>
        </w:rPr>
        <w:t>情况及评价结论</w:t>
      </w:r>
    </w:p>
    <w:p>
      <w:pPr>
        <w:spacing w:after="0" w:line="560" w:lineRule="exact"/>
        <w:ind w:firstLine="600"/>
        <w:jc w:val="both"/>
        <w:rPr>
          <w:rFonts w:hint="eastAsia" w:ascii="仿宋_GB2312" w:hAnsi="仿宋_GB2312" w:eastAsia="仿宋_GB2312" w:cs="仿宋_GB2312"/>
          <w:color w:val="auto"/>
          <w:kern w:val="0"/>
          <w:sz w:val="32"/>
          <w:szCs w:val="32"/>
          <w:lang w:val="en-US" w:eastAsia="zh-CN" w:bidi="ar-SA"/>
        </w:rPr>
      </w:pPr>
      <w:r>
        <w:rPr>
          <w:rFonts w:hint="eastAsia" w:ascii="仿宋_GB2312" w:hAnsi="仿宋_GB2312" w:eastAsia="仿宋_GB2312" w:cs="仿宋_GB2312"/>
          <w:color w:val="auto"/>
          <w:kern w:val="0"/>
          <w:sz w:val="32"/>
          <w:szCs w:val="32"/>
          <w:lang w:val="en-US" w:eastAsia="zh-CN" w:bidi="ar-SA"/>
        </w:rPr>
        <w:t>综合以上各项指标，我局财务管理健全规范，资金使用规范；严厉打击食品违法犯罪，降低食品安全风险，促使公众满意度显著提升，食品安全治理水平稳步提高。</w:t>
      </w:r>
      <w:r>
        <w:rPr>
          <w:rFonts w:hint="eastAsia" w:ascii="仿宋_GB2312" w:hAnsi="仿宋_GB2312" w:eastAsia="仿宋_GB2312" w:cs="仿宋_GB2312"/>
          <w:sz w:val="32"/>
          <w:szCs w:val="32"/>
          <w:lang w:val="en-US" w:eastAsia="zh-CN"/>
        </w:rPr>
        <w:t>2022年食品安全监管经费项目</w:t>
      </w:r>
      <w:r>
        <w:rPr>
          <w:rFonts w:hint="eastAsia" w:ascii="仿宋_GB2312" w:hAnsi="仿宋_GB2312" w:eastAsia="仿宋_GB2312" w:cs="仿宋_GB2312"/>
          <w:color w:val="auto"/>
          <w:kern w:val="0"/>
          <w:sz w:val="32"/>
          <w:szCs w:val="32"/>
          <w:lang w:val="en-US" w:eastAsia="zh-CN" w:bidi="ar-SA"/>
        </w:rPr>
        <w:t>绩效自我评价得到100分，自评结果是优秀。我们将在以后的工作中提高经费的使用效率，加强日常监管，杜绝食品安全中潜在安全隐患，保障群众食品安全。</w:t>
      </w:r>
    </w:p>
    <w:p>
      <w:pPr>
        <w:spacing w:after="0" w:line="560" w:lineRule="exact"/>
        <w:ind w:firstLine="600"/>
        <w:jc w:val="both"/>
        <w:rPr>
          <w:rFonts w:ascii="黑体" w:hAnsi="黑体" w:eastAsia="黑体" w:cs="黑体"/>
          <w:sz w:val="32"/>
          <w:szCs w:val="32"/>
        </w:rPr>
      </w:pPr>
      <w:r>
        <w:rPr>
          <w:rFonts w:ascii="黑体" w:hAnsi="黑体" w:eastAsia="黑体" w:cs="黑体"/>
          <w:sz w:val="32"/>
          <w:szCs w:val="32"/>
        </w:rPr>
        <w:t>四、绩效</w:t>
      </w:r>
      <w:r>
        <w:rPr>
          <w:rFonts w:hint="eastAsia" w:ascii="黑体" w:hAnsi="黑体" w:eastAsia="黑体" w:cs="黑体"/>
          <w:sz w:val="32"/>
          <w:szCs w:val="32"/>
          <w:lang w:eastAsia="zh-CN"/>
        </w:rPr>
        <w:t>自评</w:t>
      </w:r>
      <w:r>
        <w:rPr>
          <w:rFonts w:ascii="黑体" w:hAnsi="黑体" w:eastAsia="黑体" w:cs="黑体"/>
          <w:sz w:val="32"/>
          <w:szCs w:val="32"/>
        </w:rPr>
        <w:t>分析</w:t>
      </w:r>
    </w:p>
    <w:p>
      <w:pPr>
        <w:spacing w:after="0" w:line="560" w:lineRule="exact"/>
        <w:ind w:firstLine="600"/>
        <w:jc w:val="both"/>
        <w:outlineLvl w:val="0"/>
        <w:rPr>
          <w:rFonts w:ascii="仿宋_GB2312" w:hAnsi="仿宋_GB2312" w:eastAsia="仿宋_GB2312" w:cs="仿宋_GB2312"/>
          <w:sz w:val="32"/>
          <w:szCs w:val="32"/>
        </w:rPr>
      </w:pPr>
      <w:r>
        <w:rPr>
          <w:rFonts w:ascii="仿宋_GB2312" w:hAnsi="仿宋_GB2312" w:eastAsia="仿宋_GB2312" w:cs="仿宋_GB2312"/>
          <w:sz w:val="32"/>
          <w:szCs w:val="32"/>
        </w:rPr>
        <w:t>（</w:t>
      </w:r>
      <w:r>
        <w:rPr>
          <w:rFonts w:hint="eastAsia" w:ascii="仿宋_GB2312" w:hAnsi="仿宋_GB2312" w:eastAsia="仿宋_GB2312" w:cs="仿宋_GB2312"/>
          <w:sz w:val="32"/>
          <w:szCs w:val="32"/>
          <w:lang w:eastAsia="zh-CN"/>
        </w:rPr>
        <w:t>一</w:t>
      </w:r>
      <w:r>
        <w:rPr>
          <w:rFonts w:ascii="仿宋_GB2312" w:hAnsi="仿宋_GB2312" w:eastAsia="仿宋_GB2312" w:cs="仿宋_GB2312"/>
          <w:sz w:val="32"/>
          <w:szCs w:val="32"/>
        </w:rPr>
        <w:t>）项目</w:t>
      </w:r>
      <w:r>
        <w:rPr>
          <w:rFonts w:hint="eastAsia" w:ascii="仿宋_GB2312" w:hAnsi="仿宋_GB2312" w:eastAsia="仿宋_GB2312" w:cs="仿宋_GB2312"/>
          <w:sz w:val="32"/>
          <w:szCs w:val="32"/>
          <w:lang w:eastAsia="zh-CN"/>
        </w:rPr>
        <w:t>过程</w:t>
      </w:r>
      <w:r>
        <w:rPr>
          <w:rFonts w:ascii="仿宋_GB2312" w:hAnsi="仿宋_GB2312" w:eastAsia="仿宋_GB2312" w:cs="仿宋_GB2312"/>
          <w:sz w:val="32"/>
          <w:szCs w:val="32"/>
        </w:rPr>
        <w:t>情况分析</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8" w:lineRule="atLeast"/>
        <w:ind w:left="0" w:right="0" w:firstLine="602"/>
        <w:jc w:val="left"/>
        <w:rPr>
          <w:rFonts w:ascii="微软雅黑" w:hAnsi="微软雅黑" w:eastAsia="微软雅黑" w:cs="微软雅黑"/>
          <w:i w:val="0"/>
          <w:iCs w:val="0"/>
          <w:caps w:val="0"/>
          <w:color w:val="000000"/>
          <w:spacing w:val="0"/>
          <w:sz w:val="24"/>
          <w:szCs w:val="24"/>
          <w:u w:val="none"/>
        </w:rPr>
      </w:pPr>
      <w:r>
        <w:rPr>
          <w:rFonts w:hint="eastAsia" w:ascii="仿宋" w:hAnsi="仿宋" w:eastAsia="仿宋" w:cs="仿宋"/>
          <w:b/>
          <w:bCs/>
          <w:i w:val="0"/>
          <w:iCs w:val="0"/>
          <w:caps w:val="0"/>
          <w:color w:val="000000"/>
          <w:spacing w:val="0"/>
          <w:kern w:val="0"/>
          <w:sz w:val="30"/>
          <w:szCs w:val="30"/>
          <w:u w:val="none"/>
          <w:shd w:val="clear" w:fill="FFFFFF"/>
          <w:lang w:val="en-US" w:eastAsia="zh-CN" w:bidi="ar"/>
        </w:rPr>
        <w:t>1、</w:t>
      </w:r>
      <w:r>
        <w:rPr>
          <w:rFonts w:ascii="仿宋" w:hAnsi="仿宋" w:eastAsia="仿宋" w:cs="仿宋"/>
          <w:b/>
          <w:bCs/>
          <w:i w:val="0"/>
          <w:iCs w:val="0"/>
          <w:caps w:val="0"/>
          <w:color w:val="000000"/>
          <w:spacing w:val="0"/>
          <w:kern w:val="0"/>
          <w:sz w:val="30"/>
          <w:szCs w:val="30"/>
          <w:u w:val="none"/>
          <w:shd w:val="clear" w:fill="FFFFFF"/>
          <w:lang w:val="en-US" w:eastAsia="zh-CN" w:bidi="ar"/>
        </w:rPr>
        <w:t>项目资金</w:t>
      </w:r>
      <w:r>
        <w:rPr>
          <w:rFonts w:hint="eastAsia" w:ascii="仿宋" w:hAnsi="仿宋" w:eastAsia="仿宋" w:cs="仿宋"/>
          <w:b/>
          <w:bCs/>
          <w:i w:val="0"/>
          <w:iCs w:val="0"/>
          <w:caps w:val="0"/>
          <w:color w:val="000000"/>
          <w:spacing w:val="0"/>
          <w:kern w:val="0"/>
          <w:sz w:val="30"/>
          <w:szCs w:val="30"/>
          <w:u w:val="none"/>
          <w:shd w:val="clear" w:fill="FFFFFF"/>
          <w:lang w:val="en-US" w:eastAsia="zh-CN" w:bidi="ar"/>
        </w:rPr>
        <w:t>管理情况</w:t>
      </w:r>
    </w:p>
    <w:p>
      <w:pPr>
        <w:spacing w:after="0" w:line="560" w:lineRule="exact"/>
        <w:ind w:firstLine="600"/>
        <w:jc w:val="both"/>
        <w:rPr>
          <w:rFonts w:hint="default" w:ascii="仿宋_GB2312" w:hAnsi="仿宋_GB2312" w:eastAsia="仿宋_GB2312" w:cs="仿宋_GB2312"/>
          <w:color w:val="auto"/>
          <w:kern w:val="0"/>
          <w:sz w:val="32"/>
          <w:szCs w:val="32"/>
          <w:lang w:val="en-US" w:eastAsia="zh-CN" w:bidi="ar-SA"/>
        </w:rPr>
      </w:pPr>
      <w:r>
        <w:rPr>
          <w:rFonts w:hint="eastAsia" w:ascii="仿宋_GB2312" w:hAnsi="仿宋_GB2312" w:eastAsia="仿宋_GB2312" w:cs="仿宋_GB2312"/>
          <w:color w:val="auto"/>
          <w:kern w:val="0"/>
          <w:sz w:val="32"/>
          <w:szCs w:val="32"/>
          <w:lang w:val="en-US" w:eastAsia="zh-CN" w:bidi="ar-SA"/>
        </w:rPr>
        <w:t>安排下达青阳县市场监督管理局</w:t>
      </w:r>
      <w:r>
        <w:rPr>
          <w:rFonts w:hint="eastAsia" w:ascii="仿宋_GB2312" w:hAnsi="仿宋_GB2312" w:eastAsia="仿宋_GB2312" w:cs="仿宋_GB2312"/>
          <w:sz w:val="32"/>
          <w:szCs w:val="32"/>
          <w:lang w:val="en-US" w:eastAsia="zh-CN"/>
        </w:rPr>
        <w:t>2022年食品安全监管经费项目</w:t>
      </w:r>
      <w:r>
        <w:rPr>
          <w:rFonts w:hint="eastAsia" w:ascii="仿宋_GB2312" w:hAnsi="仿宋_GB2312" w:eastAsia="仿宋_GB2312" w:cs="仿宋_GB2312"/>
          <w:color w:val="auto"/>
          <w:kern w:val="0"/>
          <w:sz w:val="32"/>
          <w:szCs w:val="32"/>
          <w:lang w:val="en-US" w:eastAsia="zh-CN" w:bidi="ar-SA"/>
        </w:rPr>
        <w:t>共计16万元。该资金为财政全额拨款项目，青阳县市场监督管理局严格按照相关财务管理规定使用资金，按照程序和规定，用于食品抽检、监管、出差以及人员培训等。</w:t>
      </w:r>
      <w:r>
        <w:rPr>
          <w:rFonts w:hint="eastAsia" w:ascii="仿宋_GB2312" w:hAnsi="仿宋_GB2312" w:eastAsia="仿宋_GB2312" w:cs="仿宋_GB2312"/>
          <w:color w:val="auto"/>
          <w:kern w:val="0"/>
          <w:sz w:val="32"/>
          <w:szCs w:val="32"/>
          <w:highlight w:val="none"/>
          <w:lang w:val="en-US" w:eastAsia="zh-CN" w:bidi="ar-SA"/>
        </w:rPr>
        <w:t>合计得分为10分。</w:t>
      </w:r>
    </w:p>
    <w:p>
      <w:pPr>
        <w:keepNext w:val="0"/>
        <w:keepLines w:val="0"/>
        <w:widowControl/>
        <w:numPr>
          <w:ilvl w:val="0"/>
          <w:numId w:val="2"/>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8" w:lineRule="atLeast"/>
        <w:ind w:left="80" w:leftChars="0" w:right="0" w:firstLine="640" w:firstLineChars="0"/>
        <w:jc w:val="left"/>
        <w:rPr>
          <w:rFonts w:ascii="仿宋" w:hAnsi="仿宋" w:eastAsia="仿宋" w:cs="仿宋"/>
          <w:b/>
          <w:bCs/>
          <w:i w:val="0"/>
          <w:iCs w:val="0"/>
          <w:caps w:val="0"/>
          <w:color w:val="000000"/>
          <w:spacing w:val="0"/>
          <w:kern w:val="0"/>
          <w:sz w:val="30"/>
          <w:szCs w:val="30"/>
          <w:u w:val="none"/>
          <w:shd w:val="clear" w:fill="FFFFFF"/>
          <w:lang w:val="en-US" w:eastAsia="zh-CN" w:bidi="ar"/>
        </w:rPr>
      </w:pPr>
      <w:r>
        <w:rPr>
          <w:rFonts w:ascii="仿宋" w:hAnsi="仿宋" w:eastAsia="仿宋" w:cs="仿宋"/>
          <w:b/>
          <w:bCs/>
          <w:i w:val="0"/>
          <w:iCs w:val="0"/>
          <w:caps w:val="0"/>
          <w:color w:val="000000"/>
          <w:spacing w:val="0"/>
          <w:kern w:val="0"/>
          <w:sz w:val="30"/>
          <w:szCs w:val="30"/>
          <w:u w:val="none"/>
          <w:shd w:val="clear" w:fill="FFFFFF"/>
          <w:lang w:val="en-US" w:eastAsia="zh-CN" w:bidi="ar"/>
        </w:rPr>
        <w:t>项目</w:t>
      </w:r>
      <w:r>
        <w:rPr>
          <w:rFonts w:hint="eastAsia" w:ascii="仿宋" w:hAnsi="仿宋" w:eastAsia="仿宋" w:cs="仿宋"/>
          <w:b/>
          <w:bCs/>
          <w:i w:val="0"/>
          <w:iCs w:val="0"/>
          <w:caps w:val="0"/>
          <w:color w:val="000000"/>
          <w:spacing w:val="0"/>
          <w:kern w:val="0"/>
          <w:sz w:val="30"/>
          <w:szCs w:val="30"/>
          <w:u w:val="none"/>
          <w:shd w:val="clear" w:fill="FFFFFF"/>
          <w:lang w:val="en-US" w:eastAsia="zh-CN" w:bidi="ar"/>
        </w:rPr>
        <w:t>组织实施情况</w:t>
      </w:r>
      <w:r>
        <w:rPr>
          <w:rFonts w:ascii="仿宋" w:hAnsi="仿宋" w:eastAsia="仿宋" w:cs="仿宋"/>
          <w:b/>
          <w:bCs/>
          <w:i w:val="0"/>
          <w:iCs w:val="0"/>
          <w:caps w:val="0"/>
          <w:color w:val="000000"/>
          <w:spacing w:val="0"/>
          <w:kern w:val="0"/>
          <w:sz w:val="30"/>
          <w:szCs w:val="30"/>
          <w:u w:val="none"/>
          <w:shd w:val="clear" w:fill="FFFFFF"/>
          <w:lang w:val="en-US" w:eastAsia="zh-CN" w:bidi="ar"/>
        </w:rPr>
        <w:t>。</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640" w:firstLineChars="200"/>
        <w:rPr>
          <w:rFonts w:hint="eastAsia" w:ascii="仿宋_GB2312" w:hAnsi="仿宋_GB2312" w:eastAsia="仿宋_GB2312" w:cs="仿宋_GB2312"/>
          <w:color w:val="auto"/>
          <w:kern w:val="0"/>
          <w:sz w:val="32"/>
          <w:szCs w:val="32"/>
          <w:lang w:val="en-US" w:eastAsia="zh-CN" w:bidi="ar-SA"/>
        </w:rPr>
      </w:pPr>
      <w:r>
        <w:rPr>
          <w:rFonts w:hint="eastAsia" w:ascii="仿宋_GB2312" w:hAnsi="仿宋_GB2312" w:eastAsia="仿宋_GB2312" w:cs="仿宋_GB2312"/>
          <w:color w:val="auto"/>
          <w:kern w:val="0"/>
          <w:sz w:val="32"/>
          <w:szCs w:val="32"/>
          <w:lang w:val="en-US" w:eastAsia="zh-CN" w:bidi="ar-SA"/>
        </w:rPr>
        <w:t>为了做好绩效评价工作，规范和加强专项资金管理，切实提高专项资金的使用绩效和管理水平，青阳县市场监督管理局成立了绩效评价工作小组，按照项目单位自评方式，对</w:t>
      </w:r>
      <w:r>
        <w:rPr>
          <w:rFonts w:hint="eastAsia" w:ascii="仿宋_GB2312" w:hAnsi="仿宋_GB2312" w:eastAsia="仿宋_GB2312" w:cs="仿宋_GB2312"/>
          <w:sz w:val="32"/>
          <w:szCs w:val="32"/>
          <w:lang w:val="en-US" w:eastAsia="zh-CN"/>
        </w:rPr>
        <w:t>2022年食品安全监管经费项目</w:t>
      </w:r>
      <w:r>
        <w:rPr>
          <w:rFonts w:hint="eastAsia" w:ascii="仿宋_GB2312" w:hAnsi="仿宋_GB2312" w:eastAsia="仿宋_GB2312" w:cs="仿宋_GB2312"/>
          <w:color w:val="auto"/>
          <w:kern w:val="0"/>
          <w:sz w:val="32"/>
          <w:szCs w:val="32"/>
          <w:lang w:val="en-US" w:eastAsia="zh-CN" w:bidi="ar-SA"/>
        </w:rPr>
        <w:t>开展了绩效评价工作。</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640" w:firstLineChars="200"/>
        <w:rPr>
          <w:rFonts w:hint="eastAsia" w:ascii="仿宋_GB2312" w:hAnsi="仿宋_GB2312" w:eastAsia="仿宋_GB2312" w:cs="仿宋_GB2312"/>
          <w:color w:val="auto"/>
          <w:kern w:val="0"/>
          <w:sz w:val="32"/>
          <w:szCs w:val="32"/>
          <w:lang w:val="en-US" w:eastAsia="zh-CN" w:bidi="ar-SA"/>
        </w:rPr>
      </w:pPr>
      <w:r>
        <w:rPr>
          <w:rFonts w:hint="eastAsia" w:ascii="仿宋_GB2312" w:hAnsi="仿宋_GB2312" w:eastAsia="仿宋_GB2312" w:cs="仿宋_GB2312"/>
          <w:color w:val="auto"/>
          <w:kern w:val="0"/>
          <w:sz w:val="32"/>
          <w:szCs w:val="32"/>
          <w:lang w:val="en-US" w:eastAsia="zh-CN" w:bidi="ar-SA"/>
        </w:rPr>
        <w:t>（1）认真开展前期工作</w:t>
      </w:r>
    </w:p>
    <w:p>
      <w:pPr>
        <w:keepNext w:val="0"/>
        <w:keepLines w:val="0"/>
        <w:widowControl/>
        <w:suppressLineNumbers w:val="0"/>
        <w:ind w:firstLine="640" w:firstLineChars="200"/>
        <w:jc w:val="left"/>
        <w:rPr>
          <w:rFonts w:hint="eastAsia" w:ascii="仿宋_GB2312" w:hAnsi="仿宋_GB2312" w:eastAsia="仿宋_GB2312" w:cs="仿宋_GB2312"/>
          <w:color w:val="auto"/>
          <w:kern w:val="0"/>
          <w:sz w:val="32"/>
          <w:szCs w:val="32"/>
          <w:lang w:val="en-US" w:eastAsia="zh-CN" w:bidi="ar-SA"/>
        </w:rPr>
      </w:pPr>
      <w:r>
        <w:rPr>
          <w:rFonts w:hint="eastAsia" w:ascii="仿宋_GB2312" w:hAnsi="仿宋_GB2312" w:eastAsia="仿宋_GB2312" w:cs="仿宋_GB2312"/>
          <w:color w:val="auto"/>
          <w:kern w:val="0"/>
          <w:sz w:val="32"/>
          <w:szCs w:val="32"/>
          <w:lang w:val="en-US" w:eastAsia="zh-CN" w:bidi="ar-SA"/>
        </w:rPr>
        <w:t>根据绩效自评要求，向主要负责人报告有关情况。按照主要领导的指示意见，组建了绩效评价工作小组，迅速开展前期各项准备工作。</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640" w:firstLineChars="200"/>
        <w:rPr>
          <w:rFonts w:hint="eastAsia" w:ascii="仿宋_GB2312" w:hAnsi="仿宋_GB2312" w:eastAsia="仿宋_GB2312" w:cs="仿宋_GB2312"/>
          <w:color w:val="auto"/>
          <w:kern w:val="0"/>
          <w:sz w:val="32"/>
          <w:szCs w:val="32"/>
          <w:lang w:val="en-US" w:eastAsia="zh-CN" w:bidi="ar-SA"/>
        </w:rPr>
      </w:pPr>
      <w:r>
        <w:rPr>
          <w:rFonts w:hint="eastAsia" w:ascii="仿宋_GB2312" w:hAnsi="仿宋_GB2312" w:eastAsia="仿宋_GB2312" w:cs="仿宋_GB2312"/>
          <w:color w:val="auto"/>
          <w:kern w:val="0"/>
          <w:sz w:val="32"/>
          <w:szCs w:val="32"/>
          <w:lang w:val="en-US" w:eastAsia="zh-CN" w:bidi="ar-SA"/>
        </w:rPr>
        <w:t>（2）有序开展绩效评价</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640" w:firstLineChars="200"/>
        <w:rPr>
          <w:rFonts w:ascii="仿宋" w:hAnsi="仿宋" w:eastAsia="仿宋" w:cs="仿宋"/>
          <w:b/>
          <w:bCs/>
          <w:i w:val="0"/>
          <w:iCs w:val="0"/>
          <w:caps w:val="0"/>
          <w:color w:val="000000"/>
          <w:spacing w:val="0"/>
          <w:kern w:val="0"/>
          <w:sz w:val="30"/>
          <w:szCs w:val="30"/>
          <w:u w:val="none"/>
          <w:shd w:val="clear" w:fill="FFFFFF"/>
          <w:lang w:val="en-US" w:eastAsia="zh-CN" w:bidi="ar"/>
        </w:rPr>
      </w:pPr>
      <w:r>
        <w:rPr>
          <w:rFonts w:hint="eastAsia" w:ascii="仿宋_GB2312" w:hAnsi="仿宋_GB2312" w:eastAsia="仿宋_GB2312" w:cs="仿宋_GB2312"/>
          <w:color w:val="auto"/>
          <w:kern w:val="0"/>
          <w:sz w:val="32"/>
          <w:szCs w:val="32"/>
          <w:lang w:val="en-US" w:eastAsia="zh-CN" w:bidi="ar-SA"/>
        </w:rPr>
        <w:t>为确保绩效评价工作落到实处，取得成效，组织相关科室召开了专题培训会，对组织开展绩效考评明确了具体要求，对绩效评价指标进行了详细解读。根据实施方案要求，组织力量进行了逐一梳理，并进行了数据分析，形成了绩效评价报告，自评分数为100分。</w:t>
      </w:r>
    </w:p>
    <w:p>
      <w:pPr>
        <w:numPr>
          <w:ilvl w:val="0"/>
          <w:numId w:val="1"/>
        </w:numPr>
        <w:spacing w:after="0" w:line="560" w:lineRule="exact"/>
        <w:ind w:left="0" w:leftChars="0" w:firstLine="600" w:firstLineChars="0"/>
        <w:jc w:val="both"/>
        <w:outlineLvl w:val="0"/>
        <w:rPr>
          <w:rFonts w:hint="eastAsia" w:ascii="仿宋_GB2312" w:hAnsi="仿宋_GB2312" w:eastAsia="仿宋_GB2312" w:cs="仿宋_GB2312"/>
          <w:sz w:val="32"/>
          <w:szCs w:val="32"/>
          <w:lang w:eastAsia="zh-CN"/>
        </w:rPr>
      </w:pPr>
      <w:r>
        <w:rPr>
          <w:rFonts w:ascii="仿宋_GB2312" w:hAnsi="仿宋_GB2312" w:eastAsia="仿宋_GB2312" w:cs="仿宋_GB2312"/>
          <w:sz w:val="32"/>
          <w:szCs w:val="32"/>
        </w:rPr>
        <w:t>项目产出情况分析</w:t>
      </w:r>
      <w:r>
        <w:rPr>
          <w:rFonts w:hint="eastAsia" w:ascii="仿宋_GB2312" w:hAnsi="仿宋_GB2312" w:eastAsia="仿宋_GB2312" w:cs="仿宋_GB2312"/>
          <w:sz w:val="32"/>
          <w:szCs w:val="32"/>
          <w:lang w:eastAsia="zh-CN"/>
        </w:rPr>
        <w:t>（主要包括</w:t>
      </w:r>
      <w:r>
        <w:rPr>
          <w:rFonts w:hint="eastAsia" w:ascii="仿宋_GB2312" w:hAnsi="仿宋_GB2312" w:eastAsia="仿宋_GB2312" w:cs="仿宋_GB2312"/>
          <w:sz w:val="32"/>
          <w:szCs w:val="32"/>
        </w:rPr>
        <w:t>产出数量</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产出质量</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产出时效</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产出成本</w:t>
      </w:r>
      <w:r>
        <w:rPr>
          <w:rFonts w:hint="eastAsia" w:ascii="仿宋_GB2312" w:hAnsi="仿宋_GB2312" w:eastAsia="仿宋_GB2312" w:cs="仿宋_GB2312"/>
          <w:sz w:val="32"/>
          <w:szCs w:val="32"/>
          <w:lang w:eastAsia="zh-CN"/>
        </w:rPr>
        <w:t>等）。</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640" w:firstLineChars="200"/>
        <w:jc w:val="left"/>
        <w:rPr>
          <w:rFonts w:hint="eastAsia" w:ascii="仿宋_GB2312" w:hAnsi="仿宋_GB2312" w:eastAsia="仿宋_GB2312" w:cs="仿宋_GB2312"/>
          <w:color w:val="auto"/>
          <w:kern w:val="0"/>
          <w:sz w:val="32"/>
          <w:szCs w:val="32"/>
          <w:lang w:val="en-US" w:eastAsia="zh-CN" w:bidi="ar-SA"/>
        </w:rPr>
      </w:pPr>
      <w:r>
        <w:rPr>
          <w:rFonts w:hint="eastAsia" w:ascii="仿宋_GB2312" w:hAnsi="仿宋_GB2312" w:eastAsia="仿宋_GB2312" w:cs="仿宋_GB2312"/>
          <w:color w:val="auto"/>
          <w:kern w:val="0"/>
          <w:sz w:val="32"/>
          <w:szCs w:val="32"/>
          <w:lang w:val="en-US" w:eastAsia="zh-CN" w:bidi="ar-SA"/>
        </w:rPr>
        <w:t>1、产出数量指标得分情况</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640" w:firstLineChars="200"/>
        <w:jc w:val="left"/>
        <w:rPr>
          <w:rFonts w:hint="default" w:ascii="仿宋_GB2312" w:hAnsi="仿宋_GB2312" w:eastAsia="仿宋_GB2312" w:cs="仿宋_GB2312"/>
          <w:color w:val="auto"/>
          <w:kern w:val="0"/>
          <w:sz w:val="32"/>
          <w:szCs w:val="32"/>
          <w:lang w:val="en-US" w:eastAsia="zh-CN" w:bidi="ar-SA"/>
        </w:rPr>
      </w:pPr>
      <w:r>
        <w:rPr>
          <w:rFonts w:hint="eastAsia" w:ascii="仿宋_GB2312" w:hAnsi="仿宋_GB2312" w:eastAsia="仿宋_GB2312" w:cs="仿宋_GB2312"/>
          <w:color w:val="auto"/>
          <w:kern w:val="0"/>
          <w:sz w:val="32"/>
          <w:szCs w:val="32"/>
          <w:lang w:val="en-US" w:eastAsia="zh-CN" w:bidi="ar-SA"/>
        </w:rPr>
        <w:t>202年度资金项目均统筹用于食品安全监管。食品抽检批次366批次；</w:t>
      </w:r>
      <w:r>
        <w:rPr>
          <w:rFonts w:hint="eastAsia" w:ascii="仿宋_GB2312" w:hAnsi="仿宋_GB2312" w:eastAsia="仿宋_GB2312" w:cs="仿宋_GB2312"/>
          <w:sz w:val="32"/>
          <w:szCs w:val="32"/>
          <w:lang w:val="en-US" w:eastAsia="zh-CN"/>
        </w:rPr>
        <w:t>监督检查65家食品生产企业、42家食品小作坊；培训了132人次食品安全监管人员；对15家食品小作坊能力建设进行培训；10个基层所食品安全监管装备能力得到提升，</w:t>
      </w:r>
      <w:r>
        <w:rPr>
          <w:rFonts w:hint="eastAsia" w:ascii="仿宋_GB2312" w:hAnsi="仿宋_GB2312" w:eastAsia="仿宋_GB2312" w:cs="仿宋_GB2312"/>
          <w:color w:val="auto"/>
          <w:kern w:val="0"/>
          <w:sz w:val="32"/>
          <w:szCs w:val="32"/>
          <w:lang w:val="en-US" w:eastAsia="zh-CN" w:bidi="ar-SA"/>
        </w:rPr>
        <w:t>合计得分为24分。</w:t>
      </w:r>
    </w:p>
    <w:p>
      <w:pPr>
        <w:pStyle w:val="2"/>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720" w:leftChars="0" w:right="0" w:rightChars="0"/>
        <w:jc w:val="left"/>
        <w:rPr>
          <w:rFonts w:hint="eastAsia" w:ascii="仿宋_GB2312" w:hAnsi="仿宋_GB2312" w:eastAsia="仿宋_GB2312" w:cs="仿宋_GB2312"/>
          <w:color w:val="auto"/>
          <w:kern w:val="0"/>
          <w:sz w:val="32"/>
          <w:szCs w:val="32"/>
          <w:lang w:val="en-US" w:eastAsia="zh-CN" w:bidi="ar-SA"/>
        </w:rPr>
      </w:pPr>
      <w:r>
        <w:rPr>
          <w:rFonts w:hint="eastAsia" w:ascii="仿宋_GB2312" w:hAnsi="仿宋_GB2312" w:eastAsia="仿宋_GB2312" w:cs="仿宋_GB2312"/>
          <w:color w:val="auto"/>
          <w:kern w:val="0"/>
          <w:sz w:val="32"/>
          <w:szCs w:val="32"/>
          <w:lang w:val="en-US" w:eastAsia="zh-CN" w:bidi="ar-SA"/>
        </w:rPr>
        <w:t>2、产出质量指标得分情况</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0" w:firstLine="640" w:firstLineChars="200"/>
        <w:jc w:val="left"/>
        <w:rPr>
          <w:rFonts w:hint="eastAsia" w:ascii="仿宋_GB2312" w:hAnsi="仿宋_GB2312" w:eastAsia="仿宋_GB2312" w:cs="仿宋_GB2312"/>
          <w:color w:val="auto"/>
          <w:kern w:val="0"/>
          <w:sz w:val="32"/>
          <w:szCs w:val="32"/>
          <w:lang w:val="en-US" w:eastAsia="zh-CN" w:bidi="ar-SA"/>
        </w:rPr>
      </w:pPr>
      <w:r>
        <w:rPr>
          <w:rFonts w:hint="eastAsia" w:ascii="仿宋_GB2312" w:hAnsi="仿宋_GB2312" w:eastAsia="仿宋_GB2312" w:cs="仿宋_GB2312"/>
          <w:color w:val="auto"/>
          <w:kern w:val="0"/>
          <w:sz w:val="32"/>
          <w:szCs w:val="32"/>
          <w:lang w:val="en-US" w:eastAsia="zh-CN" w:bidi="ar-SA"/>
        </w:rPr>
        <w:t>食品抽检总体合格率为97.54%，食品生产企业日常监督检查覆盖率为100%，逐步提升食品安全监管队伍能力水平，逐步提高食品安全科普知识群众知晓程度，合计得分16分。</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0" w:firstLine="640" w:firstLineChars="200"/>
        <w:jc w:val="left"/>
        <w:rPr>
          <w:rFonts w:hint="eastAsia" w:ascii="仿宋_GB2312" w:hAnsi="仿宋_GB2312" w:eastAsia="仿宋_GB2312" w:cs="仿宋_GB2312"/>
          <w:color w:val="auto"/>
          <w:kern w:val="0"/>
          <w:sz w:val="32"/>
          <w:szCs w:val="32"/>
          <w:lang w:val="en-US" w:eastAsia="zh-CN" w:bidi="ar-SA"/>
        </w:rPr>
      </w:pPr>
      <w:r>
        <w:rPr>
          <w:rFonts w:hint="eastAsia" w:ascii="仿宋_GB2312" w:hAnsi="仿宋_GB2312" w:eastAsia="仿宋_GB2312" w:cs="仿宋_GB2312"/>
          <w:color w:val="auto"/>
          <w:kern w:val="0"/>
          <w:sz w:val="32"/>
          <w:szCs w:val="32"/>
          <w:lang w:val="en-US" w:eastAsia="zh-CN" w:bidi="ar-SA"/>
        </w:rPr>
        <w:t>3、产出时效指标得分情况</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640" w:firstLineChars="200"/>
        <w:jc w:val="left"/>
        <w:rPr>
          <w:rFonts w:hint="default" w:ascii="仿宋_GB2312" w:hAnsi="仿宋_GB2312" w:eastAsia="仿宋_GB2312" w:cs="仿宋_GB2312"/>
          <w:color w:val="auto"/>
          <w:kern w:val="0"/>
          <w:sz w:val="32"/>
          <w:szCs w:val="32"/>
          <w:lang w:val="en-US" w:eastAsia="zh-CN" w:bidi="ar-SA"/>
        </w:rPr>
      </w:pPr>
      <w:r>
        <w:rPr>
          <w:rFonts w:hint="eastAsia" w:ascii="仿宋_GB2312" w:hAnsi="仿宋_GB2312" w:eastAsia="仿宋_GB2312" w:cs="仿宋_GB2312"/>
          <w:color w:val="auto"/>
          <w:kern w:val="0"/>
          <w:sz w:val="32"/>
          <w:szCs w:val="32"/>
          <w:lang w:val="en-US" w:eastAsia="zh-CN" w:bidi="ar-SA"/>
        </w:rPr>
        <w:t>食品抽检及监管任务完成时限均在2022年12月，书面总结报送时间也在2022年12月，得分为5分。</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640" w:firstLineChars="200"/>
        <w:jc w:val="left"/>
        <w:rPr>
          <w:rFonts w:hint="eastAsia" w:ascii="仿宋_GB2312" w:hAnsi="仿宋_GB2312" w:eastAsia="仿宋_GB2312" w:cs="仿宋_GB2312"/>
          <w:color w:val="auto"/>
          <w:kern w:val="0"/>
          <w:sz w:val="32"/>
          <w:szCs w:val="32"/>
          <w:lang w:val="en-US" w:eastAsia="zh-CN" w:bidi="ar-SA"/>
        </w:rPr>
      </w:pPr>
      <w:r>
        <w:rPr>
          <w:rFonts w:hint="eastAsia" w:ascii="仿宋_GB2312" w:hAnsi="仿宋_GB2312" w:eastAsia="仿宋_GB2312" w:cs="仿宋_GB2312"/>
          <w:color w:val="auto"/>
          <w:kern w:val="0"/>
          <w:sz w:val="32"/>
          <w:szCs w:val="32"/>
          <w:lang w:val="en-US" w:eastAsia="zh-CN" w:bidi="ar-SA"/>
        </w:rPr>
        <w:t>4、产出成本指标得分情况</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640" w:firstLineChars="200"/>
        <w:jc w:val="left"/>
        <w:rPr>
          <w:rFonts w:hint="eastAsia" w:ascii="仿宋_GB2312" w:hAnsi="仿宋_GB2312" w:eastAsia="仿宋_GB2312" w:cs="仿宋_GB2312"/>
          <w:sz w:val="32"/>
          <w:szCs w:val="32"/>
          <w:lang w:eastAsia="zh-CN"/>
        </w:rPr>
      </w:pPr>
      <w:r>
        <w:rPr>
          <w:rFonts w:hint="eastAsia" w:ascii="仿宋_GB2312" w:hAnsi="仿宋_GB2312" w:eastAsia="仿宋_GB2312" w:cs="仿宋_GB2312"/>
          <w:color w:val="auto"/>
          <w:kern w:val="0"/>
          <w:sz w:val="32"/>
          <w:szCs w:val="32"/>
          <w:lang w:val="en-US" w:eastAsia="zh-CN" w:bidi="ar-SA"/>
        </w:rPr>
        <w:t>  </w:t>
      </w:r>
      <w:r>
        <w:rPr>
          <w:rFonts w:hint="eastAsia" w:ascii="仿宋_GB2312" w:hAnsi="仿宋_GB2312" w:eastAsia="仿宋_GB2312" w:cs="仿宋_GB2312"/>
          <w:sz w:val="32"/>
          <w:szCs w:val="32"/>
          <w:lang w:val="en-US" w:eastAsia="zh-CN"/>
        </w:rPr>
        <w:t>2022年食品安全监管经费</w:t>
      </w:r>
      <w:r>
        <w:rPr>
          <w:rFonts w:hint="eastAsia" w:ascii="仿宋_GB2312" w:hAnsi="仿宋_GB2312" w:eastAsia="仿宋_GB2312" w:cs="仿宋_GB2312"/>
          <w:color w:val="auto"/>
          <w:kern w:val="0"/>
          <w:sz w:val="32"/>
          <w:szCs w:val="32"/>
          <w:lang w:val="en-US" w:eastAsia="zh-CN" w:bidi="ar-SA"/>
        </w:rPr>
        <w:t>全年实际执行值为16万元，得分为5分。</w:t>
      </w:r>
    </w:p>
    <w:p>
      <w:pPr>
        <w:numPr>
          <w:ilvl w:val="0"/>
          <w:numId w:val="1"/>
        </w:numPr>
        <w:spacing w:after="0" w:line="560" w:lineRule="exact"/>
        <w:ind w:left="0" w:leftChars="0" w:firstLine="600" w:firstLineChars="0"/>
        <w:jc w:val="both"/>
        <w:outlineLvl w:val="0"/>
        <w:rPr>
          <w:rFonts w:ascii="仿宋_GB2312" w:hAnsi="仿宋_GB2312" w:eastAsia="仿宋_GB2312" w:cs="仿宋_GB2312"/>
          <w:sz w:val="32"/>
          <w:szCs w:val="32"/>
        </w:rPr>
      </w:pPr>
      <w:r>
        <w:rPr>
          <w:rFonts w:ascii="仿宋_GB2312" w:hAnsi="仿宋_GB2312" w:eastAsia="仿宋_GB2312" w:cs="仿宋_GB2312"/>
          <w:sz w:val="32"/>
          <w:szCs w:val="32"/>
        </w:rPr>
        <w:t>项目效</w:t>
      </w:r>
      <w:r>
        <w:rPr>
          <w:rFonts w:hint="eastAsia" w:ascii="仿宋_GB2312" w:hAnsi="仿宋_GB2312" w:eastAsia="仿宋_GB2312" w:cs="仿宋_GB2312"/>
          <w:sz w:val="32"/>
          <w:szCs w:val="32"/>
          <w:lang w:eastAsia="zh-CN"/>
        </w:rPr>
        <w:t>益</w:t>
      </w:r>
      <w:r>
        <w:rPr>
          <w:rFonts w:ascii="仿宋_GB2312" w:hAnsi="仿宋_GB2312" w:eastAsia="仿宋_GB2312" w:cs="仿宋_GB2312"/>
          <w:sz w:val="32"/>
          <w:szCs w:val="32"/>
        </w:rPr>
        <w:t>情况分析</w:t>
      </w:r>
    </w:p>
    <w:p>
      <w:pPr>
        <w:keepNext w:val="0"/>
        <w:keepLines w:val="0"/>
        <w:pageBreakBefore w:val="0"/>
        <w:widowControl/>
        <w:numPr>
          <w:ilvl w:val="0"/>
          <w:numId w:val="0"/>
        </w:numPr>
        <w:kinsoku/>
        <w:wordWrap/>
        <w:overflowPunct/>
        <w:topLinePunct w:val="0"/>
        <w:autoSpaceDE w:val="0"/>
        <w:autoSpaceDN w:val="0"/>
        <w:bidi w:val="0"/>
        <w:adjustRightInd/>
        <w:snapToGrid/>
        <w:spacing w:after="0" w:line="560" w:lineRule="exact"/>
        <w:ind w:left="601" w:leftChars="0" w:firstLine="640" w:firstLineChars="200"/>
        <w:jc w:val="both"/>
        <w:textAlignment w:val="auto"/>
        <w:outlineLvl w:val="0"/>
        <w:rPr>
          <w:rFonts w:hint="default" w:ascii="仿宋_GB2312" w:hAnsi="仿宋_GB2312" w:eastAsia="仿宋_GB2312" w:cs="仿宋_GB2312"/>
          <w:color w:val="auto"/>
          <w:kern w:val="0"/>
          <w:sz w:val="32"/>
          <w:szCs w:val="32"/>
          <w:lang w:val="en-US" w:eastAsia="zh-CN" w:bidi="ar-SA"/>
        </w:rPr>
      </w:pPr>
      <w:r>
        <w:rPr>
          <w:rFonts w:hint="eastAsia" w:ascii="仿宋_GB2312" w:hAnsi="仿宋_GB2312" w:eastAsia="仿宋_GB2312" w:cs="仿宋_GB2312"/>
          <w:color w:val="auto"/>
          <w:kern w:val="0"/>
          <w:sz w:val="32"/>
          <w:szCs w:val="32"/>
          <w:lang w:val="en-US" w:eastAsia="zh-CN" w:bidi="ar-SA"/>
        </w:rPr>
        <w:t>食品安全监管水平逐步提高，公众食品安全科普知识素养不断提高，基层所食品安全监管装备能力持续提升，食品安全环境逐步优化，公众对食品安全监管满意度大于85%，合计得分40分。</w:t>
      </w:r>
    </w:p>
    <w:p>
      <w:pPr>
        <w:keepNext w:val="0"/>
        <w:keepLines w:val="0"/>
        <w:pageBreakBefore w:val="0"/>
        <w:widowControl/>
        <w:numPr>
          <w:ilvl w:val="0"/>
          <w:numId w:val="0"/>
        </w:numPr>
        <w:kinsoku/>
        <w:wordWrap/>
        <w:overflowPunct/>
        <w:topLinePunct w:val="0"/>
        <w:autoSpaceDE w:val="0"/>
        <w:autoSpaceDN w:val="0"/>
        <w:bidi w:val="0"/>
        <w:adjustRightInd/>
        <w:snapToGrid/>
        <w:spacing w:after="0" w:line="560" w:lineRule="exact"/>
        <w:ind w:firstLine="640" w:firstLineChars="200"/>
        <w:jc w:val="both"/>
        <w:textAlignment w:val="auto"/>
        <w:outlineLvl w:val="0"/>
        <w:rPr>
          <w:rFonts w:ascii="黑体" w:hAnsi="黑体" w:eastAsia="黑体" w:cs="黑体"/>
          <w:sz w:val="32"/>
          <w:szCs w:val="32"/>
        </w:rPr>
      </w:pPr>
      <w:r>
        <w:rPr>
          <w:rFonts w:ascii="黑体" w:hAnsi="黑体" w:eastAsia="黑体" w:cs="黑体"/>
          <w:sz w:val="32"/>
          <w:szCs w:val="32"/>
        </w:rPr>
        <w:t>五、主要经验及做法、存在的问题及原因分析</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8" w:lineRule="atLeast"/>
        <w:ind w:left="0" w:right="0" w:firstLine="600"/>
        <w:jc w:val="left"/>
        <w:rPr>
          <w:rFonts w:hint="eastAsia" w:ascii="仿宋" w:hAnsi="仿宋" w:eastAsia="仿宋" w:cs="仿宋"/>
          <w:b/>
          <w:bCs/>
          <w:i w:val="0"/>
          <w:iCs w:val="0"/>
          <w:caps w:val="0"/>
          <w:color w:val="000000"/>
          <w:spacing w:val="0"/>
          <w:kern w:val="0"/>
          <w:sz w:val="30"/>
          <w:szCs w:val="30"/>
          <w:u w:val="none"/>
          <w:shd w:val="clear" w:fill="FFFFFF"/>
          <w:lang w:val="en-US" w:eastAsia="zh-CN" w:bidi="ar"/>
        </w:rPr>
      </w:pPr>
      <w:r>
        <w:rPr>
          <w:rFonts w:hint="eastAsia" w:ascii="仿宋" w:hAnsi="仿宋" w:eastAsia="仿宋" w:cs="仿宋"/>
          <w:b/>
          <w:bCs/>
          <w:i w:val="0"/>
          <w:iCs w:val="0"/>
          <w:caps w:val="0"/>
          <w:color w:val="000000"/>
          <w:spacing w:val="0"/>
          <w:kern w:val="0"/>
          <w:sz w:val="30"/>
          <w:szCs w:val="30"/>
          <w:u w:val="none"/>
          <w:shd w:val="clear" w:fill="FFFFFF"/>
          <w:lang w:val="en-US" w:eastAsia="zh-CN" w:bidi="ar"/>
        </w:rPr>
        <w:t>经验及做法：</w:t>
      </w:r>
      <w:bookmarkStart w:id="0" w:name="_GoBack"/>
      <w:bookmarkEnd w:id="0"/>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8" w:lineRule="atLeast"/>
        <w:ind w:left="0" w:right="0" w:firstLine="600"/>
        <w:jc w:val="left"/>
        <w:rPr>
          <w:rFonts w:hint="eastAsia" w:ascii="仿宋_GB2312" w:hAnsi="仿宋_GB2312" w:eastAsia="仿宋_GB2312" w:cs="仿宋_GB2312"/>
          <w:color w:val="auto"/>
          <w:kern w:val="0"/>
          <w:sz w:val="32"/>
          <w:szCs w:val="32"/>
          <w:lang w:val="en-US" w:eastAsia="zh-CN" w:bidi="ar-SA"/>
        </w:rPr>
      </w:pPr>
      <w:r>
        <w:rPr>
          <w:rFonts w:hint="eastAsia" w:ascii="仿宋_GB2312" w:hAnsi="仿宋_GB2312" w:eastAsia="仿宋_GB2312" w:cs="仿宋_GB2312"/>
          <w:color w:val="auto"/>
          <w:kern w:val="0"/>
          <w:sz w:val="32"/>
          <w:szCs w:val="32"/>
          <w:lang w:val="en-US" w:eastAsia="zh-CN" w:bidi="ar-SA"/>
        </w:rPr>
        <w:t>1、规范资金拨付流程</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8" w:lineRule="atLeast"/>
        <w:ind w:left="0" w:right="0" w:firstLine="600"/>
        <w:jc w:val="left"/>
        <w:rPr>
          <w:rFonts w:hint="eastAsia" w:ascii="仿宋_GB2312" w:hAnsi="仿宋_GB2312" w:eastAsia="仿宋_GB2312" w:cs="仿宋_GB2312"/>
          <w:color w:val="auto"/>
          <w:kern w:val="0"/>
          <w:sz w:val="32"/>
          <w:szCs w:val="32"/>
          <w:lang w:val="en-US" w:eastAsia="zh-CN" w:bidi="ar-SA"/>
        </w:rPr>
      </w:pPr>
      <w:r>
        <w:rPr>
          <w:rFonts w:hint="eastAsia" w:ascii="仿宋_GB2312" w:hAnsi="仿宋_GB2312" w:eastAsia="仿宋_GB2312" w:cs="仿宋_GB2312"/>
          <w:color w:val="auto"/>
          <w:kern w:val="0"/>
          <w:sz w:val="32"/>
          <w:szCs w:val="32"/>
          <w:lang w:val="en-US" w:eastAsia="zh-CN" w:bidi="ar-SA"/>
        </w:rPr>
        <w:t>在拨付依据上按照先有预算目标再有用款计划；在拨付审批权限上要求经办人、科室负责人、主管会计、财务负责人依次审核，从严把关。</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8" w:lineRule="atLeast"/>
        <w:ind w:left="0" w:right="0" w:firstLine="600"/>
        <w:jc w:val="left"/>
        <w:rPr>
          <w:rFonts w:hint="default" w:ascii="仿宋" w:hAnsi="仿宋" w:eastAsia="仿宋" w:cs="仿宋"/>
          <w:i w:val="0"/>
          <w:iCs w:val="0"/>
          <w:caps w:val="0"/>
          <w:color w:val="000000"/>
          <w:spacing w:val="0"/>
          <w:kern w:val="0"/>
          <w:sz w:val="30"/>
          <w:szCs w:val="30"/>
          <w:u w:val="none"/>
          <w:shd w:val="clear" w:fill="FFFFFF"/>
          <w:lang w:val="en-US" w:eastAsia="zh-CN" w:bidi="ar"/>
        </w:rPr>
      </w:pPr>
      <w:r>
        <w:rPr>
          <w:rFonts w:hint="eastAsia" w:ascii="仿宋_GB2312" w:hAnsi="仿宋_GB2312" w:eastAsia="仿宋_GB2312" w:cs="仿宋_GB2312"/>
          <w:color w:val="auto"/>
          <w:kern w:val="0"/>
          <w:sz w:val="32"/>
          <w:szCs w:val="32"/>
          <w:lang w:val="en-US" w:eastAsia="zh-CN" w:bidi="ar-SA"/>
        </w:rPr>
        <w:t>2、将局机关执法车辆下划到基层所，给各所配备执法平板、执法记录仪等设备，增加执法力量。</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8" w:lineRule="atLeast"/>
        <w:ind w:left="0" w:right="0" w:firstLine="602"/>
        <w:jc w:val="left"/>
        <w:rPr>
          <w:rFonts w:ascii="微软雅黑" w:hAnsi="微软雅黑" w:eastAsia="微软雅黑" w:cs="微软雅黑"/>
          <w:i w:val="0"/>
          <w:iCs w:val="0"/>
          <w:caps w:val="0"/>
          <w:color w:val="000000"/>
          <w:spacing w:val="0"/>
          <w:sz w:val="24"/>
          <w:szCs w:val="24"/>
          <w:u w:val="none"/>
        </w:rPr>
      </w:pPr>
      <w:r>
        <w:rPr>
          <w:rFonts w:ascii="仿宋" w:hAnsi="仿宋" w:eastAsia="仿宋" w:cs="仿宋"/>
          <w:b/>
          <w:bCs/>
          <w:i w:val="0"/>
          <w:iCs w:val="0"/>
          <w:caps w:val="0"/>
          <w:color w:val="000000"/>
          <w:spacing w:val="0"/>
          <w:kern w:val="0"/>
          <w:sz w:val="30"/>
          <w:szCs w:val="30"/>
          <w:u w:val="none"/>
          <w:shd w:val="clear" w:fill="FFFFFF"/>
          <w:lang w:val="en-US" w:eastAsia="zh-CN" w:bidi="ar"/>
        </w:rPr>
        <w:t>存在的问题</w:t>
      </w:r>
      <w:r>
        <w:rPr>
          <w:rFonts w:hint="eastAsia" w:ascii="仿宋" w:hAnsi="仿宋" w:eastAsia="仿宋" w:cs="仿宋"/>
          <w:b/>
          <w:bCs/>
          <w:i w:val="0"/>
          <w:iCs w:val="0"/>
          <w:caps w:val="0"/>
          <w:color w:val="000000"/>
          <w:spacing w:val="0"/>
          <w:kern w:val="0"/>
          <w:sz w:val="30"/>
          <w:szCs w:val="30"/>
          <w:u w:val="none"/>
          <w:shd w:val="clear" w:fill="FFFFFF"/>
          <w:lang w:val="en-US" w:eastAsia="zh-CN" w:bidi="ar"/>
        </w:rPr>
        <w:t>：</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8" w:lineRule="atLeast"/>
        <w:ind w:left="0" w:right="0" w:firstLine="750"/>
        <w:jc w:val="both"/>
        <w:rPr>
          <w:rFonts w:hint="eastAsia" w:ascii="仿宋_GB2312" w:hAnsi="仿宋_GB2312" w:eastAsia="仿宋_GB2312" w:cs="仿宋_GB2312"/>
          <w:color w:val="auto"/>
          <w:kern w:val="0"/>
          <w:sz w:val="32"/>
          <w:szCs w:val="32"/>
          <w:lang w:val="en-US" w:eastAsia="zh-CN" w:bidi="ar-SA"/>
        </w:rPr>
      </w:pPr>
      <w:r>
        <w:rPr>
          <w:rFonts w:hint="eastAsia" w:ascii="仿宋_GB2312" w:hAnsi="仿宋_GB2312" w:eastAsia="仿宋_GB2312" w:cs="仿宋_GB2312"/>
          <w:color w:val="auto"/>
          <w:kern w:val="0"/>
          <w:sz w:val="32"/>
          <w:szCs w:val="32"/>
          <w:lang w:val="en-US" w:eastAsia="zh-CN" w:bidi="ar-SA"/>
        </w:rPr>
        <w:t>1、资金使用制度不完善</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8" w:lineRule="atLeast"/>
        <w:ind w:left="0" w:right="0" w:firstLine="600"/>
        <w:jc w:val="both"/>
        <w:rPr>
          <w:rFonts w:hint="eastAsia" w:ascii="仿宋_GB2312" w:hAnsi="仿宋_GB2312" w:eastAsia="仿宋_GB2312" w:cs="仿宋_GB2312"/>
          <w:color w:val="auto"/>
          <w:kern w:val="0"/>
          <w:sz w:val="32"/>
          <w:szCs w:val="32"/>
          <w:lang w:val="en-US" w:eastAsia="zh-CN" w:bidi="ar-SA"/>
        </w:rPr>
      </w:pPr>
      <w:r>
        <w:rPr>
          <w:rFonts w:hint="eastAsia" w:ascii="仿宋_GB2312" w:hAnsi="仿宋_GB2312" w:eastAsia="仿宋_GB2312" w:cs="仿宋_GB2312"/>
          <w:color w:val="auto"/>
          <w:kern w:val="0"/>
          <w:sz w:val="32"/>
          <w:szCs w:val="32"/>
          <w:lang w:val="en-US" w:eastAsia="zh-CN" w:bidi="ar-SA"/>
        </w:rPr>
        <w:t>我单位虽然制定了一系列制度，对制度的执行力不够，导致有章不循。</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8" w:lineRule="atLeast"/>
        <w:ind w:left="0" w:right="0" w:firstLine="600"/>
        <w:jc w:val="both"/>
        <w:rPr>
          <w:rFonts w:hint="eastAsia" w:ascii="仿宋_GB2312" w:hAnsi="仿宋_GB2312" w:eastAsia="仿宋_GB2312" w:cs="仿宋_GB2312"/>
          <w:color w:val="auto"/>
          <w:kern w:val="0"/>
          <w:sz w:val="32"/>
          <w:szCs w:val="32"/>
          <w:lang w:val="en-US" w:eastAsia="zh-CN" w:bidi="ar-SA"/>
        </w:rPr>
      </w:pPr>
      <w:r>
        <w:rPr>
          <w:rFonts w:hint="eastAsia" w:ascii="仿宋_GB2312" w:hAnsi="仿宋_GB2312" w:eastAsia="仿宋_GB2312" w:cs="仿宋_GB2312"/>
          <w:color w:val="auto"/>
          <w:kern w:val="0"/>
          <w:sz w:val="32"/>
          <w:szCs w:val="32"/>
          <w:lang w:val="en-US" w:eastAsia="zh-CN" w:bidi="ar-SA"/>
        </w:rPr>
        <w:t>2、执法人员及执法力量不足。</w:t>
      </w:r>
    </w:p>
    <w:p>
      <w:pPr>
        <w:numPr>
          <w:ilvl w:val="0"/>
          <w:numId w:val="3"/>
        </w:numPr>
        <w:spacing w:after="0" w:line="560" w:lineRule="exact"/>
        <w:ind w:firstLine="600"/>
        <w:jc w:val="both"/>
        <w:rPr>
          <w:rFonts w:ascii="黑体" w:hAnsi="黑体" w:eastAsia="黑体" w:cs="黑体"/>
          <w:sz w:val="32"/>
          <w:szCs w:val="32"/>
        </w:rPr>
      </w:pPr>
      <w:r>
        <w:rPr>
          <w:rFonts w:ascii="黑体" w:hAnsi="黑体" w:eastAsia="黑体" w:cs="黑体"/>
          <w:sz w:val="32"/>
          <w:szCs w:val="32"/>
        </w:rPr>
        <w:t>下一步改进建议</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8" w:lineRule="atLeast"/>
        <w:ind w:left="0" w:right="0" w:firstLine="600"/>
        <w:jc w:val="both"/>
        <w:rPr>
          <w:rFonts w:hint="eastAsia" w:ascii="仿宋_GB2312" w:hAnsi="仿宋_GB2312" w:eastAsia="仿宋_GB2312" w:cs="仿宋_GB2312"/>
          <w:color w:val="auto"/>
          <w:kern w:val="0"/>
          <w:sz w:val="32"/>
          <w:szCs w:val="32"/>
          <w:lang w:val="en-US" w:eastAsia="zh-CN" w:bidi="ar-SA"/>
        </w:rPr>
      </w:pPr>
      <w:r>
        <w:rPr>
          <w:rFonts w:hint="eastAsia" w:ascii="仿宋_GB2312" w:hAnsi="仿宋_GB2312" w:eastAsia="仿宋_GB2312" w:cs="仿宋_GB2312"/>
          <w:color w:val="auto"/>
          <w:kern w:val="0"/>
          <w:sz w:val="32"/>
          <w:szCs w:val="32"/>
          <w:lang w:val="en-US" w:eastAsia="zh-CN" w:bidi="ar-SA"/>
        </w:rPr>
        <w:t>1、建章立制，强化专项资金的监督。要对项目实施和资金使用进行全程跟踪监督，定期报告资金使用情况和项目实施情况，增加项目资金使用的透明度。</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8" w:lineRule="atLeast"/>
        <w:ind w:left="0" w:right="0" w:firstLine="600"/>
        <w:jc w:val="both"/>
        <w:rPr>
          <w:rFonts w:hint="default" w:ascii="仿宋_GB2312" w:hAnsi="仿宋_GB2312" w:eastAsia="仿宋_GB2312" w:cs="仿宋_GB2312"/>
          <w:color w:val="auto"/>
          <w:kern w:val="0"/>
          <w:sz w:val="32"/>
          <w:szCs w:val="32"/>
          <w:lang w:val="en-US" w:eastAsia="zh-CN" w:bidi="ar-SA"/>
        </w:rPr>
      </w:pPr>
      <w:r>
        <w:rPr>
          <w:rFonts w:hint="eastAsia" w:ascii="仿宋_GB2312" w:hAnsi="仿宋_GB2312" w:eastAsia="仿宋_GB2312" w:cs="仿宋_GB2312"/>
          <w:color w:val="auto"/>
          <w:kern w:val="0"/>
          <w:sz w:val="32"/>
          <w:szCs w:val="32"/>
          <w:lang w:val="en-US" w:eastAsia="zh-CN" w:bidi="ar-SA"/>
        </w:rPr>
        <w:t>2、给基层所配备执法车辆及执法电脑等装备，以招录及聘用人员形式增加执法人员，提高执法力量。</w:t>
      </w:r>
    </w:p>
    <w:p>
      <w:pPr>
        <w:numPr>
          <w:ilvl w:val="0"/>
          <w:numId w:val="3"/>
        </w:numPr>
        <w:spacing w:after="0" w:line="560" w:lineRule="exact"/>
        <w:ind w:left="0" w:leftChars="0" w:firstLine="600" w:firstLineChars="0"/>
        <w:jc w:val="both"/>
        <w:rPr>
          <w:rFonts w:ascii="黑体" w:hAnsi="黑体" w:eastAsia="黑体" w:cs="黑体"/>
          <w:sz w:val="32"/>
          <w:szCs w:val="32"/>
        </w:rPr>
      </w:pPr>
      <w:r>
        <w:rPr>
          <w:rFonts w:ascii="黑体" w:hAnsi="黑体" w:eastAsia="黑体" w:cs="黑体"/>
          <w:sz w:val="32"/>
          <w:szCs w:val="32"/>
        </w:rPr>
        <w:t>其他需要说明的问题</w:t>
      </w:r>
    </w:p>
    <w:p>
      <w:pPr>
        <w:spacing w:after="0" w:line="560" w:lineRule="exact"/>
        <w:ind w:firstLine="600"/>
        <w:jc w:val="both"/>
        <w:outlineLvl w:val="0"/>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无</w:t>
      </w:r>
    </w:p>
    <w:sectPr>
      <w:pgSz w:w="11906" w:h="16838"/>
      <w:pgMar w:top="1928" w:right="1531" w:bottom="1701" w:left="1531" w:header="737" w:footer="851" w:gutter="0"/>
      <w:pgNumType w:fmt="decimal"/>
      <w:cols w:space="720" w:num="1"/>
      <w:docGrid w:type="lines" w:linePitch="312" w:charSpace="614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简体">
    <w:altName w:val="黑体"/>
    <w:panose1 w:val="03000509000000000000"/>
    <w:charset w:val="86"/>
    <w:family w:val="auto"/>
    <w:pitch w:val="default"/>
    <w:sig w:usb0="00000000" w:usb1="00000000" w:usb2="00000000" w:usb3="00000000" w:csb0="00040000" w:csb1="00000000"/>
  </w:font>
  <w:font w:name="仿宋_GB2312">
    <w:altName w:val="仿宋"/>
    <w:panose1 w:val="02010609030101010101"/>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80F3C52" w:usb2="00000016" w:usb3="00000000" w:csb0="0004001F" w:csb1="00000000"/>
  </w:font>
  <w:font w:name="仿宋">
    <w:panose1 w:val="02010609060101010101"/>
    <w:charset w:val="86"/>
    <w:family w:val="auto"/>
    <w:pitch w:val="default"/>
    <w:sig w:usb0="800002BF" w:usb1="38CF7CFA" w:usb2="00000016" w:usb3="00000000" w:csb0="00040001" w:csb1="00000000"/>
  </w:font>
  <w:font w:name="仿宋_GB2312">
    <w:altName w:val="仿宋"/>
    <w:panose1 w:val="00000000000000000000"/>
    <w:charset w:val="00"/>
    <w:family w:val="auto"/>
    <w:pitch w:val="default"/>
    <w:sig w:usb0="00000000" w:usb1="00000000" w:usb2="00000000" w:usb3="00000000" w:csb0="0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4B3B0E7"/>
    <w:multiLevelType w:val="singleLevel"/>
    <w:tmpl w:val="44B3B0E7"/>
    <w:lvl w:ilvl="0" w:tentative="0">
      <w:start w:val="2"/>
      <w:numFmt w:val="chineseCounting"/>
      <w:suff w:val="nothing"/>
      <w:lvlText w:val="（%1）"/>
      <w:lvlJc w:val="left"/>
      <w:rPr>
        <w:rFonts w:hint="eastAsia"/>
      </w:rPr>
    </w:lvl>
  </w:abstractNum>
  <w:abstractNum w:abstractNumId="1">
    <w:nsid w:val="58CCA58E"/>
    <w:multiLevelType w:val="singleLevel"/>
    <w:tmpl w:val="58CCA58E"/>
    <w:lvl w:ilvl="0" w:tentative="0">
      <w:start w:val="6"/>
      <w:numFmt w:val="chineseCounting"/>
      <w:suff w:val="nothing"/>
      <w:lvlText w:val="%1、"/>
      <w:lvlJc w:val="left"/>
      <w:rPr>
        <w:rFonts w:hint="eastAsia"/>
      </w:rPr>
    </w:lvl>
  </w:abstractNum>
  <w:abstractNum w:abstractNumId="2">
    <w:nsid w:val="61E91743"/>
    <w:multiLevelType w:val="singleLevel"/>
    <w:tmpl w:val="61E91743"/>
    <w:lvl w:ilvl="0" w:tentative="0">
      <w:start w:val="1"/>
      <w:numFmt w:val="decimal"/>
      <w:suff w:val="nothing"/>
      <w:lvlText w:val="%1、"/>
      <w:lvlJc w:val="left"/>
      <w:pPr>
        <w:ind w:left="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bordersDoNotSurroundHeader w:val="0"/>
  <w:bordersDoNotSurroundFooter w:val="0"/>
  <w:documentProtection w:enforcement="0"/>
  <w:defaultTabStop w:val="800"/>
  <w:displayHorizontalDrawingGridEvery w:val="1"/>
  <w:displayVerticalDrawingGridEvery w:val="1"/>
  <w:noPunctuationKerning w:val="1"/>
  <w:characterSpacingControl w:val="doNotCompress"/>
  <w:footnotePr>
    <w:footnote w:id="0"/>
    <w:footnote w:id="1"/>
  </w:footnotePr>
  <w:endnotePr>
    <w:endnote w:id="0"/>
    <w:endnote w:id="1"/>
  </w:endnotePr>
  <w:compat>
    <w:spaceForUL/>
    <w:balanceSingleByteDoubleByteWidth/>
    <w:doNotLeaveBackslashAlone/>
    <w:ulTrailSpace/>
    <w:doNotExpandShiftReturn/>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U4YmYxN2I5YmMyYWRkZGRkM2JjYWY3OGI3MTc5MmIifQ=="/>
  </w:docVars>
  <w:rsids>
    <w:rsidRoot w:val="00000000"/>
    <w:rsid w:val="05F81055"/>
    <w:rsid w:val="06620BC5"/>
    <w:rsid w:val="0B995089"/>
    <w:rsid w:val="0BCC6DC1"/>
    <w:rsid w:val="0D497B25"/>
    <w:rsid w:val="14AA76FE"/>
    <w:rsid w:val="15695314"/>
    <w:rsid w:val="1AF27CE0"/>
    <w:rsid w:val="1CA709F1"/>
    <w:rsid w:val="26865DB2"/>
    <w:rsid w:val="29564161"/>
    <w:rsid w:val="2BEF61A7"/>
    <w:rsid w:val="2FE6046A"/>
    <w:rsid w:val="35B12110"/>
    <w:rsid w:val="35F1068C"/>
    <w:rsid w:val="3A04322D"/>
    <w:rsid w:val="3C7950C6"/>
    <w:rsid w:val="4AE72A13"/>
    <w:rsid w:val="5F546722"/>
    <w:rsid w:val="645C37B4"/>
    <w:rsid w:val="66E7365A"/>
    <w:rsid w:val="686E2C1E"/>
    <w:rsid w:val="6D704B0F"/>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2" w:semiHidden="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3" w:semiHidden="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1"/>
    <w:pPr>
      <w:autoSpaceDE w:val="0"/>
      <w:autoSpaceDN w:val="0"/>
      <w:spacing w:after="0" w:line="240" w:lineRule="auto"/>
      <w:jc w:val="both"/>
    </w:pPr>
    <w:rPr>
      <w:rFonts w:ascii="Calibri" w:hAnsi="宋体" w:eastAsia="宋体" w:cs="宋体"/>
      <w:color w:val="auto"/>
      <w:sz w:val="21"/>
      <w:szCs w:val="21"/>
      <w:lang w:val="en-US" w:eastAsia="zh-CN" w:bidi="ar-SA"/>
    </w:rPr>
  </w:style>
  <w:style w:type="character" w:default="1" w:styleId="4">
    <w:name w:val="Default Paragraph Font"/>
    <w:unhideWhenUsed/>
    <w:qFormat/>
    <w:uiPriority w:val="2"/>
    <w:rPr>
      <w:color w:val="auto"/>
      <w:sz w:val="21"/>
      <w:szCs w:val="21"/>
    </w:rPr>
  </w:style>
  <w:style w:type="table" w:default="1" w:styleId="3">
    <w:name w:val="Normal Table"/>
    <w:qFormat/>
    <w:uiPriority w:val="3"/>
    <w:tblPr>
      <w:tblCellMar>
        <w:top w:w="0" w:type="dxa"/>
        <w:left w:w="108" w:type="dxa"/>
        <w:bottom w:w="0" w:type="dxa"/>
        <w:right w:w="108" w:type="dxa"/>
      </w:tblCellMar>
    </w:tblPr>
  </w:style>
  <w:style w:type="paragraph" w:styleId="2">
    <w:name w:val="Normal (Web)"/>
    <w:basedOn w:val="1"/>
    <w:qFormat/>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6</Pages>
  <Words>2155</Words>
  <Characters>2232</Characters>
  <Lines>0</Lines>
  <Paragraphs>0</Paragraphs>
  <TotalTime>26</TotalTime>
  <ScaleCrop>false</ScaleCrop>
  <LinksUpToDate>false</LinksUpToDate>
  <CharactersWithSpaces>2301</CharactersWithSpaces>
  <Application>WPS Office_12.1.0.15374_F1E327BC-269C-435d-A152-05C5408002CA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2020-03-05T03:12:00Z</dcterms:created>
  <dc:creator>liulu</dc:creator>
  <cp:lastModifiedBy>梅玖</cp:lastModifiedBy>
  <dcterms:modified xsi:type="dcterms:W3CDTF">2023-09-28T03:25:57Z</dcterms:modified>
  <dc:title>附件1</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2052-12.1.0.15374</vt:lpwstr>
  </property>
  <property fmtid="{D5CDD505-2E9C-101B-9397-08002B2CF9AE}" pid="3" name="ICV">
    <vt:lpwstr>CB81E2884EA6478A8BDD3D4F3C460B36</vt:lpwstr>
  </property>
</Properties>
</file>