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2019年第2号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（总第2期）</w:t>
      </w: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青阳县人民政府关于公布城区土地定级与基准地价更新成果的通知</w:t>
      </w: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eastAsiaTheme="minorEastAsia" w:cstheme="minorEastAsia"/>
          <w:kern w:val="0"/>
          <w:sz w:val="28"/>
          <w:szCs w:val="28"/>
          <w:shd w:val="clear" w:color="auto" w:fill="FFFFFF"/>
        </w:rPr>
      </w:pPr>
    </w:p>
    <w:p>
      <w:pPr>
        <w:jc w:val="both"/>
        <w:rPr>
          <w:rFonts w:hint="eastAsia" w:asciiTheme="minorEastAsia" w:hAnsiTheme="minorEastAsia" w:eastAsiaTheme="minorEastAsia" w:cstheme="minorEastAsia"/>
          <w:kern w:val="0"/>
          <w:sz w:val="28"/>
          <w:szCs w:val="28"/>
          <w:shd w:val="clear" w:color="auto" w:fill="FFFFFF"/>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青阳县人民政府办公室关于加快推进农村产权交易市场建设的实施意见</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青阳县人民政府办公室关于印发青阳县农业信贷担保“劝耕贷”工作实施方案的通知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青阳县人民政府办公室关于印发青阳县农村产权交易管理办法（试行）的通知</w:t>
      </w:r>
    </w:p>
    <w:p/>
    <w:p/>
    <w:p>
      <w:bookmarkStart w:id="0" w:name="_GoBack"/>
      <w:bookmarkEnd w:id="0"/>
    </w:p>
    <w:p/>
    <w:p/>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青阳县人民政府关于公布城区土地定级与基准地价更新成果的通知</w:t>
      </w:r>
    </w:p>
    <w:p>
      <w:pPr>
        <w:spacing w:line="580" w:lineRule="exact"/>
        <w:rPr>
          <w:rFonts w:hint="eastAsia"/>
        </w:rPr>
      </w:pPr>
      <w:r>
        <w:rPr>
          <w:rFonts w:hint="eastAsia"/>
        </w:rPr>
        <w:t>各乡镇人民政府，县经济开发区管委会，县政府各部门、各直属机构：</w:t>
      </w:r>
    </w:p>
    <w:p>
      <w:pPr>
        <w:spacing w:line="580" w:lineRule="exact"/>
        <w:ind w:firstLine="420" w:firstLineChars="200"/>
        <w:rPr>
          <w:rFonts w:hint="eastAsia"/>
        </w:rPr>
      </w:pPr>
      <w:r>
        <w:rPr>
          <w:rFonts w:hint="eastAsia"/>
        </w:rPr>
        <w:t>为进一步规范土地市场秩序，加强土地利用管理，根据《关于整顿土地市场秩序的通知》（国土资发〔2001〕174号）、</w:t>
      </w:r>
      <w:r>
        <w:rPr>
          <w:rFonts w:hint="eastAsia" w:hAnsi="Helvetica" w:cs="Helvetica"/>
        </w:rPr>
        <w:t>《关于加强公示地价体系建设和管理有关问题的通知》（国土资厅发〔2017〕27号）和</w:t>
      </w:r>
      <w:r>
        <w:rPr>
          <w:rFonts w:hint="eastAsia"/>
        </w:rPr>
        <w:t>《关于尽快完成城镇土地分等定级及基准地价更新调整工作通知》(皖国土资函〔2014〕849号)等文件要求，经省国土资源厅审查验收，现将青阳县城区土地定级与基准地价更新成果予以公布，并自公布之日起实施。原《青阳县人民政府关于公布城区土地定级与基准地价更新成果的通知》（青政〔2015〕35号）</w:t>
      </w:r>
      <w:r>
        <w:rPr>
          <w:rFonts w:hint="eastAsia" w:hAnsi="微软雅黑"/>
          <w:shd w:val="clear" w:color="auto" w:fill="FFFFFF"/>
        </w:rPr>
        <w:t>公布成果终止使用。</w:t>
      </w:r>
    </w:p>
    <w:p>
      <w:pPr>
        <w:spacing w:line="580" w:lineRule="exact"/>
        <w:rPr>
          <w:rFonts w:hint="eastAsia"/>
        </w:rPr>
      </w:pPr>
    </w:p>
    <w:p>
      <w:pPr>
        <w:spacing w:line="580" w:lineRule="exact"/>
        <w:rPr>
          <w:rFonts w:hint="eastAsia"/>
        </w:rPr>
      </w:pPr>
    </w:p>
    <w:p>
      <w:pPr>
        <w:spacing w:line="580" w:lineRule="exact"/>
        <w:rPr>
          <w:rFonts w:hint="eastAsia"/>
        </w:rPr>
      </w:pPr>
    </w:p>
    <w:p>
      <w:pPr>
        <w:wordWrap w:val="0"/>
        <w:spacing w:line="580" w:lineRule="exact"/>
        <w:jc w:val="right"/>
        <w:rPr>
          <w:rFonts w:hint="eastAsia"/>
        </w:rPr>
      </w:pPr>
      <w:r>
        <w:rPr>
          <w:rFonts w:hint="eastAsia"/>
        </w:rPr>
        <w:t xml:space="preserve">青阳县人民政府         </w:t>
      </w:r>
    </w:p>
    <w:p>
      <w:pPr>
        <w:wordWrap w:val="0"/>
        <w:spacing w:line="580" w:lineRule="exact"/>
        <w:jc w:val="right"/>
        <w:rPr>
          <w:rFonts w:hint="eastAsia"/>
        </w:rPr>
      </w:pPr>
      <w:r>
        <w:rPr>
          <w:rFonts w:hint="eastAsia"/>
        </w:rPr>
        <w:t xml:space="preserve">2019年2月22日       </w:t>
      </w:r>
    </w:p>
    <w:p>
      <w:pPr>
        <w:overflowPunct w:val="0"/>
        <w:autoSpaceDN w:val="0"/>
        <w:spacing w:line="580" w:lineRule="exact"/>
        <w:rPr>
          <w:rFonts w:hint="eastAsia"/>
        </w:rPr>
      </w:pPr>
    </w:p>
    <w:p>
      <w:pPr>
        <w:jc w:val="center"/>
        <w:rPr>
          <w:sz w:val="44"/>
          <w:szCs w:val="44"/>
        </w:rPr>
      </w:pPr>
      <w:r>
        <w:rPr>
          <w:rFonts w:hint="eastAsia" w:asciiTheme="minorEastAsia" w:hAnsiTheme="minorEastAsia" w:cstheme="minorEastAsia"/>
          <w:kern w:val="0"/>
          <w:sz w:val="28"/>
          <w:szCs w:val="28"/>
          <w:shd w:val="clear" w:color="auto" w:fill="FFFFFF"/>
          <w:lang w:eastAsia="zh-CN"/>
        </w:rPr>
        <w:t>青阳县城区土地定级与基准地价更新成果</w:t>
      </w:r>
    </w:p>
    <w:p>
      <w:pPr>
        <w:overflowPunct w:val="0"/>
        <w:autoSpaceDN w:val="0"/>
        <w:spacing w:line="580" w:lineRule="exact"/>
        <w:ind w:firstLine="420" w:firstLineChars="200"/>
        <w:rPr>
          <w:rFonts w:ascii="黑体" w:hAnsi="黑体" w:eastAsia="黑体"/>
        </w:rPr>
      </w:pPr>
      <w:r>
        <w:rPr>
          <w:rFonts w:hint="eastAsia" w:ascii="黑体" w:hAnsi="黑体" w:eastAsia="黑体"/>
        </w:rPr>
        <w:t>一、基准地价及应用范围</w:t>
      </w:r>
    </w:p>
    <w:p>
      <w:pPr>
        <w:overflowPunct w:val="0"/>
        <w:autoSpaceDN w:val="0"/>
        <w:spacing w:line="580" w:lineRule="exact"/>
        <w:ind w:firstLine="420" w:firstLineChars="200"/>
      </w:pPr>
      <w:r>
        <w:rPr>
          <w:rFonts w:hint="eastAsia"/>
        </w:rPr>
        <w:t>基准地价是指在县城区规划范围内，对现状利用条件下不同级别的土地，按照商业、住宅、工业、</w:t>
      </w:r>
      <w:r>
        <w:t>公共管理与公共服务</w:t>
      </w:r>
      <w:r>
        <w:rPr>
          <w:rFonts w:hint="eastAsia"/>
        </w:rPr>
        <w:t xml:space="preserve">等不同用途，分别评定在某一估价基准日，设定土地开发程度及使用年期下的完整土地使用权区域平均价格。 </w:t>
      </w:r>
    </w:p>
    <w:p>
      <w:pPr>
        <w:overflowPunct w:val="0"/>
        <w:autoSpaceDN w:val="0"/>
        <w:spacing w:line="580" w:lineRule="exact"/>
        <w:ind w:firstLine="420" w:firstLineChars="200"/>
      </w:pPr>
      <w:r>
        <w:rPr>
          <w:rFonts w:hint="eastAsia"/>
        </w:rPr>
        <w:t>基准地价主要用于宏观调控土地市场、指导地产交易，有利于运用经济杠杆管理土地，显化企业土地资产，促进土地资产合理配置、优化土地利用结构，为确定出让土地最低价标准和合理土地税费标准提供依据，充分提高土地利用的经济、社会和环境效益。</w:t>
      </w:r>
    </w:p>
    <w:p>
      <w:pPr>
        <w:overflowPunct w:val="0"/>
        <w:autoSpaceDN w:val="0"/>
        <w:spacing w:line="580" w:lineRule="exact"/>
        <w:ind w:firstLine="420" w:firstLineChars="200"/>
        <w:rPr>
          <w:rFonts w:hint="eastAsia" w:ascii="黑体" w:hAnsi="黑体" w:eastAsia="黑体"/>
        </w:rPr>
      </w:pPr>
      <w:r>
        <w:rPr>
          <w:rFonts w:hint="eastAsia" w:ascii="黑体" w:hAnsi="黑体" w:eastAsia="黑体"/>
        </w:rPr>
        <w:t>二、县城区土地级别范围</w:t>
      </w:r>
    </w:p>
    <w:p>
      <w:pPr>
        <w:pStyle w:val="2"/>
        <w:spacing w:line="580" w:lineRule="exact"/>
        <w:ind w:firstLine="643" w:firstLineChars="200"/>
        <w:jc w:val="center"/>
        <w:rPr>
          <w:rFonts w:hint="eastAsia" w:ascii="楷体_GB2312" w:hAnsi="Times New Roman" w:eastAsia="楷体_GB2312" w:cs="Times New Roman"/>
          <w:b/>
          <w:sz w:val="32"/>
          <w:szCs w:val="32"/>
        </w:rPr>
      </w:pPr>
      <w:r>
        <w:rPr>
          <w:rFonts w:hint="eastAsia" w:ascii="楷体_GB2312" w:hAnsi="Times New Roman" w:eastAsia="楷体_GB2312" w:cs="Times New Roman"/>
          <w:b/>
          <w:sz w:val="32"/>
          <w:szCs w:val="32"/>
        </w:rPr>
        <w:t>商服用地定级各级别土地分布范围表</w:t>
      </w:r>
    </w:p>
    <w:tbl>
      <w:tblPr>
        <w:tblStyle w:val="3"/>
        <w:tblW w:w="48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7"/>
        <w:gridCol w:w="6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921" w:type="pct"/>
            <w:shd w:val="clear" w:color="auto" w:fill="auto"/>
            <w:noWrap w:val="0"/>
            <w:vAlign w:val="center"/>
          </w:tcPr>
          <w:p>
            <w:pPr>
              <w:spacing w:line="500" w:lineRule="exact"/>
              <w:jc w:val="center"/>
              <w:rPr>
                <w:rFonts w:ascii="黑体" w:hAnsi="黑体" w:eastAsia="黑体"/>
              </w:rPr>
            </w:pPr>
            <w:r>
              <w:rPr>
                <w:rFonts w:hint="eastAsia" w:ascii="黑体" w:hAnsi="黑体" w:eastAsia="黑体"/>
              </w:rPr>
              <w:t>土地</w:t>
            </w:r>
            <w:r>
              <w:rPr>
                <w:rFonts w:ascii="黑体" w:hAnsi="黑体" w:eastAsia="黑体"/>
              </w:rPr>
              <w:t>级别</w:t>
            </w:r>
          </w:p>
        </w:tc>
        <w:tc>
          <w:tcPr>
            <w:tcW w:w="4079" w:type="pct"/>
            <w:shd w:val="clear" w:color="auto" w:fill="auto"/>
            <w:noWrap w:val="0"/>
            <w:vAlign w:val="center"/>
          </w:tcPr>
          <w:p>
            <w:pPr>
              <w:spacing w:line="500" w:lineRule="exact"/>
              <w:jc w:val="center"/>
              <w:rPr>
                <w:rFonts w:ascii="黑体" w:hAnsi="黑体" w:eastAsia="黑体"/>
              </w:rPr>
            </w:pPr>
            <w:r>
              <w:rPr>
                <w:rFonts w:hint="eastAsia" w:ascii="黑体" w:hAnsi="黑体" w:eastAsia="黑体"/>
              </w:rPr>
              <w:t>分布</w:t>
            </w:r>
            <w:r>
              <w:rPr>
                <w:rFonts w:ascii="黑体" w:hAnsi="黑体" w:eastAsia="黑体"/>
              </w:rPr>
              <w:t>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21" w:type="pct"/>
            <w:shd w:val="clear" w:color="auto" w:fill="auto"/>
            <w:noWrap w:val="0"/>
            <w:vAlign w:val="center"/>
          </w:tcPr>
          <w:p>
            <w:pPr>
              <w:spacing w:line="500" w:lineRule="exact"/>
              <w:jc w:val="center"/>
              <w:rPr>
                <w:color w:val="000000"/>
              </w:rPr>
            </w:pPr>
            <w:r>
              <w:rPr>
                <w:color w:val="000000"/>
              </w:rPr>
              <w:t>一级</w:t>
            </w:r>
            <w:r>
              <w:rPr>
                <w:rFonts w:hint="eastAsia"/>
                <w:color w:val="000000"/>
              </w:rPr>
              <w:t>地</w:t>
            </w:r>
          </w:p>
        </w:tc>
        <w:tc>
          <w:tcPr>
            <w:tcW w:w="4079" w:type="pct"/>
            <w:shd w:val="clear" w:color="auto" w:fill="auto"/>
            <w:noWrap w:val="0"/>
            <w:vAlign w:val="center"/>
          </w:tcPr>
          <w:p>
            <w:pPr>
              <w:tabs>
                <w:tab w:val="left" w:pos="6199"/>
              </w:tabs>
              <w:spacing w:line="500" w:lineRule="exact"/>
            </w:pPr>
            <w:r>
              <w:rPr>
                <w:rFonts w:hint="eastAsia"/>
              </w:rPr>
              <w:t>天柱路—宝灵路—富阳路—陵阳路—木镇路—西峰路—定心桥巷—九华路—天柱路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21" w:type="pct"/>
            <w:shd w:val="clear" w:color="auto" w:fill="auto"/>
            <w:noWrap w:val="0"/>
            <w:vAlign w:val="center"/>
          </w:tcPr>
          <w:p>
            <w:pPr>
              <w:spacing w:line="500" w:lineRule="exact"/>
              <w:jc w:val="center"/>
              <w:rPr>
                <w:color w:val="000000"/>
              </w:rPr>
            </w:pPr>
            <w:r>
              <w:rPr>
                <w:color w:val="000000"/>
              </w:rPr>
              <w:t>二级</w:t>
            </w:r>
            <w:r>
              <w:rPr>
                <w:rFonts w:hint="eastAsia"/>
                <w:color w:val="000000"/>
              </w:rPr>
              <w:t>地</w:t>
            </w:r>
          </w:p>
        </w:tc>
        <w:tc>
          <w:tcPr>
            <w:tcW w:w="4079" w:type="pct"/>
            <w:shd w:val="clear" w:color="auto" w:fill="auto"/>
            <w:noWrap w:val="0"/>
            <w:vAlign w:val="center"/>
          </w:tcPr>
          <w:p>
            <w:pPr>
              <w:tabs>
                <w:tab w:val="left" w:pos="6199"/>
              </w:tabs>
              <w:spacing w:line="500" w:lineRule="exact"/>
            </w:pPr>
            <w:r>
              <w:rPr>
                <w:rFonts w:hint="eastAsia"/>
              </w:rPr>
              <w:t>碧桃路—平岗路—五星路—九子大道—仰晨路—莲花路—青通河—九子大道—临城路—七步泉路—碧桃路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21" w:type="pct"/>
            <w:shd w:val="clear" w:color="auto" w:fill="auto"/>
            <w:noWrap w:val="0"/>
            <w:vAlign w:val="center"/>
          </w:tcPr>
          <w:p>
            <w:pPr>
              <w:spacing w:line="500" w:lineRule="exact"/>
              <w:jc w:val="center"/>
              <w:rPr>
                <w:color w:val="000000"/>
              </w:rPr>
            </w:pPr>
            <w:r>
              <w:rPr>
                <w:color w:val="000000"/>
              </w:rPr>
              <w:t>三级</w:t>
            </w:r>
            <w:r>
              <w:rPr>
                <w:rFonts w:hint="eastAsia"/>
                <w:color w:val="000000"/>
              </w:rPr>
              <w:t>地</w:t>
            </w:r>
          </w:p>
        </w:tc>
        <w:tc>
          <w:tcPr>
            <w:tcW w:w="4079" w:type="pct"/>
            <w:shd w:val="clear" w:color="auto" w:fill="auto"/>
            <w:noWrap w:val="0"/>
            <w:vAlign w:val="center"/>
          </w:tcPr>
          <w:p>
            <w:pPr>
              <w:tabs>
                <w:tab w:val="left" w:pos="6199"/>
              </w:tabs>
              <w:spacing w:line="500" w:lineRule="exact"/>
            </w:pPr>
            <w:r>
              <w:rPr>
                <w:rFonts w:hint="eastAsia"/>
              </w:rPr>
              <w:t>东河—锦绣路—滨湖</w:t>
            </w:r>
            <w:r>
              <w:t>东路</w:t>
            </w:r>
            <w:r>
              <w:rPr>
                <w:rFonts w:hint="eastAsia"/>
              </w:rPr>
              <w:t>—滨湖</w:t>
            </w:r>
            <w:r>
              <w:t>西路</w:t>
            </w:r>
            <w:r>
              <w:rPr>
                <w:rFonts w:hint="eastAsia"/>
              </w:rPr>
              <w:t>—翰林路—长龙山路—环城北路—东河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1" w:type="pct"/>
            <w:shd w:val="clear" w:color="auto" w:fill="auto"/>
            <w:noWrap w:val="0"/>
            <w:vAlign w:val="center"/>
          </w:tcPr>
          <w:p>
            <w:pPr>
              <w:spacing w:line="500" w:lineRule="exact"/>
              <w:jc w:val="center"/>
              <w:rPr>
                <w:color w:val="000000"/>
              </w:rPr>
            </w:pPr>
            <w:r>
              <w:rPr>
                <w:color w:val="000000"/>
              </w:rPr>
              <w:t>四级</w:t>
            </w:r>
            <w:r>
              <w:rPr>
                <w:rFonts w:hint="eastAsia"/>
                <w:color w:val="000000"/>
              </w:rPr>
              <w:t>地</w:t>
            </w:r>
          </w:p>
        </w:tc>
        <w:tc>
          <w:tcPr>
            <w:tcW w:w="4079" w:type="pct"/>
            <w:shd w:val="clear" w:color="auto" w:fill="auto"/>
            <w:noWrap w:val="0"/>
            <w:vAlign w:val="center"/>
          </w:tcPr>
          <w:p>
            <w:pPr>
              <w:tabs>
                <w:tab w:val="left" w:pos="6199"/>
              </w:tabs>
              <w:spacing w:line="500" w:lineRule="exact"/>
            </w:pPr>
            <w:r>
              <w:t>定级范围剩余</w:t>
            </w:r>
            <w:r>
              <w:rPr>
                <w:rFonts w:hint="eastAsia"/>
              </w:rPr>
              <w:t>区域</w:t>
            </w:r>
          </w:p>
        </w:tc>
      </w:tr>
    </w:tbl>
    <w:p>
      <w:pPr>
        <w:pStyle w:val="2"/>
        <w:spacing w:line="580" w:lineRule="exact"/>
        <w:jc w:val="center"/>
        <w:rPr>
          <w:rFonts w:hint="eastAsia" w:ascii="楷体_GB2312" w:hAnsi="Times New Roman" w:eastAsia="楷体_GB2312" w:cs="Times New Roman"/>
          <w:b/>
          <w:sz w:val="32"/>
          <w:szCs w:val="32"/>
        </w:rPr>
      </w:pPr>
      <w:r>
        <w:rPr>
          <w:rFonts w:hint="eastAsia" w:ascii="楷体_GB2312" w:hAnsi="Times New Roman" w:eastAsia="楷体_GB2312" w:cs="Times New Roman"/>
          <w:b/>
          <w:sz w:val="32"/>
          <w:szCs w:val="32"/>
        </w:rPr>
        <w:t>住宅用地定级各级别土地分布范围表</w:t>
      </w:r>
    </w:p>
    <w:tbl>
      <w:tblPr>
        <w:tblStyle w:val="3"/>
        <w:tblW w:w="49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3"/>
        <w:gridCol w:w="6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3" w:type="pct"/>
            <w:shd w:val="clear" w:color="auto" w:fill="auto"/>
            <w:noWrap w:val="0"/>
            <w:vAlign w:val="center"/>
          </w:tcPr>
          <w:p>
            <w:pPr>
              <w:spacing w:line="500" w:lineRule="exact"/>
              <w:jc w:val="center"/>
              <w:rPr>
                <w:rFonts w:ascii="黑体" w:hAnsi="黑体" w:eastAsia="黑体"/>
              </w:rPr>
            </w:pPr>
            <w:r>
              <w:rPr>
                <w:rFonts w:hint="eastAsia" w:ascii="黑体" w:hAnsi="黑体" w:eastAsia="黑体"/>
              </w:rPr>
              <w:t>土地</w:t>
            </w:r>
            <w:r>
              <w:rPr>
                <w:rFonts w:ascii="黑体" w:hAnsi="黑体" w:eastAsia="黑体"/>
              </w:rPr>
              <w:t>级别</w:t>
            </w:r>
          </w:p>
        </w:tc>
        <w:tc>
          <w:tcPr>
            <w:tcW w:w="4077" w:type="pct"/>
            <w:shd w:val="clear" w:color="auto" w:fill="auto"/>
            <w:noWrap w:val="0"/>
            <w:vAlign w:val="center"/>
          </w:tcPr>
          <w:p>
            <w:pPr>
              <w:spacing w:line="500" w:lineRule="exact"/>
              <w:jc w:val="center"/>
              <w:rPr>
                <w:rFonts w:ascii="黑体" w:hAnsi="黑体" w:eastAsia="黑体"/>
              </w:rPr>
            </w:pPr>
            <w:r>
              <w:rPr>
                <w:rFonts w:hint="eastAsia" w:ascii="黑体" w:hAnsi="黑体" w:eastAsia="黑体"/>
              </w:rPr>
              <w:t>分布</w:t>
            </w:r>
            <w:r>
              <w:rPr>
                <w:rFonts w:ascii="黑体" w:hAnsi="黑体" w:eastAsia="黑体"/>
              </w:rPr>
              <w:t>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23" w:type="pct"/>
            <w:shd w:val="clear" w:color="auto" w:fill="auto"/>
            <w:noWrap w:val="0"/>
            <w:vAlign w:val="center"/>
          </w:tcPr>
          <w:p>
            <w:pPr>
              <w:spacing w:line="500" w:lineRule="exact"/>
              <w:jc w:val="center"/>
              <w:rPr>
                <w:color w:val="000000"/>
              </w:rPr>
            </w:pPr>
            <w:r>
              <w:rPr>
                <w:color w:val="000000"/>
              </w:rPr>
              <w:t>一级</w:t>
            </w:r>
            <w:r>
              <w:rPr>
                <w:rFonts w:hint="eastAsia"/>
                <w:color w:val="000000"/>
              </w:rPr>
              <w:t>地</w:t>
            </w:r>
          </w:p>
        </w:tc>
        <w:tc>
          <w:tcPr>
            <w:tcW w:w="4077" w:type="pct"/>
            <w:shd w:val="clear" w:color="auto" w:fill="auto"/>
            <w:noWrap w:val="0"/>
            <w:vAlign w:val="center"/>
          </w:tcPr>
          <w:p>
            <w:pPr>
              <w:tabs>
                <w:tab w:val="left" w:pos="6199"/>
              </w:tabs>
              <w:spacing w:line="500" w:lineRule="exact"/>
            </w:pPr>
            <w:r>
              <w:rPr>
                <w:rFonts w:hint="eastAsia"/>
              </w:rPr>
              <w:t>天柱路—九子大道—仰晨路</w:t>
            </w:r>
            <w:r>
              <w:t>—</w:t>
            </w:r>
            <w:r>
              <w:rPr>
                <w:rFonts w:hint="eastAsia"/>
              </w:rPr>
              <w:t>莲花路</w:t>
            </w:r>
            <w:r>
              <w:t>—</w:t>
            </w:r>
            <w:r>
              <w:rPr>
                <w:rFonts w:hint="eastAsia"/>
              </w:rPr>
              <w:t>滨湖西路</w:t>
            </w:r>
            <w:r>
              <w:t>—</w:t>
            </w:r>
            <w:r>
              <w:rPr>
                <w:rFonts w:hint="eastAsia"/>
              </w:rPr>
              <w:t>顺河路—九子大道—临城北路—九华路—天柱路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23" w:type="pct"/>
            <w:shd w:val="clear" w:color="auto" w:fill="auto"/>
            <w:noWrap w:val="0"/>
            <w:vAlign w:val="center"/>
          </w:tcPr>
          <w:p>
            <w:pPr>
              <w:spacing w:line="500" w:lineRule="exact"/>
              <w:jc w:val="center"/>
              <w:rPr>
                <w:color w:val="000000"/>
              </w:rPr>
            </w:pPr>
            <w:r>
              <w:rPr>
                <w:color w:val="000000"/>
              </w:rPr>
              <w:t>二级</w:t>
            </w:r>
            <w:r>
              <w:rPr>
                <w:rFonts w:hint="eastAsia"/>
                <w:color w:val="000000"/>
              </w:rPr>
              <w:t>地</w:t>
            </w:r>
          </w:p>
        </w:tc>
        <w:tc>
          <w:tcPr>
            <w:tcW w:w="4077" w:type="pct"/>
            <w:shd w:val="clear" w:color="auto" w:fill="auto"/>
            <w:noWrap w:val="0"/>
            <w:vAlign w:val="center"/>
          </w:tcPr>
          <w:p>
            <w:pPr>
              <w:tabs>
                <w:tab w:val="left" w:pos="6199"/>
              </w:tabs>
              <w:spacing w:line="500" w:lineRule="exact"/>
            </w:pPr>
            <w:r>
              <w:rPr>
                <w:rFonts w:hint="eastAsia"/>
              </w:rPr>
              <w:t>碧桃路—九子大道—陵阳路</w:t>
            </w:r>
            <w:r>
              <w:t>—</w:t>
            </w:r>
            <w:r>
              <w:rPr>
                <w:rFonts w:hint="eastAsia"/>
              </w:rPr>
              <w:t>锦绣路—富阳路—芙蓉大道—长龙山路—七步泉路—碧桃路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23" w:type="pct"/>
            <w:shd w:val="clear" w:color="auto" w:fill="auto"/>
            <w:noWrap w:val="0"/>
            <w:vAlign w:val="center"/>
          </w:tcPr>
          <w:p>
            <w:pPr>
              <w:spacing w:line="500" w:lineRule="exact"/>
              <w:jc w:val="center"/>
              <w:rPr>
                <w:color w:val="000000"/>
              </w:rPr>
            </w:pPr>
            <w:r>
              <w:rPr>
                <w:color w:val="000000"/>
              </w:rPr>
              <w:t>三级</w:t>
            </w:r>
            <w:r>
              <w:rPr>
                <w:rFonts w:hint="eastAsia"/>
                <w:color w:val="000000"/>
              </w:rPr>
              <w:t>地</w:t>
            </w:r>
          </w:p>
        </w:tc>
        <w:tc>
          <w:tcPr>
            <w:tcW w:w="4077" w:type="pct"/>
            <w:shd w:val="clear" w:color="auto" w:fill="auto"/>
            <w:noWrap w:val="0"/>
            <w:vAlign w:val="center"/>
          </w:tcPr>
          <w:p>
            <w:pPr>
              <w:tabs>
                <w:tab w:val="left" w:pos="6199"/>
              </w:tabs>
              <w:spacing w:line="500" w:lineRule="exact"/>
            </w:pPr>
            <w:r>
              <w:rPr>
                <w:rFonts w:hint="eastAsia"/>
              </w:rPr>
              <w:t>东河—木镇路—培岭路—平岗路—城东路—九子大道—东河—光明大道—天柱路—定级范围—规划长龙山路—芙蓉大道—长龙山</w:t>
            </w:r>
            <w:r>
              <w:t>以</w:t>
            </w:r>
            <w:r>
              <w:rPr>
                <w:rFonts w:hint="eastAsia"/>
              </w:rPr>
              <w:t>东</w:t>
            </w:r>
            <w:r>
              <w:t>山体线</w:t>
            </w:r>
            <w:r>
              <w:rPr>
                <w:rFonts w:hint="eastAsia"/>
              </w:rPr>
              <w:t>—环城北路—东河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3" w:type="pct"/>
            <w:shd w:val="clear" w:color="auto" w:fill="auto"/>
            <w:noWrap w:val="0"/>
            <w:vAlign w:val="center"/>
          </w:tcPr>
          <w:p>
            <w:pPr>
              <w:spacing w:line="500" w:lineRule="exact"/>
              <w:jc w:val="center"/>
              <w:rPr>
                <w:color w:val="000000"/>
              </w:rPr>
            </w:pPr>
            <w:r>
              <w:rPr>
                <w:color w:val="000000"/>
              </w:rPr>
              <w:t>四级</w:t>
            </w:r>
            <w:r>
              <w:rPr>
                <w:rFonts w:hint="eastAsia"/>
                <w:color w:val="000000"/>
              </w:rPr>
              <w:t>地</w:t>
            </w:r>
          </w:p>
        </w:tc>
        <w:tc>
          <w:tcPr>
            <w:tcW w:w="4077" w:type="pct"/>
            <w:shd w:val="clear" w:color="auto" w:fill="auto"/>
            <w:noWrap w:val="0"/>
            <w:vAlign w:val="center"/>
          </w:tcPr>
          <w:p>
            <w:pPr>
              <w:tabs>
                <w:tab w:val="left" w:pos="6199"/>
              </w:tabs>
              <w:spacing w:line="500" w:lineRule="exact"/>
            </w:pPr>
            <w:r>
              <w:t>定级范围剩余</w:t>
            </w:r>
            <w:r>
              <w:rPr>
                <w:rFonts w:hint="eastAsia"/>
              </w:rPr>
              <w:t>区域</w:t>
            </w:r>
          </w:p>
        </w:tc>
      </w:tr>
    </w:tbl>
    <w:p>
      <w:pPr>
        <w:pStyle w:val="2"/>
        <w:spacing w:line="580" w:lineRule="exact"/>
        <w:jc w:val="center"/>
        <w:rPr>
          <w:rFonts w:hint="eastAsia" w:ascii="楷体_GB2312" w:hAnsi="Times New Roman" w:eastAsia="楷体_GB2312" w:cs="Times New Roman"/>
          <w:b/>
          <w:sz w:val="32"/>
          <w:szCs w:val="32"/>
        </w:rPr>
      </w:pPr>
      <w:r>
        <w:rPr>
          <w:rFonts w:hint="eastAsia" w:ascii="楷体_GB2312" w:hAnsi="Times New Roman" w:eastAsia="楷体_GB2312" w:cs="Times New Roman"/>
          <w:b/>
          <w:sz w:val="32"/>
          <w:szCs w:val="32"/>
        </w:rPr>
        <w:t>工矿仓储用地定级各级别土地分布范围表</w:t>
      </w:r>
    </w:p>
    <w:tbl>
      <w:tblPr>
        <w:tblStyle w:val="3"/>
        <w:tblW w:w="49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3"/>
        <w:gridCol w:w="6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923" w:type="pct"/>
            <w:shd w:val="clear" w:color="auto" w:fill="auto"/>
            <w:noWrap w:val="0"/>
            <w:vAlign w:val="center"/>
          </w:tcPr>
          <w:p>
            <w:pPr>
              <w:spacing w:line="500" w:lineRule="exact"/>
              <w:jc w:val="center"/>
              <w:rPr>
                <w:rFonts w:ascii="黑体" w:hAnsi="黑体" w:eastAsia="黑体"/>
              </w:rPr>
            </w:pPr>
            <w:r>
              <w:rPr>
                <w:rFonts w:hint="eastAsia" w:ascii="黑体" w:hAnsi="黑体" w:eastAsia="黑体"/>
              </w:rPr>
              <w:t>土地</w:t>
            </w:r>
            <w:r>
              <w:rPr>
                <w:rFonts w:ascii="黑体" w:hAnsi="黑体" w:eastAsia="黑体"/>
              </w:rPr>
              <w:t>级别</w:t>
            </w:r>
          </w:p>
        </w:tc>
        <w:tc>
          <w:tcPr>
            <w:tcW w:w="4077" w:type="pct"/>
            <w:shd w:val="clear" w:color="auto" w:fill="auto"/>
            <w:noWrap w:val="0"/>
            <w:vAlign w:val="center"/>
          </w:tcPr>
          <w:p>
            <w:pPr>
              <w:spacing w:line="500" w:lineRule="exact"/>
              <w:jc w:val="center"/>
              <w:rPr>
                <w:rFonts w:ascii="黑体" w:hAnsi="黑体" w:eastAsia="黑体"/>
              </w:rPr>
            </w:pPr>
            <w:r>
              <w:rPr>
                <w:rFonts w:hint="eastAsia" w:ascii="黑体" w:hAnsi="黑体" w:eastAsia="黑体"/>
              </w:rPr>
              <w:t>分布</w:t>
            </w:r>
            <w:r>
              <w:rPr>
                <w:rFonts w:ascii="黑体" w:hAnsi="黑体" w:eastAsia="黑体"/>
              </w:rPr>
              <w:t>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923" w:type="pct"/>
            <w:shd w:val="clear" w:color="auto" w:fill="auto"/>
            <w:noWrap w:val="0"/>
            <w:vAlign w:val="center"/>
          </w:tcPr>
          <w:p>
            <w:pPr>
              <w:spacing w:line="500" w:lineRule="exact"/>
              <w:jc w:val="center"/>
              <w:rPr>
                <w:color w:val="000000"/>
              </w:rPr>
            </w:pPr>
            <w:r>
              <w:rPr>
                <w:color w:val="000000"/>
              </w:rPr>
              <w:t>一级</w:t>
            </w:r>
            <w:r>
              <w:rPr>
                <w:rFonts w:hint="eastAsia"/>
                <w:color w:val="000000"/>
              </w:rPr>
              <w:t>地</w:t>
            </w:r>
          </w:p>
        </w:tc>
        <w:tc>
          <w:tcPr>
            <w:tcW w:w="4077" w:type="pct"/>
            <w:shd w:val="clear" w:color="auto" w:fill="auto"/>
            <w:noWrap w:val="0"/>
            <w:vAlign w:val="center"/>
          </w:tcPr>
          <w:p>
            <w:pPr>
              <w:tabs>
                <w:tab w:val="left" w:pos="6199"/>
              </w:tabs>
              <w:spacing w:line="500" w:lineRule="exact"/>
            </w:pPr>
            <w:r>
              <w:rPr>
                <w:rFonts w:hint="eastAsia"/>
              </w:rPr>
              <w:t>东河以西区域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923" w:type="pct"/>
            <w:shd w:val="clear" w:color="auto" w:fill="auto"/>
            <w:noWrap w:val="0"/>
            <w:vAlign w:val="center"/>
          </w:tcPr>
          <w:p>
            <w:pPr>
              <w:spacing w:line="500" w:lineRule="exact"/>
              <w:jc w:val="center"/>
              <w:rPr>
                <w:color w:val="000000"/>
              </w:rPr>
            </w:pPr>
            <w:r>
              <w:rPr>
                <w:color w:val="000000"/>
              </w:rPr>
              <w:t>二级</w:t>
            </w:r>
            <w:r>
              <w:rPr>
                <w:rFonts w:hint="eastAsia"/>
                <w:color w:val="000000"/>
              </w:rPr>
              <w:t>地</w:t>
            </w:r>
          </w:p>
        </w:tc>
        <w:tc>
          <w:tcPr>
            <w:tcW w:w="4077" w:type="pct"/>
            <w:shd w:val="clear" w:color="auto" w:fill="auto"/>
            <w:noWrap w:val="0"/>
            <w:vAlign w:val="center"/>
          </w:tcPr>
          <w:p>
            <w:pPr>
              <w:tabs>
                <w:tab w:val="left" w:pos="6199"/>
              </w:tabs>
              <w:spacing w:line="500" w:lineRule="exact"/>
            </w:pPr>
            <w:r>
              <w:rPr>
                <w:rFonts w:hint="eastAsia"/>
              </w:rPr>
              <w:t>城东路—乔木东路—东河—环城北路—城东路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923" w:type="pct"/>
            <w:shd w:val="clear" w:color="auto" w:fill="auto"/>
            <w:noWrap w:val="0"/>
            <w:vAlign w:val="center"/>
          </w:tcPr>
          <w:p>
            <w:pPr>
              <w:spacing w:line="500" w:lineRule="exact"/>
              <w:jc w:val="center"/>
              <w:rPr>
                <w:color w:val="000000"/>
              </w:rPr>
            </w:pPr>
            <w:r>
              <w:rPr>
                <w:color w:val="000000"/>
              </w:rPr>
              <w:t>三级</w:t>
            </w:r>
            <w:r>
              <w:rPr>
                <w:rFonts w:hint="eastAsia"/>
                <w:color w:val="000000"/>
              </w:rPr>
              <w:t>地</w:t>
            </w:r>
          </w:p>
        </w:tc>
        <w:tc>
          <w:tcPr>
            <w:tcW w:w="4077" w:type="pct"/>
            <w:shd w:val="clear" w:color="auto" w:fill="auto"/>
            <w:noWrap w:val="0"/>
            <w:vAlign w:val="center"/>
          </w:tcPr>
          <w:p>
            <w:pPr>
              <w:tabs>
                <w:tab w:val="left" w:pos="6199"/>
              </w:tabs>
              <w:spacing w:line="500" w:lineRule="exact"/>
            </w:pPr>
            <w:r>
              <w:t>定级范围剩余</w:t>
            </w:r>
            <w:r>
              <w:rPr>
                <w:rFonts w:hint="eastAsia"/>
              </w:rPr>
              <w:t>区域</w:t>
            </w:r>
          </w:p>
        </w:tc>
      </w:tr>
    </w:tbl>
    <w:p>
      <w:pPr>
        <w:pStyle w:val="2"/>
        <w:spacing w:before="156" w:beforeLines="50" w:line="580" w:lineRule="exact"/>
        <w:jc w:val="center"/>
        <w:rPr>
          <w:rFonts w:hint="eastAsia" w:ascii="楷体_GB2312" w:hAnsi="Times New Roman" w:eastAsia="楷体_GB2312" w:cs="Times New Roman"/>
          <w:b/>
          <w:sz w:val="32"/>
          <w:szCs w:val="32"/>
        </w:rPr>
      </w:pPr>
      <w:r>
        <w:rPr>
          <w:rFonts w:hint="eastAsia" w:ascii="楷体_GB2312" w:hAnsi="Times New Roman" w:eastAsia="楷体_GB2312" w:cs="Times New Roman"/>
          <w:b/>
          <w:sz w:val="32"/>
          <w:szCs w:val="32"/>
        </w:rPr>
        <w:t>各级别土地分布范围表</w:t>
      </w:r>
    </w:p>
    <w:tbl>
      <w:tblPr>
        <w:tblStyle w:val="3"/>
        <w:tblW w:w="49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3"/>
        <w:gridCol w:w="6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3" w:type="pct"/>
            <w:shd w:val="clear" w:color="auto" w:fill="auto"/>
            <w:noWrap w:val="0"/>
            <w:vAlign w:val="center"/>
          </w:tcPr>
          <w:p>
            <w:pPr>
              <w:spacing w:line="500" w:lineRule="exact"/>
              <w:jc w:val="center"/>
              <w:rPr>
                <w:rFonts w:ascii="黑体" w:hAnsi="黑体" w:eastAsia="黑体"/>
              </w:rPr>
            </w:pPr>
            <w:r>
              <w:rPr>
                <w:rFonts w:hint="eastAsia" w:ascii="黑体" w:hAnsi="黑体" w:eastAsia="黑体"/>
              </w:rPr>
              <w:t>土地</w:t>
            </w:r>
            <w:r>
              <w:rPr>
                <w:rFonts w:ascii="黑体" w:hAnsi="黑体" w:eastAsia="黑体"/>
              </w:rPr>
              <w:t>级别</w:t>
            </w:r>
          </w:p>
        </w:tc>
        <w:tc>
          <w:tcPr>
            <w:tcW w:w="4077" w:type="pct"/>
            <w:shd w:val="clear" w:color="auto" w:fill="auto"/>
            <w:noWrap w:val="0"/>
            <w:vAlign w:val="center"/>
          </w:tcPr>
          <w:p>
            <w:pPr>
              <w:spacing w:line="500" w:lineRule="exact"/>
              <w:jc w:val="center"/>
              <w:rPr>
                <w:rFonts w:ascii="黑体" w:hAnsi="黑体" w:eastAsia="黑体"/>
              </w:rPr>
            </w:pPr>
            <w:r>
              <w:rPr>
                <w:rFonts w:hint="eastAsia" w:ascii="黑体" w:hAnsi="黑体" w:eastAsia="黑体"/>
              </w:rPr>
              <w:t>分布</w:t>
            </w:r>
            <w:r>
              <w:rPr>
                <w:rFonts w:ascii="黑体" w:hAnsi="黑体" w:eastAsia="黑体"/>
              </w:rPr>
              <w:t>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3" w:type="pct"/>
            <w:shd w:val="clear" w:color="auto" w:fill="auto"/>
            <w:noWrap w:val="0"/>
            <w:vAlign w:val="center"/>
          </w:tcPr>
          <w:p>
            <w:pPr>
              <w:spacing w:line="500" w:lineRule="exact"/>
              <w:jc w:val="center"/>
              <w:rPr>
                <w:color w:val="000000"/>
              </w:rPr>
            </w:pPr>
            <w:r>
              <w:rPr>
                <w:color w:val="000000"/>
              </w:rPr>
              <w:t>一级</w:t>
            </w:r>
            <w:r>
              <w:rPr>
                <w:rFonts w:hint="eastAsia"/>
                <w:color w:val="000000"/>
              </w:rPr>
              <w:t>地</w:t>
            </w:r>
          </w:p>
        </w:tc>
        <w:tc>
          <w:tcPr>
            <w:tcW w:w="4077" w:type="pct"/>
            <w:shd w:val="clear" w:color="auto" w:fill="auto"/>
            <w:noWrap w:val="0"/>
            <w:vAlign w:val="center"/>
          </w:tcPr>
          <w:p>
            <w:pPr>
              <w:tabs>
                <w:tab w:val="left" w:pos="6199"/>
              </w:tabs>
              <w:spacing w:line="500" w:lineRule="exact"/>
            </w:pPr>
            <w:r>
              <w:rPr>
                <w:rFonts w:hint="eastAsia"/>
              </w:rPr>
              <w:t>碧桃路</w:t>
            </w:r>
            <w:r>
              <w:t>—</w:t>
            </w:r>
            <w:r>
              <w:rPr>
                <w:rFonts w:hint="eastAsia"/>
              </w:rPr>
              <w:t>九子大道</w:t>
            </w:r>
            <w:r>
              <w:t>—</w:t>
            </w:r>
            <w:r>
              <w:rPr>
                <w:rFonts w:hint="eastAsia"/>
              </w:rPr>
              <w:t>陵阳路</w:t>
            </w:r>
            <w:r>
              <w:t>—</w:t>
            </w:r>
            <w:r>
              <w:rPr>
                <w:rFonts w:hint="eastAsia"/>
              </w:rPr>
              <w:t>莲花路—滨湖西路</w:t>
            </w:r>
            <w:r>
              <w:t>—</w:t>
            </w:r>
            <w:r>
              <w:rPr>
                <w:rFonts w:hint="eastAsia"/>
              </w:rPr>
              <w:t>顺河路—九子大道—临城北路—七步泉路</w:t>
            </w:r>
            <w:r>
              <w:t>—</w:t>
            </w:r>
            <w:r>
              <w:rPr>
                <w:rFonts w:hint="eastAsia"/>
              </w:rPr>
              <w:t>碧桃路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3" w:type="pct"/>
            <w:shd w:val="clear" w:color="auto" w:fill="auto"/>
            <w:noWrap w:val="0"/>
            <w:vAlign w:val="center"/>
          </w:tcPr>
          <w:p>
            <w:pPr>
              <w:spacing w:line="500" w:lineRule="exact"/>
              <w:jc w:val="center"/>
              <w:rPr>
                <w:color w:val="000000"/>
              </w:rPr>
            </w:pPr>
            <w:r>
              <w:rPr>
                <w:color w:val="000000"/>
              </w:rPr>
              <w:t>二级</w:t>
            </w:r>
            <w:r>
              <w:rPr>
                <w:rFonts w:hint="eastAsia"/>
                <w:color w:val="000000"/>
              </w:rPr>
              <w:t>地</w:t>
            </w:r>
          </w:p>
        </w:tc>
        <w:tc>
          <w:tcPr>
            <w:tcW w:w="4077" w:type="pct"/>
            <w:shd w:val="clear" w:color="auto" w:fill="auto"/>
            <w:noWrap w:val="0"/>
            <w:vAlign w:val="center"/>
          </w:tcPr>
          <w:p>
            <w:pPr>
              <w:tabs>
                <w:tab w:val="left" w:pos="6199"/>
              </w:tabs>
              <w:spacing w:line="500" w:lineRule="exact"/>
            </w:pPr>
            <w:r>
              <w:rPr>
                <w:rFonts w:hint="eastAsia"/>
              </w:rPr>
              <w:t>青华公学—木镇路—培岭路—平岗路—城东路—九子大道—东河—光明大道—富阳路—芙蓉大道—长龙山</w:t>
            </w:r>
            <w:r>
              <w:t>以</w:t>
            </w:r>
            <w:r>
              <w:rPr>
                <w:rFonts w:hint="eastAsia"/>
              </w:rPr>
              <w:t>东</w:t>
            </w:r>
            <w:r>
              <w:t>山体线</w:t>
            </w:r>
            <w:r>
              <w:rPr>
                <w:rFonts w:hint="eastAsia"/>
              </w:rPr>
              <w:t>—环城北路</w:t>
            </w:r>
            <w:r>
              <w:t>—</w:t>
            </w:r>
            <w:r>
              <w:rPr>
                <w:rFonts w:hint="eastAsia"/>
              </w:rPr>
              <w:t>青华公学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3" w:type="pct"/>
            <w:shd w:val="clear" w:color="auto" w:fill="auto"/>
            <w:noWrap w:val="0"/>
            <w:vAlign w:val="center"/>
          </w:tcPr>
          <w:p>
            <w:pPr>
              <w:spacing w:line="500" w:lineRule="exact"/>
              <w:jc w:val="center"/>
              <w:rPr>
                <w:color w:val="000000"/>
              </w:rPr>
            </w:pPr>
            <w:r>
              <w:rPr>
                <w:color w:val="000000"/>
              </w:rPr>
              <w:t>三级</w:t>
            </w:r>
            <w:r>
              <w:rPr>
                <w:rFonts w:hint="eastAsia"/>
                <w:color w:val="000000"/>
              </w:rPr>
              <w:t>地</w:t>
            </w:r>
          </w:p>
        </w:tc>
        <w:tc>
          <w:tcPr>
            <w:tcW w:w="4077" w:type="pct"/>
            <w:shd w:val="clear" w:color="auto" w:fill="auto"/>
            <w:noWrap w:val="0"/>
            <w:vAlign w:val="center"/>
          </w:tcPr>
          <w:p>
            <w:pPr>
              <w:tabs>
                <w:tab w:val="left" w:pos="6199"/>
              </w:tabs>
              <w:spacing w:line="500" w:lineRule="exact"/>
            </w:pPr>
            <w:r>
              <w:t>定级范围剩余</w:t>
            </w:r>
            <w:r>
              <w:rPr>
                <w:rFonts w:hint="eastAsia"/>
              </w:rPr>
              <w:t>区域</w:t>
            </w:r>
          </w:p>
        </w:tc>
      </w:tr>
    </w:tbl>
    <w:p>
      <w:pPr>
        <w:spacing w:line="580" w:lineRule="exact"/>
        <w:ind w:firstLine="315" w:firstLineChars="150"/>
        <w:rPr>
          <w:rFonts w:hint="eastAsia"/>
          <w:color w:val="000000"/>
        </w:rPr>
      </w:pPr>
      <w:r>
        <w:rPr>
          <w:color w:val="000000"/>
        </w:rPr>
        <w:t>注：二级地区域需扣除一级地区域，三级地区域需扣除二级地区域，依次类推</w:t>
      </w:r>
      <w:r>
        <w:rPr>
          <w:rFonts w:hint="eastAsia"/>
          <w:color w:val="000000"/>
        </w:rPr>
        <w:t>。</w:t>
      </w:r>
    </w:p>
    <w:p>
      <w:pPr>
        <w:overflowPunct w:val="0"/>
        <w:autoSpaceDN w:val="0"/>
        <w:spacing w:line="580" w:lineRule="exact"/>
        <w:ind w:firstLine="420" w:firstLineChars="200"/>
        <w:rPr>
          <w:rFonts w:ascii="黑体" w:hAnsi="黑体" w:eastAsia="黑体"/>
        </w:rPr>
      </w:pPr>
      <w:r>
        <w:rPr>
          <w:rFonts w:hint="eastAsia" w:ascii="黑体" w:hAnsi="黑体" w:eastAsia="黑体"/>
        </w:rPr>
        <w:t>三、县城区基准地价表</w:t>
      </w:r>
    </w:p>
    <w:p>
      <w:pPr>
        <w:pStyle w:val="2"/>
        <w:spacing w:line="580" w:lineRule="exact"/>
        <w:ind w:firstLine="643" w:firstLineChars="200"/>
        <w:jc w:val="left"/>
        <w:rPr>
          <w:rFonts w:hint="eastAsia" w:ascii="楷体_GB2312" w:hAnsi="Times New Roman" w:eastAsia="楷体_GB2312" w:cs="Times New Roman"/>
          <w:b/>
          <w:sz w:val="32"/>
          <w:szCs w:val="32"/>
        </w:rPr>
      </w:pPr>
      <w:r>
        <w:rPr>
          <w:rFonts w:hint="eastAsia" w:ascii="楷体_GB2312" w:hAnsi="Times New Roman" w:eastAsia="楷体_GB2312" w:cs="Times New Roman"/>
          <w:b/>
          <w:sz w:val="32"/>
          <w:szCs w:val="32"/>
        </w:rPr>
        <w:t>（一）商服用地级别基准地价</w:t>
      </w:r>
    </w:p>
    <w:p>
      <w:pPr>
        <w:pStyle w:val="2"/>
        <w:spacing w:line="58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零售商业用地级别基准地价表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79"/>
        <w:gridCol w:w="1673"/>
        <w:gridCol w:w="1519"/>
        <w:gridCol w:w="1350"/>
        <w:gridCol w:w="1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281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土地级别</w:t>
            </w:r>
          </w:p>
        </w:tc>
        <w:tc>
          <w:tcPr>
            <w:tcW w:w="180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一</w:t>
            </w:r>
          </w:p>
        </w:tc>
        <w:tc>
          <w:tcPr>
            <w:tcW w:w="162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二</w:t>
            </w:r>
          </w:p>
        </w:tc>
        <w:tc>
          <w:tcPr>
            <w:tcW w:w="144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三</w:t>
            </w:r>
          </w:p>
        </w:tc>
        <w:tc>
          <w:tcPr>
            <w:tcW w:w="1394"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2810" w:type="dxa"/>
            <w:shd w:val="clear" w:color="auto" w:fill="auto"/>
            <w:noWrap w:val="0"/>
            <w:vAlign w:val="center"/>
          </w:tcPr>
          <w:p>
            <w:pPr>
              <w:spacing w:line="580" w:lineRule="exact"/>
              <w:rPr>
                <w:rFonts w:hint="eastAsia"/>
                <w:color w:val="000000"/>
              </w:rPr>
            </w:pPr>
            <w:r>
              <w:rPr>
                <w:rFonts w:hint="eastAsia"/>
                <w:color w:val="000000"/>
              </w:rPr>
              <w:t>基准地价（元/m</w:t>
            </w:r>
            <w:r>
              <w:rPr>
                <w:rFonts w:hint="eastAsia"/>
                <w:color w:val="000000"/>
                <w:vertAlign w:val="superscript"/>
              </w:rPr>
              <w:t>2</w:t>
            </w:r>
            <w:r>
              <w:rPr>
                <w:rFonts w:hint="eastAsia"/>
                <w:color w:val="000000"/>
              </w:rPr>
              <w:t>）</w:t>
            </w:r>
          </w:p>
        </w:tc>
        <w:tc>
          <w:tcPr>
            <w:tcW w:w="1800" w:type="dxa"/>
            <w:shd w:val="clear" w:color="auto" w:fill="auto"/>
            <w:noWrap w:val="0"/>
            <w:vAlign w:val="center"/>
          </w:tcPr>
          <w:p>
            <w:pPr>
              <w:spacing w:line="580" w:lineRule="exact"/>
              <w:jc w:val="center"/>
              <w:rPr>
                <w:rFonts w:hint="eastAsia"/>
                <w:b/>
                <w:bCs/>
              </w:rPr>
            </w:pPr>
            <w:r>
              <w:rPr>
                <w:rFonts w:hint="eastAsia"/>
                <w:b/>
                <w:bCs/>
              </w:rPr>
              <w:t>2580</w:t>
            </w:r>
          </w:p>
        </w:tc>
        <w:tc>
          <w:tcPr>
            <w:tcW w:w="1620" w:type="dxa"/>
            <w:shd w:val="clear" w:color="auto" w:fill="auto"/>
            <w:noWrap w:val="0"/>
            <w:vAlign w:val="center"/>
          </w:tcPr>
          <w:p>
            <w:pPr>
              <w:spacing w:line="580" w:lineRule="exact"/>
              <w:jc w:val="center"/>
              <w:rPr>
                <w:rFonts w:hint="eastAsia"/>
                <w:b/>
                <w:bCs/>
              </w:rPr>
            </w:pPr>
            <w:r>
              <w:rPr>
                <w:rFonts w:hint="eastAsia"/>
                <w:b/>
                <w:bCs/>
              </w:rPr>
              <w:t>1720</w:t>
            </w:r>
          </w:p>
        </w:tc>
        <w:tc>
          <w:tcPr>
            <w:tcW w:w="1440" w:type="dxa"/>
            <w:shd w:val="clear" w:color="auto" w:fill="auto"/>
            <w:noWrap w:val="0"/>
            <w:vAlign w:val="center"/>
          </w:tcPr>
          <w:p>
            <w:pPr>
              <w:spacing w:line="580" w:lineRule="exact"/>
              <w:jc w:val="center"/>
              <w:rPr>
                <w:rFonts w:hint="eastAsia"/>
                <w:b/>
                <w:bCs/>
              </w:rPr>
            </w:pPr>
            <w:r>
              <w:rPr>
                <w:rFonts w:hint="eastAsia"/>
                <w:b/>
                <w:bCs/>
              </w:rPr>
              <w:t>1130</w:t>
            </w:r>
          </w:p>
        </w:tc>
        <w:tc>
          <w:tcPr>
            <w:tcW w:w="1394" w:type="dxa"/>
            <w:shd w:val="clear" w:color="auto" w:fill="auto"/>
            <w:noWrap w:val="0"/>
            <w:vAlign w:val="center"/>
          </w:tcPr>
          <w:p>
            <w:pPr>
              <w:spacing w:line="580" w:lineRule="exact"/>
              <w:jc w:val="center"/>
              <w:rPr>
                <w:rFonts w:hint="eastAsia"/>
                <w:b/>
                <w:bCs/>
              </w:rPr>
            </w:pPr>
            <w:r>
              <w:rPr>
                <w:rFonts w:hint="eastAsia"/>
                <w:b/>
                <w:bCs/>
              </w:rPr>
              <w:t>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2810" w:type="dxa"/>
            <w:shd w:val="clear" w:color="auto" w:fill="auto"/>
            <w:noWrap w:val="0"/>
            <w:vAlign w:val="center"/>
          </w:tcPr>
          <w:p>
            <w:pPr>
              <w:spacing w:line="580" w:lineRule="exact"/>
              <w:rPr>
                <w:rFonts w:hint="eastAsia"/>
                <w:color w:val="000000"/>
              </w:rPr>
            </w:pPr>
            <w:r>
              <w:rPr>
                <w:rFonts w:hint="eastAsia"/>
                <w:color w:val="000000"/>
              </w:rPr>
              <w:t>变幅（元/m</w:t>
            </w:r>
            <w:r>
              <w:rPr>
                <w:rFonts w:hint="eastAsia"/>
                <w:color w:val="000000"/>
                <w:vertAlign w:val="superscript"/>
              </w:rPr>
              <w:t>2</w:t>
            </w:r>
            <w:r>
              <w:rPr>
                <w:rFonts w:hint="eastAsia"/>
                <w:color w:val="000000"/>
              </w:rPr>
              <w:t>）</w:t>
            </w:r>
          </w:p>
        </w:tc>
        <w:tc>
          <w:tcPr>
            <w:tcW w:w="1800" w:type="dxa"/>
            <w:shd w:val="clear" w:color="auto" w:fill="auto"/>
            <w:noWrap w:val="0"/>
            <w:vAlign w:val="center"/>
          </w:tcPr>
          <w:p>
            <w:pPr>
              <w:spacing w:line="580" w:lineRule="exact"/>
              <w:jc w:val="center"/>
              <w:rPr>
                <w:rFonts w:hint="eastAsia"/>
                <w:color w:val="000000"/>
              </w:rPr>
            </w:pPr>
            <w:r>
              <w:rPr>
                <w:rFonts w:hint="eastAsia"/>
                <w:color w:val="000000"/>
              </w:rPr>
              <w:t>3350-1810</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2235-1210</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1465-795</w:t>
            </w:r>
          </w:p>
        </w:tc>
        <w:tc>
          <w:tcPr>
            <w:tcW w:w="1394" w:type="dxa"/>
            <w:shd w:val="clear" w:color="auto" w:fill="auto"/>
            <w:noWrap w:val="0"/>
            <w:vAlign w:val="center"/>
          </w:tcPr>
          <w:p>
            <w:pPr>
              <w:spacing w:line="580" w:lineRule="exact"/>
              <w:jc w:val="center"/>
              <w:rPr>
                <w:rFonts w:hint="eastAsia"/>
                <w:color w:val="000000"/>
              </w:rPr>
            </w:pPr>
            <w:r>
              <w:rPr>
                <w:rFonts w:hint="eastAsia"/>
                <w:color w:val="000000"/>
              </w:rPr>
              <w:t>970-525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2810" w:type="dxa"/>
            <w:shd w:val="clear" w:color="auto" w:fill="auto"/>
            <w:noWrap w:val="0"/>
            <w:vAlign w:val="center"/>
          </w:tcPr>
          <w:p>
            <w:pPr>
              <w:spacing w:line="580" w:lineRule="exact"/>
              <w:rPr>
                <w:rFonts w:hint="eastAsia"/>
                <w:color w:val="000000"/>
              </w:rPr>
            </w:pPr>
            <w:r>
              <w:rPr>
                <w:rFonts w:hint="eastAsia"/>
                <w:color w:val="000000"/>
              </w:rPr>
              <w:t>换算价格（万元/亩）</w:t>
            </w:r>
          </w:p>
        </w:tc>
        <w:tc>
          <w:tcPr>
            <w:tcW w:w="1800" w:type="dxa"/>
            <w:shd w:val="clear" w:color="auto" w:fill="auto"/>
            <w:noWrap w:val="0"/>
            <w:vAlign w:val="center"/>
          </w:tcPr>
          <w:p>
            <w:pPr>
              <w:spacing w:line="580" w:lineRule="exact"/>
              <w:jc w:val="center"/>
              <w:rPr>
                <w:rFonts w:hint="eastAsia"/>
                <w:color w:val="000000"/>
              </w:rPr>
            </w:pPr>
            <w:r>
              <w:rPr>
                <w:rFonts w:hint="eastAsia"/>
                <w:color w:val="000000"/>
              </w:rPr>
              <w:t>172.00</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114.67</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75.33</w:t>
            </w:r>
          </w:p>
        </w:tc>
        <w:tc>
          <w:tcPr>
            <w:tcW w:w="1394" w:type="dxa"/>
            <w:shd w:val="clear" w:color="auto" w:fill="auto"/>
            <w:noWrap w:val="0"/>
            <w:vAlign w:val="center"/>
          </w:tcPr>
          <w:p>
            <w:pPr>
              <w:spacing w:line="580" w:lineRule="exact"/>
              <w:jc w:val="center"/>
              <w:rPr>
                <w:rFonts w:hint="eastAsia"/>
                <w:color w:val="000000"/>
              </w:rPr>
            </w:pPr>
            <w:r>
              <w:rPr>
                <w:rFonts w:hint="eastAsia"/>
                <w:color w:val="000000"/>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2810" w:type="dxa"/>
            <w:shd w:val="clear" w:color="auto" w:fill="auto"/>
            <w:noWrap w:val="0"/>
            <w:vAlign w:val="center"/>
          </w:tcPr>
          <w:p>
            <w:pPr>
              <w:spacing w:line="580" w:lineRule="exact"/>
              <w:rPr>
                <w:rFonts w:hint="eastAsia"/>
                <w:color w:val="000000"/>
              </w:rPr>
            </w:pPr>
            <w:r>
              <w:rPr>
                <w:rFonts w:hint="eastAsia"/>
                <w:color w:val="000000"/>
              </w:rPr>
              <w:t>设定容积率</w:t>
            </w:r>
          </w:p>
        </w:tc>
        <w:tc>
          <w:tcPr>
            <w:tcW w:w="1800" w:type="dxa"/>
            <w:shd w:val="clear" w:color="auto" w:fill="auto"/>
            <w:noWrap w:val="0"/>
            <w:vAlign w:val="center"/>
          </w:tcPr>
          <w:p>
            <w:pPr>
              <w:spacing w:line="580" w:lineRule="exact"/>
              <w:jc w:val="center"/>
              <w:rPr>
                <w:rFonts w:hint="eastAsia"/>
                <w:color w:val="000000"/>
              </w:rPr>
            </w:pPr>
            <w:r>
              <w:rPr>
                <w:rFonts w:hint="eastAsia"/>
                <w:color w:val="000000"/>
              </w:rPr>
              <w:t>1.6</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1.5</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1.3</w:t>
            </w:r>
          </w:p>
        </w:tc>
        <w:tc>
          <w:tcPr>
            <w:tcW w:w="1394" w:type="dxa"/>
            <w:shd w:val="clear" w:color="auto" w:fill="auto"/>
            <w:noWrap w:val="0"/>
            <w:vAlign w:val="center"/>
          </w:tcPr>
          <w:p>
            <w:pPr>
              <w:spacing w:line="580" w:lineRule="exact"/>
              <w:jc w:val="center"/>
              <w:rPr>
                <w:rFonts w:hint="eastAsia"/>
                <w:color w:val="000000"/>
              </w:rPr>
            </w:pPr>
            <w:r>
              <w:rPr>
                <w:rFonts w:hint="eastAsia"/>
                <w:color w:val="000000"/>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2810" w:type="dxa"/>
            <w:shd w:val="clear" w:color="auto" w:fill="auto"/>
            <w:noWrap w:val="0"/>
            <w:vAlign w:val="center"/>
          </w:tcPr>
          <w:p>
            <w:pPr>
              <w:spacing w:line="580" w:lineRule="exact"/>
              <w:rPr>
                <w:rFonts w:hint="eastAsia"/>
                <w:color w:val="000000"/>
              </w:rPr>
            </w:pPr>
            <w:r>
              <w:rPr>
                <w:rFonts w:hint="eastAsia"/>
                <w:color w:val="000000"/>
              </w:rPr>
              <w:t>楼面地价</w:t>
            </w:r>
          </w:p>
        </w:tc>
        <w:tc>
          <w:tcPr>
            <w:tcW w:w="1800" w:type="dxa"/>
            <w:shd w:val="clear" w:color="auto" w:fill="auto"/>
            <w:noWrap w:val="0"/>
            <w:vAlign w:val="center"/>
          </w:tcPr>
          <w:p>
            <w:pPr>
              <w:spacing w:line="580" w:lineRule="exact"/>
              <w:jc w:val="center"/>
              <w:rPr>
                <w:rFonts w:hint="eastAsia" w:hAnsi="宋体" w:cs="宋体"/>
                <w:color w:val="000000"/>
              </w:rPr>
            </w:pPr>
            <w:r>
              <w:rPr>
                <w:rFonts w:hint="eastAsia"/>
                <w:color w:val="000000"/>
              </w:rPr>
              <w:t>1613</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1147</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869</w:t>
            </w:r>
          </w:p>
        </w:tc>
        <w:tc>
          <w:tcPr>
            <w:tcW w:w="1394" w:type="dxa"/>
            <w:shd w:val="clear" w:color="auto" w:fill="auto"/>
            <w:noWrap w:val="0"/>
            <w:vAlign w:val="center"/>
          </w:tcPr>
          <w:p>
            <w:pPr>
              <w:spacing w:line="580" w:lineRule="exact"/>
              <w:jc w:val="center"/>
              <w:rPr>
                <w:rFonts w:hint="eastAsia"/>
                <w:color w:val="000000"/>
              </w:rPr>
            </w:pPr>
            <w:r>
              <w:rPr>
                <w:rFonts w:hint="eastAsia"/>
                <w:color w:val="000000"/>
              </w:rPr>
              <w:t>682</w:t>
            </w:r>
          </w:p>
        </w:tc>
      </w:tr>
    </w:tbl>
    <w:p>
      <w:pPr>
        <w:pStyle w:val="2"/>
        <w:spacing w:before="156" w:beforeLines="50" w:line="58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其他商服用地级别基准地价表</w:t>
      </w:r>
    </w:p>
    <w:tbl>
      <w:tblPr>
        <w:tblStyle w:val="3"/>
        <w:tblW w:w="882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85"/>
        <w:gridCol w:w="1620"/>
        <w:gridCol w:w="1620"/>
        <w:gridCol w:w="144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土地级别</w:t>
            </w:r>
          </w:p>
        </w:tc>
        <w:tc>
          <w:tcPr>
            <w:tcW w:w="162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一</w:t>
            </w:r>
          </w:p>
        </w:tc>
        <w:tc>
          <w:tcPr>
            <w:tcW w:w="162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二</w:t>
            </w:r>
          </w:p>
        </w:tc>
        <w:tc>
          <w:tcPr>
            <w:tcW w:w="144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三</w:t>
            </w:r>
          </w:p>
        </w:tc>
        <w:tc>
          <w:tcPr>
            <w:tcW w:w="126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基准地价（元/m</w:t>
            </w:r>
            <w:r>
              <w:rPr>
                <w:rFonts w:hint="eastAsia"/>
                <w:color w:val="000000"/>
                <w:vertAlign w:val="superscript"/>
              </w:rPr>
              <w:t>2</w:t>
            </w:r>
            <w:r>
              <w:rPr>
                <w:rFonts w:hint="eastAsia"/>
                <w:color w:val="000000"/>
              </w:rPr>
              <w:t>）</w:t>
            </w:r>
          </w:p>
        </w:tc>
        <w:tc>
          <w:tcPr>
            <w:tcW w:w="1620" w:type="dxa"/>
            <w:shd w:val="clear" w:color="auto" w:fill="auto"/>
            <w:noWrap w:val="0"/>
            <w:vAlign w:val="center"/>
          </w:tcPr>
          <w:p>
            <w:pPr>
              <w:spacing w:line="580" w:lineRule="exact"/>
              <w:jc w:val="center"/>
              <w:rPr>
                <w:rFonts w:hint="eastAsia"/>
                <w:b/>
                <w:bCs/>
              </w:rPr>
            </w:pPr>
            <w:r>
              <w:rPr>
                <w:rFonts w:hint="eastAsia"/>
                <w:b/>
                <w:bCs/>
              </w:rPr>
              <w:t>2300</w:t>
            </w:r>
          </w:p>
        </w:tc>
        <w:tc>
          <w:tcPr>
            <w:tcW w:w="1620" w:type="dxa"/>
            <w:shd w:val="clear" w:color="auto" w:fill="auto"/>
            <w:noWrap w:val="0"/>
            <w:vAlign w:val="center"/>
          </w:tcPr>
          <w:p>
            <w:pPr>
              <w:spacing w:line="580" w:lineRule="exact"/>
              <w:jc w:val="center"/>
              <w:rPr>
                <w:rFonts w:hint="eastAsia"/>
                <w:b/>
                <w:bCs/>
              </w:rPr>
            </w:pPr>
            <w:r>
              <w:rPr>
                <w:rFonts w:hint="eastAsia"/>
                <w:b/>
                <w:bCs/>
              </w:rPr>
              <w:t>1500</w:t>
            </w:r>
          </w:p>
        </w:tc>
        <w:tc>
          <w:tcPr>
            <w:tcW w:w="1440" w:type="dxa"/>
            <w:shd w:val="clear" w:color="auto" w:fill="auto"/>
            <w:noWrap w:val="0"/>
            <w:vAlign w:val="center"/>
          </w:tcPr>
          <w:p>
            <w:pPr>
              <w:spacing w:line="580" w:lineRule="exact"/>
              <w:jc w:val="center"/>
              <w:rPr>
                <w:rFonts w:hint="eastAsia"/>
                <w:b/>
                <w:bCs/>
              </w:rPr>
            </w:pPr>
            <w:r>
              <w:rPr>
                <w:rFonts w:hint="eastAsia"/>
                <w:b/>
                <w:bCs/>
              </w:rPr>
              <w:t>980</w:t>
            </w:r>
          </w:p>
        </w:tc>
        <w:tc>
          <w:tcPr>
            <w:tcW w:w="1260" w:type="dxa"/>
            <w:shd w:val="clear" w:color="auto" w:fill="auto"/>
            <w:noWrap w:val="0"/>
            <w:vAlign w:val="center"/>
          </w:tcPr>
          <w:p>
            <w:pPr>
              <w:spacing w:line="580" w:lineRule="exact"/>
              <w:jc w:val="center"/>
              <w:rPr>
                <w:rFonts w:hint="eastAsia"/>
                <w:b/>
                <w:bCs/>
              </w:rPr>
            </w:pPr>
            <w:r>
              <w:rPr>
                <w:rFonts w:hint="eastAsia"/>
                <w:b/>
                <w:bCs/>
              </w:rPr>
              <w:t>650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变幅（元/m</w:t>
            </w:r>
            <w:r>
              <w:rPr>
                <w:rFonts w:hint="eastAsia"/>
                <w:color w:val="000000"/>
                <w:vertAlign w:val="superscript"/>
              </w:rPr>
              <w:t>2</w:t>
            </w:r>
            <w:r>
              <w:rPr>
                <w:rFonts w:hint="eastAsia"/>
                <w:color w:val="000000"/>
              </w:rPr>
              <w:t>）</w:t>
            </w:r>
          </w:p>
        </w:tc>
        <w:tc>
          <w:tcPr>
            <w:tcW w:w="1620" w:type="dxa"/>
            <w:shd w:val="clear" w:color="auto" w:fill="auto"/>
            <w:noWrap w:val="0"/>
            <w:vAlign w:val="center"/>
          </w:tcPr>
          <w:p>
            <w:pPr>
              <w:spacing w:line="580" w:lineRule="exact"/>
              <w:jc w:val="center"/>
              <w:rPr>
                <w:rFonts w:hint="eastAsia"/>
              </w:rPr>
            </w:pPr>
            <w:r>
              <w:rPr>
                <w:rFonts w:hint="eastAsia"/>
              </w:rPr>
              <w:t>2990-1610</w:t>
            </w:r>
          </w:p>
        </w:tc>
        <w:tc>
          <w:tcPr>
            <w:tcW w:w="1620" w:type="dxa"/>
            <w:shd w:val="clear" w:color="auto" w:fill="auto"/>
            <w:noWrap w:val="0"/>
            <w:vAlign w:val="center"/>
          </w:tcPr>
          <w:p>
            <w:pPr>
              <w:spacing w:line="580" w:lineRule="exact"/>
              <w:jc w:val="center"/>
              <w:rPr>
                <w:rFonts w:hint="eastAsia"/>
              </w:rPr>
            </w:pPr>
            <w:r>
              <w:rPr>
                <w:rFonts w:hint="eastAsia"/>
              </w:rPr>
              <w:t>1950-1050</w:t>
            </w:r>
          </w:p>
        </w:tc>
        <w:tc>
          <w:tcPr>
            <w:tcW w:w="1440" w:type="dxa"/>
            <w:shd w:val="clear" w:color="auto" w:fill="auto"/>
            <w:noWrap w:val="0"/>
            <w:vAlign w:val="center"/>
          </w:tcPr>
          <w:p>
            <w:pPr>
              <w:spacing w:line="580" w:lineRule="exact"/>
              <w:jc w:val="center"/>
              <w:rPr>
                <w:rFonts w:hint="eastAsia"/>
              </w:rPr>
            </w:pPr>
            <w:r>
              <w:rPr>
                <w:rFonts w:hint="eastAsia"/>
              </w:rPr>
              <w:t>1270-690</w:t>
            </w:r>
          </w:p>
        </w:tc>
        <w:tc>
          <w:tcPr>
            <w:tcW w:w="1260" w:type="dxa"/>
            <w:shd w:val="clear" w:color="auto" w:fill="auto"/>
            <w:noWrap w:val="0"/>
            <w:vAlign w:val="center"/>
          </w:tcPr>
          <w:p>
            <w:pPr>
              <w:spacing w:line="580" w:lineRule="exact"/>
              <w:jc w:val="center"/>
              <w:rPr>
                <w:rFonts w:hint="eastAsia"/>
              </w:rPr>
            </w:pPr>
            <w:r>
              <w:rPr>
                <w:rFonts w:hint="eastAsia"/>
              </w:rPr>
              <w:t>845-460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换算价格（万元/亩）</w:t>
            </w:r>
          </w:p>
        </w:tc>
        <w:tc>
          <w:tcPr>
            <w:tcW w:w="1620" w:type="dxa"/>
            <w:shd w:val="clear" w:color="auto" w:fill="auto"/>
            <w:noWrap w:val="0"/>
            <w:vAlign w:val="center"/>
          </w:tcPr>
          <w:p>
            <w:pPr>
              <w:spacing w:line="580" w:lineRule="exact"/>
              <w:jc w:val="center"/>
              <w:rPr>
                <w:rFonts w:hint="eastAsia"/>
              </w:rPr>
            </w:pPr>
            <w:r>
              <w:rPr>
                <w:rFonts w:hint="eastAsia"/>
              </w:rPr>
              <w:t>153.33</w:t>
            </w:r>
          </w:p>
        </w:tc>
        <w:tc>
          <w:tcPr>
            <w:tcW w:w="1620" w:type="dxa"/>
            <w:shd w:val="clear" w:color="auto" w:fill="auto"/>
            <w:noWrap w:val="0"/>
            <w:vAlign w:val="center"/>
          </w:tcPr>
          <w:p>
            <w:pPr>
              <w:spacing w:line="580" w:lineRule="exact"/>
              <w:jc w:val="center"/>
              <w:rPr>
                <w:rFonts w:hint="eastAsia"/>
              </w:rPr>
            </w:pPr>
            <w:r>
              <w:rPr>
                <w:rFonts w:hint="eastAsia"/>
              </w:rPr>
              <w:t>100.00</w:t>
            </w:r>
          </w:p>
        </w:tc>
        <w:tc>
          <w:tcPr>
            <w:tcW w:w="1440" w:type="dxa"/>
            <w:shd w:val="clear" w:color="auto" w:fill="auto"/>
            <w:noWrap w:val="0"/>
            <w:vAlign w:val="center"/>
          </w:tcPr>
          <w:p>
            <w:pPr>
              <w:spacing w:line="580" w:lineRule="exact"/>
              <w:jc w:val="center"/>
              <w:rPr>
                <w:rFonts w:hint="eastAsia"/>
              </w:rPr>
            </w:pPr>
            <w:r>
              <w:rPr>
                <w:rFonts w:hint="eastAsia"/>
              </w:rPr>
              <w:t>65.33</w:t>
            </w:r>
          </w:p>
        </w:tc>
        <w:tc>
          <w:tcPr>
            <w:tcW w:w="1260" w:type="dxa"/>
            <w:shd w:val="clear" w:color="auto" w:fill="auto"/>
            <w:noWrap w:val="0"/>
            <w:vAlign w:val="center"/>
          </w:tcPr>
          <w:p>
            <w:pPr>
              <w:spacing w:line="580" w:lineRule="exact"/>
              <w:jc w:val="center"/>
              <w:rPr>
                <w:rFonts w:hint="eastAsia"/>
              </w:rPr>
            </w:pPr>
            <w:r>
              <w:rPr>
                <w:rFonts w:hint="eastAsia"/>
              </w:rPr>
              <w:t>43.33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设定容积率</w:t>
            </w:r>
          </w:p>
        </w:tc>
        <w:tc>
          <w:tcPr>
            <w:tcW w:w="1620" w:type="dxa"/>
            <w:shd w:val="clear" w:color="auto" w:fill="auto"/>
            <w:noWrap w:val="0"/>
            <w:vAlign w:val="center"/>
          </w:tcPr>
          <w:p>
            <w:pPr>
              <w:spacing w:line="580" w:lineRule="exact"/>
              <w:jc w:val="center"/>
              <w:rPr>
                <w:rFonts w:hint="eastAsia"/>
              </w:rPr>
            </w:pPr>
            <w:r>
              <w:rPr>
                <w:rFonts w:hint="eastAsia"/>
              </w:rPr>
              <w:t>1.6</w:t>
            </w:r>
          </w:p>
        </w:tc>
        <w:tc>
          <w:tcPr>
            <w:tcW w:w="1620" w:type="dxa"/>
            <w:shd w:val="clear" w:color="auto" w:fill="auto"/>
            <w:noWrap w:val="0"/>
            <w:vAlign w:val="center"/>
          </w:tcPr>
          <w:p>
            <w:pPr>
              <w:spacing w:line="580" w:lineRule="exact"/>
              <w:jc w:val="center"/>
              <w:rPr>
                <w:rFonts w:hint="eastAsia"/>
              </w:rPr>
            </w:pPr>
            <w:r>
              <w:rPr>
                <w:rFonts w:hint="eastAsia"/>
              </w:rPr>
              <w:t>1.5</w:t>
            </w:r>
          </w:p>
        </w:tc>
        <w:tc>
          <w:tcPr>
            <w:tcW w:w="1440" w:type="dxa"/>
            <w:shd w:val="clear" w:color="auto" w:fill="auto"/>
            <w:noWrap w:val="0"/>
            <w:vAlign w:val="center"/>
          </w:tcPr>
          <w:p>
            <w:pPr>
              <w:spacing w:line="580" w:lineRule="exact"/>
              <w:jc w:val="center"/>
              <w:rPr>
                <w:rFonts w:hint="eastAsia"/>
              </w:rPr>
            </w:pPr>
            <w:r>
              <w:rPr>
                <w:rFonts w:hint="eastAsia"/>
              </w:rPr>
              <w:t>1.3</w:t>
            </w:r>
          </w:p>
        </w:tc>
        <w:tc>
          <w:tcPr>
            <w:tcW w:w="1260" w:type="dxa"/>
            <w:shd w:val="clear" w:color="auto" w:fill="auto"/>
            <w:noWrap w:val="0"/>
            <w:vAlign w:val="center"/>
          </w:tcPr>
          <w:p>
            <w:pPr>
              <w:spacing w:line="580" w:lineRule="exact"/>
              <w:jc w:val="center"/>
              <w:rPr>
                <w:rFonts w:hint="eastAsia"/>
              </w:rPr>
            </w:pPr>
            <w:r>
              <w:rPr>
                <w:rFonts w:hint="eastAsia"/>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楼面地价</w:t>
            </w:r>
          </w:p>
        </w:tc>
        <w:tc>
          <w:tcPr>
            <w:tcW w:w="1620" w:type="dxa"/>
            <w:shd w:val="clear" w:color="auto" w:fill="auto"/>
            <w:noWrap w:val="0"/>
            <w:vAlign w:val="center"/>
          </w:tcPr>
          <w:p>
            <w:pPr>
              <w:spacing w:line="580" w:lineRule="exact"/>
              <w:jc w:val="center"/>
              <w:rPr>
                <w:rFonts w:hint="eastAsia"/>
              </w:rPr>
            </w:pPr>
            <w:r>
              <w:rPr>
                <w:rFonts w:hint="eastAsia"/>
              </w:rPr>
              <w:t>1438</w:t>
            </w:r>
          </w:p>
        </w:tc>
        <w:tc>
          <w:tcPr>
            <w:tcW w:w="1620" w:type="dxa"/>
            <w:shd w:val="clear" w:color="auto" w:fill="auto"/>
            <w:noWrap w:val="0"/>
            <w:vAlign w:val="center"/>
          </w:tcPr>
          <w:p>
            <w:pPr>
              <w:spacing w:line="580" w:lineRule="exact"/>
              <w:jc w:val="center"/>
              <w:rPr>
                <w:rFonts w:hint="eastAsia"/>
              </w:rPr>
            </w:pPr>
            <w:r>
              <w:rPr>
                <w:rFonts w:hint="eastAsia"/>
              </w:rPr>
              <w:t>1000</w:t>
            </w:r>
          </w:p>
        </w:tc>
        <w:tc>
          <w:tcPr>
            <w:tcW w:w="1440" w:type="dxa"/>
            <w:shd w:val="clear" w:color="auto" w:fill="auto"/>
            <w:noWrap w:val="0"/>
            <w:vAlign w:val="center"/>
          </w:tcPr>
          <w:p>
            <w:pPr>
              <w:spacing w:line="580" w:lineRule="exact"/>
              <w:jc w:val="center"/>
              <w:rPr>
                <w:rFonts w:hint="eastAsia"/>
              </w:rPr>
            </w:pPr>
            <w:r>
              <w:rPr>
                <w:rFonts w:hint="eastAsia"/>
              </w:rPr>
              <w:t>754</w:t>
            </w:r>
          </w:p>
        </w:tc>
        <w:tc>
          <w:tcPr>
            <w:tcW w:w="1260" w:type="dxa"/>
            <w:shd w:val="clear" w:color="auto" w:fill="auto"/>
            <w:noWrap w:val="0"/>
            <w:vAlign w:val="center"/>
          </w:tcPr>
          <w:p>
            <w:pPr>
              <w:spacing w:line="580" w:lineRule="exact"/>
              <w:jc w:val="center"/>
              <w:rPr>
                <w:rFonts w:hint="eastAsia"/>
              </w:rPr>
            </w:pPr>
            <w:r>
              <w:rPr>
                <w:rFonts w:hint="eastAsia"/>
              </w:rPr>
              <w:t>591</w:t>
            </w:r>
          </w:p>
        </w:tc>
      </w:tr>
    </w:tbl>
    <w:p>
      <w:pPr>
        <w:pStyle w:val="2"/>
        <w:spacing w:before="156" w:beforeLines="50" w:line="58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餐饮、旅馆、娱乐用地级别基准地价表</w:t>
      </w:r>
    </w:p>
    <w:tbl>
      <w:tblPr>
        <w:tblStyle w:val="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646"/>
        <w:gridCol w:w="1549"/>
        <w:gridCol w:w="1539"/>
        <w:gridCol w:w="1377"/>
        <w:gridCol w:w="1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jc w:val="center"/>
              <w:rPr>
                <w:rFonts w:ascii="黑体" w:hAnsi="黑体" w:eastAsia="黑体"/>
                <w:color w:val="000000"/>
              </w:rPr>
            </w:pPr>
            <w:r>
              <w:rPr>
                <w:rFonts w:ascii="黑体" w:hAnsi="黑体" w:eastAsia="黑体"/>
                <w:color w:val="000000"/>
              </w:rPr>
              <w:t>土地级别</w:t>
            </w:r>
          </w:p>
        </w:tc>
        <w:tc>
          <w:tcPr>
            <w:tcW w:w="1620" w:type="dxa"/>
            <w:shd w:val="clear" w:color="auto" w:fill="auto"/>
            <w:noWrap w:val="0"/>
            <w:vAlign w:val="center"/>
          </w:tcPr>
          <w:p>
            <w:pPr>
              <w:spacing w:line="580" w:lineRule="exact"/>
              <w:jc w:val="center"/>
              <w:rPr>
                <w:rFonts w:ascii="黑体" w:hAnsi="黑体" w:eastAsia="黑体"/>
                <w:color w:val="000000"/>
              </w:rPr>
            </w:pPr>
            <w:r>
              <w:rPr>
                <w:rFonts w:ascii="黑体" w:hAnsi="黑体" w:eastAsia="黑体"/>
                <w:color w:val="000000"/>
              </w:rPr>
              <w:t>一</w:t>
            </w:r>
          </w:p>
        </w:tc>
        <w:tc>
          <w:tcPr>
            <w:tcW w:w="1620" w:type="dxa"/>
            <w:shd w:val="clear" w:color="auto" w:fill="auto"/>
            <w:noWrap w:val="0"/>
            <w:vAlign w:val="center"/>
          </w:tcPr>
          <w:p>
            <w:pPr>
              <w:spacing w:line="580" w:lineRule="exact"/>
              <w:jc w:val="center"/>
              <w:rPr>
                <w:rFonts w:ascii="黑体" w:hAnsi="黑体" w:eastAsia="黑体"/>
                <w:color w:val="000000"/>
              </w:rPr>
            </w:pPr>
            <w:r>
              <w:rPr>
                <w:rFonts w:ascii="黑体" w:hAnsi="黑体" w:eastAsia="黑体"/>
                <w:color w:val="000000"/>
              </w:rPr>
              <w:t>二</w:t>
            </w:r>
          </w:p>
        </w:tc>
        <w:tc>
          <w:tcPr>
            <w:tcW w:w="1440" w:type="dxa"/>
            <w:shd w:val="clear" w:color="auto" w:fill="auto"/>
            <w:noWrap w:val="0"/>
            <w:vAlign w:val="center"/>
          </w:tcPr>
          <w:p>
            <w:pPr>
              <w:spacing w:line="580" w:lineRule="exact"/>
              <w:jc w:val="center"/>
              <w:rPr>
                <w:rFonts w:ascii="黑体" w:hAnsi="黑体" w:eastAsia="黑体"/>
                <w:color w:val="000000"/>
              </w:rPr>
            </w:pPr>
            <w:r>
              <w:rPr>
                <w:rFonts w:ascii="黑体" w:hAnsi="黑体" w:eastAsia="黑体"/>
                <w:color w:val="000000"/>
              </w:rPr>
              <w:t>三</w:t>
            </w:r>
          </w:p>
        </w:tc>
        <w:tc>
          <w:tcPr>
            <w:tcW w:w="1260" w:type="dxa"/>
            <w:shd w:val="clear" w:color="auto" w:fill="auto"/>
            <w:noWrap w:val="0"/>
            <w:vAlign w:val="center"/>
          </w:tcPr>
          <w:p>
            <w:pPr>
              <w:spacing w:line="580" w:lineRule="exact"/>
              <w:jc w:val="center"/>
              <w:rPr>
                <w:rFonts w:ascii="黑体" w:hAnsi="黑体" w:eastAsia="黑体"/>
                <w:color w:val="000000"/>
              </w:rPr>
            </w:pPr>
            <w:r>
              <w:rPr>
                <w:rFonts w:ascii="黑体" w:hAnsi="黑体" w:eastAsia="黑体"/>
                <w:color w:val="000000"/>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基准地价（元/m</w:t>
            </w:r>
            <w:r>
              <w:rPr>
                <w:rFonts w:hint="eastAsia"/>
                <w:color w:val="000000"/>
                <w:vertAlign w:val="superscript"/>
              </w:rPr>
              <w:t>2</w:t>
            </w:r>
            <w:r>
              <w:rPr>
                <w:rFonts w:hint="eastAsia"/>
                <w:color w:val="000000"/>
              </w:rPr>
              <w:t>）</w:t>
            </w:r>
          </w:p>
        </w:tc>
        <w:tc>
          <w:tcPr>
            <w:tcW w:w="1620" w:type="dxa"/>
            <w:shd w:val="clear" w:color="auto" w:fill="auto"/>
            <w:noWrap w:val="0"/>
            <w:vAlign w:val="center"/>
          </w:tcPr>
          <w:p>
            <w:pPr>
              <w:spacing w:line="580" w:lineRule="exact"/>
              <w:jc w:val="center"/>
              <w:rPr>
                <w:rFonts w:hint="eastAsia"/>
                <w:b/>
                <w:bCs/>
              </w:rPr>
            </w:pPr>
            <w:r>
              <w:rPr>
                <w:rFonts w:hint="eastAsia"/>
                <w:b/>
                <w:bCs/>
              </w:rPr>
              <w:t>2100</w:t>
            </w:r>
          </w:p>
        </w:tc>
        <w:tc>
          <w:tcPr>
            <w:tcW w:w="1620" w:type="dxa"/>
            <w:shd w:val="clear" w:color="auto" w:fill="auto"/>
            <w:noWrap w:val="0"/>
            <w:vAlign w:val="center"/>
          </w:tcPr>
          <w:p>
            <w:pPr>
              <w:spacing w:line="580" w:lineRule="exact"/>
              <w:jc w:val="center"/>
              <w:rPr>
                <w:rFonts w:hint="eastAsia"/>
                <w:b/>
                <w:bCs/>
              </w:rPr>
            </w:pPr>
            <w:r>
              <w:rPr>
                <w:rFonts w:hint="eastAsia"/>
                <w:b/>
                <w:bCs/>
              </w:rPr>
              <w:t>1360</w:t>
            </w:r>
          </w:p>
        </w:tc>
        <w:tc>
          <w:tcPr>
            <w:tcW w:w="1440" w:type="dxa"/>
            <w:shd w:val="clear" w:color="auto" w:fill="auto"/>
            <w:noWrap w:val="0"/>
            <w:vAlign w:val="center"/>
          </w:tcPr>
          <w:p>
            <w:pPr>
              <w:spacing w:line="580" w:lineRule="exact"/>
              <w:jc w:val="center"/>
              <w:rPr>
                <w:rFonts w:hint="eastAsia"/>
                <w:b/>
                <w:bCs/>
              </w:rPr>
            </w:pPr>
            <w:r>
              <w:rPr>
                <w:rFonts w:hint="eastAsia"/>
                <w:b/>
                <w:bCs/>
              </w:rPr>
              <w:t>900</w:t>
            </w:r>
          </w:p>
        </w:tc>
        <w:tc>
          <w:tcPr>
            <w:tcW w:w="1260" w:type="dxa"/>
            <w:shd w:val="clear" w:color="auto" w:fill="auto"/>
            <w:noWrap w:val="0"/>
            <w:vAlign w:val="center"/>
          </w:tcPr>
          <w:p>
            <w:pPr>
              <w:spacing w:line="580" w:lineRule="exact"/>
              <w:jc w:val="center"/>
              <w:rPr>
                <w:rFonts w:hint="eastAsia"/>
                <w:b/>
                <w:bCs/>
              </w:rPr>
            </w:pPr>
            <w:r>
              <w:rPr>
                <w:rFonts w:hint="eastAsia"/>
                <w:b/>
                <w:bCs/>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变幅（元/m</w:t>
            </w:r>
            <w:r>
              <w:rPr>
                <w:rFonts w:hint="eastAsia"/>
                <w:color w:val="000000"/>
                <w:vertAlign w:val="superscript"/>
              </w:rPr>
              <w:t>2</w:t>
            </w:r>
            <w:r>
              <w:rPr>
                <w:rFonts w:hint="eastAsia"/>
                <w:color w:val="000000"/>
              </w:rPr>
              <w:t>）</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2730-1470</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1765-960</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1170-630</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780-420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换算价格（万元/亩）</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140.00</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90.67</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60.00</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设定容积率</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1.6</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1.5</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1.3</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楼面地价</w:t>
            </w:r>
          </w:p>
        </w:tc>
        <w:tc>
          <w:tcPr>
            <w:tcW w:w="1620" w:type="dxa"/>
            <w:shd w:val="clear" w:color="auto" w:fill="auto"/>
            <w:noWrap w:val="0"/>
            <w:vAlign w:val="center"/>
          </w:tcPr>
          <w:p>
            <w:pPr>
              <w:spacing w:line="580" w:lineRule="exact"/>
              <w:jc w:val="center"/>
              <w:rPr>
                <w:rFonts w:hint="eastAsia" w:hAnsi="宋体" w:cs="宋体"/>
                <w:color w:val="000000"/>
              </w:rPr>
            </w:pPr>
            <w:r>
              <w:rPr>
                <w:rFonts w:hint="eastAsia"/>
                <w:color w:val="000000"/>
              </w:rPr>
              <w:t>1313</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907</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692</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545</w:t>
            </w:r>
          </w:p>
        </w:tc>
      </w:tr>
    </w:tbl>
    <w:p>
      <w:pPr>
        <w:pStyle w:val="2"/>
        <w:spacing w:before="156" w:beforeLines="50" w:line="58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商务金融用地级别基准地价表</w:t>
      </w:r>
    </w:p>
    <w:tbl>
      <w:tblPr>
        <w:tblStyle w:val="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646"/>
        <w:gridCol w:w="1549"/>
        <w:gridCol w:w="1539"/>
        <w:gridCol w:w="1377"/>
        <w:gridCol w:w="1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bottom"/>
          </w:tcPr>
          <w:p>
            <w:pPr>
              <w:spacing w:line="580" w:lineRule="exact"/>
              <w:jc w:val="center"/>
              <w:rPr>
                <w:rFonts w:hint="eastAsia" w:ascii="黑体" w:hAnsi="黑体" w:eastAsia="黑体"/>
                <w:color w:val="000000"/>
              </w:rPr>
            </w:pPr>
            <w:r>
              <w:rPr>
                <w:rFonts w:hint="eastAsia" w:ascii="黑体" w:hAnsi="黑体" w:eastAsia="黑体"/>
                <w:color w:val="000000"/>
              </w:rPr>
              <w:t>土地级别</w:t>
            </w:r>
          </w:p>
        </w:tc>
        <w:tc>
          <w:tcPr>
            <w:tcW w:w="162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一</w:t>
            </w:r>
          </w:p>
        </w:tc>
        <w:tc>
          <w:tcPr>
            <w:tcW w:w="162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二</w:t>
            </w:r>
          </w:p>
        </w:tc>
        <w:tc>
          <w:tcPr>
            <w:tcW w:w="144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三</w:t>
            </w:r>
          </w:p>
        </w:tc>
        <w:tc>
          <w:tcPr>
            <w:tcW w:w="1260" w:type="dxa"/>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2885" w:type="dxa"/>
            <w:shd w:val="clear" w:color="auto" w:fill="auto"/>
            <w:noWrap w:val="0"/>
            <w:vAlign w:val="center"/>
          </w:tcPr>
          <w:p>
            <w:pPr>
              <w:spacing w:line="580" w:lineRule="exact"/>
              <w:rPr>
                <w:rFonts w:hint="eastAsia"/>
                <w:color w:val="000000"/>
              </w:rPr>
            </w:pPr>
            <w:r>
              <w:rPr>
                <w:rFonts w:hint="eastAsia"/>
                <w:color w:val="000000"/>
              </w:rPr>
              <w:t>基准地价（元/m</w:t>
            </w:r>
            <w:r>
              <w:rPr>
                <w:rFonts w:hint="eastAsia"/>
                <w:color w:val="000000"/>
                <w:vertAlign w:val="superscript"/>
              </w:rPr>
              <w:t>2</w:t>
            </w:r>
            <w:r>
              <w:rPr>
                <w:rFonts w:hint="eastAsia"/>
                <w:color w:val="000000"/>
              </w:rPr>
              <w:t>）</w:t>
            </w:r>
          </w:p>
        </w:tc>
        <w:tc>
          <w:tcPr>
            <w:tcW w:w="1620" w:type="dxa"/>
            <w:shd w:val="clear" w:color="auto" w:fill="auto"/>
            <w:noWrap w:val="0"/>
            <w:vAlign w:val="center"/>
          </w:tcPr>
          <w:p>
            <w:pPr>
              <w:spacing w:line="580" w:lineRule="exact"/>
              <w:jc w:val="center"/>
              <w:rPr>
                <w:rFonts w:hint="eastAsia"/>
                <w:b/>
                <w:bCs/>
              </w:rPr>
            </w:pPr>
            <w:r>
              <w:rPr>
                <w:rFonts w:hint="eastAsia"/>
                <w:b/>
                <w:bCs/>
              </w:rPr>
              <w:t>1950</w:t>
            </w:r>
          </w:p>
        </w:tc>
        <w:tc>
          <w:tcPr>
            <w:tcW w:w="1620" w:type="dxa"/>
            <w:shd w:val="clear" w:color="auto" w:fill="auto"/>
            <w:noWrap w:val="0"/>
            <w:vAlign w:val="center"/>
          </w:tcPr>
          <w:p>
            <w:pPr>
              <w:spacing w:line="580" w:lineRule="exact"/>
              <w:jc w:val="center"/>
              <w:rPr>
                <w:rFonts w:hint="eastAsia"/>
                <w:b/>
                <w:bCs/>
              </w:rPr>
            </w:pPr>
            <w:r>
              <w:rPr>
                <w:rFonts w:hint="eastAsia"/>
                <w:b/>
                <w:bCs/>
              </w:rPr>
              <w:t>1280</w:t>
            </w:r>
          </w:p>
        </w:tc>
        <w:tc>
          <w:tcPr>
            <w:tcW w:w="1440" w:type="dxa"/>
            <w:shd w:val="clear" w:color="auto" w:fill="auto"/>
            <w:noWrap w:val="0"/>
            <w:vAlign w:val="center"/>
          </w:tcPr>
          <w:p>
            <w:pPr>
              <w:spacing w:line="580" w:lineRule="exact"/>
              <w:jc w:val="center"/>
              <w:rPr>
                <w:rFonts w:hint="eastAsia"/>
                <w:b/>
                <w:bCs/>
              </w:rPr>
            </w:pPr>
            <w:r>
              <w:rPr>
                <w:rFonts w:hint="eastAsia"/>
                <w:b/>
                <w:bCs/>
              </w:rPr>
              <w:t>860</w:t>
            </w:r>
          </w:p>
        </w:tc>
        <w:tc>
          <w:tcPr>
            <w:tcW w:w="1260" w:type="dxa"/>
            <w:shd w:val="clear" w:color="auto" w:fill="auto"/>
            <w:noWrap w:val="0"/>
            <w:vAlign w:val="center"/>
          </w:tcPr>
          <w:p>
            <w:pPr>
              <w:spacing w:line="580" w:lineRule="exact"/>
              <w:jc w:val="center"/>
              <w:rPr>
                <w:rFonts w:hint="eastAsia"/>
                <w:b/>
                <w:bCs/>
              </w:rPr>
            </w:pPr>
            <w:r>
              <w:rPr>
                <w:rFonts w:hint="eastAsia"/>
                <w:b/>
                <w:bCs/>
              </w:rPr>
              <w:t>560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变幅（元/m</w:t>
            </w:r>
            <w:r>
              <w:rPr>
                <w:rFonts w:hint="eastAsia"/>
                <w:color w:val="000000"/>
                <w:vertAlign w:val="superscript"/>
              </w:rPr>
              <w:t>2</w:t>
            </w:r>
            <w:r>
              <w:rPr>
                <w:rFonts w:hint="eastAsia"/>
                <w:color w:val="000000"/>
              </w:rPr>
              <w:t>）</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2535-1370</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1660-900</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1115-610</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725-395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换算价格（万元/亩）</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130.00</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85.33</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57.33</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37.33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设定容积率</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1.6</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1.5</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1.3</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楼面地价</w:t>
            </w:r>
          </w:p>
        </w:tc>
        <w:tc>
          <w:tcPr>
            <w:tcW w:w="1620" w:type="dxa"/>
            <w:shd w:val="clear" w:color="auto" w:fill="auto"/>
            <w:noWrap w:val="0"/>
            <w:vAlign w:val="center"/>
          </w:tcPr>
          <w:p>
            <w:pPr>
              <w:spacing w:line="580" w:lineRule="exact"/>
              <w:jc w:val="center"/>
              <w:rPr>
                <w:rFonts w:hint="eastAsia" w:hAnsi="宋体" w:cs="宋体"/>
                <w:color w:val="000000"/>
              </w:rPr>
            </w:pPr>
            <w:r>
              <w:rPr>
                <w:rFonts w:hint="eastAsia"/>
                <w:color w:val="000000"/>
              </w:rPr>
              <w:t>1219</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853</w:t>
            </w:r>
          </w:p>
        </w:tc>
        <w:tc>
          <w:tcPr>
            <w:tcW w:w="1440" w:type="dxa"/>
            <w:shd w:val="clear" w:color="auto" w:fill="auto"/>
            <w:noWrap w:val="0"/>
            <w:vAlign w:val="center"/>
          </w:tcPr>
          <w:p>
            <w:pPr>
              <w:spacing w:line="580" w:lineRule="exact"/>
              <w:jc w:val="center"/>
              <w:rPr>
                <w:rFonts w:hint="eastAsia"/>
                <w:color w:val="000000"/>
              </w:rPr>
            </w:pPr>
            <w:r>
              <w:rPr>
                <w:rFonts w:hint="eastAsia"/>
                <w:color w:val="000000"/>
              </w:rPr>
              <w:t>662</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509</w:t>
            </w:r>
          </w:p>
        </w:tc>
      </w:tr>
    </w:tbl>
    <w:p>
      <w:pPr>
        <w:pStyle w:val="2"/>
        <w:spacing w:before="156" w:beforeLines="50" w:line="58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批发市场用地级别基准地价表</w:t>
      </w:r>
    </w:p>
    <w:tbl>
      <w:tblPr>
        <w:tblStyle w:val="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642"/>
        <w:gridCol w:w="1548"/>
        <w:gridCol w:w="1537"/>
        <w:gridCol w:w="1385"/>
        <w:gridCol w:w="1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jc w:val="center"/>
              <w:rPr>
                <w:rFonts w:ascii="黑体" w:hAnsi="黑体" w:eastAsia="黑体"/>
                <w:color w:val="000000"/>
              </w:rPr>
            </w:pPr>
            <w:r>
              <w:rPr>
                <w:rFonts w:ascii="黑体" w:hAnsi="黑体" w:eastAsia="黑体"/>
                <w:color w:val="000000"/>
              </w:rPr>
              <w:t>土地级别</w:t>
            </w:r>
          </w:p>
        </w:tc>
        <w:tc>
          <w:tcPr>
            <w:tcW w:w="1620" w:type="dxa"/>
            <w:shd w:val="clear" w:color="auto" w:fill="auto"/>
            <w:noWrap w:val="0"/>
            <w:vAlign w:val="center"/>
          </w:tcPr>
          <w:p>
            <w:pPr>
              <w:spacing w:line="580" w:lineRule="exact"/>
              <w:jc w:val="center"/>
              <w:rPr>
                <w:rFonts w:ascii="黑体" w:hAnsi="黑体" w:eastAsia="黑体"/>
                <w:color w:val="000000"/>
              </w:rPr>
            </w:pPr>
            <w:r>
              <w:rPr>
                <w:rFonts w:ascii="黑体" w:hAnsi="黑体" w:eastAsia="黑体"/>
                <w:color w:val="000000"/>
              </w:rPr>
              <w:t>一</w:t>
            </w:r>
          </w:p>
        </w:tc>
        <w:tc>
          <w:tcPr>
            <w:tcW w:w="1620" w:type="dxa"/>
            <w:shd w:val="clear" w:color="auto" w:fill="auto"/>
            <w:noWrap w:val="0"/>
            <w:vAlign w:val="center"/>
          </w:tcPr>
          <w:p>
            <w:pPr>
              <w:spacing w:line="580" w:lineRule="exact"/>
              <w:jc w:val="center"/>
              <w:rPr>
                <w:rFonts w:ascii="黑体" w:hAnsi="黑体" w:eastAsia="黑体"/>
                <w:color w:val="000000"/>
              </w:rPr>
            </w:pPr>
            <w:r>
              <w:rPr>
                <w:rFonts w:ascii="黑体" w:hAnsi="黑体" w:eastAsia="黑体"/>
                <w:color w:val="000000"/>
              </w:rPr>
              <w:t>二</w:t>
            </w:r>
          </w:p>
        </w:tc>
        <w:tc>
          <w:tcPr>
            <w:tcW w:w="1450" w:type="dxa"/>
            <w:shd w:val="clear" w:color="auto" w:fill="auto"/>
            <w:noWrap w:val="0"/>
            <w:vAlign w:val="center"/>
          </w:tcPr>
          <w:p>
            <w:pPr>
              <w:spacing w:line="580" w:lineRule="exact"/>
              <w:jc w:val="center"/>
              <w:rPr>
                <w:rFonts w:ascii="黑体" w:hAnsi="黑体" w:eastAsia="黑体"/>
                <w:color w:val="000000"/>
              </w:rPr>
            </w:pPr>
            <w:r>
              <w:rPr>
                <w:rFonts w:ascii="黑体" w:hAnsi="黑体" w:eastAsia="黑体"/>
                <w:color w:val="000000"/>
              </w:rPr>
              <w:t>三</w:t>
            </w:r>
          </w:p>
        </w:tc>
        <w:tc>
          <w:tcPr>
            <w:tcW w:w="1260" w:type="dxa"/>
            <w:shd w:val="clear" w:color="auto" w:fill="auto"/>
            <w:noWrap w:val="0"/>
            <w:vAlign w:val="center"/>
          </w:tcPr>
          <w:p>
            <w:pPr>
              <w:spacing w:line="580" w:lineRule="exact"/>
              <w:jc w:val="center"/>
              <w:rPr>
                <w:rFonts w:ascii="黑体" w:hAnsi="黑体" w:eastAsia="黑体"/>
                <w:color w:val="000000"/>
              </w:rPr>
            </w:pPr>
            <w:r>
              <w:rPr>
                <w:rFonts w:ascii="黑体" w:hAnsi="黑体" w:eastAsia="黑体"/>
                <w:color w:val="000000"/>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基准地价（元/m</w:t>
            </w:r>
            <w:r>
              <w:rPr>
                <w:rFonts w:hint="eastAsia"/>
                <w:color w:val="000000"/>
                <w:vertAlign w:val="superscript"/>
              </w:rPr>
              <w:t>2</w:t>
            </w:r>
            <w:r>
              <w:rPr>
                <w:rFonts w:hint="eastAsia"/>
                <w:color w:val="000000"/>
              </w:rPr>
              <w:t>）</w:t>
            </w:r>
          </w:p>
        </w:tc>
        <w:tc>
          <w:tcPr>
            <w:tcW w:w="1620" w:type="dxa"/>
            <w:shd w:val="clear" w:color="auto" w:fill="auto"/>
            <w:noWrap w:val="0"/>
            <w:vAlign w:val="center"/>
          </w:tcPr>
          <w:p>
            <w:pPr>
              <w:spacing w:line="580" w:lineRule="exact"/>
              <w:jc w:val="center"/>
              <w:rPr>
                <w:rFonts w:hint="eastAsia"/>
                <w:b/>
                <w:bCs/>
              </w:rPr>
            </w:pPr>
            <w:r>
              <w:rPr>
                <w:rFonts w:hint="eastAsia"/>
                <w:b/>
                <w:bCs/>
              </w:rPr>
              <w:t>1880</w:t>
            </w:r>
          </w:p>
        </w:tc>
        <w:tc>
          <w:tcPr>
            <w:tcW w:w="1620" w:type="dxa"/>
            <w:shd w:val="clear" w:color="auto" w:fill="auto"/>
            <w:noWrap w:val="0"/>
            <w:vAlign w:val="center"/>
          </w:tcPr>
          <w:p>
            <w:pPr>
              <w:spacing w:line="580" w:lineRule="exact"/>
              <w:jc w:val="center"/>
              <w:rPr>
                <w:rFonts w:hint="eastAsia"/>
                <w:b/>
                <w:bCs/>
              </w:rPr>
            </w:pPr>
            <w:r>
              <w:rPr>
                <w:rFonts w:hint="eastAsia"/>
                <w:b/>
                <w:bCs/>
              </w:rPr>
              <w:t>1250</w:t>
            </w:r>
          </w:p>
        </w:tc>
        <w:tc>
          <w:tcPr>
            <w:tcW w:w="1450" w:type="dxa"/>
            <w:shd w:val="clear" w:color="auto" w:fill="auto"/>
            <w:noWrap w:val="0"/>
            <w:vAlign w:val="center"/>
          </w:tcPr>
          <w:p>
            <w:pPr>
              <w:spacing w:line="580" w:lineRule="exact"/>
              <w:jc w:val="center"/>
              <w:rPr>
                <w:rFonts w:hint="eastAsia"/>
                <w:b/>
                <w:bCs/>
              </w:rPr>
            </w:pPr>
            <w:r>
              <w:rPr>
                <w:rFonts w:hint="eastAsia"/>
                <w:b/>
                <w:bCs/>
              </w:rPr>
              <w:t>820</w:t>
            </w:r>
          </w:p>
        </w:tc>
        <w:tc>
          <w:tcPr>
            <w:tcW w:w="1260" w:type="dxa"/>
            <w:shd w:val="clear" w:color="auto" w:fill="auto"/>
            <w:noWrap w:val="0"/>
            <w:vAlign w:val="center"/>
          </w:tcPr>
          <w:p>
            <w:pPr>
              <w:spacing w:line="580" w:lineRule="exact"/>
              <w:jc w:val="center"/>
              <w:rPr>
                <w:rFonts w:hint="eastAsia"/>
                <w:b/>
                <w:bCs/>
              </w:rPr>
            </w:pPr>
            <w:r>
              <w:rPr>
                <w:rFonts w:hint="eastAsia"/>
                <w:b/>
                <w:bCs/>
              </w:rPr>
              <w:t>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变幅（元/m</w:t>
            </w:r>
            <w:r>
              <w:rPr>
                <w:rFonts w:hint="eastAsia"/>
                <w:color w:val="000000"/>
                <w:vertAlign w:val="superscript"/>
              </w:rPr>
              <w:t>2</w:t>
            </w:r>
            <w:r>
              <w:rPr>
                <w:rFonts w:hint="eastAsia"/>
                <w:color w:val="000000"/>
              </w:rPr>
              <w:t>）</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2440-1320</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1625-875</w:t>
            </w:r>
          </w:p>
        </w:tc>
        <w:tc>
          <w:tcPr>
            <w:tcW w:w="1450" w:type="dxa"/>
            <w:shd w:val="clear" w:color="auto" w:fill="auto"/>
            <w:noWrap w:val="0"/>
            <w:vAlign w:val="center"/>
          </w:tcPr>
          <w:p>
            <w:pPr>
              <w:spacing w:line="580" w:lineRule="exact"/>
              <w:jc w:val="center"/>
              <w:rPr>
                <w:rFonts w:hint="eastAsia"/>
                <w:color w:val="000000"/>
              </w:rPr>
            </w:pPr>
            <w:r>
              <w:rPr>
                <w:rFonts w:hint="eastAsia"/>
                <w:color w:val="000000"/>
              </w:rPr>
              <w:t>1065-575</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700-380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换算价格（万元/亩）</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125.33</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83.33</w:t>
            </w:r>
          </w:p>
        </w:tc>
        <w:tc>
          <w:tcPr>
            <w:tcW w:w="1450" w:type="dxa"/>
            <w:shd w:val="clear" w:color="auto" w:fill="auto"/>
            <w:noWrap w:val="0"/>
            <w:vAlign w:val="center"/>
          </w:tcPr>
          <w:p>
            <w:pPr>
              <w:spacing w:line="580" w:lineRule="exact"/>
              <w:jc w:val="center"/>
              <w:rPr>
                <w:rFonts w:hint="eastAsia"/>
                <w:color w:val="000000"/>
              </w:rPr>
            </w:pPr>
            <w:r>
              <w:rPr>
                <w:rFonts w:hint="eastAsia"/>
                <w:color w:val="000000"/>
              </w:rPr>
              <w:t>54.67</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36.00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设定容积率</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1.6</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1.5</w:t>
            </w:r>
          </w:p>
        </w:tc>
        <w:tc>
          <w:tcPr>
            <w:tcW w:w="1450" w:type="dxa"/>
            <w:shd w:val="clear" w:color="auto" w:fill="auto"/>
            <w:noWrap w:val="0"/>
            <w:vAlign w:val="center"/>
          </w:tcPr>
          <w:p>
            <w:pPr>
              <w:spacing w:line="580" w:lineRule="exact"/>
              <w:jc w:val="center"/>
              <w:rPr>
                <w:rFonts w:hint="eastAsia"/>
                <w:color w:val="000000"/>
              </w:rPr>
            </w:pPr>
            <w:r>
              <w:rPr>
                <w:rFonts w:hint="eastAsia"/>
                <w:color w:val="000000"/>
              </w:rPr>
              <w:t>1.3</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885" w:type="dxa"/>
            <w:shd w:val="clear" w:color="auto" w:fill="auto"/>
            <w:noWrap w:val="0"/>
            <w:vAlign w:val="center"/>
          </w:tcPr>
          <w:p>
            <w:pPr>
              <w:spacing w:line="580" w:lineRule="exact"/>
              <w:rPr>
                <w:rFonts w:hint="eastAsia"/>
                <w:color w:val="000000"/>
              </w:rPr>
            </w:pPr>
            <w:r>
              <w:rPr>
                <w:rFonts w:hint="eastAsia"/>
                <w:color w:val="000000"/>
              </w:rPr>
              <w:t>楼面地价</w:t>
            </w:r>
          </w:p>
        </w:tc>
        <w:tc>
          <w:tcPr>
            <w:tcW w:w="1620" w:type="dxa"/>
            <w:shd w:val="clear" w:color="auto" w:fill="auto"/>
            <w:noWrap w:val="0"/>
            <w:vAlign w:val="center"/>
          </w:tcPr>
          <w:p>
            <w:pPr>
              <w:spacing w:line="580" w:lineRule="exact"/>
              <w:jc w:val="center"/>
              <w:rPr>
                <w:rFonts w:hint="eastAsia" w:hAnsi="宋体" w:cs="宋体"/>
                <w:color w:val="000000"/>
              </w:rPr>
            </w:pPr>
            <w:r>
              <w:rPr>
                <w:rFonts w:hint="eastAsia"/>
                <w:color w:val="000000"/>
              </w:rPr>
              <w:t>1175</w:t>
            </w:r>
          </w:p>
        </w:tc>
        <w:tc>
          <w:tcPr>
            <w:tcW w:w="1620" w:type="dxa"/>
            <w:shd w:val="clear" w:color="auto" w:fill="auto"/>
            <w:noWrap w:val="0"/>
            <w:vAlign w:val="center"/>
          </w:tcPr>
          <w:p>
            <w:pPr>
              <w:spacing w:line="580" w:lineRule="exact"/>
              <w:jc w:val="center"/>
              <w:rPr>
                <w:rFonts w:hint="eastAsia"/>
                <w:color w:val="000000"/>
              </w:rPr>
            </w:pPr>
            <w:r>
              <w:rPr>
                <w:rFonts w:hint="eastAsia"/>
                <w:color w:val="000000"/>
              </w:rPr>
              <w:t>833</w:t>
            </w:r>
          </w:p>
        </w:tc>
        <w:tc>
          <w:tcPr>
            <w:tcW w:w="1450" w:type="dxa"/>
            <w:shd w:val="clear" w:color="auto" w:fill="auto"/>
            <w:noWrap w:val="0"/>
            <w:vAlign w:val="center"/>
          </w:tcPr>
          <w:p>
            <w:pPr>
              <w:spacing w:line="580" w:lineRule="exact"/>
              <w:jc w:val="center"/>
              <w:rPr>
                <w:rFonts w:hint="eastAsia"/>
                <w:color w:val="000000"/>
              </w:rPr>
            </w:pPr>
            <w:r>
              <w:rPr>
                <w:rFonts w:hint="eastAsia"/>
                <w:color w:val="000000"/>
              </w:rPr>
              <w:t>631</w:t>
            </w:r>
          </w:p>
        </w:tc>
        <w:tc>
          <w:tcPr>
            <w:tcW w:w="1260" w:type="dxa"/>
            <w:shd w:val="clear" w:color="auto" w:fill="auto"/>
            <w:noWrap w:val="0"/>
            <w:vAlign w:val="center"/>
          </w:tcPr>
          <w:p>
            <w:pPr>
              <w:spacing w:line="580" w:lineRule="exact"/>
              <w:jc w:val="center"/>
              <w:rPr>
                <w:rFonts w:hint="eastAsia"/>
                <w:color w:val="000000"/>
              </w:rPr>
            </w:pPr>
            <w:r>
              <w:rPr>
                <w:rFonts w:hint="eastAsia"/>
                <w:color w:val="000000"/>
              </w:rPr>
              <w:t>491</w:t>
            </w:r>
          </w:p>
        </w:tc>
      </w:tr>
    </w:tbl>
    <w:p>
      <w:pPr>
        <w:pStyle w:val="2"/>
        <w:spacing w:before="156" w:beforeLines="50" w:line="400" w:lineRule="exact"/>
        <w:ind w:firstLine="643" w:firstLineChars="200"/>
        <w:jc w:val="left"/>
        <w:rPr>
          <w:rFonts w:hint="eastAsia" w:ascii="楷体_GB2312" w:hAnsi="Times New Roman" w:eastAsia="楷体_GB2312" w:cs="Times New Roman"/>
          <w:b/>
          <w:sz w:val="32"/>
          <w:szCs w:val="32"/>
        </w:rPr>
      </w:pPr>
      <w:r>
        <w:rPr>
          <w:rFonts w:hint="eastAsia" w:ascii="楷体_GB2312" w:hAnsi="Times New Roman" w:eastAsia="楷体_GB2312" w:cs="Times New Roman"/>
          <w:b/>
          <w:sz w:val="32"/>
          <w:szCs w:val="32"/>
        </w:rPr>
        <w:t>（二）住宅用地级别基准地价</w:t>
      </w:r>
    </w:p>
    <w:p>
      <w:pPr>
        <w:pStyle w:val="2"/>
        <w:spacing w:before="156" w:beforeLines="50" w:line="40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住宅用地级别基准地价表</w:t>
      </w:r>
    </w:p>
    <w:tbl>
      <w:tblPr>
        <w:tblStyle w:val="3"/>
        <w:tblW w:w="5000" w:type="pct"/>
        <w:tblInd w:w="-10" w:type="dxa"/>
        <w:tblLayout w:type="autofit"/>
        <w:tblCellMar>
          <w:top w:w="0" w:type="dxa"/>
          <w:left w:w="0" w:type="dxa"/>
          <w:bottom w:w="0" w:type="dxa"/>
          <w:right w:w="0" w:type="dxa"/>
        </w:tblCellMar>
      </w:tblPr>
      <w:tblGrid>
        <w:gridCol w:w="2714"/>
        <w:gridCol w:w="1522"/>
        <w:gridCol w:w="1522"/>
        <w:gridCol w:w="1352"/>
        <w:gridCol w:w="1216"/>
      </w:tblGrid>
      <w:tr>
        <w:tblPrEx>
          <w:tblCellMar>
            <w:top w:w="0" w:type="dxa"/>
            <w:left w:w="0" w:type="dxa"/>
            <w:bottom w:w="0" w:type="dxa"/>
            <w:right w:w="0" w:type="dxa"/>
          </w:tblCellMar>
        </w:tblPrEx>
        <w:trPr>
          <w:trHeight w:val="397" w:hRule="atLeast"/>
        </w:trPr>
        <w:tc>
          <w:tcPr>
            <w:tcW w:w="1630"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土地级别</w:t>
            </w:r>
          </w:p>
        </w:tc>
        <w:tc>
          <w:tcPr>
            <w:tcW w:w="914"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一</w:t>
            </w:r>
          </w:p>
        </w:tc>
        <w:tc>
          <w:tcPr>
            <w:tcW w:w="914"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二</w:t>
            </w:r>
          </w:p>
        </w:tc>
        <w:tc>
          <w:tcPr>
            <w:tcW w:w="812"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三</w:t>
            </w:r>
          </w:p>
        </w:tc>
        <w:tc>
          <w:tcPr>
            <w:tcW w:w="730"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四</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color w:val="000000"/>
              </w:rPr>
            </w:pPr>
            <w:r>
              <w:rPr>
                <w:rFonts w:hint="eastAsia"/>
                <w:color w:val="000000"/>
              </w:rPr>
              <w:t>基准地价（元/m</w:t>
            </w:r>
            <w:r>
              <w:rPr>
                <w:rFonts w:hint="eastAsia"/>
                <w:color w:val="000000"/>
                <w:vertAlign w:val="superscript"/>
              </w:rPr>
              <w:t>2</w:t>
            </w:r>
            <w:r>
              <w:rPr>
                <w:rFonts w:hint="eastAsia"/>
                <w:color w:val="000000"/>
              </w:rPr>
              <w:t>）</w:t>
            </w:r>
          </w:p>
        </w:tc>
        <w:tc>
          <w:tcPr>
            <w:tcW w:w="914"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
                <w:color w:val="000000"/>
              </w:rPr>
            </w:pPr>
            <w:r>
              <w:rPr>
                <w:rFonts w:hint="eastAsia"/>
                <w:b/>
                <w:color w:val="000000"/>
              </w:rPr>
              <w:t>1310</w:t>
            </w:r>
          </w:p>
        </w:tc>
        <w:tc>
          <w:tcPr>
            <w:tcW w:w="914"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
                <w:color w:val="000000"/>
              </w:rPr>
            </w:pPr>
            <w:r>
              <w:rPr>
                <w:rFonts w:hint="eastAsia"/>
                <w:b/>
                <w:color w:val="000000"/>
              </w:rPr>
              <w:t>990</w:t>
            </w:r>
          </w:p>
        </w:tc>
        <w:tc>
          <w:tcPr>
            <w:tcW w:w="812"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
                <w:color w:val="000000"/>
              </w:rPr>
            </w:pPr>
            <w:r>
              <w:rPr>
                <w:rFonts w:hint="eastAsia"/>
                <w:b/>
                <w:color w:val="000000"/>
              </w:rPr>
              <w:t>720</w:t>
            </w:r>
          </w:p>
        </w:tc>
        <w:tc>
          <w:tcPr>
            <w:tcW w:w="7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
                <w:color w:val="000000"/>
              </w:rPr>
            </w:pPr>
            <w:r>
              <w:rPr>
                <w:rFonts w:hint="eastAsia"/>
                <w:b/>
                <w:color w:val="000000"/>
              </w:rPr>
              <w:t>540</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color w:val="000000"/>
              </w:rPr>
            </w:pPr>
            <w:r>
              <w:rPr>
                <w:rFonts w:hint="eastAsia"/>
                <w:color w:val="000000"/>
              </w:rPr>
              <w:t>变幅（元/m</w:t>
            </w:r>
            <w:r>
              <w:rPr>
                <w:rFonts w:hint="eastAsia"/>
                <w:color w:val="000000"/>
                <w:vertAlign w:val="superscript"/>
              </w:rPr>
              <w:t>2</w:t>
            </w:r>
            <w:r>
              <w:rPr>
                <w:rFonts w:hint="eastAsia"/>
                <w:color w:val="000000"/>
              </w:rPr>
              <w:t>）</w:t>
            </w:r>
          </w:p>
        </w:tc>
        <w:tc>
          <w:tcPr>
            <w:tcW w:w="914"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1700-995</w:t>
            </w:r>
          </w:p>
        </w:tc>
        <w:tc>
          <w:tcPr>
            <w:tcW w:w="914"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1285-720</w:t>
            </w:r>
          </w:p>
        </w:tc>
        <w:tc>
          <w:tcPr>
            <w:tcW w:w="812"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935-545</w:t>
            </w:r>
          </w:p>
        </w:tc>
        <w:tc>
          <w:tcPr>
            <w:tcW w:w="7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700-380</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color w:val="000000"/>
              </w:rPr>
            </w:pPr>
            <w:r>
              <w:rPr>
                <w:rFonts w:hint="eastAsia"/>
                <w:color w:val="000000"/>
              </w:rPr>
              <w:t>换算价格（万元/亩）</w:t>
            </w:r>
          </w:p>
        </w:tc>
        <w:tc>
          <w:tcPr>
            <w:tcW w:w="914"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87.33</w:t>
            </w:r>
          </w:p>
        </w:tc>
        <w:tc>
          <w:tcPr>
            <w:tcW w:w="914"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66.00</w:t>
            </w:r>
          </w:p>
        </w:tc>
        <w:tc>
          <w:tcPr>
            <w:tcW w:w="812"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48.00</w:t>
            </w:r>
          </w:p>
        </w:tc>
        <w:tc>
          <w:tcPr>
            <w:tcW w:w="7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36.00</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rPr>
                <w:rFonts w:hint="eastAsia"/>
                <w:color w:val="000000"/>
              </w:rPr>
            </w:pPr>
            <w:r>
              <w:rPr>
                <w:rFonts w:hint="eastAsia"/>
                <w:color w:val="000000"/>
              </w:rPr>
              <w:t>设定容积率</w:t>
            </w:r>
          </w:p>
        </w:tc>
        <w:tc>
          <w:tcPr>
            <w:tcW w:w="914"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1.7</w:t>
            </w:r>
          </w:p>
        </w:tc>
        <w:tc>
          <w:tcPr>
            <w:tcW w:w="914"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1.6</w:t>
            </w:r>
          </w:p>
        </w:tc>
        <w:tc>
          <w:tcPr>
            <w:tcW w:w="812"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1.4</w:t>
            </w:r>
          </w:p>
        </w:tc>
        <w:tc>
          <w:tcPr>
            <w:tcW w:w="730"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1.1</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color w:val="000000"/>
              </w:rPr>
            </w:pPr>
            <w:r>
              <w:rPr>
                <w:rFonts w:hint="eastAsia"/>
                <w:color w:val="000000"/>
              </w:rPr>
              <w:t>楼面地价</w:t>
            </w:r>
          </w:p>
        </w:tc>
        <w:tc>
          <w:tcPr>
            <w:tcW w:w="914"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rPr>
            </w:pPr>
            <w:r>
              <w:rPr>
                <w:rFonts w:hint="eastAsia"/>
              </w:rPr>
              <w:t>771</w:t>
            </w:r>
          </w:p>
        </w:tc>
        <w:tc>
          <w:tcPr>
            <w:tcW w:w="914"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rPr>
            </w:pPr>
            <w:r>
              <w:rPr>
                <w:rFonts w:hint="eastAsia"/>
              </w:rPr>
              <w:t>619</w:t>
            </w:r>
          </w:p>
        </w:tc>
        <w:tc>
          <w:tcPr>
            <w:tcW w:w="812"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rPr>
            </w:pPr>
            <w:r>
              <w:rPr>
                <w:rFonts w:hint="eastAsia"/>
              </w:rPr>
              <w:t>514</w:t>
            </w:r>
          </w:p>
        </w:tc>
        <w:tc>
          <w:tcPr>
            <w:tcW w:w="7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rPr>
            </w:pPr>
            <w:r>
              <w:rPr>
                <w:rFonts w:hint="eastAsia"/>
              </w:rPr>
              <w:t>491</w:t>
            </w:r>
          </w:p>
        </w:tc>
      </w:tr>
    </w:tbl>
    <w:p>
      <w:pPr>
        <w:pStyle w:val="2"/>
        <w:spacing w:before="156" w:beforeLines="50" w:line="400" w:lineRule="exact"/>
        <w:ind w:firstLine="643" w:firstLineChars="200"/>
        <w:jc w:val="left"/>
        <w:rPr>
          <w:rFonts w:hint="eastAsia" w:ascii="楷体_GB2312" w:hAnsi="Times New Roman" w:eastAsia="楷体_GB2312" w:cs="Times New Roman"/>
          <w:b/>
          <w:sz w:val="32"/>
          <w:szCs w:val="32"/>
        </w:rPr>
      </w:pPr>
      <w:r>
        <w:rPr>
          <w:rFonts w:hint="eastAsia" w:ascii="楷体_GB2312" w:hAnsi="Times New Roman" w:eastAsia="楷体_GB2312" w:cs="Times New Roman"/>
          <w:b/>
          <w:sz w:val="32"/>
          <w:szCs w:val="32"/>
        </w:rPr>
        <w:t>（三）工业仓储用地级别基准地价</w:t>
      </w:r>
    </w:p>
    <w:p>
      <w:pPr>
        <w:pStyle w:val="2"/>
        <w:spacing w:before="156" w:beforeLines="50" w:line="40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仓储用地级别基准地价表</w:t>
      </w:r>
    </w:p>
    <w:tbl>
      <w:tblPr>
        <w:tblStyle w:val="3"/>
        <w:tblW w:w="5000" w:type="pct"/>
        <w:tblInd w:w="-10" w:type="dxa"/>
        <w:tblLayout w:type="autofit"/>
        <w:tblCellMar>
          <w:top w:w="0" w:type="dxa"/>
          <w:left w:w="0" w:type="dxa"/>
          <w:bottom w:w="0" w:type="dxa"/>
          <w:right w:w="0" w:type="dxa"/>
        </w:tblCellMar>
      </w:tblPr>
      <w:tblGrid>
        <w:gridCol w:w="2714"/>
        <w:gridCol w:w="1691"/>
        <w:gridCol w:w="2029"/>
        <w:gridCol w:w="1892"/>
      </w:tblGrid>
      <w:tr>
        <w:tblPrEx>
          <w:tblCellMar>
            <w:top w:w="0" w:type="dxa"/>
            <w:left w:w="0" w:type="dxa"/>
            <w:bottom w:w="0" w:type="dxa"/>
            <w:right w:w="0" w:type="dxa"/>
          </w:tblCellMar>
        </w:tblPrEx>
        <w:trPr>
          <w:trHeight w:val="397" w:hRule="atLeast"/>
        </w:trPr>
        <w:tc>
          <w:tcPr>
            <w:tcW w:w="1630"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spacing w:line="580" w:lineRule="exact"/>
              <w:jc w:val="center"/>
              <w:rPr>
                <w:rFonts w:ascii="黑体" w:hAnsi="黑体" w:eastAsia="黑体"/>
                <w:color w:val="000000"/>
              </w:rPr>
            </w:pPr>
            <w:r>
              <w:rPr>
                <w:rFonts w:hint="eastAsia" w:ascii="黑体" w:hAnsi="黑体" w:eastAsia="黑体"/>
                <w:color w:val="000000"/>
              </w:rPr>
              <w:t>土地级别</w:t>
            </w:r>
          </w:p>
        </w:tc>
        <w:tc>
          <w:tcPr>
            <w:tcW w:w="1015"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ascii="黑体" w:hAnsi="黑体" w:eastAsia="黑体"/>
                <w:color w:val="000000"/>
              </w:rPr>
            </w:pPr>
            <w:r>
              <w:rPr>
                <w:rFonts w:hint="eastAsia" w:ascii="黑体" w:hAnsi="黑体" w:eastAsia="黑体"/>
                <w:color w:val="000000"/>
              </w:rPr>
              <w:t>控制区</w:t>
            </w:r>
          </w:p>
        </w:tc>
        <w:tc>
          <w:tcPr>
            <w:tcW w:w="1218"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ascii="黑体" w:hAnsi="黑体" w:eastAsia="黑体"/>
                <w:color w:val="000000"/>
              </w:rPr>
            </w:pPr>
            <w:r>
              <w:rPr>
                <w:rFonts w:hint="eastAsia" w:ascii="黑体" w:hAnsi="黑体" w:eastAsia="黑体"/>
                <w:color w:val="000000"/>
              </w:rPr>
              <w:t>一</w:t>
            </w:r>
          </w:p>
        </w:tc>
        <w:tc>
          <w:tcPr>
            <w:tcW w:w="1136"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ascii="黑体" w:hAnsi="黑体" w:eastAsia="黑体"/>
                <w:color w:val="000000"/>
              </w:rPr>
            </w:pPr>
            <w:r>
              <w:rPr>
                <w:rFonts w:hint="eastAsia" w:ascii="黑体" w:hAnsi="黑体" w:eastAsia="黑体"/>
                <w:color w:val="000000"/>
              </w:rPr>
              <w:t>二</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rPr>
                <w:rFonts w:hint="eastAsia"/>
                <w:color w:val="000000"/>
              </w:rPr>
            </w:pPr>
            <w:r>
              <w:rPr>
                <w:rFonts w:hint="eastAsia"/>
                <w:color w:val="000000"/>
              </w:rPr>
              <w:t>基准地价（元/m</w:t>
            </w:r>
            <w:r>
              <w:rPr>
                <w:rFonts w:hint="eastAsia"/>
                <w:color w:val="000000"/>
                <w:vertAlign w:val="superscript"/>
              </w:rPr>
              <w:t>2</w:t>
            </w:r>
            <w:r>
              <w:rPr>
                <w:rFonts w:hint="eastAsia"/>
                <w:color w:val="000000"/>
              </w:rPr>
              <w:t>）</w:t>
            </w:r>
          </w:p>
        </w:tc>
        <w:tc>
          <w:tcPr>
            <w:tcW w:w="1015"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b/>
                <w:bCs/>
              </w:rPr>
            </w:pPr>
            <w:r>
              <w:rPr>
                <w:rFonts w:hint="eastAsia"/>
                <w:b/>
                <w:bCs/>
              </w:rPr>
              <w:t>/</w:t>
            </w:r>
          </w:p>
        </w:tc>
        <w:tc>
          <w:tcPr>
            <w:tcW w:w="1218"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b/>
                <w:bCs/>
              </w:rPr>
            </w:pPr>
            <w:r>
              <w:rPr>
                <w:rFonts w:hint="eastAsia"/>
                <w:b/>
                <w:bCs/>
              </w:rPr>
              <w:t>240</w:t>
            </w:r>
          </w:p>
        </w:tc>
        <w:tc>
          <w:tcPr>
            <w:tcW w:w="113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b/>
                <w:bCs/>
              </w:rPr>
            </w:pPr>
            <w:r>
              <w:rPr>
                <w:rFonts w:hint="eastAsia"/>
                <w:b/>
                <w:bCs/>
              </w:rPr>
              <w:t>190</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rPr>
                <w:rFonts w:hint="eastAsia"/>
                <w:color w:val="000000"/>
              </w:rPr>
            </w:pPr>
            <w:r>
              <w:rPr>
                <w:rFonts w:hint="eastAsia"/>
                <w:color w:val="000000"/>
              </w:rPr>
              <w:t>变幅（元/m</w:t>
            </w:r>
            <w:r>
              <w:rPr>
                <w:rFonts w:hint="eastAsia"/>
                <w:color w:val="000000"/>
                <w:vertAlign w:val="superscript"/>
              </w:rPr>
              <w:t>2</w:t>
            </w:r>
            <w:r>
              <w:rPr>
                <w:rFonts w:hint="eastAsia"/>
                <w:color w:val="000000"/>
              </w:rPr>
              <w:t>）</w:t>
            </w:r>
          </w:p>
        </w:tc>
        <w:tc>
          <w:tcPr>
            <w:tcW w:w="1015"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w:t>
            </w:r>
          </w:p>
        </w:tc>
        <w:tc>
          <w:tcPr>
            <w:tcW w:w="1218"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310-200</w:t>
            </w:r>
          </w:p>
        </w:tc>
        <w:tc>
          <w:tcPr>
            <w:tcW w:w="113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235-140</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rPr>
                <w:rFonts w:hint="eastAsia"/>
                <w:color w:val="000000"/>
              </w:rPr>
            </w:pPr>
            <w:r>
              <w:rPr>
                <w:rFonts w:hint="eastAsia"/>
                <w:color w:val="000000"/>
              </w:rPr>
              <w:t>换算价格（万元/亩）</w:t>
            </w:r>
          </w:p>
        </w:tc>
        <w:tc>
          <w:tcPr>
            <w:tcW w:w="1015"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w:t>
            </w:r>
          </w:p>
        </w:tc>
        <w:tc>
          <w:tcPr>
            <w:tcW w:w="1218"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16.00</w:t>
            </w:r>
          </w:p>
        </w:tc>
        <w:tc>
          <w:tcPr>
            <w:tcW w:w="113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12.67</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rPr>
                <w:rFonts w:hint="eastAsia"/>
                <w:color w:val="000000"/>
              </w:rPr>
            </w:pPr>
            <w:r>
              <w:rPr>
                <w:rFonts w:hint="eastAsia"/>
                <w:color w:val="000000"/>
              </w:rPr>
              <w:t>设定容积率</w:t>
            </w:r>
          </w:p>
        </w:tc>
        <w:tc>
          <w:tcPr>
            <w:tcW w:w="1015"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w:t>
            </w:r>
          </w:p>
        </w:tc>
        <w:tc>
          <w:tcPr>
            <w:tcW w:w="1218"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1.0</w:t>
            </w:r>
          </w:p>
        </w:tc>
        <w:tc>
          <w:tcPr>
            <w:tcW w:w="113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1.0</w:t>
            </w:r>
          </w:p>
        </w:tc>
      </w:tr>
    </w:tbl>
    <w:p>
      <w:pPr>
        <w:pStyle w:val="2"/>
        <w:spacing w:before="156" w:beforeLines="50" w:line="58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工业用地级别基准地价表</w:t>
      </w:r>
    </w:p>
    <w:tbl>
      <w:tblPr>
        <w:tblStyle w:val="3"/>
        <w:tblW w:w="5000" w:type="pct"/>
        <w:tblInd w:w="-10" w:type="dxa"/>
        <w:tblLayout w:type="autofit"/>
        <w:tblCellMar>
          <w:top w:w="0" w:type="dxa"/>
          <w:left w:w="0" w:type="dxa"/>
          <w:bottom w:w="0" w:type="dxa"/>
          <w:right w:w="0" w:type="dxa"/>
        </w:tblCellMar>
      </w:tblPr>
      <w:tblGrid>
        <w:gridCol w:w="2714"/>
        <w:gridCol w:w="1692"/>
        <w:gridCol w:w="2028"/>
        <w:gridCol w:w="1892"/>
      </w:tblGrid>
      <w:tr>
        <w:tblPrEx>
          <w:tblCellMar>
            <w:top w:w="0" w:type="dxa"/>
            <w:left w:w="0" w:type="dxa"/>
            <w:bottom w:w="0" w:type="dxa"/>
            <w:right w:w="0" w:type="dxa"/>
          </w:tblCellMar>
        </w:tblPrEx>
        <w:trPr>
          <w:trHeight w:val="397" w:hRule="atLeast"/>
        </w:trPr>
        <w:tc>
          <w:tcPr>
            <w:tcW w:w="1630"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土地级别</w:t>
            </w:r>
          </w:p>
        </w:tc>
        <w:tc>
          <w:tcPr>
            <w:tcW w:w="1016"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控制区</w:t>
            </w:r>
          </w:p>
        </w:tc>
        <w:tc>
          <w:tcPr>
            <w:tcW w:w="1218"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一</w:t>
            </w:r>
          </w:p>
        </w:tc>
        <w:tc>
          <w:tcPr>
            <w:tcW w:w="1136"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olor w:val="000000"/>
              </w:rPr>
            </w:pPr>
            <w:r>
              <w:rPr>
                <w:rFonts w:hint="eastAsia" w:ascii="黑体" w:hAnsi="黑体" w:eastAsia="黑体"/>
                <w:color w:val="000000"/>
              </w:rPr>
              <w:t>二</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基准地价（元/m</w:t>
            </w:r>
            <w:r>
              <w:rPr>
                <w:rFonts w:hint="eastAsia"/>
                <w:color w:val="000000"/>
                <w:vertAlign w:val="superscript"/>
              </w:rPr>
              <w:t>2</w:t>
            </w:r>
            <w:r>
              <w:rPr>
                <w:rFonts w:hint="eastAsia"/>
                <w:color w:val="000000"/>
              </w:rPr>
              <w:t>）</w:t>
            </w:r>
          </w:p>
        </w:tc>
        <w:tc>
          <w:tcPr>
            <w:tcW w:w="101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w:t>
            </w:r>
          </w:p>
        </w:tc>
        <w:tc>
          <w:tcPr>
            <w:tcW w:w="1218"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b/>
                <w:color w:val="000000"/>
              </w:rPr>
            </w:pPr>
            <w:r>
              <w:rPr>
                <w:rFonts w:hint="eastAsia"/>
                <w:b/>
                <w:color w:val="000000"/>
              </w:rPr>
              <w:t>225</w:t>
            </w:r>
          </w:p>
        </w:tc>
        <w:tc>
          <w:tcPr>
            <w:tcW w:w="113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b/>
                <w:color w:val="000000"/>
              </w:rPr>
            </w:pPr>
            <w:r>
              <w:rPr>
                <w:rFonts w:hint="eastAsia"/>
                <w:b/>
                <w:color w:val="000000"/>
              </w:rPr>
              <w:t>180</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变幅（元/m</w:t>
            </w:r>
            <w:r>
              <w:rPr>
                <w:rFonts w:hint="eastAsia"/>
                <w:color w:val="000000"/>
                <w:vertAlign w:val="superscript"/>
              </w:rPr>
              <w:t>2</w:t>
            </w:r>
            <w:r>
              <w:rPr>
                <w:rFonts w:hint="eastAsia"/>
                <w:color w:val="000000"/>
              </w:rPr>
              <w:t>）</w:t>
            </w:r>
          </w:p>
        </w:tc>
        <w:tc>
          <w:tcPr>
            <w:tcW w:w="101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w:t>
            </w:r>
          </w:p>
        </w:tc>
        <w:tc>
          <w:tcPr>
            <w:tcW w:w="1218"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290-185</w:t>
            </w:r>
          </w:p>
        </w:tc>
        <w:tc>
          <w:tcPr>
            <w:tcW w:w="113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220-130</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换算价格（万元/亩）</w:t>
            </w:r>
          </w:p>
        </w:tc>
        <w:tc>
          <w:tcPr>
            <w:tcW w:w="101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w:t>
            </w:r>
          </w:p>
        </w:tc>
        <w:tc>
          <w:tcPr>
            <w:tcW w:w="1218"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15.00</w:t>
            </w:r>
          </w:p>
        </w:tc>
        <w:tc>
          <w:tcPr>
            <w:tcW w:w="113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12.00</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设定容积率</w:t>
            </w:r>
          </w:p>
        </w:tc>
        <w:tc>
          <w:tcPr>
            <w:tcW w:w="101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w:t>
            </w:r>
          </w:p>
        </w:tc>
        <w:tc>
          <w:tcPr>
            <w:tcW w:w="1218"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1.0</w:t>
            </w:r>
          </w:p>
        </w:tc>
        <w:tc>
          <w:tcPr>
            <w:tcW w:w="113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1.0</w:t>
            </w:r>
          </w:p>
        </w:tc>
      </w:tr>
    </w:tbl>
    <w:p>
      <w:pPr>
        <w:pStyle w:val="2"/>
        <w:spacing w:before="156" w:beforeLines="50" w:line="400" w:lineRule="exact"/>
        <w:ind w:firstLine="643" w:firstLineChars="200"/>
        <w:jc w:val="left"/>
        <w:rPr>
          <w:rFonts w:hint="eastAsia" w:ascii="楷体_GB2312" w:hAnsi="Times New Roman" w:eastAsia="楷体_GB2312" w:cs="Times New Roman"/>
          <w:b/>
          <w:sz w:val="32"/>
          <w:szCs w:val="32"/>
        </w:rPr>
      </w:pPr>
      <w:r>
        <w:rPr>
          <w:rFonts w:hint="eastAsia" w:ascii="楷体_GB2312" w:hAnsi="Times New Roman" w:eastAsia="楷体_GB2312" w:cs="Times New Roman"/>
          <w:b/>
          <w:sz w:val="32"/>
          <w:szCs w:val="32"/>
        </w:rPr>
        <w:t>（四）公共管理与公共服务用地级别基准地价</w:t>
      </w:r>
    </w:p>
    <w:p>
      <w:pPr>
        <w:pStyle w:val="2"/>
        <w:spacing w:before="156" w:beforeLines="50" w:line="40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新闻出版、文化设施、体育、科研、教育用地级别基准地价表</w:t>
      </w:r>
    </w:p>
    <w:tbl>
      <w:tblPr>
        <w:tblStyle w:val="3"/>
        <w:tblW w:w="5000" w:type="pct"/>
        <w:tblInd w:w="-10" w:type="dxa"/>
        <w:tblLayout w:type="autofit"/>
        <w:tblCellMar>
          <w:top w:w="0" w:type="dxa"/>
          <w:left w:w="0" w:type="dxa"/>
          <w:bottom w:w="0" w:type="dxa"/>
          <w:right w:w="0" w:type="dxa"/>
        </w:tblCellMar>
      </w:tblPr>
      <w:tblGrid>
        <w:gridCol w:w="2714"/>
        <w:gridCol w:w="1692"/>
        <w:gridCol w:w="2028"/>
        <w:gridCol w:w="1892"/>
      </w:tblGrid>
      <w:tr>
        <w:tblPrEx>
          <w:tblCellMar>
            <w:top w:w="0" w:type="dxa"/>
            <w:left w:w="0" w:type="dxa"/>
            <w:bottom w:w="0" w:type="dxa"/>
            <w:right w:w="0" w:type="dxa"/>
          </w:tblCellMar>
        </w:tblPrEx>
        <w:trPr>
          <w:trHeight w:val="397" w:hRule="atLeast"/>
        </w:trPr>
        <w:tc>
          <w:tcPr>
            <w:tcW w:w="1630"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s="宋体"/>
                <w:color w:val="000000"/>
              </w:rPr>
            </w:pPr>
            <w:r>
              <w:rPr>
                <w:rFonts w:hint="eastAsia" w:ascii="黑体" w:hAnsi="黑体" w:eastAsia="黑体" w:cs="宋体"/>
                <w:color w:val="000000"/>
              </w:rPr>
              <w:t>土地级别</w:t>
            </w:r>
          </w:p>
        </w:tc>
        <w:tc>
          <w:tcPr>
            <w:tcW w:w="1016"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s="宋体"/>
                <w:color w:val="000000"/>
              </w:rPr>
            </w:pPr>
            <w:r>
              <w:rPr>
                <w:rFonts w:hint="eastAsia" w:ascii="黑体" w:hAnsi="黑体" w:eastAsia="黑体" w:cs="宋体"/>
                <w:color w:val="000000"/>
              </w:rPr>
              <w:t>一</w:t>
            </w:r>
          </w:p>
        </w:tc>
        <w:tc>
          <w:tcPr>
            <w:tcW w:w="1218"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s="宋体"/>
                <w:color w:val="000000"/>
              </w:rPr>
            </w:pPr>
            <w:r>
              <w:rPr>
                <w:rFonts w:hint="eastAsia" w:ascii="黑体" w:hAnsi="黑体" w:eastAsia="黑体" w:cs="宋体"/>
                <w:color w:val="000000"/>
              </w:rPr>
              <w:t>二</w:t>
            </w:r>
          </w:p>
        </w:tc>
        <w:tc>
          <w:tcPr>
            <w:tcW w:w="1136"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s="宋体"/>
                <w:color w:val="000000"/>
              </w:rPr>
            </w:pPr>
            <w:r>
              <w:rPr>
                <w:rFonts w:hint="eastAsia" w:ascii="黑体" w:hAnsi="黑体" w:eastAsia="黑体" w:cs="宋体"/>
                <w:color w:val="000000"/>
              </w:rPr>
              <w:t>三</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宋体" w:cs="宋体"/>
                <w:color w:val="000000"/>
              </w:rPr>
            </w:pPr>
            <w:r>
              <w:rPr>
                <w:rFonts w:hint="eastAsia" w:hAnsi="宋体" w:cs="宋体"/>
                <w:color w:val="000000"/>
              </w:rPr>
              <w:t>基准地价（元/m</w:t>
            </w:r>
            <w:r>
              <w:rPr>
                <w:rFonts w:hint="eastAsia" w:hAnsi="宋体" w:cs="宋体"/>
                <w:color w:val="000000"/>
                <w:vertAlign w:val="superscript"/>
              </w:rPr>
              <w:t>2</w:t>
            </w:r>
            <w:r>
              <w:rPr>
                <w:rFonts w:hint="eastAsia" w:hAnsi="宋体" w:cs="宋体"/>
                <w:color w:val="000000"/>
              </w:rPr>
              <w:t>）</w:t>
            </w:r>
          </w:p>
        </w:tc>
        <w:tc>
          <w:tcPr>
            <w:tcW w:w="101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
                <w:bCs/>
              </w:rPr>
            </w:pPr>
            <w:r>
              <w:rPr>
                <w:rFonts w:hint="eastAsia"/>
                <w:b/>
                <w:bCs/>
              </w:rPr>
              <w:t>810</w:t>
            </w:r>
          </w:p>
        </w:tc>
        <w:tc>
          <w:tcPr>
            <w:tcW w:w="1218"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
                <w:bCs/>
              </w:rPr>
            </w:pPr>
            <w:r>
              <w:rPr>
                <w:rFonts w:hint="eastAsia"/>
                <w:b/>
                <w:bCs/>
              </w:rPr>
              <w:t>570</w:t>
            </w:r>
          </w:p>
        </w:tc>
        <w:tc>
          <w:tcPr>
            <w:tcW w:w="113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
                <w:bCs/>
              </w:rPr>
            </w:pPr>
            <w:r>
              <w:rPr>
                <w:rFonts w:hint="eastAsia"/>
                <w:b/>
                <w:bCs/>
              </w:rPr>
              <w:t>350</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宋体" w:cs="宋体"/>
                <w:color w:val="000000"/>
              </w:rPr>
            </w:pPr>
            <w:r>
              <w:rPr>
                <w:rFonts w:hint="eastAsia"/>
                <w:color w:val="000000"/>
              </w:rPr>
              <w:t>变幅（元/m</w:t>
            </w:r>
            <w:r>
              <w:rPr>
                <w:rFonts w:hint="eastAsia"/>
                <w:color w:val="000000"/>
                <w:vertAlign w:val="superscript"/>
              </w:rPr>
              <w:t>2</w:t>
            </w:r>
            <w:r>
              <w:rPr>
                <w:rFonts w:hint="eastAsia"/>
                <w:color w:val="000000"/>
              </w:rPr>
              <w:t>）</w:t>
            </w:r>
          </w:p>
        </w:tc>
        <w:tc>
          <w:tcPr>
            <w:tcW w:w="101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Cs/>
              </w:rPr>
            </w:pPr>
            <w:r>
              <w:rPr>
                <w:rFonts w:hint="eastAsia"/>
                <w:bCs/>
              </w:rPr>
              <w:t>1050-575</w:t>
            </w:r>
          </w:p>
        </w:tc>
        <w:tc>
          <w:tcPr>
            <w:tcW w:w="1218"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Cs/>
              </w:rPr>
            </w:pPr>
            <w:r>
              <w:rPr>
                <w:rFonts w:hint="eastAsia"/>
                <w:bCs/>
              </w:rPr>
              <w:t>740-400</w:t>
            </w:r>
          </w:p>
        </w:tc>
        <w:tc>
          <w:tcPr>
            <w:tcW w:w="113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Cs/>
              </w:rPr>
            </w:pPr>
            <w:r>
              <w:rPr>
                <w:rFonts w:hint="eastAsia"/>
                <w:bCs/>
              </w:rPr>
              <w:t>455-245</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宋体" w:cs="宋体"/>
                <w:color w:val="000000"/>
              </w:rPr>
            </w:pPr>
            <w:r>
              <w:rPr>
                <w:rFonts w:hint="eastAsia" w:hAnsi="宋体" w:cs="宋体"/>
                <w:color w:val="000000"/>
              </w:rPr>
              <w:t>换算价格（万元/亩）</w:t>
            </w:r>
          </w:p>
        </w:tc>
        <w:tc>
          <w:tcPr>
            <w:tcW w:w="101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Cs/>
              </w:rPr>
            </w:pPr>
            <w:r>
              <w:rPr>
                <w:rFonts w:hint="eastAsia"/>
                <w:bCs/>
              </w:rPr>
              <w:t>54.00</w:t>
            </w:r>
          </w:p>
        </w:tc>
        <w:tc>
          <w:tcPr>
            <w:tcW w:w="1218"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Cs/>
              </w:rPr>
            </w:pPr>
            <w:r>
              <w:rPr>
                <w:rFonts w:hint="eastAsia"/>
                <w:bCs/>
              </w:rPr>
              <w:t>38.00</w:t>
            </w:r>
          </w:p>
        </w:tc>
        <w:tc>
          <w:tcPr>
            <w:tcW w:w="113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Cs/>
              </w:rPr>
            </w:pPr>
            <w:r>
              <w:rPr>
                <w:rFonts w:hint="eastAsia"/>
                <w:bCs/>
              </w:rPr>
              <w:t>23.33</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rPr>
                <w:rFonts w:hint="eastAsia" w:hAnsi="宋体" w:cs="宋体"/>
                <w:color w:val="000000"/>
              </w:rPr>
            </w:pPr>
            <w:r>
              <w:rPr>
                <w:rFonts w:hint="eastAsia" w:hAnsi="宋体" w:cs="宋体"/>
                <w:color w:val="000000"/>
              </w:rPr>
              <w:t>设定容积率</w:t>
            </w:r>
          </w:p>
        </w:tc>
        <w:tc>
          <w:tcPr>
            <w:tcW w:w="101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1.4</w:t>
            </w:r>
          </w:p>
        </w:tc>
        <w:tc>
          <w:tcPr>
            <w:tcW w:w="1218"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1.3</w:t>
            </w:r>
          </w:p>
        </w:tc>
        <w:tc>
          <w:tcPr>
            <w:tcW w:w="1136"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color w:val="000000"/>
              </w:rPr>
            </w:pPr>
            <w:r>
              <w:rPr>
                <w:rFonts w:hint="eastAsia"/>
                <w:color w:val="000000"/>
              </w:rPr>
              <w:t>1.1</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宋体" w:cs="宋体"/>
                <w:color w:val="000000"/>
              </w:rPr>
            </w:pPr>
            <w:r>
              <w:rPr>
                <w:rFonts w:hint="eastAsia" w:hAnsi="宋体" w:cs="宋体"/>
                <w:color w:val="000000"/>
              </w:rPr>
              <w:t>楼面地价</w:t>
            </w:r>
          </w:p>
        </w:tc>
        <w:tc>
          <w:tcPr>
            <w:tcW w:w="101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Cs/>
              </w:rPr>
            </w:pPr>
            <w:r>
              <w:rPr>
                <w:rFonts w:hint="eastAsia"/>
                <w:bCs/>
              </w:rPr>
              <w:t xml:space="preserve">579 </w:t>
            </w:r>
          </w:p>
        </w:tc>
        <w:tc>
          <w:tcPr>
            <w:tcW w:w="1218"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Cs/>
              </w:rPr>
            </w:pPr>
            <w:r>
              <w:rPr>
                <w:rFonts w:hint="eastAsia"/>
                <w:bCs/>
              </w:rPr>
              <w:t xml:space="preserve">438 </w:t>
            </w:r>
          </w:p>
        </w:tc>
        <w:tc>
          <w:tcPr>
            <w:tcW w:w="113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Cs/>
              </w:rPr>
            </w:pPr>
            <w:r>
              <w:rPr>
                <w:rFonts w:hint="eastAsia"/>
                <w:bCs/>
              </w:rPr>
              <w:t xml:space="preserve">318 </w:t>
            </w:r>
          </w:p>
        </w:tc>
      </w:tr>
    </w:tbl>
    <w:p>
      <w:pPr>
        <w:pStyle w:val="2"/>
        <w:spacing w:before="156" w:beforeLines="50" w:line="58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医疗卫生、社会福利用地级别基准地价表</w:t>
      </w:r>
    </w:p>
    <w:tbl>
      <w:tblPr>
        <w:tblStyle w:val="3"/>
        <w:tblW w:w="5000" w:type="pct"/>
        <w:tblInd w:w="-10" w:type="dxa"/>
        <w:tblLayout w:type="autofit"/>
        <w:tblCellMar>
          <w:top w:w="0" w:type="dxa"/>
          <w:left w:w="0" w:type="dxa"/>
          <w:bottom w:w="0" w:type="dxa"/>
          <w:right w:w="0" w:type="dxa"/>
        </w:tblCellMar>
      </w:tblPr>
      <w:tblGrid>
        <w:gridCol w:w="2714"/>
        <w:gridCol w:w="1690"/>
        <w:gridCol w:w="2032"/>
        <w:gridCol w:w="1890"/>
      </w:tblGrid>
      <w:tr>
        <w:tblPrEx>
          <w:tblCellMar>
            <w:top w:w="0" w:type="dxa"/>
            <w:left w:w="0" w:type="dxa"/>
            <w:bottom w:w="0" w:type="dxa"/>
            <w:right w:w="0" w:type="dxa"/>
          </w:tblCellMar>
        </w:tblPrEx>
        <w:trPr>
          <w:trHeight w:val="397" w:hRule="atLeast"/>
        </w:trPr>
        <w:tc>
          <w:tcPr>
            <w:tcW w:w="1630"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s="宋体"/>
                <w:color w:val="000000"/>
              </w:rPr>
            </w:pPr>
            <w:r>
              <w:rPr>
                <w:rFonts w:hint="eastAsia" w:ascii="黑体" w:hAnsi="黑体" w:eastAsia="黑体" w:cs="宋体"/>
                <w:color w:val="000000"/>
              </w:rPr>
              <w:t>土地级别</w:t>
            </w:r>
          </w:p>
        </w:tc>
        <w:tc>
          <w:tcPr>
            <w:tcW w:w="1015"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s="宋体"/>
                <w:color w:val="000000"/>
              </w:rPr>
            </w:pPr>
            <w:r>
              <w:rPr>
                <w:rFonts w:hint="eastAsia" w:ascii="黑体" w:hAnsi="黑体" w:eastAsia="黑体" w:cs="宋体"/>
                <w:color w:val="000000"/>
              </w:rPr>
              <w:t>一</w:t>
            </w:r>
          </w:p>
        </w:tc>
        <w:tc>
          <w:tcPr>
            <w:tcW w:w="1220"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s="宋体"/>
                <w:color w:val="000000"/>
              </w:rPr>
            </w:pPr>
            <w:r>
              <w:rPr>
                <w:rFonts w:hint="eastAsia" w:ascii="黑体" w:hAnsi="黑体" w:eastAsia="黑体" w:cs="宋体"/>
                <w:color w:val="000000"/>
              </w:rPr>
              <w:t>二</w:t>
            </w:r>
          </w:p>
        </w:tc>
        <w:tc>
          <w:tcPr>
            <w:tcW w:w="1135"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hint="eastAsia" w:ascii="黑体" w:hAnsi="黑体" w:eastAsia="黑体" w:cs="宋体"/>
                <w:color w:val="000000"/>
              </w:rPr>
            </w:pPr>
            <w:r>
              <w:rPr>
                <w:rFonts w:hint="eastAsia" w:ascii="黑体" w:hAnsi="黑体" w:eastAsia="黑体" w:cs="宋体"/>
                <w:color w:val="000000"/>
              </w:rPr>
              <w:t>三</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黑体" w:cs="宋体"/>
                <w:color w:val="000000"/>
              </w:rPr>
            </w:pPr>
            <w:r>
              <w:rPr>
                <w:rFonts w:hint="eastAsia" w:hAnsi="黑体" w:cs="宋体"/>
                <w:color w:val="000000"/>
              </w:rPr>
              <w:t>基准地价（元/m</w:t>
            </w:r>
            <w:r>
              <w:rPr>
                <w:rFonts w:hint="eastAsia" w:hAnsi="黑体" w:cs="宋体"/>
                <w:color w:val="000000"/>
                <w:vertAlign w:val="superscript"/>
              </w:rPr>
              <w:t>2</w:t>
            </w:r>
            <w:r>
              <w:rPr>
                <w:rFonts w:hint="eastAsia" w:hAnsi="黑体" w:cs="宋体"/>
                <w:color w:val="000000"/>
              </w:rPr>
              <w:t>）</w:t>
            </w:r>
          </w:p>
        </w:tc>
        <w:tc>
          <w:tcPr>
            <w:tcW w:w="101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b/>
              </w:rPr>
            </w:pPr>
            <w:r>
              <w:rPr>
                <w:rFonts w:hint="eastAsia" w:hAnsi="黑体"/>
                <w:b/>
              </w:rPr>
              <w:t>780</w:t>
            </w:r>
          </w:p>
        </w:tc>
        <w:tc>
          <w:tcPr>
            <w:tcW w:w="122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b/>
              </w:rPr>
            </w:pPr>
            <w:r>
              <w:rPr>
                <w:rFonts w:hint="eastAsia" w:hAnsi="黑体"/>
                <w:b/>
              </w:rPr>
              <w:t>540</w:t>
            </w:r>
          </w:p>
        </w:tc>
        <w:tc>
          <w:tcPr>
            <w:tcW w:w="113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b/>
              </w:rPr>
            </w:pPr>
            <w:r>
              <w:rPr>
                <w:rFonts w:hint="eastAsia" w:hAnsi="黑体"/>
                <w:b/>
              </w:rPr>
              <w:t>305</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黑体" w:cs="宋体"/>
                <w:color w:val="000000"/>
              </w:rPr>
            </w:pPr>
            <w:r>
              <w:rPr>
                <w:rFonts w:hint="eastAsia" w:hAnsi="黑体"/>
                <w:color w:val="000000"/>
              </w:rPr>
              <w:t>变幅（元/m</w:t>
            </w:r>
            <w:r>
              <w:rPr>
                <w:rFonts w:hint="eastAsia" w:hAnsi="黑体"/>
                <w:color w:val="000000"/>
                <w:vertAlign w:val="superscript"/>
              </w:rPr>
              <w:t>2</w:t>
            </w:r>
            <w:r>
              <w:rPr>
                <w:rFonts w:hint="eastAsia" w:hAnsi="黑体"/>
                <w:color w:val="000000"/>
              </w:rPr>
              <w:t>）</w:t>
            </w:r>
          </w:p>
        </w:tc>
        <w:tc>
          <w:tcPr>
            <w:tcW w:w="101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rPr>
            </w:pPr>
            <w:r>
              <w:rPr>
                <w:rFonts w:hint="eastAsia" w:hAnsi="黑体"/>
              </w:rPr>
              <w:t>1010-550</w:t>
            </w:r>
          </w:p>
        </w:tc>
        <w:tc>
          <w:tcPr>
            <w:tcW w:w="122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rPr>
            </w:pPr>
            <w:r>
              <w:rPr>
                <w:rFonts w:hint="eastAsia" w:hAnsi="黑体"/>
              </w:rPr>
              <w:t>700-380</w:t>
            </w:r>
          </w:p>
        </w:tc>
        <w:tc>
          <w:tcPr>
            <w:tcW w:w="113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rPr>
            </w:pPr>
            <w:r>
              <w:rPr>
                <w:rFonts w:hint="eastAsia" w:hAnsi="黑体"/>
              </w:rPr>
              <w:t>395-215</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黑体" w:cs="宋体"/>
                <w:color w:val="000000"/>
              </w:rPr>
            </w:pPr>
            <w:r>
              <w:rPr>
                <w:rFonts w:hint="eastAsia" w:hAnsi="黑体" w:cs="宋体"/>
                <w:color w:val="000000"/>
              </w:rPr>
              <w:t>换算价格（万元/亩）</w:t>
            </w:r>
          </w:p>
        </w:tc>
        <w:tc>
          <w:tcPr>
            <w:tcW w:w="101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rPr>
            </w:pPr>
            <w:r>
              <w:rPr>
                <w:rFonts w:hint="eastAsia" w:hAnsi="黑体"/>
              </w:rPr>
              <w:t>52.00</w:t>
            </w:r>
          </w:p>
        </w:tc>
        <w:tc>
          <w:tcPr>
            <w:tcW w:w="122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rPr>
            </w:pPr>
            <w:r>
              <w:rPr>
                <w:rFonts w:hint="eastAsia" w:hAnsi="黑体"/>
              </w:rPr>
              <w:t>36.00</w:t>
            </w:r>
          </w:p>
        </w:tc>
        <w:tc>
          <w:tcPr>
            <w:tcW w:w="113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rPr>
            </w:pPr>
            <w:r>
              <w:rPr>
                <w:rFonts w:hint="eastAsia" w:hAnsi="黑体"/>
              </w:rPr>
              <w:t>20.33</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auto" w:sz="8" w:space="0"/>
              <w:right w:val="single" w:color="auto" w:sz="8" w:space="0"/>
            </w:tcBorders>
            <w:shd w:val="clear" w:color="auto" w:fill="auto"/>
            <w:noWrap w:val="0"/>
            <w:vAlign w:val="center"/>
          </w:tcPr>
          <w:p>
            <w:pPr>
              <w:spacing w:line="580" w:lineRule="exact"/>
              <w:rPr>
                <w:rFonts w:hint="eastAsia" w:hAnsi="黑体" w:cs="宋体"/>
                <w:color w:val="000000"/>
              </w:rPr>
            </w:pPr>
            <w:r>
              <w:rPr>
                <w:rFonts w:hint="eastAsia" w:hAnsi="黑体" w:cs="宋体"/>
                <w:color w:val="000000"/>
              </w:rPr>
              <w:t>设定容积率</w:t>
            </w:r>
          </w:p>
        </w:tc>
        <w:tc>
          <w:tcPr>
            <w:tcW w:w="1015"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hAnsi="黑体"/>
                <w:color w:val="000000"/>
              </w:rPr>
            </w:pPr>
            <w:r>
              <w:rPr>
                <w:rFonts w:hint="eastAsia" w:hAnsi="黑体"/>
                <w:color w:val="000000"/>
              </w:rPr>
              <w:t>1.4</w:t>
            </w:r>
          </w:p>
        </w:tc>
        <w:tc>
          <w:tcPr>
            <w:tcW w:w="1220"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hAnsi="黑体"/>
                <w:color w:val="000000"/>
              </w:rPr>
            </w:pPr>
            <w:r>
              <w:rPr>
                <w:rFonts w:hint="eastAsia" w:hAnsi="黑体"/>
                <w:color w:val="000000"/>
              </w:rPr>
              <w:t>1.3</w:t>
            </w:r>
          </w:p>
        </w:tc>
        <w:tc>
          <w:tcPr>
            <w:tcW w:w="1135" w:type="pct"/>
            <w:tcBorders>
              <w:top w:val="nil"/>
              <w:left w:val="nil"/>
              <w:bottom w:val="single" w:color="auto" w:sz="8" w:space="0"/>
              <w:right w:val="single" w:color="auto" w:sz="8" w:space="0"/>
            </w:tcBorders>
            <w:shd w:val="clear" w:color="auto" w:fill="auto"/>
            <w:noWrap w:val="0"/>
            <w:vAlign w:val="center"/>
          </w:tcPr>
          <w:p>
            <w:pPr>
              <w:spacing w:line="580" w:lineRule="exact"/>
              <w:jc w:val="center"/>
              <w:rPr>
                <w:rFonts w:hint="eastAsia" w:hAnsi="黑体"/>
                <w:color w:val="000000"/>
              </w:rPr>
            </w:pPr>
            <w:r>
              <w:rPr>
                <w:rFonts w:hint="eastAsia" w:hAnsi="黑体"/>
                <w:color w:val="000000"/>
              </w:rPr>
              <w:t>1.1</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黑体" w:cs="宋体"/>
                <w:color w:val="000000"/>
              </w:rPr>
            </w:pPr>
            <w:r>
              <w:rPr>
                <w:rFonts w:hint="eastAsia" w:hAnsi="黑体" w:cs="宋体"/>
                <w:color w:val="000000"/>
              </w:rPr>
              <w:t>楼面地价</w:t>
            </w:r>
          </w:p>
        </w:tc>
        <w:tc>
          <w:tcPr>
            <w:tcW w:w="101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rPr>
            </w:pPr>
            <w:r>
              <w:rPr>
                <w:rFonts w:hint="eastAsia" w:hAnsi="黑体"/>
              </w:rPr>
              <w:t>557</w:t>
            </w:r>
          </w:p>
        </w:tc>
        <w:tc>
          <w:tcPr>
            <w:tcW w:w="122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rPr>
            </w:pPr>
            <w:r>
              <w:rPr>
                <w:rFonts w:hint="eastAsia" w:hAnsi="黑体"/>
              </w:rPr>
              <w:t>415</w:t>
            </w:r>
          </w:p>
        </w:tc>
        <w:tc>
          <w:tcPr>
            <w:tcW w:w="113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hAnsi="黑体"/>
              </w:rPr>
            </w:pPr>
            <w:r>
              <w:rPr>
                <w:rFonts w:hint="eastAsia" w:hAnsi="黑体"/>
              </w:rPr>
              <w:t>277</w:t>
            </w:r>
          </w:p>
        </w:tc>
      </w:tr>
    </w:tbl>
    <w:p>
      <w:pPr>
        <w:pStyle w:val="2"/>
        <w:spacing w:before="156" w:beforeLines="50" w:line="580" w:lineRule="exact"/>
        <w:jc w:val="center"/>
        <w:rPr>
          <w:rFonts w:hint="eastAsia" w:ascii="仿宋_GB2312" w:hAnsi="Times New Roman" w:eastAsia="仿宋_GB2312" w:cs="Times New Roman"/>
          <w:b/>
          <w:spacing w:val="-4"/>
          <w:sz w:val="32"/>
          <w:szCs w:val="32"/>
        </w:rPr>
      </w:pPr>
      <w:r>
        <w:rPr>
          <w:rFonts w:hint="eastAsia" w:ascii="仿宋_GB2312" w:hAnsi="Times New Roman" w:eastAsia="仿宋_GB2312" w:cs="Times New Roman"/>
          <w:b/>
          <w:spacing w:val="-4"/>
          <w:sz w:val="32"/>
          <w:szCs w:val="32"/>
        </w:rPr>
        <w:t>公用设施用地级别基准地价表</w:t>
      </w:r>
    </w:p>
    <w:tbl>
      <w:tblPr>
        <w:tblStyle w:val="3"/>
        <w:tblW w:w="5000" w:type="pct"/>
        <w:tblInd w:w="-10" w:type="dxa"/>
        <w:tblLayout w:type="autofit"/>
        <w:tblCellMar>
          <w:top w:w="0" w:type="dxa"/>
          <w:left w:w="0" w:type="dxa"/>
          <w:bottom w:w="0" w:type="dxa"/>
          <w:right w:w="0" w:type="dxa"/>
        </w:tblCellMar>
      </w:tblPr>
      <w:tblGrid>
        <w:gridCol w:w="2714"/>
        <w:gridCol w:w="1690"/>
        <w:gridCol w:w="2030"/>
        <w:gridCol w:w="1892"/>
      </w:tblGrid>
      <w:tr>
        <w:tblPrEx>
          <w:tblCellMar>
            <w:top w:w="0" w:type="dxa"/>
            <w:left w:w="0" w:type="dxa"/>
            <w:bottom w:w="0" w:type="dxa"/>
            <w:right w:w="0" w:type="dxa"/>
          </w:tblCellMar>
        </w:tblPrEx>
        <w:trPr>
          <w:trHeight w:val="397" w:hRule="atLeast"/>
        </w:trPr>
        <w:tc>
          <w:tcPr>
            <w:tcW w:w="1630" w:type="pct"/>
            <w:tcBorders>
              <w:top w:val="single" w:color="auto" w:sz="8" w:space="0"/>
              <w:left w:val="single" w:color="auto" w:sz="8" w:space="0"/>
              <w:bottom w:val="single" w:color="auto" w:sz="8" w:space="0"/>
              <w:right w:val="single" w:color="auto" w:sz="8" w:space="0"/>
            </w:tcBorders>
            <w:shd w:val="clear" w:color="auto" w:fill="auto"/>
            <w:noWrap w:val="0"/>
            <w:vAlign w:val="center"/>
          </w:tcPr>
          <w:p>
            <w:pPr>
              <w:spacing w:line="580" w:lineRule="exact"/>
              <w:jc w:val="center"/>
              <w:rPr>
                <w:rFonts w:ascii="黑体" w:hAnsi="黑体" w:eastAsia="黑体" w:cs="宋体"/>
                <w:color w:val="000000"/>
              </w:rPr>
            </w:pPr>
            <w:r>
              <w:rPr>
                <w:rFonts w:hint="eastAsia" w:ascii="黑体" w:hAnsi="黑体" w:eastAsia="黑体" w:cs="宋体"/>
                <w:color w:val="000000"/>
              </w:rPr>
              <w:t>土地级别</w:t>
            </w:r>
          </w:p>
        </w:tc>
        <w:tc>
          <w:tcPr>
            <w:tcW w:w="1015"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ascii="黑体" w:hAnsi="黑体" w:eastAsia="黑体" w:cs="宋体"/>
                <w:color w:val="000000"/>
              </w:rPr>
            </w:pPr>
            <w:r>
              <w:rPr>
                <w:rFonts w:hint="eastAsia" w:ascii="黑体" w:hAnsi="黑体" w:eastAsia="黑体" w:cs="宋体"/>
                <w:color w:val="000000"/>
              </w:rPr>
              <w:t>一</w:t>
            </w:r>
          </w:p>
        </w:tc>
        <w:tc>
          <w:tcPr>
            <w:tcW w:w="1219"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ascii="黑体" w:hAnsi="黑体" w:eastAsia="黑体" w:cs="宋体"/>
                <w:color w:val="000000"/>
              </w:rPr>
            </w:pPr>
            <w:r>
              <w:rPr>
                <w:rFonts w:hint="eastAsia" w:ascii="黑体" w:hAnsi="黑体" w:eastAsia="黑体" w:cs="宋体"/>
                <w:color w:val="000000"/>
              </w:rPr>
              <w:t>二</w:t>
            </w:r>
          </w:p>
        </w:tc>
        <w:tc>
          <w:tcPr>
            <w:tcW w:w="1136" w:type="pct"/>
            <w:tcBorders>
              <w:top w:val="single" w:color="auto" w:sz="8" w:space="0"/>
              <w:left w:val="nil"/>
              <w:bottom w:val="single" w:color="auto" w:sz="8" w:space="0"/>
              <w:right w:val="single" w:color="auto" w:sz="8" w:space="0"/>
            </w:tcBorders>
            <w:shd w:val="clear" w:color="auto" w:fill="auto"/>
            <w:noWrap w:val="0"/>
            <w:vAlign w:val="center"/>
          </w:tcPr>
          <w:p>
            <w:pPr>
              <w:spacing w:line="580" w:lineRule="exact"/>
              <w:jc w:val="center"/>
              <w:rPr>
                <w:rFonts w:ascii="黑体" w:hAnsi="黑体" w:eastAsia="黑体" w:cs="宋体"/>
                <w:color w:val="000000"/>
              </w:rPr>
            </w:pPr>
            <w:r>
              <w:rPr>
                <w:rFonts w:hint="eastAsia" w:ascii="黑体" w:hAnsi="黑体" w:eastAsia="黑体" w:cs="宋体"/>
                <w:color w:val="000000"/>
              </w:rPr>
              <w:t>三</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宋体" w:cs="宋体"/>
                <w:color w:val="000000"/>
              </w:rPr>
            </w:pPr>
            <w:r>
              <w:rPr>
                <w:rFonts w:hint="eastAsia" w:hAnsi="宋体" w:cs="宋体"/>
                <w:color w:val="000000"/>
              </w:rPr>
              <w:t>基准地价（元/m</w:t>
            </w:r>
            <w:r>
              <w:rPr>
                <w:rFonts w:hint="eastAsia" w:hAnsi="宋体" w:cs="宋体"/>
                <w:color w:val="000000"/>
                <w:vertAlign w:val="superscript"/>
              </w:rPr>
              <w:t>2</w:t>
            </w:r>
            <w:r>
              <w:rPr>
                <w:rFonts w:hint="eastAsia" w:hAnsi="宋体" w:cs="宋体"/>
                <w:color w:val="000000"/>
              </w:rPr>
              <w:t>）</w:t>
            </w:r>
          </w:p>
        </w:tc>
        <w:tc>
          <w:tcPr>
            <w:tcW w:w="101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
              </w:rPr>
            </w:pPr>
            <w:r>
              <w:rPr>
                <w:rFonts w:hint="eastAsia"/>
                <w:b/>
              </w:rPr>
              <w:t>370</w:t>
            </w:r>
          </w:p>
        </w:tc>
        <w:tc>
          <w:tcPr>
            <w:tcW w:w="1219"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
              </w:rPr>
            </w:pPr>
            <w:r>
              <w:rPr>
                <w:rFonts w:hint="eastAsia"/>
                <w:b/>
              </w:rPr>
              <w:t>270</w:t>
            </w:r>
          </w:p>
        </w:tc>
        <w:tc>
          <w:tcPr>
            <w:tcW w:w="113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b/>
              </w:rPr>
            </w:pPr>
            <w:r>
              <w:rPr>
                <w:rFonts w:hint="eastAsia"/>
                <w:b/>
              </w:rPr>
              <w:t>225</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宋体" w:cs="宋体"/>
                <w:color w:val="000000"/>
              </w:rPr>
            </w:pPr>
            <w:r>
              <w:rPr>
                <w:rFonts w:hint="eastAsia"/>
                <w:color w:val="000000"/>
              </w:rPr>
              <w:t>变幅（元/m</w:t>
            </w:r>
            <w:r>
              <w:rPr>
                <w:rFonts w:hint="eastAsia"/>
                <w:color w:val="000000"/>
                <w:vertAlign w:val="superscript"/>
              </w:rPr>
              <w:t>2</w:t>
            </w:r>
            <w:r>
              <w:rPr>
                <w:rFonts w:hint="eastAsia"/>
                <w:color w:val="000000"/>
              </w:rPr>
              <w:t>）</w:t>
            </w:r>
          </w:p>
        </w:tc>
        <w:tc>
          <w:tcPr>
            <w:tcW w:w="101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rPr>
            </w:pPr>
            <w:r>
              <w:rPr>
                <w:rFonts w:hint="eastAsia"/>
              </w:rPr>
              <w:t>480-275</w:t>
            </w:r>
          </w:p>
        </w:tc>
        <w:tc>
          <w:tcPr>
            <w:tcW w:w="1219"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rPr>
            </w:pPr>
            <w:r>
              <w:rPr>
                <w:rFonts w:hint="eastAsia"/>
              </w:rPr>
              <w:t>350-230</w:t>
            </w:r>
          </w:p>
        </w:tc>
        <w:tc>
          <w:tcPr>
            <w:tcW w:w="113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rPr>
            </w:pPr>
            <w:r>
              <w:rPr>
                <w:rFonts w:hint="eastAsia"/>
              </w:rPr>
              <w:t>265-160</w:t>
            </w:r>
          </w:p>
        </w:tc>
      </w:tr>
      <w:tr>
        <w:tblPrEx>
          <w:tblCellMar>
            <w:top w:w="0" w:type="dxa"/>
            <w:left w:w="0" w:type="dxa"/>
            <w:bottom w:w="0" w:type="dxa"/>
            <w:right w:w="0" w:type="dxa"/>
          </w:tblCellMar>
        </w:tblPrEx>
        <w:trPr>
          <w:trHeight w:val="397" w:hRule="atLeast"/>
        </w:trPr>
        <w:tc>
          <w:tcPr>
            <w:tcW w:w="1630"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rPr>
                <w:rFonts w:hint="eastAsia" w:hAnsi="宋体" w:cs="宋体"/>
                <w:color w:val="000000"/>
              </w:rPr>
            </w:pPr>
            <w:r>
              <w:rPr>
                <w:rFonts w:hint="eastAsia" w:hAnsi="宋体" w:cs="宋体"/>
                <w:color w:val="000000"/>
              </w:rPr>
              <w:t>换算价格（万元/亩）</w:t>
            </w:r>
          </w:p>
        </w:tc>
        <w:tc>
          <w:tcPr>
            <w:tcW w:w="1015"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rPr>
            </w:pPr>
            <w:r>
              <w:rPr>
                <w:rFonts w:hint="eastAsia"/>
              </w:rPr>
              <w:t>24.67</w:t>
            </w:r>
          </w:p>
        </w:tc>
        <w:tc>
          <w:tcPr>
            <w:tcW w:w="1219"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rPr>
            </w:pPr>
            <w:r>
              <w:rPr>
                <w:rFonts w:hint="eastAsia"/>
              </w:rPr>
              <w:t>18.00</w:t>
            </w:r>
          </w:p>
        </w:tc>
        <w:tc>
          <w:tcPr>
            <w:tcW w:w="1136" w:type="pct"/>
            <w:tcBorders>
              <w:top w:val="nil"/>
              <w:left w:val="single" w:color="auto" w:sz="8" w:space="0"/>
              <w:bottom w:val="single" w:color="000000" w:sz="8" w:space="0"/>
              <w:right w:val="single" w:color="auto" w:sz="8" w:space="0"/>
            </w:tcBorders>
            <w:shd w:val="clear" w:color="auto" w:fill="auto"/>
            <w:noWrap w:val="0"/>
            <w:vAlign w:val="center"/>
          </w:tcPr>
          <w:p>
            <w:pPr>
              <w:spacing w:line="580" w:lineRule="exact"/>
              <w:jc w:val="center"/>
              <w:rPr>
                <w:rFonts w:hint="eastAsia"/>
              </w:rPr>
            </w:pPr>
            <w:r>
              <w:rPr>
                <w:rFonts w:hint="eastAsia"/>
              </w:rPr>
              <w:t>15.00</w:t>
            </w:r>
          </w:p>
        </w:tc>
      </w:tr>
    </w:tbl>
    <w:p>
      <w:pPr>
        <w:overflowPunct w:val="0"/>
        <w:autoSpaceDN w:val="0"/>
        <w:spacing w:line="580" w:lineRule="exact"/>
        <w:ind w:firstLine="420" w:firstLineChars="200"/>
        <w:rPr>
          <w:rFonts w:ascii="黑体" w:hAnsi="黑体" w:eastAsia="黑体"/>
        </w:rPr>
      </w:pPr>
      <w:r>
        <w:rPr>
          <w:rFonts w:hint="eastAsia" w:ascii="黑体" w:hAnsi="黑体" w:eastAsia="黑体"/>
        </w:rPr>
        <w:t>四、有关事项</w:t>
      </w:r>
    </w:p>
    <w:p>
      <w:pPr>
        <w:overflowPunct w:val="0"/>
        <w:autoSpaceDN w:val="0"/>
        <w:spacing w:line="580" w:lineRule="exact"/>
        <w:ind w:firstLine="420" w:firstLineChars="200"/>
      </w:pPr>
      <w:r>
        <w:rPr>
          <w:rFonts w:hint="eastAsia"/>
        </w:rPr>
        <w:t>（一）本次更新的基准地价是指在评估估价期日2018年1月1日的区域各土地级别内商服、住宅、工业仓储、公共管理与公共服务用地在设定平均土地开发程度和平均容积率下，法定最高出让年期国有土地使用权的平均价格。土地使用年限为各类用地法定最高出让年期，即商业用地40年、住宅用地70年、工业仓储用地50年、公共管理与公共服务用地50年。</w:t>
      </w:r>
    </w:p>
    <w:p>
      <w:pPr>
        <w:overflowPunct w:val="0"/>
        <w:autoSpaceDN w:val="0"/>
        <w:spacing w:line="580" w:lineRule="exact"/>
        <w:ind w:firstLine="420" w:firstLineChars="200"/>
      </w:pPr>
      <w:r>
        <w:rPr>
          <w:rFonts w:hint="eastAsia"/>
        </w:rPr>
        <w:t>（二）本次基准地价标准为县城区土地使用权出让、转让、出租、抵押、作价出资（入股）、收购储备以及政府管理和调控地价提供指导依据。</w:t>
      </w:r>
    </w:p>
    <w:p>
      <w:pPr>
        <w:overflowPunct w:val="0"/>
        <w:autoSpaceDN w:val="0"/>
        <w:spacing w:line="580" w:lineRule="exact"/>
        <w:ind w:firstLine="420" w:firstLineChars="200"/>
      </w:pPr>
      <w:r>
        <w:rPr>
          <w:rFonts w:hint="eastAsia"/>
        </w:rPr>
        <w:t>（三）该基准地价标准执行后，县城规划区内的职工所购公有住房上市交易补办土地出让手续的，仍按《安徽省职工所购公有住房上市交易管理暂行办法》(皖政〔1997〕21号)执行。原划拨土地使用权转让或申请办理协议出让，住宅用地按基准地价的70%补交土地出让金，出让年限70年；商业（含商住）、工业仓储、公共管理与公共服务用地补交土地出让金按国土资源部《协议出让国有土地使用权规范》执行，出让年限为:商业40年、商住50年、工业50年、公共管理与公共服务用地50年。</w:t>
      </w:r>
    </w:p>
    <w:p>
      <w:pPr>
        <w:overflowPunct w:val="0"/>
        <w:autoSpaceDN w:val="0"/>
        <w:spacing w:line="580" w:lineRule="exact"/>
        <w:ind w:firstLine="420" w:firstLineChars="200"/>
      </w:pPr>
      <w:r>
        <w:rPr>
          <w:rFonts w:hint="eastAsia"/>
        </w:rPr>
        <w:t>（四）该基准地价公布以后，将根据上级自然资源主管部门规定及具体情况，每隔2-3年进行一次更新。更新成果由有关部门组织听证，申请省自然资源厅验收通过，经县人民政府同意后公布实施。</w:t>
      </w:r>
    </w:p>
    <w:p>
      <w:pPr>
        <w:rPr>
          <w:rFonts w:hint="eastAsia"/>
        </w:rPr>
      </w:pPr>
      <w:r>
        <w:rPr>
          <w:rFonts w:hint="eastAsia"/>
        </w:rPr>
        <w:t>（五）基准地价应用问题由县国土资源局负责解释。</w:t>
      </w:r>
    </w:p>
    <w:p>
      <w:pPr>
        <w:rPr>
          <w:rFonts w:hint="eastAsia"/>
        </w:rPr>
      </w:pPr>
    </w:p>
    <w:p>
      <w:pPr>
        <w:rPr>
          <w:rFonts w:hint="eastAsia"/>
        </w:rPr>
      </w:pPr>
    </w:p>
    <w:p>
      <w:pPr>
        <w:rPr>
          <w:rFonts w:hint="eastAsia"/>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青阳县人民政府办公室关于加快推进农村产权交易市场建设的实施意见</w:t>
      </w:r>
    </w:p>
    <w:p>
      <w:pPr>
        <w:spacing w:line="620" w:lineRule="exact"/>
        <w:rPr>
          <w:rFonts w:hAnsi="仿宋"/>
        </w:rPr>
      </w:pPr>
      <w:r>
        <w:rPr>
          <w:rFonts w:hint="eastAsia" w:hAnsi="仿宋"/>
        </w:rPr>
        <w:t>各乡镇人民政府，县经济开发区管委会，县政府有关部门、有关直属机构：</w:t>
      </w:r>
    </w:p>
    <w:p>
      <w:pPr>
        <w:spacing w:line="620" w:lineRule="exact"/>
        <w:ind w:firstLine="420" w:firstLineChars="200"/>
        <w:rPr>
          <w:rFonts w:hAnsi="仿宋"/>
        </w:rPr>
      </w:pPr>
      <w:r>
        <w:rPr>
          <w:rFonts w:hint="eastAsia" w:hAnsi="仿宋"/>
        </w:rPr>
        <w:t>为贯彻落实《安徽省人民政府办公厅关于推进农村产权流转交易市场建设的实施意见》（皖政办〔</w:t>
      </w:r>
      <w:r>
        <w:rPr>
          <w:rFonts w:hAnsi="仿宋"/>
        </w:rPr>
        <w:t>2015</w:t>
      </w:r>
      <w:r>
        <w:rPr>
          <w:rFonts w:hint="eastAsia" w:hAnsi="仿宋"/>
        </w:rPr>
        <w:t>〕</w:t>
      </w:r>
      <w:r>
        <w:rPr>
          <w:rFonts w:hAnsi="仿宋"/>
        </w:rPr>
        <w:t>21</w:t>
      </w:r>
      <w:r>
        <w:rPr>
          <w:rFonts w:hint="eastAsia" w:hAnsi="仿宋"/>
        </w:rPr>
        <w:t>号）和《池州市人民政府办公室关于推进农村产权流转交易市场建设的指导意见》（池政办〔</w:t>
      </w:r>
      <w:r>
        <w:rPr>
          <w:rFonts w:hAnsi="仿宋"/>
        </w:rPr>
        <w:t>2016</w:t>
      </w:r>
      <w:r>
        <w:rPr>
          <w:rFonts w:hint="eastAsia" w:hAnsi="仿宋"/>
        </w:rPr>
        <w:t>〕</w:t>
      </w:r>
      <w:r>
        <w:rPr>
          <w:rFonts w:hAnsi="仿宋"/>
        </w:rPr>
        <w:t>2</w:t>
      </w:r>
      <w:r>
        <w:rPr>
          <w:rFonts w:hint="eastAsia" w:hAnsi="仿宋"/>
        </w:rPr>
        <w:t>号）精神，推进全县农村产权交易市场建设，规范农村产权交易行为，经县政府同意，提出如下实施意见。</w:t>
      </w:r>
    </w:p>
    <w:p>
      <w:pPr>
        <w:spacing w:line="620" w:lineRule="exact"/>
        <w:ind w:firstLine="420" w:firstLineChars="200"/>
        <w:rPr>
          <w:rFonts w:ascii="黑体" w:eastAsia="黑体"/>
        </w:rPr>
      </w:pPr>
      <w:r>
        <w:rPr>
          <w:rFonts w:hint="eastAsia" w:ascii="黑体" w:hAnsi="宋体" w:eastAsia="黑体"/>
        </w:rPr>
        <w:t>一、总体要求</w:t>
      </w:r>
    </w:p>
    <w:p>
      <w:pPr>
        <w:spacing w:line="620" w:lineRule="exact"/>
        <w:ind w:firstLine="420" w:firstLineChars="200"/>
        <w:rPr>
          <w:rFonts w:hAnsi="仿宋"/>
        </w:rPr>
      </w:pPr>
      <w:r>
        <w:rPr>
          <w:rFonts w:hint="eastAsia" w:hAnsi="仿宋"/>
        </w:rPr>
        <w:t>以坚持和完善农村基本经营制度为前提，以保障农民和农村集体经济组织的财产权益为根本，以规范交易行为和完善服务功能为重点，稳步推进农村产权交易市场建设，逐步建成覆盖县乡、功能齐全、规范有序的农村产权交易市场和信息服务网络体系，实现农村产权交易的公开、公正、规范运行。</w:t>
      </w:r>
    </w:p>
    <w:p>
      <w:pPr>
        <w:spacing w:line="620" w:lineRule="exact"/>
        <w:ind w:firstLine="420" w:firstLineChars="200"/>
        <w:rPr>
          <w:rFonts w:ascii="黑体" w:hAnsi="宋体" w:eastAsia="黑体"/>
        </w:rPr>
      </w:pPr>
      <w:r>
        <w:rPr>
          <w:rFonts w:hint="eastAsia" w:ascii="黑体" w:hAnsi="宋体" w:eastAsia="黑体"/>
        </w:rPr>
        <w:t>二、工作任务</w:t>
      </w:r>
    </w:p>
    <w:p>
      <w:pPr>
        <w:spacing w:line="620" w:lineRule="exact"/>
        <w:ind w:firstLine="422" w:firstLineChars="200"/>
        <w:rPr>
          <w:rFonts w:hAnsi="仿宋"/>
        </w:rPr>
      </w:pPr>
      <w:r>
        <w:rPr>
          <w:rFonts w:hint="eastAsia" w:ascii="楷体_GB2312" w:hAnsi="仿宋" w:eastAsia="楷体_GB2312"/>
          <w:b/>
        </w:rPr>
        <w:t>（一）建立服务体系。</w:t>
      </w:r>
      <w:r>
        <w:rPr>
          <w:rFonts w:hint="eastAsia" w:hAnsi="仿宋"/>
        </w:rPr>
        <w:t>农村产权交易市场是为各类农村产权依法交易提供服务的平台，是政府主导、服务“三农”的公益性、非盈利性的服务机构，以服务农户、家庭农场、农民合作社、农村集体经济组织为主。按照“统筹规划、合理布局”的原则，依托公共资源交易体系，在县公共资源交易中心挂牌“青阳县农村产权交易中心”，统一开展农村产权的交易服务。各乡镇要依托为民服务中心等相关机构，按照有场所、有制度、有人员、有手段的“四有”要求，明确办事窗口和人员；优化服务功能，在村党群服务中心明确村级联络员。</w:t>
      </w:r>
    </w:p>
    <w:p>
      <w:pPr>
        <w:spacing w:line="620" w:lineRule="exact"/>
        <w:ind w:firstLine="422" w:firstLineChars="200"/>
        <w:rPr>
          <w:rFonts w:hAnsi="仿宋"/>
        </w:rPr>
      </w:pPr>
      <w:r>
        <w:rPr>
          <w:rFonts w:hint="eastAsia" w:ascii="楷体_GB2312" w:hAnsi="仿宋" w:eastAsia="楷体_GB2312"/>
          <w:b/>
        </w:rPr>
        <w:t>（二）完善服务功能。</w:t>
      </w:r>
      <w:r>
        <w:rPr>
          <w:rFonts w:hint="eastAsia" w:hAnsi="仿宋"/>
        </w:rPr>
        <w:t>县农村产权交易中心主要提供发布交易信息、受理交易咨询和申请、组织交易及协助产权查询和资金结算等基本服务，有条件的可引入财会、法律、评估等中介服务组织以及银行、保险、担保等机构，开展资产评估、法律服务、产权经纪、项目推介、抵押融资、处置变现等配套服务。乡镇农村产权交易服务站主要提供产权交易的信息收集、初审排查、政策宣传、经营监督、代理服务等基础服务。村级联络员主要承担产权交易的信息采集上报、现场勘察、联系农户等配合工作。</w:t>
      </w:r>
    </w:p>
    <w:p>
      <w:pPr>
        <w:spacing w:line="620" w:lineRule="exact"/>
        <w:ind w:firstLine="422" w:firstLineChars="200"/>
        <w:rPr>
          <w:rFonts w:hAnsi="仿宋"/>
        </w:rPr>
      </w:pPr>
      <w:r>
        <w:rPr>
          <w:rFonts w:hint="eastAsia" w:ascii="楷体_GB2312" w:hAnsi="仿宋" w:eastAsia="楷体_GB2312"/>
          <w:b/>
        </w:rPr>
        <w:t>（三）明确交易品种。</w:t>
      </w:r>
      <w:r>
        <w:rPr>
          <w:rFonts w:hint="eastAsia" w:hAnsi="仿宋"/>
        </w:rPr>
        <w:t>原则上，法律没有限制的品种均可以入市流转交易。现阶段交易品种主要包括：农户委托村组集体经济组织流转的承包土地经营权和林权、村组集体经济组织拥有的林权、“四荒”（即农村集体所有的荒山、荒沟、荒丘、荒滩）使用权、小型水利设施使用权、</w:t>
      </w:r>
      <w:r>
        <w:rPr>
          <w:rFonts w:hAnsi="仿宋"/>
        </w:rPr>
        <w:t>50</w:t>
      </w:r>
      <w:r>
        <w:rPr>
          <w:rFonts w:hint="eastAsia" w:hAnsi="仿宋"/>
        </w:rPr>
        <w:t>万元以上的集体资产（不包括土地）处置等。鼓励和引导农户、农民合作社、涉农企业等拥有的产权入市交易，任何组织和个人不得强迫或妨碍其自主交易。</w:t>
      </w:r>
    </w:p>
    <w:p>
      <w:pPr>
        <w:spacing w:line="620" w:lineRule="exact"/>
        <w:ind w:firstLine="420" w:firstLineChars="200"/>
        <w:rPr>
          <w:rFonts w:ascii="黑体" w:hAnsi="宋体" w:eastAsia="黑体"/>
        </w:rPr>
      </w:pPr>
      <w:r>
        <w:rPr>
          <w:rFonts w:hint="eastAsia" w:ascii="黑体" w:hAnsi="宋体" w:eastAsia="黑体"/>
        </w:rPr>
        <w:t>三、加强管理</w:t>
      </w:r>
    </w:p>
    <w:p>
      <w:pPr>
        <w:spacing w:line="620" w:lineRule="exact"/>
        <w:ind w:firstLine="422" w:firstLineChars="200"/>
        <w:rPr>
          <w:rFonts w:hAnsi="仿宋"/>
        </w:rPr>
      </w:pPr>
      <w:r>
        <w:rPr>
          <w:rFonts w:hint="eastAsia" w:ascii="楷体_GB2312" w:hAnsi="仿宋" w:eastAsia="楷体_GB2312"/>
          <w:b/>
        </w:rPr>
        <w:t>（一）规范交易主体。</w:t>
      </w:r>
      <w:r>
        <w:rPr>
          <w:rFonts w:hint="eastAsia" w:hAnsi="仿宋"/>
        </w:rPr>
        <w:t>法律、法规和政策没有限制的法人、自然人，均可进入市场参与交易。具体准入条件按照相关法律、法规和政策执行。现阶段，市场流转交易主体主要有农户、农民合作社、农村集体经济组织、涉农企业和其他投资者。农村产权交易中心要依法对各类市场主体进行审查核实、登记备案。产权交易的出让方必须是产权权利人，或者受产权权利人委托的受托人。除农户宅基地使用权、农民住房财产权、农户持有的集体资产股权之外，交易的受让方原则上没有资格限制（外资企业和境外投资者按照有关法律、法规执行）。对工商企业进入市场交易，要依据相关法律、法规和政策，加强监管和风险防范。</w:t>
      </w:r>
    </w:p>
    <w:p>
      <w:pPr>
        <w:spacing w:line="620" w:lineRule="exact"/>
        <w:ind w:firstLine="422" w:firstLineChars="200"/>
        <w:rPr>
          <w:rFonts w:hAnsi="仿宋"/>
        </w:rPr>
      </w:pPr>
      <w:r>
        <w:rPr>
          <w:rFonts w:hint="eastAsia" w:ascii="楷体_GB2312" w:hAnsi="仿宋" w:eastAsia="楷体_GB2312"/>
          <w:b/>
        </w:rPr>
        <w:t>（二）建立管理制度。</w:t>
      </w:r>
      <w:r>
        <w:rPr>
          <w:rFonts w:hint="eastAsia" w:hAnsi="仿宋"/>
        </w:rPr>
        <w:t>强化制度建设，建立健全规范的交易规则和市场管理制度，对产权交易的发起、审查、发布、交易、鉴证、权属变更等各环节进行规范。建立统一规范的业务受理、信息发布、交易签约、交易中（终）止、交易（合同）鉴证、档案管理等制度，确保交易的产权无争议，发布信息真实、准确、完整，交易品种和方式符合法规政策，交易过程公开公正，交易服务方便农民群众。</w:t>
      </w:r>
    </w:p>
    <w:p>
      <w:pPr>
        <w:spacing w:line="620" w:lineRule="exact"/>
        <w:ind w:firstLine="422" w:firstLineChars="200"/>
        <w:rPr>
          <w:rFonts w:hAnsi="仿宋"/>
        </w:rPr>
      </w:pPr>
      <w:r>
        <w:rPr>
          <w:rFonts w:hint="eastAsia" w:ascii="楷体_GB2312" w:hAnsi="仿宋" w:eastAsia="楷体_GB2312"/>
          <w:b/>
        </w:rPr>
        <w:t>（三）加强监督管理。</w:t>
      </w:r>
      <w:r>
        <w:rPr>
          <w:rFonts w:hint="eastAsia" w:hAnsi="仿宋"/>
        </w:rPr>
        <w:t>成立青阳县农村产权流转交易监督委员会（名单附后），负责产权交易市场建设的组织领导、统筹协调和监督管理工作。各行业监管部门和市场主管部门要加强对交易市场运行情况进行定期检查和动态监测，建立健全农村产权市场风险防控与预警机制，防范交易风险，确保市场规范运行。要及时查处各类违法违规交易行为，保障交易公平。乡镇人民政府要切实履行农村集体产权进场交易的监管、指导等属地管理责任，确保应进市交易项目均要入市交易。</w:t>
      </w:r>
    </w:p>
    <w:p>
      <w:pPr>
        <w:spacing w:line="620" w:lineRule="exact"/>
        <w:ind w:firstLine="422" w:firstLineChars="200"/>
        <w:rPr>
          <w:rFonts w:hAnsi="仿宋"/>
        </w:rPr>
      </w:pPr>
      <w:r>
        <w:rPr>
          <w:rFonts w:hint="eastAsia" w:ascii="楷体_GB2312" w:hAnsi="仿宋" w:eastAsia="楷体_GB2312"/>
          <w:b/>
        </w:rPr>
        <w:t>（四）推进管理信息化。</w:t>
      </w:r>
      <w:r>
        <w:rPr>
          <w:rFonts w:hint="eastAsia" w:hAnsi="仿宋"/>
        </w:rPr>
        <w:t>县农村产权交易中心在抓好有形产权交易市场建设的同时，要积极采用互联网和新媒体技术，大力推进农村产权信息化管理和电子化交易，将农村产权交易与公共资源交易平台有序衔接和融合，实现政策查询、交易申请、信息发布、交易行为监管、监控查询等功能，推动产权交易的信息化管理，促进农村产权在更大范围交易。</w:t>
      </w:r>
    </w:p>
    <w:p>
      <w:pPr>
        <w:spacing w:line="620" w:lineRule="exact"/>
        <w:ind w:firstLine="420" w:firstLineChars="200"/>
        <w:rPr>
          <w:rFonts w:ascii="黑体" w:hAnsi="宋体" w:eastAsia="黑体"/>
        </w:rPr>
      </w:pPr>
      <w:r>
        <w:rPr>
          <w:rFonts w:hint="eastAsia" w:ascii="黑体" w:hAnsi="宋体" w:eastAsia="黑体"/>
        </w:rPr>
        <w:t>四、强化保障</w:t>
      </w:r>
    </w:p>
    <w:p>
      <w:pPr>
        <w:spacing w:line="620" w:lineRule="exact"/>
        <w:ind w:firstLine="422" w:firstLineChars="200"/>
        <w:rPr>
          <w:rFonts w:hAnsi="仿宋"/>
        </w:rPr>
      </w:pPr>
      <w:r>
        <w:rPr>
          <w:rFonts w:hint="eastAsia" w:ascii="楷体_GB2312" w:hAnsi="仿宋" w:eastAsia="楷体_GB2312"/>
          <w:b/>
        </w:rPr>
        <w:t>（一）明晰入市产权。</w:t>
      </w:r>
      <w:r>
        <w:rPr>
          <w:rFonts w:hint="eastAsia" w:hAnsi="仿宋"/>
        </w:rPr>
        <w:t>加快推进农村各类产权确权登记颁证工作，结合农村集体产权制度改革，稳步扎实推进土地承包经营权、集体“四荒”使用权、集体建设用地使用权、农户宅基地使用权、林权等确权登记颁证，以及农村其他资源性、经营性资产的权属确定和登记工作，为进场入市交易提供条件。</w:t>
      </w:r>
    </w:p>
    <w:p>
      <w:pPr>
        <w:spacing w:line="620" w:lineRule="exact"/>
        <w:ind w:firstLine="422" w:firstLineChars="200"/>
        <w:rPr>
          <w:rFonts w:hAnsi="仿宋"/>
        </w:rPr>
      </w:pPr>
      <w:r>
        <w:rPr>
          <w:rFonts w:hint="eastAsia" w:ascii="楷体_GB2312" w:hAnsi="仿宋" w:eastAsia="楷体_GB2312"/>
          <w:b/>
        </w:rPr>
        <w:t>（二）加强组织领导。</w:t>
      </w:r>
      <w:r>
        <w:rPr>
          <w:rFonts w:hint="eastAsia" w:hAnsi="仿宋"/>
        </w:rPr>
        <w:t>县直有关部门和乡镇要建立健全工作机制，明确目标任务和工作责任，推动农村产权流转交易。县公共资源交易中心要落实产权交易场所，确保交易市场正常运行。县农业、财政、国土资源、住房城乡建设、水务、林业、科技、金融、公共资源交易监管等部门要按照各自职责，密切配合，加强指导，合力推进农村产权交易市场建设。</w:t>
      </w:r>
    </w:p>
    <w:p>
      <w:pPr>
        <w:spacing w:line="620" w:lineRule="exact"/>
        <w:ind w:firstLine="422" w:firstLineChars="200"/>
        <w:rPr>
          <w:rFonts w:hAnsi="仿宋"/>
        </w:rPr>
      </w:pPr>
      <w:r>
        <w:rPr>
          <w:rFonts w:hint="eastAsia" w:ascii="楷体_GB2312" w:hAnsi="仿宋" w:eastAsia="楷体_GB2312"/>
          <w:b/>
        </w:rPr>
        <w:t>（三）加强宣传培训。</w:t>
      </w:r>
      <w:r>
        <w:rPr>
          <w:rFonts w:hint="eastAsia" w:hAnsi="仿宋"/>
        </w:rPr>
        <w:t>各乡镇要利用各种媒体媒介，加强农村产权制度改革和交易市场建设的政策宣传，让广大农民群众、基层干部了解、关心和支持农村产权交易市场建设，引导社会各界和农业经营主体、农村集体经济组织自觉入市交易，促进农村产权交易市场有效运转。县农业、林业、水务等主管部门要组织开展农村承包地、林地经营权流转和小型水利设施使用权交易的业务培训，提升服务水平；县公共资源交易管理部门要组织产权交易从业人员开展业务培训，积极培育市场中介服务组织，逐步提高专业化水平和服务效能。</w:t>
      </w:r>
    </w:p>
    <w:p>
      <w:pPr>
        <w:spacing w:line="620" w:lineRule="exact"/>
        <w:ind w:firstLine="420" w:firstLineChars="200"/>
        <w:rPr>
          <w:rFonts w:hAnsi="仿宋"/>
        </w:rPr>
      </w:pPr>
    </w:p>
    <w:p>
      <w:pPr>
        <w:spacing w:line="620" w:lineRule="exact"/>
        <w:ind w:firstLine="420" w:firstLineChars="200"/>
        <w:rPr>
          <w:rFonts w:hAnsi="仿宋"/>
        </w:rPr>
      </w:pPr>
      <w:r>
        <w:rPr>
          <w:rFonts w:hint="eastAsia" w:hAnsi="仿宋"/>
        </w:rPr>
        <w:t>附件：青阳县农村产权流转交易监督委员会成员名单</w:t>
      </w:r>
    </w:p>
    <w:p>
      <w:pPr>
        <w:spacing w:line="620" w:lineRule="exact"/>
        <w:ind w:firstLine="420" w:firstLineChars="200"/>
        <w:rPr>
          <w:rFonts w:hAnsi="仿宋"/>
        </w:rPr>
      </w:pPr>
    </w:p>
    <w:p>
      <w:pPr>
        <w:spacing w:line="620" w:lineRule="exact"/>
        <w:ind w:firstLine="420" w:firstLineChars="200"/>
        <w:rPr>
          <w:rFonts w:hAnsi="仿宋"/>
        </w:rPr>
      </w:pPr>
    </w:p>
    <w:p>
      <w:pPr>
        <w:wordWrap w:val="0"/>
        <w:spacing w:line="620" w:lineRule="exact"/>
        <w:jc w:val="right"/>
        <w:rPr>
          <w:rFonts w:hAnsi="仿宋"/>
        </w:rPr>
      </w:pPr>
      <w:r>
        <w:rPr>
          <w:rFonts w:hint="eastAsia" w:hAnsi="仿宋"/>
        </w:rPr>
        <w:t xml:space="preserve">青阳县人民政府办公室     </w:t>
      </w:r>
    </w:p>
    <w:p>
      <w:pPr>
        <w:wordWrap w:val="0"/>
        <w:spacing w:line="620" w:lineRule="exact"/>
        <w:jc w:val="right"/>
        <w:rPr>
          <w:rFonts w:hAnsi="仿宋"/>
        </w:rPr>
      </w:pPr>
      <w:r>
        <w:rPr>
          <w:rFonts w:hAnsi="仿宋"/>
        </w:rPr>
        <w:t>2019年</w:t>
      </w:r>
      <w:r>
        <w:rPr>
          <w:rFonts w:hint="eastAsia" w:hAnsi="仿宋"/>
        </w:rPr>
        <w:t>2</w:t>
      </w:r>
      <w:r>
        <w:rPr>
          <w:rFonts w:hAnsi="仿宋"/>
        </w:rPr>
        <w:t>月</w:t>
      </w:r>
      <w:r>
        <w:rPr>
          <w:rFonts w:hint="eastAsia" w:hAnsi="仿宋"/>
        </w:rPr>
        <w:t>3</w:t>
      </w:r>
      <w:r>
        <w:rPr>
          <w:rFonts w:hAnsi="仿宋"/>
        </w:rPr>
        <w:t>日</w:t>
      </w:r>
      <w:r>
        <w:rPr>
          <w:rFonts w:hint="eastAsia" w:hAnsi="仿宋"/>
        </w:rPr>
        <w:t xml:space="preserve">       </w:t>
      </w:r>
    </w:p>
    <w:p>
      <w:pPr>
        <w:widowControl/>
        <w:spacing w:line="580" w:lineRule="exact"/>
        <w:jc w:val="left"/>
        <w:rPr>
          <w:rFonts w:ascii="黑体" w:hAnsi="黑体" w:eastAsia="黑体"/>
        </w:rPr>
      </w:pPr>
      <w:r>
        <w:rPr>
          <w:rFonts w:hAnsi="仿宋"/>
        </w:rPr>
        <w:br w:type="page"/>
      </w:r>
      <w:r>
        <w:rPr>
          <w:rFonts w:hint="eastAsia" w:ascii="黑体" w:hAnsi="黑体" w:eastAsia="黑体"/>
        </w:rPr>
        <w:t>附件</w:t>
      </w:r>
    </w:p>
    <w:p>
      <w:pPr>
        <w:widowControl/>
        <w:spacing w:line="580" w:lineRule="exact"/>
        <w:jc w:val="center"/>
        <w:rPr>
          <w:rFonts w:ascii="方正小标宋简体" w:hAnsi="黑体" w:eastAsia="方正小标宋简体"/>
          <w:sz w:val="44"/>
          <w:szCs w:val="44"/>
        </w:rPr>
      </w:pPr>
      <w:r>
        <w:rPr>
          <w:rFonts w:hint="eastAsia" w:asciiTheme="minorEastAsia" w:hAnsiTheme="minorEastAsia" w:cstheme="minorEastAsia"/>
          <w:kern w:val="0"/>
          <w:sz w:val="28"/>
          <w:szCs w:val="28"/>
          <w:shd w:val="clear" w:color="auto" w:fill="FFFFFF"/>
          <w:lang w:eastAsia="zh-CN"/>
        </w:rPr>
        <w:t>青阳县农村产权流转交易监督委员会成员名单</w:t>
      </w:r>
    </w:p>
    <w:p>
      <w:pPr>
        <w:spacing w:line="580" w:lineRule="exact"/>
        <w:jc w:val="center"/>
        <w:rPr>
          <w:rFonts w:ascii="宋体"/>
          <w:sz w:val="36"/>
          <w:szCs w:val="36"/>
        </w:rPr>
      </w:pPr>
    </w:p>
    <w:p>
      <w:pPr>
        <w:spacing w:line="580" w:lineRule="exact"/>
        <w:ind w:firstLine="420" w:firstLineChars="200"/>
        <w:rPr>
          <w:rFonts w:hAnsi="宋体"/>
        </w:rPr>
      </w:pPr>
      <w:r>
        <w:rPr>
          <w:rFonts w:hint="eastAsia" w:ascii="黑体" w:hAnsi="黑体" w:eastAsia="黑体"/>
        </w:rPr>
        <w:t>主</w:t>
      </w:r>
      <w:r>
        <w:rPr>
          <w:rFonts w:ascii="黑体" w:hAnsi="黑体" w:eastAsia="黑体"/>
        </w:rPr>
        <w:t xml:space="preserve">  </w:t>
      </w:r>
      <w:r>
        <w:rPr>
          <w:rFonts w:hint="eastAsia" w:ascii="黑体" w:hAnsi="黑体" w:eastAsia="黑体"/>
        </w:rPr>
        <w:t>任：</w:t>
      </w:r>
      <w:r>
        <w:rPr>
          <w:rFonts w:hint="eastAsia" w:hAnsi="宋体"/>
        </w:rPr>
        <w:t>朱凤英</w:t>
      </w:r>
    </w:p>
    <w:p>
      <w:pPr>
        <w:spacing w:line="580" w:lineRule="exact"/>
        <w:ind w:firstLine="420" w:firstLineChars="200"/>
        <w:rPr>
          <w:rFonts w:hAnsi="宋体"/>
          <w:b/>
        </w:rPr>
      </w:pPr>
      <w:r>
        <w:rPr>
          <w:rFonts w:hint="eastAsia" w:ascii="黑体" w:hAnsi="黑体" w:eastAsia="黑体"/>
        </w:rPr>
        <w:t>副主任：</w:t>
      </w:r>
      <w:r>
        <w:rPr>
          <w:rFonts w:hint="eastAsia" w:hAnsi="宋体"/>
        </w:rPr>
        <w:t>叶书全  县农委主任</w:t>
      </w:r>
    </w:p>
    <w:p>
      <w:pPr>
        <w:spacing w:line="580" w:lineRule="exact"/>
        <w:ind w:firstLine="1260" w:firstLineChars="600"/>
        <w:rPr>
          <w:rFonts w:hAnsi="宋体"/>
        </w:rPr>
      </w:pPr>
      <w:r>
        <w:rPr>
          <w:rFonts w:hint="eastAsia" w:hAnsi="宋体"/>
        </w:rPr>
        <w:t>吴新东  县公管局局长</w:t>
      </w:r>
    </w:p>
    <w:p>
      <w:pPr>
        <w:spacing w:line="580" w:lineRule="exact"/>
        <w:ind w:firstLine="420" w:firstLineChars="200"/>
        <w:rPr>
          <w:rFonts w:ascii="黑体" w:hAnsi="黑体" w:eastAsia="黑体"/>
        </w:rPr>
      </w:pPr>
      <w:r>
        <w:rPr>
          <w:rFonts w:hint="eastAsia" w:ascii="黑体" w:hAnsi="黑体" w:eastAsia="黑体"/>
        </w:rPr>
        <w:t>委</w:t>
      </w:r>
      <w:r>
        <w:rPr>
          <w:rFonts w:ascii="黑体" w:hAnsi="黑体" w:eastAsia="黑体"/>
        </w:rPr>
        <w:t xml:space="preserve">  </w:t>
      </w:r>
      <w:r>
        <w:rPr>
          <w:rFonts w:hint="eastAsia" w:ascii="黑体" w:hAnsi="黑体" w:eastAsia="黑体"/>
        </w:rPr>
        <w:t>员：</w:t>
      </w:r>
      <w:r>
        <w:rPr>
          <w:rFonts w:hint="eastAsia" w:hAnsi="宋体"/>
        </w:rPr>
        <w:t>伍</w:t>
      </w:r>
      <w:r>
        <w:rPr>
          <w:rFonts w:hAnsi="宋体"/>
        </w:rPr>
        <w:t xml:space="preserve">  </w:t>
      </w:r>
      <w:r>
        <w:rPr>
          <w:rFonts w:hint="eastAsia" w:hAnsi="宋体"/>
        </w:rPr>
        <w:t>萍  县教育局副局长</w:t>
      </w:r>
    </w:p>
    <w:p>
      <w:pPr>
        <w:spacing w:line="580" w:lineRule="exact"/>
        <w:ind w:firstLine="1260" w:firstLineChars="600"/>
        <w:rPr>
          <w:rFonts w:hAnsi="宋体"/>
        </w:rPr>
      </w:pPr>
      <w:r>
        <w:rPr>
          <w:rFonts w:hint="eastAsia" w:hAnsi="宋体"/>
        </w:rPr>
        <w:t>赵建国  县科技局副局长</w:t>
      </w:r>
    </w:p>
    <w:p>
      <w:pPr>
        <w:spacing w:line="580" w:lineRule="exact"/>
        <w:ind w:firstLine="1260" w:firstLineChars="600"/>
        <w:rPr>
          <w:rFonts w:hAnsi="宋体"/>
        </w:rPr>
      </w:pPr>
      <w:r>
        <w:rPr>
          <w:rFonts w:hint="eastAsia" w:hAnsi="宋体"/>
        </w:rPr>
        <w:t>丁学军  县财政局副局长</w:t>
      </w:r>
    </w:p>
    <w:p>
      <w:pPr>
        <w:spacing w:line="580" w:lineRule="exact"/>
        <w:ind w:firstLine="1260" w:firstLineChars="600"/>
        <w:rPr>
          <w:rFonts w:hAnsi="宋体"/>
        </w:rPr>
      </w:pPr>
      <w:r>
        <w:rPr>
          <w:rFonts w:hint="eastAsia" w:hAnsi="宋体"/>
        </w:rPr>
        <w:t>徐科贝  县国土资源局副局长</w:t>
      </w:r>
    </w:p>
    <w:p>
      <w:pPr>
        <w:spacing w:line="580" w:lineRule="exact"/>
        <w:ind w:firstLine="1260" w:firstLineChars="600"/>
        <w:rPr>
          <w:rFonts w:hAnsi="宋体"/>
        </w:rPr>
      </w:pPr>
      <w:r>
        <w:rPr>
          <w:rFonts w:hint="eastAsia" w:hAnsi="宋体"/>
        </w:rPr>
        <w:t>宁大寒  县农委副主任</w:t>
      </w:r>
    </w:p>
    <w:p>
      <w:pPr>
        <w:spacing w:line="580" w:lineRule="exact"/>
        <w:ind w:firstLine="1260" w:firstLineChars="600"/>
        <w:rPr>
          <w:rFonts w:hAnsi="宋体"/>
        </w:rPr>
      </w:pPr>
      <w:r>
        <w:rPr>
          <w:rFonts w:hint="eastAsia" w:hAnsi="宋体"/>
        </w:rPr>
        <w:t>宁光华  县水务局副局长</w:t>
      </w:r>
    </w:p>
    <w:p>
      <w:pPr>
        <w:spacing w:line="580" w:lineRule="exact"/>
        <w:ind w:firstLine="1260" w:firstLineChars="600"/>
        <w:rPr>
          <w:rFonts w:hAnsi="宋体"/>
        </w:rPr>
      </w:pPr>
      <w:r>
        <w:rPr>
          <w:rFonts w:hint="eastAsia" w:hAnsi="宋体"/>
        </w:rPr>
        <w:t>钱方启  县林业局副局长</w:t>
      </w:r>
    </w:p>
    <w:p>
      <w:pPr>
        <w:spacing w:line="580" w:lineRule="exact"/>
        <w:ind w:firstLine="1260" w:firstLineChars="600"/>
        <w:rPr>
          <w:rFonts w:hAnsi="宋体"/>
        </w:rPr>
      </w:pPr>
      <w:r>
        <w:rPr>
          <w:rFonts w:hint="eastAsia" w:hAnsi="宋体"/>
        </w:rPr>
        <w:t>佘世平  县卫计委副主任</w:t>
      </w:r>
    </w:p>
    <w:p>
      <w:pPr>
        <w:spacing w:line="580" w:lineRule="exact"/>
        <w:ind w:firstLine="1260" w:firstLineChars="600"/>
        <w:rPr>
          <w:rFonts w:hAnsi="宋体"/>
        </w:rPr>
      </w:pPr>
      <w:r>
        <w:rPr>
          <w:rFonts w:hint="eastAsia" w:hAnsi="宋体"/>
        </w:rPr>
        <w:t>刘广友  县公管局副局长</w:t>
      </w:r>
    </w:p>
    <w:p>
      <w:pPr>
        <w:spacing w:line="580" w:lineRule="exact"/>
        <w:ind w:firstLine="1260" w:firstLineChars="600"/>
        <w:rPr>
          <w:rFonts w:hAnsi="宋体"/>
        </w:rPr>
      </w:pPr>
      <w:r>
        <w:rPr>
          <w:rFonts w:hint="eastAsia" w:hAnsi="宋体"/>
        </w:rPr>
        <w:t>张红卫  县公共资源交易中心主任</w:t>
      </w:r>
    </w:p>
    <w:p>
      <w:pPr>
        <w:spacing w:line="580" w:lineRule="exact"/>
        <w:ind w:firstLine="420" w:firstLineChars="200"/>
        <w:rPr>
          <w:rFonts w:hint="eastAsia" w:hAnsi="宋体"/>
        </w:rPr>
      </w:pPr>
      <w:r>
        <w:rPr>
          <w:rFonts w:hint="eastAsia" w:hAnsi="宋体"/>
        </w:rPr>
        <w:t>县农村产权交易监督委员会办公室设在县公管局，张红卫同志兼任办公室主任</w:t>
      </w:r>
    </w:p>
    <w:p>
      <w:pPr>
        <w:spacing w:line="580" w:lineRule="exact"/>
        <w:ind w:firstLine="420" w:firstLineChars="200"/>
        <w:rPr>
          <w:rFonts w:hint="eastAsia" w:hAnsi="宋体"/>
        </w:rPr>
      </w:pPr>
    </w:p>
    <w:p>
      <w:pPr>
        <w:spacing w:line="580" w:lineRule="exact"/>
        <w:ind w:firstLine="420" w:firstLineChars="200"/>
        <w:rPr>
          <w:rFonts w:hint="eastAsia" w:hAnsi="宋体"/>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青阳县人民政府办公室关于印发青阳县农业信贷担保“劝耕贷”工作实施方案的通知</w:t>
      </w:r>
    </w:p>
    <w:p>
      <w:pPr>
        <w:spacing w:line="580" w:lineRule="exact"/>
        <w:ind w:firstLine="420" w:firstLineChars="200"/>
        <w:rPr>
          <w:rFonts w:hAnsi="仿宋_GB2312" w:cs="仿宋_GB2312"/>
          <w:bCs/>
        </w:rPr>
      </w:pPr>
      <w:r>
        <w:rPr>
          <w:rFonts w:hint="eastAsia" w:hAnsi="仿宋_GB2312" w:cs="仿宋_GB2312"/>
        </w:rPr>
        <w:t>为</w:t>
      </w:r>
      <w:r>
        <w:rPr>
          <w:rFonts w:hint="eastAsia" w:hAnsi="仿宋_GB2312" w:cs="仿宋_GB2312"/>
          <w:bCs/>
        </w:rPr>
        <w:t>全面推进安徽省农业信贷融资担保有限公司（以下简称省农担公司）构建的“资源联合开发、信贷集合加工、风险共同管理、责任比例分担”的农业信贷担保“劝耕贷”工作，支持新型农业经营主体发展，加快培育农业农村发展新动能，根据《加快全省农业信贷融资担保体系建设实施方案》（财农</w:t>
      </w:r>
      <w:r>
        <w:rPr>
          <w:rFonts w:hint="eastAsia" w:hAnsi="Arial" w:cs="Arial"/>
          <w:color w:val="333333"/>
          <w:shd w:val="clear" w:color="auto" w:fill="FFFFFF"/>
        </w:rPr>
        <w:t>〔2018〕</w:t>
      </w:r>
      <w:r>
        <w:rPr>
          <w:rFonts w:hint="eastAsia" w:hAnsi="仿宋_GB2312" w:cs="仿宋_GB2312"/>
          <w:bCs/>
        </w:rPr>
        <w:t>728号）文件精神，结合我县实际，制定本实施方案。</w:t>
      </w:r>
    </w:p>
    <w:p>
      <w:pPr>
        <w:spacing w:line="580" w:lineRule="exact"/>
        <w:ind w:firstLine="420" w:firstLineChars="200"/>
        <w:rPr>
          <w:rFonts w:hAnsi="仿宋_GB2312" w:cs="仿宋_GB2312"/>
          <w:bCs/>
        </w:rPr>
      </w:pPr>
      <w:r>
        <w:rPr>
          <w:rFonts w:hint="eastAsia" w:ascii="黑体" w:hAnsi="黑体" w:eastAsia="黑体" w:cs="黑体"/>
        </w:rPr>
        <w:t>一、目标任务</w:t>
      </w:r>
      <w:r>
        <w:rPr>
          <w:rFonts w:hAnsi="仿宋_GB2312" w:cs="仿宋_GB2312"/>
          <w:bCs/>
        </w:rPr>
        <w:t xml:space="preserve">  </w:t>
      </w:r>
    </w:p>
    <w:p>
      <w:pPr>
        <w:spacing w:line="580" w:lineRule="exact"/>
        <w:ind w:firstLine="420" w:firstLineChars="200"/>
        <w:rPr>
          <w:rFonts w:hAnsi="仿宋_GB2312" w:cs="仿宋_GB2312"/>
          <w:bCs/>
        </w:rPr>
      </w:pPr>
      <w:r>
        <w:rPr>
          <w:rFonts w:hint="eastAsia" w:hAnsi="仿宋_GB2312" w:cs="仿宋_GB2312"/>
          <w:bCs/>
        </w:rPr>
        <w:t>全县涉农金融机构全面开展“劝耕贷”业务，全县“劝耕贷”业务乡镇覆盖率达到</w:t>
      </w:r>
      <w:r>
        <w:rPr>
          <w:rFonts w:hAnsi="仿宋_GB2312" w:cs="仿宋_GB2312"/>
          <w:bCs/>
        </w:rPr>
        <w:t>100%</w:t>
      </w:r>
      <w:r>
        <w:rPr>
          <w:rFonts w:hint="eastAsia" w:hAnsi="仿宋_GB2312" w:cs="仿宋_GB2312"/>
          <w:bCs/>
        </w:rPr>
        <w:t>，全县新型农业经营主体受益率（全县新型农业经营主体“劝耕贷”贷款户</w:t>
      </w:r>
      <w:r>
        <w:rPr>
          <w:rFonts w:hAnsi="仿宋_GB2312" w:cs="仿宋_GB2312"/>
          <w:bCs/>
        </w:rPr>
        <w:t>/</w:t>
      </w:r>
      <w:r>
        <w:rPr>
          <w:rFonts w:hint="eastAsia" w:hAnsi="仿宋_GB2312" w:cs="仿宋_GB2312"/>
          <w:bCs/>
        </w:rPr>
        <w:t>全县新型农业经营主体总数）达到</w:t>
      </w:r>
      <w:r>
        <w:rPr>
          <w:rFonts w:hAnsi="仿宋_GB2312" w:cs="仿宋_GB2312"/>
          <w:bCs/>
        </w:rPr>
        <w:t>60%</w:t>
      </w:r>
      <w:r>
        <w:rPr>
          <w:rFonts w:hint="eastAsia" w:hAnsi="仿宋_GB2312" w:cs="仿宋_GB2312"/>
          <w:bCs/>
        </w:rPr>
        <w:t>。</w:t>
      </w:r>
    </w:p>
    <w:p>
      <w:pPr>
        <w:spacing w:line="580" w:lineRule="exact"/>
        <w:ind w:firstLine="420" w:firstLineChars="200"/>
        <w:rPr>
          <w:rFonts w:hAnsi="仿宋_GB2312" w:cs="仿宋_GB2312"/>
          <w:b/>
        </w:rPr>
      </w:pPr>
      <w:r>
        <w:rPr>
          <w:rFonts w:hint="eastAsia" w:ascii="黑体" w:hAnsi="黑体" w:eastAsia="黑体" w:cs="黑体"/>
        </w:rPr>
        <w:t>二、主要内容</w:t>
      </w:r>
    </w:p>
    <w:p>
      <w:pPr>
        <w:spacing w:line="580" w:lineRule="exact"/>
        <w:ind w:firstLine="422" w:firstLineChars="200"/>
        <w:rPr>
          <w:rFonts w:hAnsi="仿宋_GB2312" w:cs="仿宋_GB2312"/>
          <w:b/>
        </w:rPr>
      </w:pPr>
      <w:r>
        <w:rPr>
          <w:rFonts w:hint="eastAsia" w:ascii="楷体_GB2312" w:hAnsi="楷体_GB2312" w:eastAsia="楷体_GB2312" w:cs="楷体_GB2312"/>
          <w:b/>
        </w:rPr>
        <w:t>（一）“劝耕贷”业务内容。</w:t>
      </w:r>
    </w:p>
    <w:p>
      <w:pPr>
        <w:spacing w:line="580" w:lineRule="exact"/>
        <w:ind w:firstLine="422" w:firstLineChars="200"/>
        <w:rPr>
          <w:rFonts w:hAnsi="仿宋_GB2312" w:cs="仿宋_GB2312"/>
          <w:bCs/>
        </w:rPr>
      </w:pPr>
      <w:r>
        <w:rPr>
          <w:rFonts w:hAnsi="仿宋_GB2312" w:cs="仿宋_GB2312"/>
          <w:b/>
        </w:rPr>
        <w:t>1.</w:t>
      </w:r>
      <w:r>
        <w:rPr>
          <w:rFonts w:hint="eastAsia" w:hAnsi="仿宋_GB2312" w:cs="仿宋_GB2312"/>
          <w:b/>
        </w:rPr>
        <w:t>贷款对象。</w:t>
      </w:r>
      <w:r>
        <w:rPr>
          <w:rFonts w:hint="eastAsia" w:hAnsi="仿宋_GB2312" w:cs="仿宋_GB2312"/>
          <w:bCs/>
        </w:rPr>
        <w:t>“劝耕贷”重点扶持在我县从事农业生产经营的家庭农场、种养大户、农民专业合作社、农业社会化服务组织、小微农业企业等农业适度规模经营主体，扶持主体应具有完全民事行为能力，有良好信用记录，有还款能力，有适度的生产经营规模，有一定的农业生产技术水平，生产经营正常。</w:t>
      </w:r>
    </w:p>
    <w:p>
      <w:pPr>
        <w:spacing w:line="580" w:lineRule="exact"/>
        <w:ind w:firstLine="422" w:firstLineChars="200"/>
        <w:rPr>
          <w:rFonts w:hAnsi="仿宋_GB2312" w:cs="仿宋_GB2312"/>
          <w:bCs/>
        </w:rPr>
      </w:pPr>
      <w:r>
        <w:rPr>
          <w:rFonts w:hAnsi="仿宋_GB2312" w:cs="仿宋_GB2312"/>
          <w:b/>
        </w:rPr>
        <w:t>2.</w:t>
      </w:r>
      <w:r>
        <w:rPr>
          <w:rFonts w:hint="eastAsia" w:hAnsi="仿宋_GB2312" w:cs="仿宋_GB2312"/>
          <w:b/>
        </w:rPr>
        <w:t>贷款范围。</w:t>
      </w:r>
      <w:r>
        <w:rPr>
          <w:rFonts w:hint="eastAsia" w:hAnsi="仿宋_GB2312" w:cs="仿宋_GB2312"/>
        </w:rPr>
        <w:t>粮食生产、畜牧水产养殖、</w:t>
      </w:r>
      <w:r>
        <w:rPr>
          <w:rFonts w:hint="eastAsia"/>
        </w:rPr>
        <w:t>九华黄精、茶叶、蔬菜、中药材、经果林</w:t>
      </w:r>
      <w:r>
        <w:rPr>
          <w:rFonts w:hint="eastAsia" w:hAnsi="仿宋_GB2312" w:cs="仿宋_GB2312"/>
        </w:rPr>
        <w:t>等农林优势特色产业；农资、农机、农技等农业社会化服务，农田基础设施建设；以及与农业生产直接相关的一二三产业融合发展项目，家庭休闲农业、观光农业等农村新业态。</w:t>
      </w:r>
    </w:p>
    <w:p>
      <w:pPr>
        <w:spacing w:line="580" w:lineRule="exact"/>
        <w:ind w:firstLine="422" w:firstLineChars="200"/>
        <w:rPr>
          <w:rFonts w:hAnsi="仿宋_GB2312" w:cs="仿宋_GB2312"/>
          <w:bCs/>
        </w:rPr>
      </w:pPr>
      <w:r>
        <w:rPr>
          <w:rFonts w:hAnsi="仿宋_GB2312" w:cs="仿宋_GB2312"/>
          <w:b/>
        </w:rPr>
        <w:t>3.</w:t>
      </w:r>
      <w:r>
        <w:rPr>
          <w:rFonts w:hint="eastAsia" w:hAnsi="仿宋_GB2312" w:cs="仿宋_GB2312"/>
          <w:b/>
        </w:rPr>
        <w:t>贷款额度。</w:t>
      </w:r>
      <w:r>
        <w:rPr>
          <w:rFonts w:hint="eastAsia" w:hAnsi="仿宋_GB2312" w:cs="仿宋_GB2312"/>
        </w:rPr>
        <w:t>“劝耕贷”单户在保余额在</w:t>
      </w:r>
      <w:r>
        <w:rPr>
          <w:rFonts w:hAnsi="仿宋_GB2312" w:cs="仿宋_GB2312"/>
        </w:rPr>
        <w:t>10</w:t>
      </w:r>
      <w:r>
        <w:rPr>
          <w:rFonts w:hint="eastAsia" w:hAnsi="仿宋_GB2312" w:cs="仿宋_GB2312"/>
        </w:rPr>
        <w:t>万</w:t>
      </w:r>
      <w:r>
        <w:rPr>
          <w:rFonts w:hAnsi="仿宋_GB2312" w:cs="仿宋_GB2312"/>
        </w:rPr>
        <w:t>-200</w:t>
      </w:r>
      <w:r>
        <w:rPr>
          <w:rFonts w:hint="eastAsia" w:hAnsi="仿宋_GB2312" w:cs="仿宋_GB2312"/>
        </w:rPr>
        <w:t>万之间；对农业产业化龙头企业，单户额度原则上不超过</w:t>
      </w:r>
      <w:r>
        <w:rPr>
          <w:rFonts w:hAnsi="仿宋_GB2312" w:cs="仿宋_GB2312"/>
        </w:rPr>
        <w:t>1000</w:t>
      </w:r>
      <w:r>
        <w:rPr>
          <w:rFonts w:hint="eastAsia" w:hAnsi="仿宋_GB2312" w:cs="仿宋_GB2312"/>
        </w:rPr>
        <w:t>万元。</w:t>
      </w:r>
    </w:p>
    <w:p>
      <w:pPr>
        <w:spacing w:line="580" w:lineRule="exact"/>
        <w:ind w:firstLine="422" w:firstLineChars="200"/>
        <w:rPr>
          <w:rFonts w:hAnsi="仿宋_GB2312" w:cs="仿宋_GB2312"/>
        </w:rPr>
      </w:pPr>
      <w:r>
        <w:rPr>
          <w:rFonts w:hAnsi="仿宋_GB2312" w:cs="仿宋_GB2312"/>
          <w:b/>
        </w:rPr>
        <w:t>4.</w:t>
      </w:r>
      <w:r>
        <w:rPr>
          <w:rFonts w:hint="eastAsia" w:hAnsi="仿宋_GB2312" w:cs="仿宋_GB2312"/>
          <w:b/>
        </w:rPr>
        <w:t>贷款利率。</w:t>
      </w:r>
      <w:r>
        <w:rPr>
          <w:rFonts w:hint="eastAsia" w:hAnsi="仿宋_GB2312" w:cs="仿宋_GB2312"/>
        </w:rPr>
        <w:t>银行贷款利率执行国家基准利率，最高上浮不超过同期基准利率的</w:t>
      </w:r>
      <w:r>
        <w:rPr>
          <w:rFonts w:hAnsi="仿宋_GB2312" w:cs="仿宋_GB2312"/>
        </w:rPr>
        <w:t>20%</w:t>
      </w:r>
      <w:r>
        <w:rPr>
          <w:rFonts w:hint="eastAsia" w:hAnsi="仿宋_GB2312" w:cs="仿宋_GB2312"/>
        </w:rPr>
        <w:t>。</w:t>
      </w:r>
    </w:p>
    <w:p>
      <w:pPr>
        <w:spacing w:line="580" w:lineRule="exact"/>
        <w:ind w:firstLine="422" w:firstLineChars="200"/>
        <w:rPr>
          <w:rFonts w:hAnsi="仿宋_GB2312" w:cs="仿宋_GB2312"/>
        </w:rPr>
      </w:pPr>
      <w:r>
        <w:rPr>
          <w:rFonts w:hAnsi="仿宋_GB2312" w:cs="仿宋_GB2312"/>
          <w:b/>
        </w:rPr>
        <w:t>5.</w:t>
      </w:r>
      <w:r>
        <w:rPr>
          <w:rFonts w:hint="eastAsia" w:hAnsi="仿宋_GB2312" w:cs="仿宋_GB2312"/>
          <w:b/>
        </w:rPr>
        <w:t>担保费率。</w:t>
      </w:r>
      <w:r>
        <w:rPr>
          <w:rFonts w:hint="eastAsia" w:hAnsi="仿宋_GB2312" w:cs="仿宋_GB2312"/>
        </w:rPr>
        <w:t>担保费由省农担公司收取，担保费率不高于</w:t>
      </w:r>
      <w:r>
        <w:rPr>
          <w:rFonts w:hAnsi="仿宋_GB2312" w:cs="仿宋_GB2312"/>
        </w:rPr>
        <w:t>1.2%</w:t>
      </w:r>
      <w:r>
        <w:rPr>
          <w:rFonts w:hint="eastAsia" w:hAnsi="仿宋_GB2312" w:cs="仿宋_GB2312"/>
        </w:rPr>
        <w:t>。</w:t>
      </w:r>
    </w:p>
    <w:p>
      <w:pPr>
        <w:spacing w:line="580" w:lineRule="exact"/>
        <w:ind w:firstLine="422" w:firstLineChars="200"/>
        <w:rPr>
          <w:rFonts w:hAnsi="仿宋_GB2312" w:cs="仿宋_GB2312"/>
        </w:rPr>
      </w:pPr>
      <w:r>
        <w:rPr>
          <w:rFonts w:hAnsi="仿宋_GB2312" w:cs="仿宋_GB2312"/>
          <w:b/>
        </w:rPr>
        <w:t>6.</w:t>
      </w:r>
      <w:r>
        <w:rPr>
          <w:rFonts w:hint="eastAsia" w:hAnsi="仿宋_GB2312" w:cs="仿宋_GB2312"/>
          <w:b/>
        </w:rPr>
        <w:t>风险共管分担。</w:t>
      </w:r>
      <w:r>
        <w:rPr>
          <w:rFonts w:hint="eastAsia" w:hAnsi="仿宋_GB2312" w:cs="仿宋_GB2312"/>
        </w:rPr>
        <w:t>建立省农担公司、县财政和承办银行“抱团”管控风险的责任机制。对于最终出现的风险，建立风险分担机制，省农担公司承担</w:t>
      </w:r>
      <w:r>
        <w:rPr>
          <w:rFonts w:hAnsi="仿宋_GB2312" w:cs="仿宋_GB2312"/>
        </w:rPr>
        <w:t>50%</w:t>
      </w:r>
      <w:r>
        <w:rPr>
          <w:rFonts w:hint="eastAsia" w:hAnsi="仿宋_GB2312" w:cs="仿宋_GB2312"/>
        </w:rPr>
        <w:t>的责任，承办银行承担</w:t>
      </w:r>
      <w:r>
        <w:rPr>
          <w:rFonts w:hAnsi="仿宋_GB2312" w:cs="仿宋_GB2312"/>
        </w:rPr>
        <w:t>20%</w:t>
      </w:r>
      <w:r>
        <w:rPr>
          <w:rFonts w:hint="eastAsia" w:hAnsi="仿宋_GB2312" w:cs="仿宋_GB2312"/>
        </w:rPr>
        <w:t>的责任（无条件风险敞口），县财政承担</w:t>
      </w:r>
      <w:r>
        <w:rPr>
          <w:rFonts w:hAnsi="仿宋_GB2312" w:cs="仿宋_GB2312"/>
        </w:rPr>
        <w:t>30%</w:t>
      </w:r>
      <w:r>
        <w:rPr>
          <w:rFonts w:hint="eastAsia" w:hAnsi="仿宋_GB2312" w:cs="仿宋_GB2312"/>
        </w:rPr>
        <w:t>的责任。当担保贷款发生代偿时，省农担公司按照债务人实际逾期未清偿贷款本息的</w:t>
      </w:r>
      <w:r>
        <w:rPr>
          <w:rFonts w:hAnsi="仿宋_GB2312" w:cs="仿宋_GB2312"/>
        </w:rPr>
        <w:t>80%</w:t>
      </w:r>
      <w:r>
        <w:rPr>
          <w:rFonts w:hint="eastAsia" w:hAnsi="仿宋_GB2312" w:cs="仿宋_GB2312"/>
        </w:rPr>
        <w:t>承担代偿责任，再由县财政按债务人实际逾期未清偿贷款本息的</w:t>
      </w:r>
      <w:r>
        <w:rPr>
          <w:rFonts w:hAnsi="仿宋_GB2312" w:cs="仿宋_GB2312"/>
        </w:rPr>
        <w:t>30%</w:t>
      </w:r>
      <w:r>
        <w:rPr>
          <w:rFonts w:hint="eastAsia" w:hAnsi="仿宋_GB2312" w:cs="仿宋_GB2312"/>
        </w:rPr>
        <w:t>给予省农担公司补偿。不良贷款由省农担公司、承办银行和县财政共同追缴，追缴的资金在抵扣追索等费用后先期弥补银行，余额按比例偿还县财政和省农担公司。</w:t>
      </w:r>
    </w:p>
    <w:p>
      <w:pPr>
        <w:spacing w:line="580" w:lineRule="exact"/>
        <w:ind w:firstLine="422" w:firstLineChars="200"/>
        <w:rPr>
          <w:rFonts w:hAnsi="仿宋_GB2312" w:cs="仿宋_GB2312"/>
          <w:b/>
        </w:rPr>
      </w:pPr>
      <w:r>
        <w:rPr>
          <w:rFonts w:hint="eastAsia" w:ascii="楷体_GB2312" w:hAnsi="楷体_GB2312" w:eastAsia="楷体_GB2312" w:cs="楷体_GB2312"/>
          <w:b/>
        </w:rPr>
        <w:t>（二）贷款流程。</w:t>
      </w:r>
    </w:p>
    <w:p>
      <w:pPr>
        <w:spacing w:line="580" w:lineRule="exact"/>
        <w:ind w:firstLine="422" w:firstLineChars="200"/>
        <w:rPr>
          <w:rFonts w:hAnsi="仿宋_GB2312" w:cs="仿宋_GB2312"/>
        </w:rPr>
      </w:pPr>
      <w:r>
        <w:rPr>
          <w:rFonts w:hAnsi="仿宋_GB2312" w:cs="仿宋_GB2312"/>
          <w:b/>
          <w:bCs/>
        </w:rPr>
        <w:t>1.</w:t>
      </w:r>
      <w:r>
        <w:rPr>
          <w:rFonts w:hint="eastAsia" w:hAnsi="仿宋_GB2312" w:cs="仿宋_GB2312"/>
          <w:b/>
          <w:bCs/>
        </w:rPr>
        <w:t>信息收集。</w:t>
      </w:r>
      <w:r>
        <w:rPr>
          <w:rFonts w:hint="eastAsia" w:hAnsi="仿宋_GB2312" w:cs="仿宋_GB2312"/>
        </w:rPr>
        <w:t>以乡镇为单位，各乡镇收集辖区内新型农业经营主体生产经营规模“硬数据”，各村填写《新型农业经营主体情况摸底表》。</w:t>
      </w:r>
    </w:p>
    <w:p>
      <w:pPr>
        <w:spacing w:line="580" w:lineRule="exact"/>
        <w:ind w:firstLine="422" w:firstLineChars="200"/>
        <w:rPr>
          <w:rFonts w:hAnsi="仿宋_GB2312" w:cs="仿宋_GB2312"/>
        </w:rPr>
      </w:pPr>
      <w:r>
        <w:rPr>
          <w:rFonts w:hAnsi="仿宋_GB2312" w:cs="仿宋_GB2312"/>
          <w:b/>
          <w:bCs/>
        </w:rPr>
        <w:t>2.</w:t>
      </w:r>
      <w:r>
        <w:rPr>
          <w:rFonts w:hint="eastAsia" w:hAnsi="仿宋_GB2312" w:cs="仿宋_GB2312"/>
          <w:b/>
          <w:bCs/>
        </w:rPr>
        <w:t>建档立卡。</w:t>
      </w:r>
      <w:r>
        <w:rPr>
          <w:rFonts w:hint="eastAsia" w:hAnsi="仿宋_GB2312" w:cs="仿宋_GB2312"/>
        </w:rPr>
        <w:t>各乡镇将《新型农业经营主体情况摸底表》及生产经营“硬数据”录入“劝耕贷数据管理系统”，为每户建立电子档案。</w:t>
      </w:r>
    </w:p>
    <w:p>
      <w:pPr>
        <w:spacing w:line="580" w:lineRule="exact"/>
        <w:ind w:firstLine="422" w:firstLineChars="200"/>
        <w:rPr>
          <w:rFonts w:hAnsi="仿宋_GB2312" w:cs="仿宋_GB2312"/>
        </w:rPr>
      </w:pPr>
      <w:r>
        <w:rPr>
          <w:rFonts w:hAnsi="仿宋_GB2312" w:cs="仿宋_GB2312"/>
          <w:b/>
          <w:bCs/>
        </w:rPr>
        <w:t>3.</w:t>
      </w:r>
      <w:r>
        <w:rPr>
          <w:rFonts w:hint="eastAsia" w:hAnsi="仿宋_GB2312" w:cs="仿宋_GB2312"/>
          <w:b/>
          <w:bCs/>
        </w:rPr>
        <w:t>客户分类。</w:t>
      </w:r>
      <w:r>
        <w:rPr>
          <w:rFonts w:hint="eastAsia" w:hAnsi="仿宋_GB2312" w:cs="仿宋_GB2312"/>
        </w:rPr>
        <w:t>根据“有信用、有规模、有经验、有效益、有主业、有需求”的“六有”标准，将完成信息录入的新型农业经营主体分类为“信贷备选类、培育关注类、其他类”三类。</w:t>
      </w:r>
    </w:p>
    <w:p>
      <w:pPr>
        <w:spacing w:line="580" w:lineRule="exact"/>
        <w:ind w:firstLine="422" w:firstLineChars="200"/>
        <w:rPr>
          <w:rFonts w:hAnsi="仿宋_GB2312" w:cs="仿宋_GB2312"/>
        </w:rPr>
      </w:pPr>
      <w:r>
        <w:rPr>
          <w:rFonts w:hAnsi="仿宋_GB2312" w:cs="仿宋_GB2312"/>
          <w:b/>
          <w:bCs/>
        </w:rPr>
        <w:t>4.</w:t>
      </w:r>
      <w:r>
        <w:rPr>
          <w:rFonts w:hint="eastAsia" w:hAnsi="仿宋_GB2312" w:cs="仿宋_GB2312"/>
          <w:b/>
          <w:bCs/>
        </w:rPr>
        <w:t>项目推选。</w:t>
      </w:r>
      <w:r>
        <w:rPr>
          <w:rFonts w:hint="eastAsia" w:hAnsi="仿宋_GB2312" w:cs="仿宋_GB2312"/>
        </w:rPr>
        <w:t>省农担公司联合各乡镇召开“信贷备选类”现场宣讲摸底会，了解新型农业经营主体信贷需求，填写《融资需求统计表》，汇总后制作《尽调项目登记表》，由省农担公司向合作银行发布信息，批量推荐尽调项目。</w:t>
      </w:r>
    </w:p>
    <w:p>
      <w:pPr>
        <w:spacing w:line="580" w:lineRule="exact"/>
        <w:ind w:firstLine="422" w:firstLineChars="200"/>
        <w:rPr>
          <w:rFonts w:hAnsi="仿宋_GB2312" w:cs="仿宋_GB2312"/>
        </w:rPr>
      </w:pPr>
      <w:r>
        <w:rPr>
          <w:rFonts w:hAnsi="仿宋_GB2312" w:cs="仿宋_GB2312"/>
          <w:b/>
          <w:bCs/>
        </w:rPr>
        <w:t>5.</w:t>
      </w:r>
      <w:r>
        <w:rPr>
          <w:rFonts w:hint="eastAsia" w:hAnsi="仿宋_GB2312" w:cs="仿宋_GB2312"/>
          <w:b/>
          <w:bCs/>
        </w:rPr>
        <w:t>银行尽调。</w:t>
      </w:r>
      <w:r>
        <w:rPr>
          <w:rFonts w:hint="eastAsia" w:hAnsi="仿宋_GB2312" w:cs="仿宋_GB2312"/>
        </w:rPr>
        <w:t>合作银行充分运用“劝耕贷数据管理系统”中的建档立卡数据，对批量客户进行尽职调查，并将调查报告及相关尽调资料通过“劝耕贷数据管理系统”传送至省农担公司。</w:t>
      </w:r>
    </w:p>
    <w:p>
      <w:pPr>
        <w:spacing w:line="580" w:lineRule="exact"/>
        <w:ind w:firstLine="422" w:firstLineChars="200"/>
        <w:rPr>
          <w:rFonts w:hAnsi="仿宋_GB2312" w:cs="仿宋_GB2312"/>
        </w:rPr>
      </w:pPr>
      <w:r>
        <w:rPr>
          <w:rFonts w:hAnsi="仿宋_GB2312" w:cs="仿宋_GB2312"/>
          <w:b/>
          <w:bCs/>
        </w:rPr>
        <w:t>6.</w:t>
      </w:r>
      <w:r>
        <w:rPr>
          <w:rFonts w:hint="eastAsia" w:hAnsi="仿宋_GB2312" w:cs="仿宋_GB2312"/>
          <w:b/>
          <w:bCs/>
        </w:rPr>
        <w:t>公示推荐。</w:t>
      </w:r>
      <w:r>
        <w:rPr>
          <w:rFonts w:hint="eastAsia" w:hAnsi="仿宋_GB2312" w:cs="仿宋_GB2312"/>
        </w:rPr>
        <w:t>合作银行和省农担公司对符合条件的借款主体审批后，在申请主体所在的乡镇政府、自然村进行贷款授信资格公示并设立举报电话。公示无异议后，由各乡镇及县农委审核推荐，填写《新型农业经营主体融资推荐表》。</w:t>
      </w:r>
    </w:p>
    <w:p>
      <w:pPr>
        <w:spacing w:line="580" w:lineRule="exact"/>
        <w:ind w:firstLine="422" w:firstLineChars="200"/>
        <w:rPr>
          <w:rFonts w:hAnsi="仿宋_GB2312" w:cs="仿宋_GB2312"/>
        </w:rPr>
      </w:pPr>
      <w:r>
        <w:rPr>
          <w:rFonts w:hAnsi="仿宋_GB2312" w:cs="仿宋_GB2312"/>
          <w:b/>
          <w:bCs/>
        </w:rPr>
        <w:t>7.</w:t>
      </w:r>
      <w:r>
        <w:rPr>
          <w:rFonts w:hint="eastAsia" w:hAnsi="仿宋_GB2312" w:cs="仿宋_GB2312"/>
          <w:b/>
          <w:bCs/>
        </w:rPr>
        <w:t>审批放贷。</w:t>
      </w:r>
      <w:r>
        <w:rPr>
          <w:rFonts w:hint="eastAsia" w:hAnsi="仿宋_GB2312" w:cs="仿宋_GB2312"/>
        </w:rPr>
        <w:t>省农担公司、合作银行和客户按照“集中审批、信贷加工、批量签约、用时提款”的原则签订相关合同，办理放款。</w:t>
      </w:r>
    </w:p>
    <w:p>
      <w:pPr>
        <w:spacing w:line="580" w:lineRule="exact"/>
        <w:ind w:firstLine="422" w:firstLineChars="200"/>
        <w:rPr>
          <w:rFonts w:hAnsi="仿宋_GB2312" w:cs="仿宋_GB2312"/>
        </w:rPr>
      </w:pPr>
      <w:r>
        <w:rPr>
          <w:rFonts w:hAnsi="仿宋_GB2312" w:cs="仿宋_GB2312"/>
          <w:b/>
          <w:bCs/>
        </w:rPr>
        <w:t>8.</w:t>
      </w:r>
      <w:r>
        <w:rPr>
          <w:rFonts w:hint="eastAsia" w:hAnsi="仿宋_GB2312" w:cs="仿宋_GB2312"/>
          <w:b/>
          <w:bCs/>
        </w:rPr>
        <w:t>贷后管理。</w:t>
      </w:r>
      <w:r>
        <w:rPr>
          <w:rFonts w:hint="eastAsia" w:hAnsi="仿宋_GB2312" w:cs="仿宋_GB2312"/>
        </w:rPr>
        <w:t>县农委、各乡镇、合作银行、省农担公司共同监督资金的使用情况、借款主体的生产经营动态，跟踪提供服务,处理化解风险，确保贷款安全。各乡镇、合作银行要及时在“劝耕贷数据管理系统”中更新借款主体信息，做好服务周期转换。</w:t>
      </w:r>
    </w:p>
    <w:p>
      <w:pPr>
        <w:spacing w:line="580" w:lineRule="exact"/>
        <w:ind w:firstLine="420" w:firstLineChars="200"/>
        <w:rPr>
          <w:rFonts w:hAnsi="仿宋_GB2312" w:cs="仿宋_GB2312"/>
          <w:b/>
        </w:rPr>
      </w:pPr>
      <w:r>
        <w:rPr>
          <w:rFonts w:hint="eastAsia" w:ascii="黑体" w:hAnsi="黑体" w:eastAsia="黑体" w:cs="黑体"/>
        </w:rPr>
        <w:t>三、保障措施</w:t>
      </w:r>
      <w:r>
        <w:rPr>
          <w:rFonts w:hAnsi="仿宋_GB2312" w:cs="仿宋_GB2312"/>
          <w:b/>
        </w:rPr>
        <w:t xml:space="preserve"> </w:t>
      </w:r>
    </w:p>
    <w:p>
      <w:pPr>
        <w:spacing w:line="580" w:lineRule="exact"/>
        <w:ind w:firstLine="422" w:firstLineChars="200"/>
        <w:rPr>
          <w:rFonts w:hAnsi="仿宋_GB2312" w:cs="仿宋_GB2312"/>
          <w:b/>
        </w:rPr>
      </w:pPr>
      <w:r>
        <w:rPr>
          <w:rFonts w:ascii="楷体_GB2312" w:hAnsi="楷体_GB2312" w:eastAsia="楷体_GB2312" w:cs="楷体_GB2312"/>
          <w:b/>
        </w:rPr>
        <w:t>(</w:t>
      </w:r>
      <w:r>
        <w:rPr>
          <w:rFonts w:hint="eastAsia" w:ascii="楷体_GB2312" w:hAnsi="楷体_GB2312" w:eastAsia="楷体_GB2312" w:cs="楷体_GB2312"/>
          <w:b/>
        </w:rPr>
        <w:t>一）强化组织领导。</w:t>
      </w:r>
      <w:r>
        <w:rPr>
          <w:rFonts w:hint="eastAsia" w:hAnsi="仿宋_GB2312" w:cs="仿宋_GB2312"/>
        </w:rPr>
        <w:t>成立青阳县农业信贷担保“劝耕贷”工作领导小组（名单附后），领导小组办公室设在县农委，具体负责全县“劝耕贷”的协调及管理工作。各乡镇、各有关部门要高度重视，成立相应的领导机构和工作机构，明确专人负责，切实把好事办好、实事办实，让新型农业经营主体得到实惠。</w:t>
      </w:r>
    </w:p>
    <w:p>
      <w:pPr>
        <w:spacing w:line="580" w:lineRule="exact"/>
        <w:ind w:firstLine="422" w:firstLineChars="200"/>
        <w:rPr>
          <w:rFonts w:hAnsi="仿宋_GB2312" w:cs="仿宋_GB2312"/>
        </w:rPr>
      </w:pPr>
      <w:r>
        <w:rPr>
          <w:rFonts w:hint="eastAsia" w:ascii="楷体_GB2312" w:hAnsi="楷体_GB2312" w:eastAsia="楷体_GB2312" w:cs="楷体_GB2312"/>
          <w:b/>
        </w:rPr>
        <w:t>（二）组建业务机构。</w:t>
      </w:r>
      <w:r>
        <w:rPr>
          <w:rFonts w:hint="eastAsia" w:hAnsi="仿宋_GB2312" w:cs="仿宋_GB2312"/>
        </w:rPr>
        <w:t>省农担公司在县设立办事处，可根据工作需要设立分公司，派出业务骨干负责县办事处或分公司“劝耕贷”工作。从县农委、县财政局各抽调一名工作人员，专职协助推进“劝耕贷”工作。省农担公司派驻的县办事处或分公司工作人员可到县直相关部门挂职，便于协调推进工作。县域各银行机构可依据本方案与省农担公司商定“劝耕贷”工作指引。</w:t>
      </w:r>
    </w:p>
    <w:p>
      <w:pPr>
        <w:spacing w:line="580" w:lineRule="exact"/>
        <w:ind w:firstLine="422" w:firstLineChars="200"/>
        <w:rPr>
          <w:rFonts w:hAnsi="仿宋_GB2312" w:cs="仿宋_GB2312"/>
        </w:rPr>
      </w:pPr>
      <w:r>
        <w:rPr>
          <w:rFonts w:hint="eastAsia" w:ascii="楷体_GB2312" w:hAnsi="楷体_GB2312" w:eastAsia="楷体_GB2312" w:cs="楷体_GB2312"/>
          <w:b/>
        </w:rPr>
        <w:t>（三）加强政策引导。</w:t>
      </w:r>
      <w:r>
        <w:rPr>
          <w:rFonts w:hint="eastAsia" w:ascii="仿宋" w:hAnsi="仿宋" w:eastAsia="仿宋"/>
        </w:rPr>
        <w:t>县</w:t>
      </w:r>
      <w:r>
        <w:rPr>
          <w:rFonts w:hint="eastAsia" w:hAnsi="仿宋_GB2312" w:cs="仿宋_GB2312"/>
        </w:rPr>
        <w:t>财政整合支农资金设立</w:t>
      </w:r>
      <w:r>
        <w:rPr>
          <w:rFonts w:hAnsi="仿宋_GB2312" w:cs="仿宋_GB2312"/>
        </w:rPr>
        <w:t>1000</w:t>
      </w:r>
      <w:r>
        <w:rPr>
          <w:rFonts w:hint="eastAsia" w:hAnsi="仿宋_GB2312" w:cs="仿宋_GB2312"/>
        </w:rPr>
        <w:t>万元的“劝耕贷”奖补专项资金池。对承办银行和乡镇开展“劝耕贷”业务分别以当年新增贷款额按比例给予奖补（奖补办法另行制定），对省农担公司在我县开展的“劝耕贷”业务给予实际代偿额</w:t>
      </w:r>
      <w:r>
        <w:rPr>
          <w:rFonts w:hAnsi="仿宋_GB2312" w:cs="仿宋_GB2312"/>
        </w:rPr>
        <w:t>30%</w:t>
      </w:r>
      <w:r>
        <w:rPr>
          <w:rFonts w:hint="eastAsia" w:hAnsi="仿宋_GB2312" w:cs="仿宋_GB2312"/>
        </w:rPr>
        <w:t>的补助。加强对“劝耕贷”业务的引导，将“劝耕贷”业务纳入对金融机构支持地方经济发展绩效考核评价指标，县财政部门可按照各银行开展“劝耕贷”业务情况分配财政性存款资金。</w:t>
      </w:r>
      <w:r>
        <w:rPr>
          <w:rFonts w:hAnsi="仿宋_GB2312" w:cs="仿宋_GB2312"/>
        </w:rPr>
        <w:t xml:space="preserve"> </w:t>
      </w:r>
    </w:p>
    <w:p>
      <w:pPr>
        <w:spacing w:line="580" w:lineRule="exact"/>
        <w:ind w:firstLine="422" w:firstLineChars="200"/>
        <w:rPr>
          <w:rFonts w:hAnsi="仿宋_GB2312" w:cs="仿宋_GB2312"/>
        </w:rPr>
      </w:pPr>
      <w:r>
        <w:rPr>
          <w:rFonts w:hint="eastAsia" w:ascii="楷体_GB2312" w:hAnsi="仿宋_GB2312" w:eastAsia="楷体_GB2312" w:cs="仿宋_GB2312"/>
          <w:b/>
          <w:bCs/>
        </w:rPr>
        <w:t>（四）加强风险防控。</w:t>
      </w:r>
      <w:r>
        <w:rPr>
          <w:rFonts w:hint="eastAsia" w:hAnsi="仿宋_GB2312" w:cs="仿宋_GB2312"/>
        </w:rPr>
        <w:t>各乡镇政府要充分掌握辖区新型农业经营主体的情况，做好基础信息收集以及主体资格筛选、推荐、公示工作；合作银行要树立贷款风险防范意识，对信息资料真实、主体身份真实、借款用途真实、经营情况真实等各方面尽职调查；要严把准入关、审核关和资金使用关，确保贷款“放得出、用得好、有效益、收得回”。</w:t>
      </w:r>
      <w:r>
        <w:rPr>
          <w:rFonts w:hAnsi="仿宋_GB2312" w:cs="仿宋_GB2312"/>
        </w:rPr>
        <w:t xml:space="preserve"> </w:t>
      </w:r>
    </w:p>
    <w:p>
      <w:pPr>
        <w:spacing w:line="580" w:lineRule="exact"/>
        <w:ind w:firstLine="422" w:firstLineChars="200"/>
        <w:rPr>
          <w:rFonts w:hAnsi="仿宋_GB2312" w:cs="仿宋_GB2312"/>
        </w:rPr>
      </w:pPr>
      <w:r>
        <w:rPr>
          <w:rFonts w:hint="eastAsia" w:ascii="楷体_GB2312" w:hAnsi="楷体_GB2312" w:eastAsia="楷体_GB2312" w:cs="楷体_GB2312"/>
          <w:b/>
        </w:rPr>
        <w:t>（五）建立督查问责机制。</w:t>
      </w:r>
      <w:r>
        <w:rPr>
          <w:rFonts w:hint="eastAsia" w:hAnsi="仿宋_GB2312" w:cs="仿宋_GB2312"/>
        </w:rPr>
        <w:t>加强对各乡镇“劝耕贷”工作情况的检查考核、跟踪问效，并作为考核的加分项目列入综合绩效考核目标管理。各乡镇和县直有关部门要结合实际，制定督查问责实施办法，对工作进展缓慢、成效不明显的要进行通报、限期整改；对不负责任、以权谋私、违规推荐操作的，严肃追究相关人员责任。</w:t>
      </w:r>
      <w:r>
        <w:rPr>
          <w:rFonts w:hAnsi="仿宋_GB2312" w:cs="仿宋_GB2312"/>
        </w:rPr>
        <w:t xml:space="preserve"> </w:t>
      </w:r>
    </w:p>
    <w:p>
      <w:pPr>
        <w:spacing w:line="580" w:lineRule="exact"/>
        <w:ind w:firstLine="422" w:firstLineChars="200"/>
        <w:rPr>
          <w:rFonts w:hint="eastAsia" w:hAnsi="仿宋_GB2312" w:cs="仿宋_GB2312"/>
        </w:rPr>
      </w:pPr>
      <w:r>
        <w:rPr>
          <w:rFonts w:hint="eastAsia" w:ascii="楷体_GB2312" w:hAnsi="楷体_GB2312" w:eastAsia="楷体_GB2312" w:cs="楷体_GB2312"/>
          <w:b/>
        </w:rPr>
        <w:t>（六）构建借款人失信惩戒机制。</w:t>
      </w:r>
      <w:r>
        <w:rPr>
          <w:rFonts w:hint="eastAsia" w:hAnsi="仿宋_GB2312" w:cs="仿宋_GB2312"/>
        </w:rPr>
        <w:t>各乡镇、县直有关部门要积极支持配合“劝耕贷”推进工作，对恶意欺诈、逃废债务等失信行为，要出台警示惩戒实施办法，采取切实有效措施，形成强有力的惩戒和制约合力，使其“一处失信、处处受限”。要建立完善征信系统，将欠款信息纳入人民银行征信系统，作为银行办理信贷业务时的风险提示内容。对拖欠贷款尚未归还的借款企业或借款人，取消项目申报以及当年享受县各类优惠政策、财政补助和荣誉评选的资格。对借款人恶意骗贷涉嫌犯罪的，应依法追究违法责任。</w:t>
      </w:r>
    </w:p>
    <w:p>
      <w:pPr>
        <w:spacing w:line="580" w:lineRule="exact"/>
        <w:ind w:firstLine="420" w:firstLineChars="200"/>
        <w:rPr>
          <w:rFonts w:hAnsi="仿宋_GB2312" w:cs="仿宋_GB2312"/>
        </w:rPr>
      </w:pPr>
    </w:p>
    <w:p>
      <w:pPr>
        <w:spacing w:line="580" w:lineRule="exact"/>
        <w:ind w:firstLine="420" w:firstLineChars="200"/>
        <w:rPr>
          <w:rFonts w:hAnsi="仿宋_GB2312" w:cs="仿宋_GB2312"/>
        </w:rPr>
      </w:pPr>
      <w:r>
        <w:rPr>
          <w:rFonts w:hint="eastAsia" w:hAnsi="仿宋_GB2312" w:cs="仿宋_GB2312"/>
        </w:rPr>
        <w:t>附件：青阳县农业信贷担保“劝耕贷”工作领导小组成员名单</w:t>
      </w:r>
    </w:p>
    <w:p>
      <w:pPr>
        <w:widowControl/>
        <w:jc w:val="left"/>
        <w:rPr>
          <w:rFonts w:ascii="黑体" w:hAnsi="黑体" w:eastAsia="黑体" w:cs="??_GB2312"/>
          <w:bCs/>
        </w:rPr>
      </w:pPr>
      <w:r>
        <w:rPr>
          <w:rFonts w:hAnsi="宋体" w:cs="宋体"/>
        </w:rPr>
        <w:br w:type="page"/>
      </w:r>
      <w:r>
        <w:rPr>
          <w:rFonts w:hint="eastAsia" w:ascii="黑体" w:hAnsi="黑体" w:eastAsia="黑体" w:cs="宋体"/>
          <w:bCs/>
        </w:rPr>
        <w:t>附件：</w:t>
      </w:r>
    </w:p>
    <w:p>
      <w:pPr>
        <w:spacing w:line="580" w:lineRule="exact"/>
        <w:jc w:val="center"/>
        <w:rPr>
          <w:rFonts w:ascii="方正小标宋简体" w:hAnsi="方正大标宋简体" w:eastAsia="方正小标宋简体" w:cs="方正大标宋简体"/>
          <w:sz w:val="44"/>
          <w:szCs w:val="44"/>
        </w:rPr>
      </w:pPr>
    </w:p>
    <w:p>
      <w:pPr>
        <w:spacing w:line="580" w:lineRule="exact"/>
        <w:ind w:firstLine="420" w:firstLineChars="200"/>
        <w:jc w:val="center"/>
        <w:rPr>
          <w:rFonts w:hAnsi="宋体" w:cs="宋体"/>
        </w:rPr>
      </w:pPr>
      <w:r>
        <w:rPr>
          <w:rFonts w:hint="eastAsia" w:hAnsi="仿宋_GB2312" w:cs="仿宋_GB2312"/>
        </w:rPr>
        <w:t>青阳县农业信贷担保“劝耕贷”工作领导小组成员名单</w:t>
      </w:r>
    </w:p>
    <w:p>
      <w:pPr>
        <w:spacing w:line="580" w:lineRule="exact"/>
        <w:ind w:firstLine="420" w:firstLineChars="200"/>
        <w:rPr>
          <w:rFonts w:hAnsi="宋体" w:cs="宋体"/>
        </w:rPr>
      </w:pPr>
      <w:r>
        <w:rPr>
          <w:rFonts w:hint="eastAsia" w:hAnsi="宋体" w:cs="宋体"/>
        </w:rPr>
        <w:t xml:space="preserve">组  长：柯春平  </w:t>
      </w:r>
    </w:p>
    <w:p>
      <w:pPr>
        <w:spacing w:line="580" w:lineRule="exact"/>
        <w:ind w:firstLine="420" w:firstLineChars="200"/>
        <w:rPr>
          <w:rFonts w:hAnsi="宋体" w:cs="宋体"/>
        </w:rPr>
      </w:pPr>
      <w:r>
        <w:rPr>
          <w:rFonts w:hint="eastAsia" w:hAnsi="宋体" w:cs="宋体"/>
        </w:rPr>
        <w:t>副组长：朱凤英</w:t>
      </w:r>
      <w:r>
        <w:rPr>
          <w:rFonts w:hAnsi="宋体" w:cs="宋体"/>
        </w:rPr>
        <w:t xml:space="preserve">  </w:t>
      </w:r>
    </w:p>
    <w:p>
      <w:pPr>
        <w:spacing w:line="580" w:lineRule="exact"/>
        <w:ind w:firstLine="420" w:firstLineChars="200"/>
        <w:rPr>
          <w:rFonts w:hAnsi="宋体" w:cs="宋体"/>
        </w:rPr>
      </w:pPr>
      <w:r>
        <w:rPr>
          <w:rFonts w:hint="eastAsia" w:hAnsi="宋体" w:cs="宋体"/>
          <w:bCs/>
        </w:rPr>
        <w:t>成</w:t>
      </w:r>
      <w:r>
        <w:rPr>
          <w:rFonts w:hAnsi="??_GB2312" w:cs="??_GB2312"/>
          <w:bCs/>
        </w:rPr>
        <w:t xml:space="preserve">  </w:t>
      </w:r>
      <w:r>
        <w:rPr>
          <w:rFonts w:hint="eastAsia" w:hAnsi="宋体" w:cs="宋体"/>
          <w:bCs/>
        </w:rPr>
        <w:t>员：</w:t>
      </w:r>
      <w:r>
        <w:rPr>
          <w:rFonts w:hint="eastAsia" w:hAnsi="宋体" w:cs="宋体"/>
        </w:rPr>
        <w:t>汪越峰</w:t>
      </w:r>
      <w:r>
        <w:rPr>
          <w:rFonts w:hAnsi="宋体" w:cs="宋体"/>
        </w:rPr>
        <w:t xml:space="preserve">  </w:t>
      </w:r>
      <w:r>
        <w:rPr>
          <w:rFonts w:hint="eastAsia" w:hAnsi="宋体" w:cs="宋体"/>
        </w:rPr>
        <w:t>县政府办副主任</w:t>
      </w:r>
    </w:p>
    <w:p>
      <w:pPr>
        <w:spacing w:line="580" w:lineRule="exact"/>
        <w:ind w:firstLine="1260" w:firstLineChars="600"/>
        <w:rPr>
          <w:rFonts w:hAnsi="宋体" w:cs="宋体"/>
        </w:rPr>
      </w:pPr>
      <w:r>
        <w:rPr>
          <w:rFonts w:hint="eastAsia" w:hAnsi="宋体" w:cs="宋体"/>
        </w:rPr>
        <w:t>徐</w:t>
      </w:r>
      <w:r>
        <w:rPr>
          <w:rFonts w:hAnsi="宋体" w:cs="宋体"/>
        </w:rPr>
        <w:t xml:space="preserve">  </w:t>
      </w:r>
      <w:r>
        <w:rPr>
          <w:rFonts w:hint="eastAsia" w:hAnsi="宋体" w:cs="宋体"/>
        </w:rPr>
        <w:t>红</w:t>
      </w:r>
      <w:r>
        <w:rPr>
          <w:rFonts w:hAnsi="宋体" w:cs="宋体"/>
        </w:rPr>
        <w:t xml:space="preserve">  </w:t>
      </w:r>
      <w:r>
        <w:rPr>
          <w:rFonts w:hint="eastAsia" w:hAnsi="宋体" w:cs="宋体"/>
        </w:rPr>
        <w:t>县委宣传部副部长</w:t>
      </w:r>
    </w:p>
    <w:p>
      <w:pPr>
        <w:spacing w:line="580" w:lineRule="exact"/>
        <w:ind w:firstLine="1260" w:firstLineChars="600"/>
        <w:rPr>
          <w:rFonts w:hAnsi="宋体" w:cs="宋体"/>
        </w:rPr>
      </w:pPr>
      <w:r>
        <w:rPr>
          <w:rFonts w:hint="eastAsia" w:hAnsi="宋体" w:cs="宋体"/>
        </w:rPr>
        <w:t>张益平</w:t>
      </w:r>
      <w:r>
        <w:rPr>
          <w:rFonts w:hAnsi="宋体" w:cs="宋体"/>
        </w:rPr>
        <w:t xml:space="preserve">  </w:t>
      </w:r>
      <w:r>
        <w:rPr>
          <w:rFonts w:hint="eastAsia" w:hAnsi="宋体" w:cs="宋体"/>
        </w:rPr>
        <w:t>县财政局局长</w:t>
      </w:r>
    </w:p>
    <w:p>
      <w:pPr>
        <w:spacing w:line="580" w:lineRule="exact"/>
        <w:rPr>
          <w:rFonts w:hAnsi="宋体" w:cs="宋体"/>
        </w:rPr>
      </w:pPr>
      <w:r>
        <w:rPr>
          <w:rFonts w:hAnsi="宋体" w:cs="宋体"/>
        </w:rPr>
        <w:t xml:space="preserve">            </w:t>
      </w:r>
      <w:r>
        <w:rPr>
          <w:rFonts w:hint="eastAsia" w:hAnsi="宋体" w:cs="宋体"/>
        </w:rPr>
        <w:t>叶书全</w:t>
      </w:r>
      <w:r>
        <w:rPr>
          <w:rFonts w:hAnsi="宋体" w:cs="宋体"/>
        </w:rPr>
        <w:t xml:space="preserve">  </w:t>
      </w:r>
      <w:r>
        <w:rPr>
          <w:rFonts w:hint="eastAsia" w:hAnsi="宋体" w:cs="宋体"/>
        </w:rPr>
        <w:t>县农委主任</w:t>
      </w:r>
    </w:p>
    <w:p>
      <w:pPr>
        <w:spacing w:line="580" w:lineRule="exact"/>
        <w:ind w:firstLine="1260" w:firstLineChars="600"/>
        <w:rPr>
          <w:rFonts w:hAnsi="宋体" w:cs="宋体"/>
        </w:rPr>
      </w:pPr>
      <w:r>
        <w:rPr>
          <w:rFonts w:hint="eastAsia" w:hAnsi="宋体" w:cs="宋体"/>
        </w:rPr>
        <w:t>韩</w:t>
      </w:r>
      <w:r>
        <w:rPr>
          <w:rFonts w:hAnsi="宋体" w:cs="宋体"/>
        </w:rPr>
        <w:t xml:space="preserve">  </w:t>
      </w:r>
      <w:r>
        <w:rPr>
          <w:rFonts w:hint="eastAsia" w:hAnsi="宋体" w:cs="宋体"/>
        </w:rPr>
        <w:t>林</w:t>
      </w:r>
      <w:r>
        <w:rPr>
          <w:rFonts w:hAnsi="宋体" w:cs="宋体"/>
        </w:rPr>
        <w:t xml:space="preserve">  </w:t>
      </w:r>
      <w:r>
        <w:rPr>
          <w:rFonts w:hint="eastAsia" w:hAnsi="宋体" w:cs="宋体"/>
        </w:rPr>
        <w:t>县林业局局长</w:t>
      </w:r>
    </w:p>
    <w:p>
      <w:pPr>
        <w:spacing w:line="580" w:lineRule="exact"/>
        <w:ind w:firstLine="1260" w:firstLineChars="600"/>
        <w:rPr>
          <w:rFonts w:hAnsi="宋体" w:cs="宋体"/>
        </w:rPr>
      </w:pPr>
      <w:r>
        <w:rPr>
          <w:rFonts w:hint="eastAsia" w:hAnsi="宋体" w:cs="宋体"/>
        </w:rPr>
        <w:t>宁劲元</w:t>
      </w:r>
      <w:r>
        <w:rPr>
          <w:rFonts w:hAnsi="宋体" w:cs="宋体"/>
        </w:rPr>
        <w:t xml:space="preserve">  </w:t>
      </w:r>
      <w:r>
        <w:rPr>
          <w:rFonts w:hint="eastAsia" w:hAnsi="宋体" w:cs="宋体"/>
        </w:rPr>
        <w:t>县供销社主任</w:t>
      </w:r>
    </w:p>
    <w:p>
      <w:pPr>
        <w:spacing w:line="580" w:lineRule="exact"/>
        <w:ind w:firstLine="1260" w:firstLineChars="600"/>
        <w:rPr>
          <w:rFonts w:hAnsi="宋体" w:cs="宋体"/>
        </w:rPr>
      </w:pPr>
      <w:r>
        <w:rPr>
          <w:rFonts w:hint="eastAsia" w:hAnsi="宋体" w:cs="宋体"/>
        </w:rPr>
        <w:t>包文华</w:t>
      </w:r>
      <w:r>
        <w:rPr>
          <w:rFonts w:hAnsi="宋体" w:cs="宋体"/>
        </w:rPr>
        <w:t xml:space="preserve">  </w:t>
      </w:r>
      <w:r>
        <w:rPr>
          <w:rFonts w:hint="eastAsia" w:hAnsi="宋体" w:cs="宋体"/>
        </w:rPr>
        <w:t>县人行行长</w:t>
      </w:r>
    </w:p>
    <w:p>
      <w:pPr>
        <w:spacing w:line="580" w:lineRule="exact"/>
        <w:ind w:firstLine="1260" w:firstLineChars="600"/>
        <w:rPr>
          <w:rFonts w:hAnsi="宋体" w:cs="宋体"/>
        </w:rPr>
      </w:pPr>
      <w:r>
        <w:rPr>
          <w:rFonts w:hint="eastAsia" w:hAnsi="宋体" w:cs="宋体"/>
        </w:rPr>
        <w:t>江家喜</w:t>
      </w:r>
      <w:r>
        <w:rPr>
          <w:rFonts w:hAnsi="宋体" w:cs="宋体"/>
        </w:rPr>
        <w:t xml:space="preserve">  </w:t>
      </w:r>
      <w:r>
        <w:rPr>
          <w:rFonts w:hint="eastAsia" w:hAnsi="宋体" w:cs="宋体"/>
        </w:rPr>
        <w:t>县金融办主任</w:t>
      </w:r>
    </w:p>
    <w:p>
      <w:pPr>
        <w:spacing w:line="580" w:lineRule="exact"/>
        <w:ind w:firstLine="420" w:firstLineChars="200"/>
        <w:rPr>
          <w:rFonts w:hAnsi="宋体" w:cs="宋体"/>
        </w:rPr>
      </w:pPr>
      <w:r>
        <w:rPr>
          <w:rFonts w:hint="eastAsia" w:hAnsi="宋体" w:cs="宋体"/>
        </w:rPr>
        <w:t>领导小组办公室设在县农委，叶书全同志兼任办公室主任，宁跃武同志任办公室副主任。</w:t>
      </w:r>
    </w:p>
    <w:p>
      <w:pPr>
        <w:jc w:val="center"/>
        <w:rPr>
          <w:rFonts w:hint="eastAsia" w:asciiTheme="minorEastAsia" w:hAnsiTheme="minorEastAsia" w:cstheme="minorEastAsia"/>
          <w:kern w:val="0"/>
          <w:sz w:val="28"/>
          <w:szCs w:val="28"/>
          <w:shd w:val="clear" w:color="auto" w:fill="FFFFFF"/>
          <w:lang w:eastAsia="zh-CN"/>
        </w:rPr>
      </w:pPr>
    </w:p>
    <w:p>
      <w:pPr>
        <w:spacing w:line="580" w:lineRule="exact"/>
        <w:ind w:firstLine="420" w:firstLineChars="200"/>
        <w:rPr>
          <w:rFonts w:hint="eastAsia" w:hAnsi="宋体"/>
        </w:rPr>
      </w:pPr>
    </w:p>
    <w:p>
      <w:pPr>
        <w:spacing w:line="580" w:lineRule="exact"/>
        <w:ind w:firstLine="420" w:firstLineChars="200"/>
        <w:rPr>
          <w:rFonts w:hint="eastAsia" w:hAnsi="宋体" w:cs="宋体"/>
          <w:lang w:eastAsia="zh-CN"/>
        </w:rPr>
      </w:pPr>
      <w:r>
        <w:rPr>
          <w:rFonts w:hint="eastAsia" w:hAnsi="宋体" w:cs="宋体"/>
          <w:lang w:eastAsia="zh-CN"/>
        </w:rPr>
        <w:t>青阳县人民政府办公室关于印发青阳县农村产权交易管理办法（试行）的通知</w:t>
      </w:r>
    </w:p>
    <w:p>
      <w:pPr>
        <w:spacing w:line="580" w:lineRule="exact"/>
        <w:jc w:val="center"/>
        <w:rPr>
          <w:rFonts w:ascii="黑体" w:hAnsi="黑体" w:eastAsia="黑体"/>
        </w:rPr>
      </w:pPr>
      <w:r>
        <w:rPr>
          <w:rFonts w:hint="eastAsia" w:ascii="黑体" w:hAnsi="黑体" w:eastAsia="黑体"/>
        </w:rPr>
        <w:t>第一章 总则</w:t>
      </w:r>
    </w:p>
    <w:p>
      <w:pPr>
        <w:spacing w:line="580" w:lineRule="exact"/>
        <w:ind w:firstLine="422" w:firstLineChars="200"/>
        <w:rPr>
          <w:rFonts w:hAnsi="仿宋"/>
        </w:rPr>
      </w:pPr>
      <w:r>
        <w:rPr>
          <w:rFonts w:hint="eastAsia" w:ascii="楷体_GB2312" w:hAnsi="黑体" w:eastAsia="楷体_GB2312"/>
          <w:b/>
        </w:rPr>
        <w:t>第一条</w:t>
      </w:r>
      <w:r>
        <w:rPr>
          <w:rFonts w:hAnsi="仿宋"/>
          <w:b/>
        </w:rPr>
        <w:t xml:space="preserve"> </w:t>
      </w:r>
      <w:r>
        <w:rPr>
          <w:rFonts w:hint="eastAsia" w:hAnsi="仿宋"/>
        </w:rPr>
        <w:t>为培育和发展本县农村产权交易市场，规范农村产权交易行为，推动城乡生产要素流动，优化资源配置，制定本办法。</w:t>
      </w:r>
    </w:p>
    <w:p>
      <w:pPr>
        <w:spacing w:line="580" w:lineRule="exact"/>
        <w:ind w:firstLine="422" w:firstLineChars="200"/>
        <w:rPr>
          <w:rFonts w:hAnsi="仿宋"/>
        </w:rPr>
      </w:pPr>
      <w:r>
        <w:rPr>
          <w:rFonts w:hint="eastAsia" w:ascii="楷体_GB2312" w:hAnsi="黑体" w:eastAsia="楷体_GB2312"/>
          <w:b/>
        </w:rPr>
        <w:t>第二条</w:t>
      </w:r>
      <w:r>
        <w:rPr>
          <w:rFonts w:hAnsi="仿宋"/>
          <w:b/>
        </w:rPr>
        <w:t xml:space="preserve"> </w:t>
      </w:r>
      <w:r>
        <w:rPr>
          <w:rFonts w:hint="eastAsia" w:hAnsi="仿宋"/>
        </w:rPr>
        <w:t>凡在本县从事农村产权交易活动的，适用本办法。</w:t>
      </w:r>
    </w:p>
    <w:p>
      <w:pPr>
        <w:spacing w:line="580" w:lineRule="exact"/>
        <w:ind w:firstLine="422" w:firstLineChars="200"/>
        <w:rPr>
          <w:rFonts w:hAnsi="仿宋"/>
        </w:rPr>
      </w:pPr>
      <w:r>
        <w:rPr>
          <w:rFonts w:hint="eastAsia" w:ascii="楷体_GB2312" w:hAnsi="黑体" w:eastAsia="楷体_GB2312"/>
          <w:b/>
        </w:rPr>
        <w:t>第三条</w:t>
      </w:r>
      <w:r>
        <w:rPr>
          <w:rFonts w:hAnsi="仿宋"/>
          <w:b/>
        </w:rPr>
        <w:t xml:space="preserve"> </w:t>
      </w:r>
      <w:r>
        <w:rPr>
          <w:rFonts w:hint="eastAsia" w:hAnsi="仿宋"/>
        </w:rPr>
        <w:t>农村产权交易应遵守有关法律、法规、规章和政策规定，并遵循下列原则：</w:t>
      </w:r>
    </w:p>
    <w:p>
      <w:pPr>
        <w:spacing w:line="580" w:lineRule="exact"/>
        <w:ind w:firstLine="420" w:firstLineChars="200"/>
        <w:rPr>
          <w:rFonts w:hAnsi="仿宋"/>
        </w:rPr>
      </w:pPr>
      <w:r>
        <w:rPr>
          <w:rFonts w:hint="eastAsia" w:hAnsi="仿宋"/>
        </w:rPr>
        <w:t>（一）依法、自愿、有偿，公开、公平、公正；</w:t>
      </w:r>
    </w:p>
    <w:p>
      <w:pPr>
        <w:spacing w:line="580" w:lineRule="exact"/>
        <w:ind w:firstLine="420" w:firstLineChars="200"/>
        <w:rPr>
          <w:rFonts w:hAnsi="仿宋"/>
        </w:rPr>
      </w:pPr>
      <w:r>
        <w:rPr>
          <w:rFonts w:hint="eastAsia" w:hAnsi="仿宋"/>
        </w:rPr>
        <w:t>（二）城乡统筹发展，节约集约利用农村资源；</w:t>
      </w:r>
    </w:p>
    <w:p>
      <w:pPr>
        <w:spacing w:line="580" w:lineRule="exact"/>
        <w:ind w:firstLine="420" w:firstLineChars="200"/>
        <w:rPr>
          <w:rFonts w:hAnsi="仿宋"/>
        </w:rPr>
      </w:pPr>
      <w:r>
        <w:rPr>
          <w:rFonts w:hint="eastAsia" w:hAnsi="仿宋"/>
        </w:rPr>
        <w:t>（三）保护农村集体经济组织和农民的合法权益；</w:t>
      </w:r>
    </w:p>
    <w:p>
      <w:pPr>
        <w:spacing w:line="580" w:lineRule="exact"/>
        <w:ind w:firstLine="420" w:firstLineChars="200"/>
        <w:rPr>
          <w:rFonts w:hAnsi="仿宋"/>
        </w:rPr>
      </w:pPr>
      <w:r>
        <w:rPr>
          <w:rFonts w:hint="eastAsia" w:hAnsi="仿宋"/>
        </w:rPr>
        <w:t>（四）不得改变农村土地集体所有性质，不得改变农村土地用途，不得损害农民土地承包权益。</w:t>
      </w:r>
    </w:p>
    <w:p>
      <w:pPr>
        <w:spacing w:line="580" w:lineRule="exact"/>
        <w:ind w:firstLine="422" w:firstLineChars="200"/>
        <w:rPr>
          <w:rFonts w:hAnsi="仿宋"/>
        </w:rPr>
      </w:pPr>
      <w:r>
        <w:rPr>
          <w:rFonts w:hint="eastAsia" w:ascii="楷体_GB2312" w:hAnsi="黑体" w:eastAsia="楷体_GB2312"/>
          <w:b/>
        </w:rPr>
        <w:t>第四条</w:t>
      </w:r>
      <w:r>
        <w:rPr>
          <w:rFonts w:hAnsi="仿宋"/>
        </w:rPr>
        <w:t xml:space="preserve"> </w:t>
      </w:r>
      <w:r>
        <w:rPr>
          <w:rFonts w:hint="eastAsia" w:hAnsi="仿宋"/>
        </w:rPr>
        <w:t>本县所辖农村集体产权依法转让、出租、入股或其他方式交易的，在县公共资源交易中心（县农村产权交易中心）进行；鼓励农民个人产权进场交易。</w:t>
      </w:r>
    </w:p>
    <w:p>
      <w:pPr>
        <w:spacing w:line="580" w:lineRule="exact"/>
        <w:ind w:firstLine="420" w:firstLineChars="200"/>
        <w:rPr>
          <w:rFonts w:hAnsi="仿宋"/>
        </w:rPr>
      </w:pPr>
      <w:r>
        <w:rPr>
          <w:rFonts w:hint="eastAsia" w:hAnsi="仿宋"/>
        </w:rPr>
        <w:t>法律、法规另有规定的，从其规定。</w:t>
      </w:r>
    </w:p>
    <w:p>
      <w:pPr>
        <w:spacing w:line="580" w:lineRule="exact"/>
        <w:ind w:firstLine="422" w:firstLineChars="200"/>
        <w:rPr>
          <w:rFonts w:hAnsi="仿宋"/>
        </w:rPr>
      </w:pPr>
      <w:r>
        <w:rPr>
          <w:rFonts w:hint="eastAsia" w:ascii="楷体_GB2312" w:hAnsi="黑体" w:eastAsia="楷体_GB2312"/>
          <w:b/>
        </w:rPr>
        <w:t>第五条</w:t>
      </w:r>
      <w:r>
        <w:rPr>
          <w:rFonts w:hAnsi="仿宋"/>
          <w:b/>
        </w:rPr>
        <w:t xml:space="preserve"> </w:t>
      </w:r>
      <w:r>
        <w:rPr>
          <w:rFonts w:hint="eastAsia" w:hAnsi="仿宋"/>
        </w:rPr>
        <w:t>农村产权交易市场的交易品种：</w:t>
      </w:r>
    </w:p>
    <w:p>
      <w:pPr>
        <w:spacing w:line="580" w:lineRule="exact"/>
        <w:ind w:firstLine="420" w:firstLineChars="200"/>
        <w:rPr>
          <w:rFonts w:hAnsi="仿宋"/>
        </w:rPr>
      </w:pPr>
      <w:r>
        <w:rPr>
          <w:rFonts w:hint="eastAsia" w:hAnsi="仿宋"/>
        </w:rPr>
        <w:t>（一）农村承包土地经营权；</w:t>
      </w:r>
    </w:p>
    <w:p>
      <w:pPr>
        <w:spacing w:line="580" w:lineRule="exact"/>
        <w:ind w:firstLine="420" w:firstLineChars="200"/>
        <w:rPr>
          <w:rFonts w:hAnsi="仿宋"/>
        </w:rPr>
      </w:pPr>
      <w:r>
        <w:rPr>
          <w:rFonts w:hint="eastAsia" w:hAnsi="仿宋"/>
        </w:rPr>
        <w:t>（二）农村集体经济组织“四荒地”使用权；</w:t>
      </w:r>
    </w:p>
    <w:p>
      <w:pPr>
        <w:spacing w:line="580" w:lineRule="exact"/>
        <w:ind w:firstLine="420" w:firstLineChars="200"/>
        <w:rPr>
          <w:rFonts w:hAnsi="仿宋"/>
        </w:rPr>
      </w:pPr>
      <w:r>
        <w:rPr>
          <w:rFonts w:hint="eastAsia" w:hAnsi="仿宋"/>
        </w:rPr>
        <w:t>（三）农村集体经济组织养殖水面承包经营权；</w:t>
      </w:r>
    </w:p>
    <w:p>
      <w:pPr>
        <w:spacing w:line="580" w:lineRule="exact"/>
        <w:ind w:firstLine="420" w:firstLineChars="200"/>
        <w:rPr>
          <w:rFonts w:hAnsi="仿宋"/>
        </w:rPr>
      </w:pPr>
      <w:r>
        <w:rPr>
          <w:rFonts w:hint="eastAsia" w:hAnsi="仿宋"/>
        </w:rPr>
        <w:t>（四）农村集体林地使用权和林木所有权；</w:t>
      </w:r>
    </w:p>
    <w:p>
      <w:pPr>
        <w:spacing w:line="580" w:lineRule="exact"/>
        <w:ind w:firstLine="420" w:firstLineChars="200"/>
        <w:rPr>
          <w:rFonts w:hAnsi="仿宋"/>
        </w:rPr>
      </w:pPr>
      <w:r>
        <w:rPr>
          <w:rFonts w:hint="eastAsia" w:hAnsi="仿宋"/>
        </w:rPr>
        <w:t>（五）农村集体其他资产资源；</w:t>
      </w:r>
    </w:p>
    <w:p>
      <w:pPr>
        <w:spacing w:line="580" w:lineRule="exact"/>
        <w:ind w:firstLine="420" w:firstLineChars="200"/>
        <w:rPr>
          <w:rFonts w:hAnsi="仿宋"/>
        </w:rPr>
      </w:pPr>
      <w:r>
        <w:rPr>
          <w:rFonts w:hint="eastAsia" w:hAnsi="仿宋"/>
        </w:rPr>
        <w:t>（六）农业类知识产权；</w:t>
      </w:r>
    </w:p>
    <w:p>
      <w:pPr>
        <w:spacing w:line="580" w:lineRule="exact"/>
        <w:ind w:firstLine="420" w:firstLineChars="200"/>
        <w:rPr>
          <w:rFonts w:hAnsi="仿宋"/>
        </w:rPr>
      </w:pPr>
      <w:r>
        <w:rPr>
          <w:rFonts w:hint="eastAsia" w:hAnsi="仿宋"/>
        </w:rPr>
        <w:t>（七）法律、法规和政策允许交易的其他品种。</w:t>
      </w:r>
    </w:p>
    <w:p>
      <w:pPr>
        <w:spacing w:line="580" w:lineRule="exact"/>
        <w:jc w:val="center"/>
        <w:rPr>
          <w:rFonts w:ascii="黑体" w:hAnsi="黑体" w:eastAsia="黑体"/>
        </w:rPr>
      </w:pPr>
      <w:r>
        <w:rPr>
          <w:rFonts w:hint="eastAsia" w:ascii="黑体" w:hAnsi="黑体" w:eastAsia="黑体"/>
        </w:rPr>
        <w:t>第二章 交易服务机构</w:t>
      </w:r>
    </w:p>
    <w:p>
      <w:pPr>
        <w:spacing w:line="580" w:lineRule="exact"/>
        <w:ind w:firstLine="422" w:firstLineChars="200"/>
        <w:rPr>
          <w:rFonts w:hAnsi="仿宋"/>
        </w:rPr>
      </w:pPr>
      <w:r>
        <w:rPr>
          <w:rFonts w:hint="eastAsia" w:ascii="楷体_GB2312" w:hAnsi="黑体" w:eastAsia="楷体_GB2312"/>
          <w:b/>
        </w:rPr>
        <w:t>第六条</w:t>
      </w:r>
      <w:r>
        <w:rPr>
          <w:rFonts w:hint="eastAsia" w:hAnsi="仿宋"/>
        </w:rPr>
        <w:t xml:space="preserve"> 县农村产权交易机构职能。</w:t>
      </w:r>
    </w:p>
    <w:p>
      <w:pPr>
        <w:spacing w:line="580" w:lineRule="exact"/>
        <w:ind w:firstLine="420" w:firstLineChars="200"/>
        <w:rPr>
          <w:rFonts w:hAnsi="仿宋"/>
        </w:rPr>
      </w:pPr>
      <w:r>
        <w:rPr>
          <w:rFonts w:hint="eastAsia" w:hAnsi="仿宋"/>
        </w:rPr>
        <w:t>在县公共资源交易中心增挂“县农村产权交易中心”牌子，全县的农村产权交易，由县公共资源交易中心（县农村产权交易中心）办理。</w:t>
      </w:r>
    </w:p>
    <w:p>
      <w:pPr>
        <w:spacing w:line="580" w:lineRule="exact"/>
        <w:ind w:firstLine="420" w:firstLineChars="200"/>
        <w:rPr>
          <w:rFonts w:hAnsi="仿宋"/>
        </w:rPr>
      </w:pPr>
      <w:r>
        <w:rPr>
          <w:rFonts w:hint="eastAsia" w:hAnsi="仿宋"/>
        </w:rPr>
        <w:t>县公共资源交易中心（县农村产权交易中心）负责区域农村产权交易信息发布、组织交易；负责复核经乡镇农村产权交易服务窗口初审并经县相关职能部门出具前置审核意见的农村产权交易项目是否具备进场交易条件；并对乡镇农村产权交易服务窗口业务进行指导、人员培训；开展农村产权交易代理机构、商业银行及抵押贷款公司、评估机构组织进场等相关工作。</w:t>
      </w:r>
    </w:p>
    <w:p>
      <w:pPr>
        <w:spacing w:line="580" w:lineRule="exact"/>
        <w:ind w:firstLine="422" w:firstLineChars="200"/>
        <w:rPr>
          <w:rFonts w:hAnsi="仿宋"/>
        </w:rPr>
      </w:pPr>
      <w:r>
        <w:rPr>
          <w:rFonts w:hint="eastAsia" w:ascii="楷体_GB2312" w:hAnsi="仿宋" w:eastAsia="楷体_GB2312"/>
          <w:b/>
        </w:rPr>
        <w:t>第七条</w:t>
      </w:r>
      <w:r>
        <w:rPr>
          <w:rFonts w:hint="eastAsia" w:hAnsi="仿宋"/>
        </w:rPr>
        <w:t xml:space="preserve"> 乡镇农村产权交易服务平台的搭建与职能。</w:t>
      </w:r>
    </w:p>
    <w:p>
      <w:pPr>
        <w:spacing w:line="580" w:lineRule="exact"/>
        <w:ind w:firstLine="420" w:firstLineChars="200"/>
        <w:rPr>
          <w:rFonts w:hAnsi="仿宋"/>
        </w:rPr>
      </w:pPr>
      <w:r>
        <w:rPr>
          <w:rFonts w:hint="eastAsia" w:hAnsi="仿宋"/>
        </w:rPr>
        <w:t>乡镇依托为民服务中心拓展服务窗口，配齐配强窗口工作人员，并明确村级联络员，优化窗口服务功能，开展农村产权交易的相关服务。</w:t>
      </w:r>
    </w:p>
    <w:p>
      <w:pPr>
        <w:spacing w:line="580" w:lineRule="exact"/>
        <w:ind w:firstLine="420" w:firstLineChars="200"/>
        <w:rPr>
          <w:rFonts w:hAnsi="仿宋"/>
        </w:rPr>
      </w:pPr>
      <w:r>
        <w:rPr>
          <w:rFonts w:hint="eastAsia" w:hAnsi="仿宋"/>
        </w:rPr>
        <w:t>农村产权交易服务窗口工作人员接受县农村产权交易中心的业务指导、培训，负责本区域内农村产权交易信息的收集、整理、上传上报、政策咨询等以及开展县公共资源交易中心（县农村产权交易中心）授权的其他业务。</w:t>
      </w:r>
    </w:p>
    <w:p>
      <w:pPr>
        <w:spacing w:line="580" w:lineRule="exact"/>
        <w:ind w:firstLine="422" w:firstLineChars="200"/>
        <w:rPr>
          <w:rFonts w:hAnsi="仿宋"/>
        </w:rPr>
      </w:pPr>
      <w:r>
        <w:rPr>
          <w:rFonts w:hint="eastAsia" w:ascii="楷体_GB2312" w:hAnsi="仿宋" w:eastAsia="楷体_GB2312"/>
          <w:b/>
        </w:rPr>
        <w:t>第八条</w:t>
      </w:r>
      <w:r>
        <w:rPr>
          <w:rFonts w:hint="eastAsia" w:hAnsi="仿宋"/>
          <w:b/>
        </w:rPr>
        <w:t xml:space="preserve"> </w:t>
      </w:r>
      <w:r>
        <w:rPr>
          <w:rFonts w:hint="eastAsia" w:hAnsi="仿宋"/>
        </w:rPr>
        <w:t>乡镇及相关职能部门负责组织与督促农村集体产权到县农村产权交易市场进行交易，引导农民个人产权进场交易。</w:t>
      </w:r>
    </w:p>
    <w:p>
      <w:pPr>
        <w:spacing w:line="580" w:lineRule="exact"/>
        <w:jc w:val="center"/>
        <w:rPr>
          <w:rFonts w:ascii="黑体" w:hAnsi="黑体" w:eastAsia="黑体"/>
        </w:rPr>
      </w:pPr>
      <w:r>
        <w:rPr>
          <w:rFonts w:hint="eastAsia" w:ascii="黑体" w:hAnsi="黑体" w:eastAsia="黑体"/>
        </w:rPr>
        <w:t>第三章</w:t>
      </w:r>
      <w:r>
        <w:rPr>
          <w:rFonts w:ascii="黑体" w:hAnsi="黑体" w:eastAsia="黑体"/>
        </w:rPr>
        <w:t xml:space="preserve"> </w:t>
      </w:r>
      <w:r>
        <w:rPr>
          <w:rFonts w:hint="eastAsia" w:ascii="黑体" w:hAnsi="黑体" w:eastAsia="黑体"/>
        </w:rPr>
        <w:t>交易方式和程序</w:t>
      </w:r>
    </w:p>
    <w:p>
      <w:pPr>
        <w:spacing w:line="580" w:lineRule="exact"/>
        <w:ind w:firstLine="422" w:firstLineChars="200"/>
        <w:rPr>
          <w:rFonts w:hAnsi="仿宋"/>
        </w:rPr>
      </w:pPr>
      <w:r>
        <w:rPr>
          <w:rFonts w:hint="eastAsia" w:ascii="楷体_GB2312" w:hAnsi="仿宋" w:eastAsia="楷体_GB2312"/>
          <w:b/>
        </w:rPr>
        <w:t>第九条</w:t>
      </w:r>
      <w:r>
        <w:rPr>
          <w:rFonts w:hAnsi="仿宋"/>
          <w:b/>
        </w:rPr>
        <w:t xml:space="preserve"> </w:t>
      </w:r>
      <w:r>
        <w:rPr>
          <w:rFonts w:hint="eastAsia" w:hAnsi="仿宋"/>
        </w:rPr>
        <w:t>农村产权流转交易可以采取协议、竞价、拍卖、招标等方式，也可以采取法律、法规、规章规定的其他方式。</w:t>
      </w:r>
    </w:p>
    <w:p>
      <w:pPr>
        <w:spacing w:line="580" w:lineRule="exact"/>
        <w:ind w:firstLine="422" w:firstLineChars="200"/>
        <w:rPr>
          <w:rFonts w:hAnsi="仿宋"/>
        </w:rPr>
      </w:pPr>
      <w:r>
        <w:rPr>
          <w:rFonts w:hint="eastAsia" w:ascii="楷体_GB2312" w:hAnsi="仿宋" w:eastAsia="楷体_GB2312"/>
          <w:b/>
        </w:rPr>
        <w:t>第十条</w:t>
      </w:r>
      <w:r>
        <w:rPr>
          <w:rFonts w:hAnsi="仿宋"/>
        </w:rPr>
        <w:t xml:space="preserve"> </w:t>
      </w:r>
      <w:r>
        <w:rPr>
          <w:rFonts w:hint="eastAsia" w:hAnsi="仿宋"/>
        </w:rPr>
        <w:t>出让方申请产权交易的，应当提交下列材料：</w:t>
      </w:r>
    </w:p>
    <w:p>
      <w:pPr>
        <w:spacing w:line="580" w:lineRule="exact"/>
        <w:ind w:firstLine="420" w:firstLineChars="200"/>
        <w:rPr>
          <w:rFonts w:hAnsi="仿宋"/>
        </w:rPr>
      </w:pPr>
      <w:r>
        <w:rPr>
          <w:rFonts w:hint="eastAsia" w:hAnsi="仿宋"/>
        </w:rPr>
        <w:t>（一）农村产权交易申请书（转出方）；</w:t>
      </w:r>
    </w:p>
    <w:p>
      <w:pPr>
        <w:spacing w:line="580" w:lineRule="exact"/>
        <w:ind w:firstLine="420" w:firstLineChars="200"/>
        <w:rPr>
          <w:rFonts w:hAnsi="仿宋"/>
        </w:rPr>
      </w:pPr>
      <w:r>
        <w:rPr>
          <w:rFonts w:hint="eastAsia" w:hAnsi="仿宋"/>
        </w:rPr>
        <w:t>（二）转出方资格证明或者其他有效证明；</w:t>
      </w:r>
    </w:p>
    <w:p>
      <w:pPr>
        <w:spacing w:line="580" w:lineRule="exact"/>
        <w:ind w:firstLine="420" w:firstLineChars="200"/>
        <w:rPr>
          <w:rFonts w:hAnsi="仿宋"/>
        </w:rPr>
      </w:pPr>
      <w:r>
        <w:rPr>
          <w:rFonts w:hint="eastAsia" w:hAnsi="仿宋"/>
        </w:rPr>
        <w:t>（三）产权权属的有关证明；</w:t>
      </w:r>
    </w:p>
    <w:p>
      <w:pPr>
        <w:spacing w:line="580" w:lineRule="exact"/>
        <w:ind w:firstLine="420" w:firstLineChars="200"/>
        <w:rPr>
          <w:rFonts w:hAnsi="仿宋"/>
        </w:rPr>
      </w:pPr>
      <w:r>
        <w:rPr>
          <w:rFonts w:hint="eastAsia" w:hAnsi="仿宋"/>
        </w:rPr>
        <w:t>（四）准予产权交易的有关证明；</w:t>
      </w:r>
    </w:p>
    <w:p>
      <w:pPr>
        <w:spacing w:line="580" w:lineRule="exact"/>
        <w:ind w:firstLine="420" w:firstLineChars="200"/>
        <w:rPr>
          <w:rFonts w:hAnsi="仿宋"/>
        </w:rPr>
      </w:pPr>
      <w:r>
        <w:rPr>
          <w:rFonts w:hint="eastAsia" w:hAnsi="仿宋"/>
        </w:rPr>
        <w:t>（五）产权交易标的情况介绍；</w:t>
      </w:r>
    </w:p>
    <w:p>
      <w:pPr>
        <w:spacing w:line="580" w:lineRule="exact"/>
        <w:ind w:firstLine="420" w:firstLineChars="200"/>
        <w:rPr>
          <w:rFonts w:hAnsi="仿宋"/>
        </w:rPr>
      </w:pPr>
      <w:r>
        <w:rPr>
          <w:rFonts w:hint="eastAsia" w:hAnsi="仿宋"/>
        </w:rPr>
        <w:t>（六）标的底价或作价依据；</w:t>
      </w:r>
    </w:p>
    <w:p>
      <w:pPr>
        <w:spacing w:line="580" w:lineRule="exact"/>
        <w:ind w:firstLine="420" w:firstLineChars="200"/>
        <w:rPr>
          <w:rFonts w:hAnsi="仿宋"/>
        </w:rPr>
      </w:pPr>
      <w:r>
        <w:rPr>
          <w:rFonts w:hint="eastAsia" w:hAnsi="仿宋"/>
        </w:rPr>
        <w:t>（七）农村产权交易市场要求提交的其他材料。</w:t>
      </w:r>
    </w:p>
    <w:p>
      <w:pPr>
        <w:spacing w:line="580" w:lineRule="exact"/>
        <w:ind w:firstLine="422" w:firstLineChars="200"/>
        <w:rPr>
          <w:rFonts w:hAnsi="仿宋"/>
        </w:rPr>
      </w:pPr>
      <w:r>
        <w:rPr>
          <w:rFonts w:hint="eastAsia" w:ascii="楷体_GB2312" w:hAnsi="仿宋" w:eastAsia="楷体_GB2312"/>
          <w:b/>
        </w:rPr>
        <w:t>第十一条</w:t>
      </w:r>
      <w:r>
        <w:rPr>
          <w:rFonts w:hAnsi="仿宋"/>
          <w:b/>
        </w:rPr>
        <w:t xml:space="preserve"> </w:t>
      </w:r>
      <w:r>
        <w:rPr>
          <w:rFonts w:hint="eastAsia" w:hAnsi="仿宋"/>
        </w:rPr>
        <w:t>出让方向乡镇农村产权交易服务窗口提交产权交易申请及相关材料，根据产权类型，乡镇相关职能部门负责对产权交易申请及相关材料进行初审，出具初审意见。初审合格后，县相关职能部门对申请材料依法进行审查、产权查档和权属确认，出具前置审核意见。</w:t>
      </w:r>
    </w:p>
    <w:p>
      <w:pPr>
        <w:spacing w:line="580" w:lineRule="exact"/>
        <w:ind w:firstLine="422" w:firstLineChars="200"/>
        <w:rPr>
          <w:rFonts w:hAnsi="仿宋"/>
        </w:rPr>
      </w:pPr>
      <w:r>
        <w:rPr>
          <w:rFonts w:hint="eastAsia" w:ascii="楷体_GB2312" w:hAnsi="仿宋" w:eastAsia="楷体_GB2312"/>
          <w:b/>
        </w:rPr>
        <w:t>第十二条</w:t>
      </w:r>
      <w:r>
        <w:rPr>
          <w:rFonts w:hAnsi="仿宋"/>
          <w:b/>
        </w:rPr>
        <w:t xml:space="preserve"> </w:t>
      </w:r>
      <w:r>
        <w:rPr>
          <w:rFonts w:hint="eastAsia" w:hAnsi="仿宋"/>
        </w:rPr>
        <w:t>通过审核后，出让方向县公共资源交易中心（县农村产权交易中心）提交产权交易申请及相关材料。县公共资源交易中心（县农村产权交易中心）在受理产权交易申请后，对申请材料进行登记。</w:t>
      </w:r>
    </w:p>
    <w:p>
      <w:pPr>
        <w:spacing w:line="580" w:lineRule="exact"/>
        <w:ind w:firstLine="422" w:firstLineChars="200"/>
        <w:rPr>
          <w:rFonts w:hAnsi="仿宋"/>
        </w:rPr>
      </w:pPr>
      <w:r>
        <w:rPr>
          <w:rFonts w:hint="eastAsia" w:ascii="楷体_GB2312" w:hAnsi="仿宋" w:eastAsia="楷体_GB2312"/>
          <w:b/>
        </w:rPr>
        <w:t>第十三条</w:t>
      </w:r>
      <w:r>
        <w:rPr>
          <w:rFonts w:hAnsi="仿宋"/>
          <w:b/>
        </w:rPr>
        <w:t xml:space="preserve"> </w:t>
      </w:r>
      <w:r>
        <w:rPr>
          <w:rFonts w:hint="eastAsia" w:hAnsi="仿宋"/>
        </w:rPr>
        <w:t>县公共资源交易中心（县农村产权交易中心）将审核通过的农村产权交易信息，在县公共资源交易中心（县农村产权交易中心）服务平台上发布公告。</w:t>
      </w:r>
    </w:p>
    <w:p>
      <w:pPr>
        <w:spacing w:line="580" w:lineRule="exact"/>
        <w:ind w:firstLine="420" w:firstLineChars="200"/>
        <w:rPr>
          <w:rFonts w:hAnsi="仿宋"/>
        </w:rPr>
      </w:pPr>
      <w:r>
        <w:rPr>
          <w:rFonts w:hint="eastAsia" w:hAnsi="仿宋"/>
        </w:rPr>
        <w:t>公告发布时间一般不少于</w:t>
      </w:r>
      <w:r>
        <w:rPr>
          <w:rFonts w:hAnsi="仿宋"/>
        </w:rPr>
        <w:t>20</w:t>
      </w:r>
      <w:r>
        <w:rPr>
          <w:rFonts w:hint="eastAsia" w:hAnsi="仿宋"/>
        </w:rPr>
        <w:t>日。</w:t>
      </w:r>
    </w:p>
    <w:p>
      <w:pPr>
        <w:spacing w:line="580" w:lineRule="exact"/>
        <w:ind w:firstLine="422" w:firstLineChars="200"/>
        <w:rPr>
          <w:rFonts w:hAnsi="仿宋"/>
        </w:rPr>
      </w:pPr>
      <w:r>
        <w:rPr>
          <w:rFonts w:hint="eastAsia" w:ascii="楷体_GB2312" w:hAnsi="仿宋" w:eastAsia="楷体_GB2312"/>
          <w:b/>
        </w:rPr>
        <w:t>第十四条</w:t>
      </w:r>
      <w:r>
        <w:rPr>
          <w:rFonts w:hAnsi="仿宋"/>
          <w:b/>
        </w:rPr>
        <w:t xml:space="preserve"> </w:t>
      </w:r>
      <w:r>
        <w:rPr>
          <w:rFonts w:hint="eastAsia" w:hAnsi="仿宋"/>
        </w:rPr>
        <w:t>受让方申请受让产权，应当根据公告提供相关材料，接受农村产权交易市场的资格审查。</w:t>
      </w:r>
    </w:p>
    <w:p>
      <w:pPr>
        <w:spacing w:line="580" w:lineRule="exact"/>
        <w:ind w:firstLine="422" w:firstLineChars="200"/>
        <w:rPr>
          <w:rFonts w:hAnsi="仿宋"/>
        </w:rPr>
      </w:pPr>
      <w:r>
        <w:rPr>
          <w:rFonts w:hint="eastAsia" w:ascii="楷体_GB2312" w:hAnsi="仿宋" w:eastAsia="楷体_GB2312"/>
          <w:b/>
        </w:rPr>
        <w:t>第十五条</w:t>
      </w:r>
      <w:r>
        <w:rPr>
          <w:rFonts w:hAnsi="仿宋"/>
          <w:b/>
        </w:rPr>
        <w:t xml:space="preserve"> </w:t>
      </w:r>
      <w:r>
        <w:rPr>
          <w:rFonts w:hint="eastAsia" w:hAnsi="仿宋"/>
        </w:rPr>
        <w:t>县公共资源交易中心（县农村产权交易中心）依据征集到的受让方情况选择交易方式并组织交易。</w:t>
      </w:r>
    </w:p>
    <w:p>
      <w:pPr>
        <w:spacing w:line="580" w:lineRule="exact"/>
        <w:ind w:firstLine="420" w:firstLineChars="200"/>
        <w:rPr>
          <w:rFonts w:hAnsi="仿宋"/>
        </w:rPr>
      </w:pPr>
      <w:r>
        <w:rPr>
          <w:rFonts w:hint="eastAsia" w:hAnsi="仿宋"/>
        </w:rPr>
        <w:t>（一）在信息发布期满后，征集到一个符合条件的意向受让方的，采取协议方式进行交易；</w:t>
      </w:r>
    </w:p>
    <w:p>
      <w:pPr>
        <w:spacing w:line="580" w:lineRule="exact"/>
        <w:ind w:firstLine="420" w:firstLineChars="200"/>
        <w:rPr>
          <w:rFonts w:hAnsi="仿宋"/>
        </w:rPr>
      </w:pPr>
      <w:r>
        <w:rPr>
          <w:rFonts w:hint="eastAsia" w:hAnsi="仿宋"/>
        </w:rPr>
        <w:t>（二）在信息发布期满后，征集到两个或两个以上符合条件的意向受让方的，根据交易标的具体情况采取竞价、拍卖或招标等方式组织交易。</w:t>
      </w:r>
    </w:p>
    <w:p>
      <w:pPr>
        <w:spacing w:line="580" w:lineRule="exact"/>
        <w:ind w:firstLine="422" w:firstLineChars="200"/>
        <w:rPr>
          <w:rFonts w:hAnsi="仿宋"/>
        </w:rPr>
      </w:pPr>
      <w:r>
        <w:rPr>
          <w:rFonts w:hint="eastAsia" w:ascii="楷体_GB2312" w:hAnsi="仿宋" w:eastAsia="楷体_GB2312"/>
          <w:b/>
        </w:rPr>
        <w:t>第十六条</w:t>
      </w:r>
      <w:r>
        <w:rPr>
          <w:rFonts w:hAnsi="仿宋"/>
          <w:b/>
        </w:rPr>
        <w:t xml:space="preserve"> </w:t>
      </w:r>
      <w:r>
        <w:rPr>
          <w:rFonts w:hint="eastAsia" w:hAnsi="仿宋"/>
        </w:rPr>
        <w:t>出让方与受让方签订产权交易合同，并报县公共资源交易中心（县农村产权交易中心）及时公开交易合同。</w:t>
      </w:r>
    </w:p>
    <w:p>
      <w:pPr>
        <w:spacing w:line="580" w:lineRule="exact"/>
        <w:jc w:val="center"/>
        <w:rPr>
          <w:rFonts w:ascii="黑体" w:hAnsi="黑体" w:eastAsia="黑体"/>
        </w:rPr>
      </w:pPr>
      <w:r>
        <w:rPr>
          <w:rFonts w:hint="eastAsia" w:ascii="黑体" w:hAnsi="黑体" w:eastAsia="黑体"/>
        </w:rPr>
        <w:t>第四章</w:t>
      </w:r>
      <w:r>
        <w:rPr>
          <w:rFonts w:ascii="黑体" w:hAnsi="黑体" w:eastAsia="黑体"/>
        </w:rPr>
        <w:t xml:space="preserve"> </w:t>
      </w:r>
      <w:r>
        <w:rPr>
          <w:rFonts w:hint="eastAsia" w:ascii="黑体" w:hAnsi="黑体" w:eastAsia="黑体"/>
        </w:rPr>
        <w:t>交易的行为规范</w:t>
      </w:r>
    </w:p>
    <w:p>
      <w:pPr>
        <w:spacing w:line="580" w:lineRule="exact"/>
        <w:ind w:firstLine="422" w:firstLineChars="200"/>
        <w:rPr>
          <w:rFonts w:hAnsi="仿宋"/>
        </w:rPr>
      </w:pPr>
      <w:r>
        <w:rPr>
          <w:rFonts w:hint="eastAsia" w:ascii="楷体_GB2312" w:hAnsi="仿宋" w:eastAsia="楷体_GB2312"/>
          <w:b/>
        </w:rPr>
        <w:t>第十七条</w:t>
      </w:r>
      <w:r>
        <w:rPr>
          <w:rFonts w:hint="eastAsia" w:hAnsi="仿宋"/>
          <w:b/>
        </w:rPr>
        <w:t xml:space="preserve"> </w:t>
      </w:r>
      <w:r>
        <w:rPr>
          <w:rFonts w:hint="eastAsia" w:hAnsi="仿宋"/>
        </w:rPr>
        <w:t>农村集体资产的标的底价，民主协商确定或以有资质的评估机构评估值作为依据；标的底价低于评估值的，应当经本集体经济组织成员代表会议三分之二以上成员或者三分之二以上村民代表同意。</w:t>
      </w:r>
    </w:p>
    <w:p>
      <w:pPr>
        <w:spacing w:line="580" w:lineRule="exact"/>
        <w:ind w:firstLine="420" w:firstLineChars="200"/>
        <w:rPr>
          <w:rFonts w:hAnsi="仿宋"/>
        </w:rPr>
      </w:pPr>
      <w:r>
        <w:rPr>
          <w:rFonts w:hint="eastAsia" w:hAnsi="仿宋"/>
        </w:rPr>
        <w:t>农民个人产权交易价格，可由农民自行确定，也可以自行确定评估机构评估。</w:t>
      </w:r>
    </w:p>
    <w:p>
      <w:pPr>
        <w:spacing w:line="580" w:lineRule="exact"/>
        <w:ind w:firstLine="422" w:firstLineChars="200"/>
        <w:rPr>
          <w:rFonts w:hAnsi="仿宋"/>
        </w:rPr>
      </w:pPr>
      <w:r>
        <w:rPr>
          <w:rFonts w:hint="eastAsia" w:ascii="楷体_GB2312" w:hAnsi="仿宋" w:eastAsia="楷体_GB2312"/>
          <w:b/>
        </w:rPr>
        <w:t>第十八条</w:t>
      </w:r>
      <w:r>
        <w:rPr>
          <w:rFonts w:hint="eastAsia" w:hAnsi="仿宋"/>
        </w:rPr>
        <w:t xml:space="preserve"> 产权交易过程中，出现下列情形之一的，经县公共资源交易中心（县农村产权交易中心）确认后中（终）止交易；</w:t>
      </w:r>
    </w:p>
    <w:p>
      <w:pPr>
        <w:spacing w:line="580" w:lineRule="exact"/>
        <w:ind w:firstLine="420" w:firstLineChars="200"/>
        <w:rPr>
          <w:rFonts w:hAnsi="仿宋"/>
        </w:rPr>
      </w:pPr>
      <w:r>
        <w:rPr>
          <w:rFonts w:hint="eastAsia" w:hAnsi="仿宋"/>
        </w:rPr>
        <w:t>（一）产权行政主管部门提出中（终）止交易的；</w:t>
      </w:r>
    </w:p>
    <w:p>
      <w:pPr>
        <w:spacing w:line="580" w:lineRule="exact"/>
        <w:ind w:firstLine="420" w:firstLineChars="200"/>
        <w:rPr>
          <w:rFonts w:hAnsi="仿宋"/>
        </w:rPr>
      </w:pPr>
      <w:r>
        <w:rPr>
          <w:rFonts w:hint="eastAsia" w:hAnsi="仿宋"/>
        </w:rPr>
        <w:t>（二）出让方或与产权有直接关系的第三方提出正当理由，并经产权行政主管部门批准的；</w:t>
      </w:r>
    </w:p>
    <w:p>
      <w:pPr>
        <w:spacing w:line="580" w:lineRule="exact"/>
        <w:ind w:firstLine="420" w:firstLineChars="200"/>
        <w:rPr>
          <w:rFonts w:hAnsi="仿宋"/>
        </w:rPr>
      </w:pPr>
      <w:r>
        <w:rPr>
          <w:rFonts w:hint="eastAsia" w:hAnsi="仿宋"/>
        </w:rPr>
        <w:t>（三）产权存在权属争议的；</w:t>
      </w:r>
    </w:p>
    <w:p>
      <w:pPr>
        <w:spacing w:line="580" w:lineRule="exact"/>
        <w:ind w:firstLine="420" w:firstLineChars="200"/>
        <w:rPr>
          <w:rFonts w:hAnsi="仿宋"/>
        </w:rPr>
      </w:pPr>
      <w:r>
        <w:rPr>
          <w:rFonts w:hint="eastAsia" w:hAnsi="仿宋"/>
        </w:rPr>
        <w:t>（四）县公共资源交易中心（县农村产权交易中心）认为必要并经有关监管部门或机构同意的；</w:t>
      </w:r>
    </w:p>
    <w:p>
      <w:pPr>
        <w:spacing w:line="580" w:lineRule="exact"/>
        <w:ind w:firstLine="420" w:firstLineChars="200"/>
        <w:rPr>
          <w:rFonts w:hAnsi="仿宋"/>
        </w:rPr>
      </w:pPr>
      <w:r>
        <w:rPr>
          <w:rFonts w:hint="eastAsia" w:hAnsi="仿宋"/>
        </w:rPr>
        <w:t>（五）其他依法应当中（终）止交易的情形。</w:t>
      </w:r>
    </w:p>
    <w:p>
      <w:pPr>
        <w:spacing w:line="580" w:lineRule="exact"/>
        <w:ind w:firstLine="422" w:firstLineChars="200"/>
        <w:rPr>
          <w:rFonts w:hAnsi="仿宋"/>
        </w:rPr>
      </w:pPr>
      <w:r>
        <w:rPr>
          <w:rFonts w:hint="eastAsia" w:ascii="楷体_GB2312" w:hAnsi="仿宋" w:eastAsia="楷体_GB2312"/>
          <w:b/>
        </w:rPr>
        <w:t>第十九条</w:t>
      </w:r>
      <w:r>
        <w:rPr>
          <w:rFonts w:hint="eastAsia" w:hAnsi="仿宋"/>
        </w:rPr>
        <w:t xml:space="preserve"> 在产权交易活动中，禁止下列行为：</w:t>
      </w:r>
    </w:p>
    <w:p>
      <w:pPr>
        <w:spacing w:line="580" w:lineRule="exact"/>
        <w:ind w:firstLine="420" w:firstLineChars="200"/>
        <w:rPr>
          <w:rFonts w:hAnsi="仿宋"/>
        </w:rPr>
      </w:pPr>
      <w:r>
        <w:rPr>
          <w:rFonts w:hint="eastAsia" w:hAnsi="仿宋"/>
        </w:rPr>
        <w:t>（一）操纵交易市场或者扰乱交易秩序的；</w:t>
      </w:r>
    </w:p>
    <w:p>
      <w:pPr>
        <w:spacing w:line="580" w:lineRule="exact"/>
        <w:ind w:firstLine="420" w:firstLineChars="200"/>
        <w:rPr>
          <w:rFonts w:hAnsi="仿宋"/>
        </w:rPr>
      </w:pPr>
      <w:r>
        <w:rPr>
          <w:rFonts w:hint="eastAsia" w:hAnsi="仿宋"/>
        </w:rPr>
        <w:t>（二）有损于转出方、受让方进行公平交易的；</w:t>
      </w:r>
    </w:p>
    <w:p>
      <w:pPr>
        <w:spacing w:line="580" w:lineRule="exact"/>
        <w:ind w:firstLine="420" w:firstLineChars="200"/>
        <w:rPr>
          <w:rFonts w:hAnsi="仿宋"/>
        </w:rPr>
      </w:pPr>
      <w:r>
        <w:rPr>
          <w:rFonts w:hint="eastAsia" w:hAnsi="仿宋"/>
        </w:rPr>
        <w:t>（三）法律、法规、规章禁止的其他行为。</w:t>
      </w:r>
    </w:p>
    <w:p>
      <w:pPr>
        <w:spacing w:line="580" w:lineRule="exact"/>
        <w:ind w:firstLine="422" w:firstLineChars="200"/>
        <w:rPr>
          <w:rFonts w:hAnsi="仿宋"/>
        </w:rPr>
      </w:pPr>
      <w:r>
        <w:rPr>
          <w:rFonts w:hint="eastAsia" w:ascii="楷体_GB2312" w:hAnsi="仿宋" w:eastAsia="楷体_GB2312"/>
          <w:b/>
        </w:rPr>
        <w:t>第二十条</w:t>
      </w:r>
      <w:r>
        <w:rPr>
          <w:rFonts w:hAnsi="仿宋"/>
        </w:rPr>
        <w:t xml:space="preserve"> </w:t>
      </w:r>
      <w:r>
        <w:rPr>
          <w:rFonts w:hint="eastAsia" w:hAnsi="仿宋"/>
        </w:rPr>
        <w:t>产权交易的服务收费标准按照国家相关规定执行。</w:t>
      </w:r>
    </w:p>
    <w:p>
      <w:pPr>
        <w:spacing w:line="580" w:lineRule="exact"/>
        <w:ind w:firstLine="422" w:firstLineChars="200"/>
        <w:rPr>
          <w:rFonts w:hAnsi="仿宋"/>
        </w:rPr>
      </w:pPr>
      <w:r>
        <w:rPr>
          <w:rFonts w:hint="eastAsia" w:ascii="楷体_GB2312" w:hAnsi="仿宋" w:eastAsia="楷体_GB2312"/>
          <w:b/>
        </w:rPr>
        <w:t>第二十一条</w:t>
      </w:r>
      <w:r>
        <w:rPr>
          <w:rFonts w:hAnsi="仿宋"/>
          <w:b/>
        </w:rPr>
        <w:t xml:space="preserve"> </w:t>
      </w:r>
      <w:r>
        <w:rPr>
          <w:rFonts w:hint="eastAsia" w:hAnsi="仿宋"/>
        </w:rPr>
        <w:t>交易权益保障</w:t>
      </w:r>
    </w:p>
    <w:p>
      <w:pPr>
        <w:spacing w:line="580" w:lineRule="exact"/>
        <w:ind w:firstLine="420" w:firstLineChars="200"/>
        <w:rPr>
          <w:rFonts w:hAnsi="仿宋"/>
        </w:rPr>
      </w:pPr>
      <w:r>
        <w:rPr>
          <w:rFonts w:hint="eastAsia" w:hAnsi="仿宋"/>
        </w:rPr>
        <w:t>（一）农村集体产权交易须经本集体经济组织成员代表会议讨论通过或者经三分之二以上村民代表的同意，并报乡（镇）人民政府批准；农民个人产权须是本人自愿交易。</w:t>
      </w:r>
    </w:p>
    <w:p>
      <w:pPr>
        <w:spacing w:line="580" w:lineRule="exact"/>
        <w:ind w:firstLine="420" w:firstLineChars="200"/>
        <w:rPr>
          <w:rFonts w:hAnsi="仿宋"/>
        </w:rPr>
      </w:pPr>
      <w:r>
        <w:rPr>
          <w:rFonts w:hint="eastAsia" w:hAnsi="仿宋"/>
        </w:rPr>
        <w:t>（二）农村集体产权的交易，在同等条件下，本集体经济组织成员享有优先受让权。</w:t>
      </w:r>
    </w:p>
    <w:p>
      <w:pPr>
        <w:spacing w:line="580" w:lineRule="exact"/>
        <w:jc w:val="center"/>
        <w:rPr>
          <w:rFonts w:ascii="黑体" w:hAnsi="黑体" w:eastAsia="黑体"/>
        </w:rPr>
      </w:pPr>
      <w:r>
        <w:rPr>
          <w:rFonts w:hint="eastAsia" w:ascii="黑体" w:hAnsi="黑体" w:eastAsia="黑体"/>
        </w:rPr>
        <w:t>第五章</w:t>
      </w:r>
      <w:r>
        <w:rPr>
          <w:rFonts w:ascii="黑体" w:hAnsi="黑体" w:eastAsia="黑体"/>
        </w:rPr>
        <w:t xml:space="preserve"> </w:t>
      </w:r>
      <w:r>
        <w:rPr>
          <w:rFonts w:hint="eastAsia" w:ascii="黑体" w:hAnsi="黑体" w:eastAsia="黑体"/>
        </w:rPr>
        <w:t>监管和争议处理</w:t>
      </w:r>
    </w:p>
    <w:p>
      <w:pPr>
        <w:spacing w:line="580" w:lineRule="exact"/>
        <w:ind w:firstLine="422" w:firstLineChars="200"/>
        <w:rPr>
          <w:rFonts w:hAnsi="仿宋"/>
        </w:rPr>
      </w:pPr>
      <w:r>
        <w:rPr>
          <w:rFonts w:hint="eastAsia" w:ascii="楷体_GB2312" w:hAnsi="仿宋" w:eastAsia="楷体_GB2312"/>
          <w:b/>
        </w:rPr>
        <w:t>第二十二条</w:t>
      </w:r>
      <w:r>
        <w:rPr>
          <w:rFonts w:hAnsi="仿宋"/>
        </w:rPr>
        <w:t xml:space="preserve"> </w:t>
      </w:r>
      <w:r>
        <w:rPr>
          <w:rFonts w:hint="eastAsia" w:hAnsi="仿宋"/>
        </w:rPr>
        <w:t>本办法由县农业委员会、县公共资源交易监督管理局负责解释，并对全县农村产权交易行为实施监督管理。</w:t>
      </w:r>
    </w:p>
    <w:p>
      <w:pPr>
        <w:spacing w:line="580" w:lineRule="exact"/>
        <w:ind w:firstLine="422" w:firstLineChars="200"/>
      </w:pPr>
      <w:r>
        <w:rPr>
          <w:rFonts w:hint="eastAsia" w:ascii="楷体_GB2312" w:hAnsi="仿宋" w:eastAsia="楷体_GB2312"/>
          <w:b/>
        </w:rPr>
        <w:t>笫二十三条</w:t>
      </w:r>
      <w:r>
        <w:rPr>
          <w:rFonts w:hAnsi="仿宋"/>
        </w:rPr>
        <w:t xml:space="preserve"> </w:t>
      </w:r>
      <w:r>
        <w:rPr>
          <w:rFonts w:hint="eastAsia" w:hAnsi="仿宋"/>
        </w:rPr>
        <w:t>本办法自发布之日起实施。</w:t>
      </w:r>
    </w:p>
    <w:p>
      <w:pPr>
        <w:spacing w:line="580" w:lineRule="exact"/>
        <w:ind w:firstLine="420" w:firstLineChars="200"/>
        <w:rPr>
          <w:rFonts w:hint="eastAsia" w:hAnsi="宋体" w:cs="宋体"/>
          <w:lang w:eastAsia="zh-CN"/>
        </w:rPr>
      </w:pPr>
    </w:p>
    <w:p>
      <w:pPr>
        <w:jc w:val="center"/>
        <w:rPr>
          <w:rFonts w:hint="eastAsia" w:asciiTheme="minorEastAsia" w:hAnsiTheme="minorEastAsia" w:cstheme="minorEastAsia"/>
          <w:kern w:val="0"/>
          <w:sz w:val="28"/>
          <w:szCs w:val="28"/>
          <w:shd w:val="clear" w:color="auto" w:fill="FFFFFF"/>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roman"/>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方正大标宋简体">
    <w:altName w:val="Arial Unicode MS"/>
    <w:panose1 w:val="00000000000000000000"/>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A71BEE"/>
    <w:rsid w:val="71A71BE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eastAsia="宋体" w:cs="Courier New"/>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2019-12-02T02:07:00Z</dcterms:created>
  <dc:creator>Administrator</dc:creator>
  <cp:lastModifiedBy>Administrator</cp:lastModifiedBy>
  <dcterms:modified xsi:type="dcterms:W3CDTF">2019-12-02T02:19:23Z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