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2019年第8号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（总第8</w:t>
      </w:r>
      <w:bookmarkStart w:id="0" w:name="_GoBack"/>
      <w:bookmarkEnd w:id="0"/>
      <w:r>
        <w:rPr>
          <w:rFonts w:hint="eastAsia" w:asciiTheme="majorEastAsia" w:hAnsiTheme="majorEastAsia" w:eastAsiaTheme="majorEastAsia" w:cstheme="majorEastAsia"/>
          <w:b/>
          <w:bCs/>
          <w:sz w:val="36"/>
          <w:szCs w:val="36"/>
          <w:lang w:val="en-US" w:eastAsia="zh-CN"/>
        </w:rPr>
        <w:t>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青阳县人民政府关于调整部分县政府负责同志工作分工的通知</w:t>
      </w: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Theme="minorEastAsia" w:hAnsiTheme="minorEastAsia" w:cstheme="minorEastAsia"/>
          <w:kern w:val="0"/>
          <w:sz w:val="28"/>
          <w:szCs w:val="28"/>
          <w:shd w:val="clear" w:color="auto" w:fill="FFFFFF"/>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青阳县人民政府办公室关于印发青阳县矿产品生产与运输综合整治</w:t>
      </w:r>
    </w:p>
    <w:p>
      <w:pPr>
        <w:jc w:val="both"/>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实施方案的通知</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青阳县人民政府办公室关于印发青阳县招商引资项目代办服务工作</w:t>
      </w:r>
    </w:p>
    <w:p>
      <w:pPr>
        <w:pStyle w:val="5"/>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240" w:lineRule="auto"/>
        <w:jc w:val="both"/>
        <w:textAlignment w:val="auto"/>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方案的通知</w:t>
      </w:r>
    </w:p>
    <w:p>
      <w:pPr>
        <w:jc w:val="both"/>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青阳县人民政府关于调整部分县政府负责同志工作分工的通知</w:t>
      </w:r>
    </w:p>
    <w:p>
      <w:pPr>
        <w:spacing w:line="540" w:lineRule="exact"/>
        <w:rPr>
          <w:rFonts w:hint="eastAsia"/>
        </w:rPr>
      </w:pPr>
      <w:r>
        <w:rPr>
          <w:rFonts w:hint="eastAsia"/>
        </w:rPr>
        <w:t>各乡镇人民政府，县经济开发区管委会，县政府各部门、各直属机构，驻青各单位：</w:t>
      </w:r>
    </w:p>
    <w:p>
      <w:pPr>
        <w:spacing w:line="540" w:lineRule="exact"/>
        <w:ind w:firstLine="420" w:firstLineChars="200"/>
        <w:rPr>
          <w:rFonts w:hint="eastAsia"/>
        </w:rPr>
      </w:pPr>
      <w:r>
        <w:rPr>
          <w:rFonts w:hint="eastAsia"/>
        </w:rPr>
        <w:t>鉴于人事变动和工作需要，经研究，决定调整部分县政府负责同志工作分工。现通知如下：</w:t>
      </w:r>
    </w:p>
    <w:p>
      <w:pPr>
        <w:spacing w:line="540" w:lineRule="exact"/>
        <w:ind w:firstLine="420" w:firstLineChars="200"/>
        <w:rPr>
          <w:rFonts w:hint="eastAsia"/>
        </w:rPr>
      </w:pPr>
      <w:r>
        <w:rPr>
          <w:rFonts w:hint="eastAsia" w:ascii="黑体" w:hAnsi="黑体" w:eastAsia="黑体"/>
        </w:rPr>
        <w:t>陈荣亮</w:t>
      </w:r>
      <w:r>
        <w:rPr>
          <w:rFonts w:hint="eastAsia"/>
        </w:rPr>
        <w:t>同志：增加负责退役军人事务工作。</w:t>
      </w:r>
    </w:p>
    <w:p>
      <w:pPr>
        <w:spacing w:line="540" w:lineRule="exact"/>
        <w:ind w:firstLine="420" w:firstLineChars="200"/>
        <w:rPr>
          <w:rFonts w:hint="eastAsia"/>
        </w:rPr>
      </w:pPr>
      <w:r>
        <w:rPr>
          <w:rFonts w:hint="eastAsia"/>
        </w:rPr>
        <w:t>增加分管退役军人事务局。</w:t>
      </w:r>
    </w:p>
    <w:p>
      <w:pPr>
        <w:spacing w:line="540" w:lineRule="exact"/>
        <w:ind w:firstLine="420" w:firstLineChars="200"/>
        <w:rPr>
          <w:rFonts w:hint="eastAsia"/>
        </w:rPr>
      </w:pPr>
      <w:r>
        <w:rPr>
          <w:rFonts w:hint="eastAsia"/>
        </w:rPr>
        <w:t>增加联系人武部及武警中队。</w:t>
      </w:r>
    </w:p>
    <w:p>
      <w:pPr>
        <w:spacing w:line="540" w:lineRule="exact"/>
        <w:ind w:firstLine="420" w:firstLineChars="200"/>
        <w:rPr>
          <w:rFonts w:hint="eastAsia"/>
        </w:rPr>
      </w:pPr>
      <w:r>
        <w:rPr>
          <w:rFonts w:hint="eastAsia" w:ascii="黑体" w:hAnsi="黑体" w:eastAsia="黑体"/>
        </w:rPr>
        <w:t>汤新异</w:t>
      </w:r>
      <w:r>
        <w:rPr>
          <w:rFonts w:hint="eastAsia"/>
        </w:rPr>
        <w:t>同志：增加负责民政、供销、残疾人工作。</w:t>
      </w:r>
    </w:p>
    <w:p>
      <w:pPr>
        <w:spacing w:line="540" w:lineRule="exact"/>
        <w:ind w:firstLine="420" w:firstLineChars="200"/>
        <w:rPr>
          <w:rFonts w:hint="eastAsia"/>
        </w:rPr>
      </w:pPr>
      <w:r>
        <w:rPr>
          <w:rFonts w:hint="eastAsia"/>
        </w:rPr>
        <w:t>增加分管民政局、供销社。</w:t>
      </w:r>
    </w:p>
    <w:p>
      <w:pPr>
        <w:spacing w:line="540" w:lineRule="exact"/>
        <w:ind w:firstLine="420" w:firstLineChars="200"/>
        <w:rPr>
          <w:rFonts w:hint="eastAsia"/>
        </w:rPr>
      </w:pPr>
      <w:r>
        <w:rPr>
          <w:rFonts w:hint="eastAsia"/>
        </w:rPr>
        <w:t>增加联系残联。</w:t>
      </w:r>
    </w:p>
    <w:p>
      <w:pPr>
        <w:spacing w:line="540" w:lineRule="exact"/>
        <w:ind w:firstLine="420" w:firstLineChars="200"/>
        <w:rPr>
          <w:rFonts w:hint="eastAsia"/>
        </w:rPr>
      </w:pPr>
      <w:r>
        <w:rPr>
          <w:rFonts w:hint="eastAsia"/>
        </w:rPr>
        <w:t>其他分工不变。</w:t>
      </w:r>
    </w:p>
    <w:p>
      <w:pPr>
        <w:spacing w:line="540" w:lineRule="exact"/>
      </w:pPr>
    </w:p>
    <w:p>
      <w:pPr>
        <w:spacing w:line="540" w:lineRule="exact"/>
      </w:pPr>
    </w:p>
    <w:p>
      <w:pPr>
        <w:spacing w:line="540" w:lineRule="exact"/>
      </w:pPr>
    </w:p>
    <w:p>
      <w:pPr>
        <w:spacing w:line="540" w:lineRule="exact"/>
        <w:ind w:right="800"/>
        <w:jc w:val="right"/>
        <w:rPr>
          <w:rFonts w:hint="eastAsia"/>
        </w:rPr>
      </w:pPr>
      <w:r>
        <w:rPr>
          <w:rFonts w:hint="eastAsia"/>
        </w:rPr>
        <w:t>青阳县人民政府</w:t>
      </w:r>
    </w:p>
    <w:p>
      <w:pPr>
        <w:jc w:val="center"/>
        <w:rPr>
          <w:rFonts w:hint="eastAsia"/>
        </w:rPr>
      </w:pPr>
      <w:r>
        <w:rPr>
          <w:rFonts w:hint="eastAsia"/>
        </w:rPr>
        <w:t xml:space="preserve">   </w:t>
      </w:r>
      <w:r>
        <w:rPr>
          <w:rFonts w:hint="eastAsia"/>
          <w:lang w:val="en-US" w:eastAsia="zh-CN"/>
        </w:rPr>
        <w:t xml:space="preserve">                                              </w:t>
      </w:r>
      <w:r>
        <w:rPr>
          <w:rFonts w:hint="eastAsia"/>
        </w:rPr>
        <w:t xml:space="preserve"> 2019年8月12日</w:t>
      </w:r>
    </w:p>
    <w:p>
      <w:pPr>
        <w:jc w:val="center"/>
        <w:rPr>
          <w:rFonts w:hint="eastAsia"/>
        </w:rPr>
      </w:pPr>
    </w:p>
    <w:p>
      <w:pPr>
        <w:jc w:val="center"/>
        <w:rPr>
          <w:rFonts w:hint="eastAsia"/>
        </w:rPr>
      </w:pPr>
    </w:p>
    <w:p>
      <w:pPr>
        <w:jc w:val="center"/>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青阳县人民政府办公室关于印发青阳县矿产品生产与运输综合整治</w:t>
      </w:r>
    </w:p>
    <w:p>
      <w:pPr>
        <w:jc w:val="center"/>
        <w:rPr>
          <w:rFonts w:hint="eastAsia" w:asciiTheme="minorEastAsia" w:hAnsiTheme="minorEastAsia" w:cstheme="minorEastAsia"/>
          <w:kern w:val="0"/>
          <w:sz w:val="28"/>
          <w:szCs w:val="28"/>
          <w:shd w:val="clear" w:color="auto" w:fill="FFFFFF"/>
          <w:lang w:eastAsia="zh-CN"/>
        </w:rPr>
      </w:pPr>
      <w:r>
        <w:rPr>
          <w:rFonts w:hint="eastAsia" w:asciiTheme="minorEastAsia" w:hAnsiTheme="minorEastAsia" w:cstheme="minorEastAsia"/>
          <w:kern w:val="0"/>
          <w:sz w:val="28"/>
          <w:szCs w:val="28"/>
          <w:shd w:val="clear" w:color="auto" w:fill="FFFFFF"/>
          <w:lang w:eastAsia="zh-CN"/>
        </w:rPr>
        <w:t>实施方案的通知</w:t>
      </w:r>
    </w:p>
    <w:p>
      <w:pPr>
        <w:spacing w:line="560" w:lineRule="exact"/>
        <w:ind w:firstLine="420" w:firstLineChars="200"/>
        <w:rPr>
          <w:rFonts w:hint="eastAsia" w:hAnsi="仿宋"/>
        </w:rPr>
      </w:pPr>
      <w:r>
        <w:rPr>
          <w:rFonts w:hint="eastAsia" w:hAnsi="仿宋"/>
          <w:color w:val="000000"/>
        </w:rPr>
        <w:t>为加强矿产资源开发监督管理，规范矿山企业生产经营行为，实行矿产品生产与运输全过程监管，根据《中华人民共和国矿产资源法》《安徽省非煤矿山管理条例》《安徽省治理货物运输车辆超限超载条例》《池州市绿色矿山建设管理办法》《池州市矿产品生产与运输综合整治实施方案》等有关法律法规政策规定，结合全县矿产</w:t>
      </w:r>
      <w:r>
        <w:rPr>
          <w:rFonts w:hint="eastAsia" w:hAnsi="仿宋"/>
        </w:rPr>
        <w:t>品生产和运输现状，制定本实施方案。</w:t>
      </w:r>
    </w:p>
    <w:p>
      <w:pPr>
        <w:spacing w:line="560" w:lineRule="exact"/>
        <w:ind w:firstLine="420" w:firstLineChars="200"/>
        <w:rPr>
          <w:rFonts w:hint="eastAsia" w:ascii="黑体" w:eastAsia="黑体"/>
        </w:rPr>
      </w:pPr>
      <w:r>
        <w:rPr>
          <w:rFonts w:hint="eastAsia" w:ascii="黑体" w:eastAsia="黑体"/>
        </w:rPr>
        <w:t>一、工作目标</w:t>
      </w:r>
    </w:p>
    <w:p>
      <w:pPr>
        <w:spacing w:line="560" w:lineRule="exact"/>
        <w:ind w:firstLine="420" w:firstLineChars="200"/>
        <w:rPr>
          <w:rFonts w:hint="eastAsia" w:hAnsi="仿宋"/>
        </w:rPr>
      </w:pPr>
      <w:r>
        <w:rPr>
          <w:rFonts w:hint="eastAsia" w:hAnsi="仿宋"/>
        </w:rPr>
        <w:t>按照“计划管理、绿色生产、安全运输、闭环监控”工作要求，坚持源头管控、属地负责、上下联动、部门协同工作机制</w:t>
      </w:r>
      <w:r>
        <w:rPr>
          <w:rFonts w:hint="eastAsia" w:hAnsi="仿宋"/>
          <w:color w:val="000000"/>
        </w:rPr>
        <w:t>，开展矿产品生产和运输综合整治，着力解决矿产品生产与运输过程中“超采、超载、超速”等突出问题，全面遏制矿山开采超产能生产现象，全面扭转矿产品运输量过度增长造成交通运输环境恶化等被动局面，促进矿产品生产与运输安全有序，确保到2019年8月底前全县矿产品生产和运输秩序明显改善，到12月底前全县矿产品</w:t>
      </w:r>
      <w:r>
        <w:rPr>
          <w:rFonts w:hint="eastAsia" w:hAnsi="仿宋"/>
        </w:rPr>
        <w:t>生产和运输工作步入良性轨道、综合监管长效机制全面运行。</w:t>
      </w:r>
    </w:p>
    <w:p>
      <w:pPr>
        <w:spacing w:line="560" w:lineRule="exact"/>
        <w:ind w:firstLine="420" w:firstLineChars="200"/>
        <w:rPr>
          <w:rFonts w:hint="eastAsia" w:ascii="黑体" w:eastAsia="黑体"/>
        </w:rPr>
      </w:pPr>
      <w:r>
        <w:rPr>
          <w:rFonts w:hint="eastAsia" w:ascii="黑体" w:eastAsia="黑体"/>
        </w:rPr>
        <w:t>二、主要任务</w:t>
      </w:r>
    </w:p>
    <w:p>
      <w:pPr>
        <w:spacing w:line="560" w:lineRule="exact"/>
        <w:ind w:firstLine="422" w:firstLineChars="200"/>
        <w:rPr>
          <w:rFonts w:hint="eastAsia" w:hAnsi="仿宋"/>
        </w:rPr>
      </w:pPr>
      <w:r>
        <w:rPr>
          <w:rFonts w:hint="eastAsia" w:ascii="楷体_GB2312" w:hAnsi="楷体" w:eastAsia="楷体_GB2312"/>
          <w:b/>
        </w:rPr>
        <w:t>（一）依法加强产能监管，落实源头管理措施。</w:t>
      </w:r>
      <w:r>
        <w:rPr>
          <w:rFonts w:hint="eastAsia" w:hAnsi="仿宋"/>
        </w:rPr>
        <w:t>严格按照核定的矿山生产能力，严格控制矿山开采生产总量。要立即全面开展矿山生产能力、开采设计、年度采掘计划执行及其安全生产隐患等情况排查，对超产能开采的矿山，责令停产整改，对因超能生产引发的安全事故，依法从严从重查处；对未超产能开采的矿山，要加强年度采掘计划的监督检查，合理安排矿产品月生产量。要按照“以产定量”的原则，建立经信、交通运输、矿产品管理、公安等部门数据信息交换共享机制，实行矿山生产能力审核与民爆物品供应量联审联批机制，合理核定矿山企业民爆物品用量，倒促矿山企业按采掘计划组织矿产品生产运输。</w:t>
      </w:r>
    </w:p>
    <w:p>
      <w:pPr>
        <w:spacing w:line="560" w:lineRule="exact"/>
        <w:ind w:firstLine="422" w:firstLineChars="200"/>
        <w:rPr>
          <w:rFonts w:hint="eastAsia" w:hAnsi="仿宋"/>
        </w:rPr>
      </w:pPr>
      <w:r>
        <w:rPr>
          <w:rFonts w:hint="eastAsia" w:ascii="楷体_GB2312" w:hAnsi="楷体" w:eastAsia="楷体_GB2312"/>
          <w:b/>
        </w:rPr>
        <w:t>（二）推进绿色矿山创建，规范矿山开采行为。</w:t>
      </w:r>
      <w:r>
        <w:rPr>
          <w:rFonts w:hint="eastAsia" w:hAnsi="仿宋"/>
        </w:rPr>
        <w:t>要强化绿色矿山动态管理，严格绿色矿山建设和验收标准，加大矿山超产能生产、科技治超监管平台联网等方面考核权重。按月开展矿山开采储量动态监测，实时提交矿山采掘工程平面现状图，对越界越层开采违法行为，及时依法查处。严格执行矿产</w:t>
      </w:r>
      <w:r>
        <w:rPr>
          <w:rFonts w:hint="eastAsia" w:hAnsi="仿宋"/>
          <w:color w:val="000000"/>
        </w:rPr>
        <w:t>资源储量年报制度，开展矿产资源开发利用方案执行情况评价，对发现矿山超产能生产的，及时函告经信部门予以处置；对违反开发利用方案进行采矿</w:t>
      </w:r>
      <w:r>
        <w:rPr>
          <w:rFonts w:hint="eastAsia" w:hAnsi="仿宋"/>
        </w:rPr>
        <w:t>活动行为的，限期整改到位，并取消或不予认定绿色矿山。对矿山企业销售情况进行核实，方解石、石灰石、白云石原矿应优先满足本地加工企业需求，原则上原矿不得外售。</w:t>
      </w:r>
    </w:p>
    <w:p>
      <w:pPr>
        <w:spacing w:line="560" w:lineRule="exact"/>
        <w:ind w:firstLine="422" w:firstLineChars="200"/>
        <w:rPr>
          <w:rFonts w:hint="eastAsia" w:hAnsi="仿宋"/>
        </w:rPr>
      </w:pPr>
      <w:r>
        <w:rPr>
          <w:rFonts w:hint="eastAsia" w:ascii="楷体_GB2312" w:hAnsi="楷体" w:eastAsia="楷体_GB2312"/>
          <w:b/>
        </w:rPr>
        <w:t>（三）加强道路运输治理，确保矿产品规范运输。</w:t>
      </w:r>
      <w:r>
        <w:rPr>
          <w:rFonts w:hint="eastAsia"/>
          <w:color w:val="000000"/>
        </w:rPr>
        <w:t>严格落实属地治超主体责任，依托县科技治超监管平台，确保8月15日前全县绿色矿山企业、9月底前其他矿产品企业的源头治超系统称重和视频数据实时上传、联网运行和在线监管，确保货运车辆出场冲洗、覆盖运输，防止行驶过程造成扬尘污染以及泼洒影响道路通行安全。全面推行治超非现场执法，强化交通、公安治超联合执法常态化制度化，在蓉城镇、丁桥镇、酉华镇等乡镇重点路段，加大联合流动检测频次，坚决遏制运输车辆超限超载行为。建立矿产品运输量半月通报制度，定期向县政府及县科技经济信息化局、县自然资源和规划局、县公安局、县税务局等单位通报矿产品运输量信息，各相关单位要及时分析研判、协调联动，采取有针对性整治措施，切实把矿产品运量控制在合理区间。</w:t>
      </w:r>
    </w:p>
    <w:p>
      <w:pPr>
        <w:spacing w:line="560" w:lineRule="exact"/>
        <w:ind w:firstLine="422" w:firstLineChars="200"/>
        <w:rPr>
          <w:rFonts w:hint="eastAsia" w:hAnsi="仿宋"/>
          <w:color w:val="000000"/>
        </w:rPr>
      </w:pPr>
      <w:r>
        <w:rPr>
          <w:rFonts w:hint="eastAsia" w:ascii="楷体_GB2312" w:hAnsi="楷体" w:eastAsia="楷体_GB2312"/>
          <w:b/>
        </w:rPr>
        <w:t>（四）强化交通法规宣传，整治货车交通秩序。</w:t>
      </w:r>
      <w:r>
        <w:rPr>
          <w:rFonts w:hint="eastAsia" w:hAnsi="仿宋"/>
        </w:rPr>
        <w:t>开展“进矿山企业、</w:t>
      </w:r>
      <w:r>
        <w:rPr>
          <w:rFonts w:hint="eastAsia" w:hAnsi="仿宋"/>
          <w:color w:val="000000"/>
        </w:rPr>
        <w:t>进运输企业”交通法规知识宣传活动，增强企业负责人、驾驶员遵章守法的意识，自觉履行交通安全主体责任。加强货运车辆通行管控，明确在上下班和学校放学时段、重要节假日、重大活动期间等特殊时点，在蓉城镇、丁桥镇、酉华镇等乡镇重点路段，实行货车分道限速行驶、增建交通</w:t>
      </w:r>
      <w:r>
        <w:rPr>
          <w:rFonts w:hint="eastAsia" w:hAnsi="仿宋_GB2312" w:cs="仿宋_GB2312"/>
          <w:color w:val="000000"/>
        </w:rPr>
        <w:t>技术监控设施等</w:t>
      </w:r>
      <w:r>
        <w:rPr>
          <w:rFonts w:hint="eastAsia" w:hAnsi="仿宋"/>
          <w:color w:val="000000"/>
        </w:rPr>
        <w:t>管控</w:t>
      </w:r>
      <w:r>
        <w:rPr>
          <w:rFonts w:hint="eastAsia" w:hAnsi="仿宋_GB2312" w:cs="仿宋_GB2312"/>
          <w:color w:val="000000"/>
        </w:rPr>
        <w:t>措施，</w:t>
      </w:r>
      <w:r>
        <w:rPr>
          <w:rFonts w:hint="eastAsia" w:hAnsi="仿宋"/>
          <w:color w:val="000000"/>
        </w:rPr>
        <w:t>依法查处各类交通违法行为</w:t>
      </w:r>
      <w:r>
        <w:rPr>
          <w:rFonts w:hint="eastAsia"/>
          <w:color w:val="000000"/>
        </w:rPr>
        <w:t>，确保矿产品运输安全有序</w:t>
      </w:r>
      <w:r>
        <w:rPr>
          <w:rFonts w:hint="eastAsia" w:hAnsi="仿宋"/>
          <w:color w:val="000000"/>
        </w:rPr>
        <w:t>。</w:t>
      </w:r>
    </w:p>
    <w:p>
      <w:pPr>
        <w:spacing w:line="560" w:lineRule="exact"/>
        <w:ind w:firstLine="422" w:firstLineChars="200"/>
        <w:rPr>
          <w:rFonts w:hint="eastAsia" w:hAnsi="仿宋"/>
        </w:rPr>
      </w:pPr>
      <w:r>
        <w:rPr>
          <w:rFonts w:hint="eastAsia" w:ascii="楷体_GB2312" w:hAnsi="楷体" w:eastAsia="楷体_GB2312"/>
          <w:b/>
        </w:rPr>
        <w:t>（五）开展税收评估核查，依法规范企业纳税。</w:t>
      </w:r>
      <w:r>
        <w:rPr>
          <w:rFonts w:hint="eastAsia" w:hAnsi="仿宋"/>
        </w:rPr>
        <w:t>加强税收法规知识宣传，增强矿山企业依法纳税</w:t>
      </w:r>
      <w:r>
        <w:rPr>
          <w:rFonts w:hint="eastAsia" w:hAnsi="仿宋"/>
          <w:color w:val="000000"/>
        </w:rPr>
        <w:t>意识。依据县交通运输局、县矿管所等部门提供的矿产品运输数据，结合矿山企业纳税申报资料，组织开展税务评估、核查，严厉打击偷税逃税等违法行为。</w:t>
      </w:r>
    </w:p>
    <w:p>
      <w:pPr>
        <w:spacing w:line="560" w:lineRule="exact"/>
        <w:ind w:firstLine="420" w:firstLineChars="200"/>
        <w:rPr>
          <w:rFonts w:hint="eastAsia" w:ascii="黑体" w:eastAsia="黑体"/>
        </w:rPr>
      </w:pPr>
      <w:r>
        <w:rPr>
          <w:rFonts w:hint="eastAsia" w:ascii="黑体" w:eastAsia="黑体"/>
        </w:rPr>
        <w:t>三、保障措施</w:t>
      </w:r>
    </w:p>
    <w:p>
      <w:pPr>
        <w:spacing w:line="560" w:lineRule="exact"/>
        <w:ind w:firstLine="422" w:firstLineChars="200"/>
        <w:rPr>
          <w:rFonts w:hint="eastAsia" w:ascii="楷体" w:hAnsi="楷体" w:eastAsia="楷体"/>
          <w:b/>
        </w:rPr>
      </w:pPr>
      <w:r>
        <w:rPr>
          <w:rFonts w:hint="eastAsia" w:ascii="楷体_GB2312" w:hAnsi="楷体" w:eastAsia="楷体_GB2312"/>
          <w:b/>
        </w:rPr>
        <w:t>（一）加强领导，落实责任。</w:t>
      </w:r>
      <w:r>
        <w:rPr>
          <w:rFonts w:hint="eastAsia" w:hAnsi="仿宋"/>
        </w:rPr>
        <w:t>建立由县政府主要负责同志为总召集人、县政府相关负责同志为召集人，有关乡镇、有关部门主要负责同志为成员的联席会议制度（名单附后），原则上每月召开一次，通报上月全县矿产品生产运输管控情况，研究部署下月工作重点。</w:t>
      </w:r>
      <w:r>
        <w:rPr>
          <w:rFonts w:hint="eastAsia" w:hAnsi="仿宋"/>
          <w:color w:val="000000"/>
        </w:rPr>
        <w:t>涉矿乡镇要</w:t>
      </w:r>
      <w:r>
        <w:rPr>
          <w:rFonts w:hint="eastAsia" w:hAnsi="仿宋"/>
        </w:rPr>
        <w:t>政府主要负责同志要亲自抓，分管负责同志要具体抓，定方案、定专班、定责任，分片包保、一抓到底。要严格落实属地管理责任，全面实施网格化管理，引导矿山企业规范生产、有序运输，督促各矿山企业强化依法办矿、绿色发展意识，全面履行主体责任。</w:t>
      </w:r>
    </w:p>
    <w:p>
      <w:pPr>
        <w:spacing w:line="560" w:lineRule="exact"/>
        <w:ind w:firstLine="422" w:firstLineChars="200"/>
        <w:rPr>
          <w:rFonts w:hint="eastAsia" w:hAnsi="仿宋"/>
        </w:rPr>
      </w:pPr>
      <w:r>
        <w:rPr>
          <w:rFonts w:hint="eastAsia" w:ascii="楷体_GB2312" w:hAnsi="楷体" w:eastAsia="楷体_GB2312"/>
          <w:b/>
        </w:rPr>
        <w:t>（二）严明纪律，追责问责。</w:t>
      </w:r>
      <w:r>
        <w:rPr>
          <w:rFonts w:hint="eastAsia" w:hAnsi="仿宋"/>
          <w:color w:val="000000"/>
        </w:rPr>
        <w:t>各乡镇、各</w:t>
      </w:r>
      <w:r>
        <w:rPr>
          <w:rFonts w:hint="eastAsia" w:hAnsi="仿宋"/>
        </w:rPr>
        <w:t>职能部门在矿产品生产与运输综合整治中要严明纪律、履职尽责。对综合整治过程中发现的问题，要严肃查处，对涉嫌违法行为的，要严肃查处到位；要坚决杜绝监管工作中不作为、慢作为和乱作为，严防发现问题迟报瞒报不报、大问题轻处理等现象发生，对履职不力、配合缺位、作风不实的单位及责任人，依规依纪依法追责问责。要坚持公正监管，决不允许搞选择性执法、任性执法，决不允许刁难企业和群众，切实维护企业合法权益。</w:t>
      </w:r>
    </w:p>
    <w:p>
      <w:pPr>
        <w:spacing w:line="560" w:lineRule="exact"/>
        <w:ind w:firstLine="422" w:firstLineChars="200"/>
        <w:rPr>
          <w:rFonts w:hint="eastAsia" w:hAnsi="仿宋"/>
        </w:rPr>
      </w:pPr>
      <w:r>
        <w:rPr>
          <w:rFonts w:hint="eastAsia" w:ascii="楷体_GB2312" w:hAnsi="楷体" w:eastAsia="楷体_GB2312"/>
          <w:b/>
        </w:rPr>
        <w:t>（三）强化宣传，营造氛围。</w:t>
      </w:r>
      <w:r>
        <w:rPr>
          <w:rFonts w:hint="eastAsia" w:hAnsi="仿宋"/>
          <w:color w:val="000000"/>
        </w:rPr>
        <w:t>各乡镇政府</w:t>
      </w:r>
      <w:r>
        <w:rPr>
          <w:rFonts w:hint="eastAsia" w:hAnsi="仿宋"/>
        </w:rPr>
        <w:t>、各相关职能部门要充分发挥新闻媒体宣传引导、舆论监督作用，深入矿山生产一线、交通运输一线、整治现场一线，加大矿产品生产、运输综合整治正反典型报道力度，充分调动广大干部群众和社会各界支持和参与此项整治行动的积极性、主动性和创造性，营造齐抓共管、全民参与的浓厚氛围。</w:t>
      </w:r>
    </w:p>
    <w:p>
      <w:pPr>
        <w:spacing w:line="540" w:lineRule="exact"/>
        <w:ind w:firstLine="315" w:firstLineChars="150"/>
        <w:rPr>
          <w:rFonts w:hint="eastAsia" w:hAnsi="仿宋"/>
        </w:rPr>
      </w:pPr>
    </w:p>
    <w:p>
      <w:pPr>
        <w:spacing w:line="540" w:lineRule="exact"/>
        <w:ind w:firstLine="315" w:firstLineChars="150"/>
        <w:rPr>
          <w:rFonts w:hint="eastAsia" w:hAnsi="仿宋"/>
        </w:rPr>
      </w:pPr>
      <w:r>
        <w:rPr>
          <w:rFonts w:hint="eastAsia" w:hAnsi="仿宋"/>
        </w:rPr>
        <w:t>附件：1.青阳县</w:t>
      </w:r>
      <w:r>
        <w:rPr>
          <w:rFonts w:hint="eastAsia" w:hAnsi="仿宋"/>
          <w:spacing w:val="-6"/>
        </w:rPr>
        <w:t>矿产品生产与运输综合整治联席会议成员名单</w:t>
      </w:r>
    </w:p>
    <w:p>
      <w:pPr>
        <w:spacing w:line="540" w:lineRule="exact"/>
        <w:ind w:firstLine="945" w:firstLineChars="450"/>
        <w:rPr>
          <w:rFonts w:hint="eastAsia" w:hAnsi="仿宋"/>
        </w:rPr>
      </w:pPr>
      <w:r>
        <w:rPr>
          <w:rFonts w:hint="eastAsia" w:hAnsi="仿宋"/>
        </w:rPr>
        <w:t>2.</w:t>
      </w:r>
      <w:r>
        <w:rPr>
          <w:rFonts w:hint="eastAsia" w:hAnsi="仿宋"/>
          <w:color w:val="000000"/>
        </w:rPr>
        <w:t>青阳县矿产品生产与运</w:t>
      </w:r>
      <w:r>
        <w:rPr>
          <w:rFonts w:hint="eastAsia" w:hAnsi="仿宋"/>
        </w:rPr>
        <w:t>输综合整治工作任务清单</w:t>
      </w:r>
    </w:p>
    <w:p>
      <w:pPr>
        <w:spacing w:line="580" w:lineRule="exact"/>
        <w:rPr>
          <w:rFonts w:hint="eastAsia" w:ascii="黑体" w:hAnsi="黑体" w:eastAsia="黑体"/>
        </w:rPr>
      </w:pPr>
    </w:p>
    <w:p>
      <w:pPr>
        <w:spacing w:line="580" w:lineRule="exact"/>
        <w:rPr>
          <w:rFonts w:hint="eastAsia" w:ascii="黑体" w:hAnsi="黑体" w:eastAsia="黑体"/>
        </w:rPr>
      </w:pPr>
    </w:p>
    <w:p>
      <w:pPr>
        <w:spacing w:line="580" w:lineRule="exact"/>
        <w:rPr>
          <w:rFonts w:hint="eastAsia" w:ascii="黑体" w:hAnsi="黑体" w:eastAsia="黑体"/>
          <w:color w:val="000000"/>
          <w:sz w:val="44"/>
          <w:szCs w:val="44"/>
        </w:rPr>
      </w:pPr>
      <w:r>
        <w:rPr>
          <w:rFonts w:hint="eastAsia" w:ascii="黑体" w:hAnsi="黑体" w:eastAsia="黑体"/>
        </w:rPr>
        <w:t>附件1</w:t>
      </w:r>
    </w:p>
    <w:p>
      <w:pPr>
        <w:spacing w:line="540" w:lineRule="exact"/>
        <w:ind w:firstLine="297" w:firstLineChars="150"/>
        <w:jc w:val="center"/>
        <w:rPr>
          <w:rFonts w:hint="eastAsia" w:hAnsi="仿宋"/>
          <w:spacing w:val="-6"/>
        </w:rPr>
      </w:pPr>
      <w:r>
        <w:rPr>
          <w:rFonts w:hint="eastAsia" w:hAnsi="仿宋"/>
          <w:spacing w:val="-6"/>
        </w:rPr>
        <w:t>青阳县矿产品生产与运输综合整治联席会议成员名单</w:t>
      </w:r>
    </w:p>
    <w:p>
      <w:pPr>
        <w:autoSpaceDE w:val="0"/>
        <w:spacing w:line="590" w:lineRule="exact"/>
        <w:rPr>
          <w:rFonts w:hint="eastAsia" w:hAnsi="仿宋"/>
        </w:rPr>
      </w:pPr>
    </w:p>
    <w:p>
      <w:pPr>
        <w:autoSpaceDE w:val="0"/>
        <w:spacing w:line="600" w:lineRule="exact"/>
        <w:ind w:firstLine="420" w:firstLineChars="200"/>
        <w:rPr>
          <w:rFonts w:hint="eastAsia" w:hAnsi="仿宋"/>
        </w:rPr>
      </w:pPr>
      <w:r>
        <w:rPr>
          <w:rFonts w:hint="eastAsia" w:ascii="黑体" w:hAnsi="黑体" w:eastAsia="黑体"/>
        </w:rPr>
        <w:t>总召集人：</w:t>
      </w:r>
      <w:r>
        <w:rPr>
          <w:rFonts w:hint="eastAsia" w:hAnsi="仿宋"/>
          <w:color w:val="000000"/>
        </w:rPr>
        <w:t>巩文生</w:t>
      </w:r>
    </w:p>
    <w:p>
      <w:pPr>
        <w:autoSpaceDE w:val="0"/>
        <w:spacing w:line="600" w:lineRule="exact"/>
        <w:ind w:firstLine="420" w:firstLineChars="200"/>
        <w:rPr>
          <w:rFonts w:hint="eastAsia" w:hAnsi="仿宋"/>
        </w:rPr>
      </w:pPr>
      <w:r>
        <w:rPr>
          <w:rFonts w:hint="eastAsia" w:ascii="黑体" w:hAnsi="黑体" w:eastAsia="黑体"/>
        </w:rPr>
        <w:t>召 集 人：</w:t>
      </w:r>
      <w:r>
        <w:rPr>
          <w:rFonts w:hint="eastAsia" w:hAnsi="仿宋"/>
        </w:rPr>
        <w:t>朱智龙</w:t>
      </w:r>
    </w:p>
    <w:p>
      <w:pPr>
        <w:autoSpaceDE w:val="0"/>
        <w:spacing w:line="600" w:lineRule="exact"/>
        <w:ind w:firstLine="420" w:firstLineChars="200"/>
        <w:jc w:val="left"/>
        <w:rPr>
          <w:rFonts w:hint="eastAsia" w:hAnsi="仿宋"/>
          <w:color w:val="000000"/>
        </w:rPr>
      </w:pPr>
      <w:r>
        <w:rPr>
          <w:rFonts w:hint="eastAsia" w:ascii="黑体" w:hAnsi="黑体" w:eastAsia="黑体"/>
        </w:rPr>
        <w:t>成    员：</w:t>
      </w:r>
      <w:r>
        <w:rPr>
          <w:rFonts w:hint="eastAsia" w:hAnsi="仿宋"/>
          <w:color w:val="000000"/>
        </w:rPr>
        <w:t>李思文   县政府办公室主任</w:t>
      </w:r>
    </w:p>
    <w:p>
      <w:pPr>
        <w:autoSpaceDE w:val="0"/>
        <w:spacing w:line="600" w:lineRule="exact"/>
        <w:ind w:firstLine="1470" w:firstLineChars="700"/>
        <w:jc w:val="left"/>
        <w:rPr>
          <w:rFonts w:hint="eastAsia"/>
          <w:color w:val="000000"/>
        </w:rPr>
      </w:pPr>
      <w:r>
        <w:rPr>
          <w:rFonts w:hint="eastAsia"/>
          <w:color w:val="000000"/>
        </w:rPr>
        <w:t>袁  伟   县科技经信局局长</w:t>
      </w:r>
    </w:p>
    <w:p>
      <w:pPr>
        <w:autoSpaceDE w:val="0"/>
        <w:spacing w:line="600" w:lineRule="exact"/>
        <w:ind w:firstLine="1470" w:firstLineChars="700"/>
        <w:jc w:val="left"/>
        <w:rPr>
          <w:rFonts w:hint="eastAsia"/>
          <w:color w:val="000000"/>
        </w:rPr>
      </w:pPr>
      <w:r>
        <w:rPr>
          <w:rFonts w:hint="eastAsia"/>
          <w:color w:val="000000"/>
        </w:rPr>
        <w:t>吴智生   县公安局副局长</w:t>
      </w:r>
    </w:p>
    <w:p>
      <w:pPr>
        <w:autoSpaceDE w:val="0"/>
        <w:spacing w:line="600" w:lineRule="exact"/>
        <w:ind w:firstLine="1470" w:firstLineChars="700"/>
        <w:jc w:val="left"/>
        <w:rPr>
          <w:rFonts w:hint="eastAsia" w:hAnsi="仿宋"/>
          <w:color w:val="000000"/>
        </w:rPr>
      </w:pPr>
      <w:r>
        <w:rPr>
          <w:rFonts w:hint="eastAsia"/>
          <w:color w:val="000000"/>
        </w:rPr>
        <w:t>王  华   县自然资源和规划局局长</w:t>
      </w:r>
    </w:p>
    <w:p>
      <w:pPr>
        <w:autoSpaceDE w:val="0"/>
        <w:spacing w:line="600" w:lineRule="exact"/>
        <w:ind w:firstLine="1470" w:firstLineChars="700"/>
        <w:jc w:val="left"/>
        <w:rPr>
          <w:rFonts w:hint="eastAsia"/>
          <w:color w:val="000000"/>
        </w:rPr>
      </w:pPr>
      <w:r>
        <w:rPr>
          <w:rFonts w:hint="eastAsia"/>
          <w:color w:val="000000"/>
        </w:rPr>
        <w:t>疏  勇   县交通运输局局长</w:t>
      </w:r>
    </w:p>
    <w:p>
      <w:pPr>
        <w:autoSpaceDE w:val="0"/>
        <w:spacing w:line="600" w:lineRule="exact"/>
        <w:ind w:firstLine="1470" w:firstLineChars="700"/>
        <w:jc w:val="left"/>
        <w:rPr>
          <w:rFonts w:hint="eastAsia"/>
          <w:color w:val="000000"/>
        </w:rPr>
      </w:pPr>
      <w:r>
        <w:rPr>
          <w:rFonts w:hint="eastAsia"/>
          <w:color w:val="000000"/>
        </w:rPr>
        <w:t>汪来发   县农业农村水利局局长</w:t>
      </w:r>
    </w:p>
    <w:p>
      <w:pPr>
        <w:autoSpaceDE w:val="0"/>
        <w:spacing w:line="600" w:lineRule="exact"/>
        <w:ind w:firstLine="1470" w:firstLineChars="700"/>
        <w:jc w:val="left"/>
        <w:rPr>
          <w:rFonts w:hint="eastAsia"/>
          <w:color w:val="000000"/>
        </w:rPr>
      </w:pPr>
      <w:r>
        <w:rPr>
          <w:rFonts w:hint="eastAsia"/>
          <w:color w:val="000000"/>
        </w:rPr>
        <w:t>王  伟   县应急管理局局长</w:t>
      </w:r>
    </w:p>
    <w:p>
      <w:pPr>
        <w:autoSpaceDE w:val="0"/>
        <w:spacing w:line="600" w:lineRule="exact"/>
        <w:ind w:firstLine="1470" w:firstLineChars="700"/>
        <w:rPr>
          <w:rFonts w:hint="eastAsia"/>
          <w:color w:val="000000"/>
        </w:rPr>
      </w:pPr>
      <w:r>
        <w:rPr>
          <w:rFonts w:hint="eastAsia"/>
          <w:color w:val="000000"/>
        </w:rPr>
        <w:t>韩  林   县林业局局长</w:t>
      </w:r>
    </w:p>
    <w:p>
      <w:pPr>
        <w:autoSpaceDE w:val="0"/>
        <w:spacing w:line="600" w:lineRule="exact"/>
        <w:ind w:firstLine="1470" w:firstLineChars="700"/>
        <w:jc w:val="left"/>
        <w:rPr>
          <w:rFonts w:hint="eastAsia"/>
          <w:color w:val="000000"/>
        </w:rPr>
      </w:pPr>
      <w:r>
        <w:rPr>
          <w:rFonts w:hint="eastAsia"/>
          <w:color w:val="000000"/>
        </w:rPr>
        <w:t>孙  利   县环保局局长</w:t>
      </w:r>
    </w:p>
    <w:p>
      <w:pPr>
        <w:autoSpaceDE w:val="0"/>
        <w:spacing w:line="600" w:lineRule="exact"/>
        <w:ind w:firstLine="1470" w:firstLineChars="700"/>
        <w:jc w:val="left"/>
        <w:rPr>
          <w:rFonts w:hint="eastAsia"/>
          <w:color w:val="000000"/>
        </w:rPr>
      </w:pPr>
      <w:r>
        <w:rPr>
          <w:rFonts w:hint="eastAsia"/>
          <w:color w:val="000000"/>
        </w:rPr>
        <w:t>廖  军   县税务局局长</w:t>
      </w:r>
    </w:p>
    <w:p>
      <w:pPr>
        <w:autoSpaceDE w:val="0"/>
        <w:spacing w:line="600" w:lineRule="exact"/>
        <w:ind w:firstLine="1470" w:firstLineChars="700"/>
        <w:rPr>
          <w:rFonts w:hint="eastAsia"/>
          <w:color w:val="000000"/>
        </w:rPr>
      </w:pPr>
      <w:r>
        <w:rPr>
          <w:rFonts w:hint="eastAsia"/>
          <w:color w:val="000000"/>
        </w:rPr>
        <w:t>徐宏胜   县矿管所所长</w:t>
      </w:r>
    </w:p>
    <w:p>
      <w:pPr>
        <w:autoSpaceDE w:val="0"/>
        <w:spacing w:line="600" w:lineRule="exact"/>
        <w:ind w:firstLine="1470" w:firstLineChars="700"/>
        <w:rPr>
          <w:rFonts w:hint="eastAsia"/>
          <w:color w:val="000000"/>
        </w:rPr>
      </w:pPr>
      <w:r>
        <w:rPr>
          <w:rFonts w:hint="eastAsia"/>
          <w:color w:val="000000"/>
        </w:rPr>
        <w:t>黄娜娜   蓉城镇政府镇长</w:t>
      </w:r>
    </w:p>
    <w:p>
      <w:pPr>
        <w:autoSpaceDE w:val="0"/>
        <w:spacing w:line="600" w:lineRule="exact"/>
        <w:ind w:firstLine="1470" w:firstLineChars="700"/>
        <w:rPr>
          <w:rFonts w:hint="eastAsia"/>
          <w:color w:val="000000"/>
        </w:rPr>
      </w:pPr>
      <w:r>
        <w:rPr>
          <w:rFonts w:hint="eastAsia"/>
          <w:color w:val="000000"/>
        </w:rPr>
        <w:t>吴士衡   杨田镇政府镇长</w:t>
      </w:r>
    </w:p>
    <w:p>
      <w:pPr>
        <w:autoSpaceDE w:val="0"/>
        <w:spacing w:line="600" w:lineRule="exact"/>
        <w:ind w:firstLine="1470" w:firstLineChars="700"/>
        <w:rPr>
          <w:rFonts w:hint="eastAsia"/>
          <w:color w:val="000000"/>
        </w:rPr>
      </w:pPr>
      <w:r>
        <w:rPr>
          <w:rFonts w:hint="eastAsia"/>
          <w:color w:val="000000"/>
        </w:rPr>
        <w:t>甘正华   陵阳镇政府镇长</w:t>
      </w:r>
    </w:p>
    <w:p>
      <w:pPr>
        <w:autoSpaceDE w:val="0"/>
        <w:spacing w:line="600" w:lineRule="exact"/>
        <w:ind w:firstLine="1470" w:firstLineChars="700"/>
        <w:rPr>
          <w:rFonts w:hint="eastAsia"/>
          <w:color w:val="000000"/>
        </w:rPr>
      </w:pPr>
      <w:r>
        <w:rPr>
          <w:rFonts w:hint="eastAsia"/>
          <w:color w:val="000000"/>
        </w:rPr>
        <w:t>翟建民   木镇镇政府镇长</w:t>
      </w:r>
    </w:p>
    <w:p>
      <w:pPr>
        <w:autoSpaceDE w:val="0"/>
        <w:spacing w:line="600" w:lineRule="exact"/>
        <w:ind w:firstLine="1470" w:firstLineChars="700"/>
        <w:rPr>
          <w:rFonts w:hint="eastAsia"/>
          <w:color w:val="000000"/>
        </w:rPr>
      </w:pPr>
      <w:r>
        <w:rPr>
          <w:rFonts w:hint="eastAsia"/>
          <w:color w:val="000000"/>
        </w:rPr>
        <w:t>张  勇   丁桥镇政府镇长</w:t>
      </w:r>
    </w:p>
    <w:p>
      <w:pPr>
        <w:autoSpaceDE w:val="0"/>
        <w:spacing w:line="600" w:lineRule="exact"/>
        <w:ind w:firstLine="1470" w:firstLineChars="700"/>
        <w:rPr>
          <w:rFonts w:hint="eastAsia"/>
          <w:color w:val="000000"/>
        </w:rPr>
      </w:pPr>
      <w:r>
        <w:rPr>
          <w:rFonts w:hint="eastAsia"/>
          <w:color w:val="000000"/>
        </w:rPr>
        <w:t>江明星   乔木乡政府乡长</w:t>
      </w:r>
    </w:p>
    <w:p>
      <w:pPr>
        <w:autoSpaceDE w:val="0"/>
        <w:spacing w:line="600" w:lineRule="exact"/>
        <w:ind w:firstLine="1470" w:firstLineChars="700"/>
        <w:rPr>
          <w:rFonts w:hint="eastAsia"/>
          <w:color w:val="000000"/>
        </w:rPr>
      </w:pPr>
      <w:r>
        <w:rPr>
          <w:rFonts w:hint="eastAsia"/>
          <w:color w:val="000000"/>
        </w:rPr>
        <w:t>汪兴华   酉华镇政府镇长</w:t>
      </w:r>
    </w:p>
    <w:p>
      <w:pPr>
        <w:spacing w:line="600" w:lineRule="exact"/>
        <w:ind w:firstLine="420" w:firstLineChars="200"/>
        <w:rPr>
          <w:rFonts w:hint="eastAsia" w:ascii="Times New Roman" w:eastAsia="宋体"/>
          <w:sz w:val="21"/>
          <w:szCs w:val="21"/>
        </w:rPr>
      </w:pPr>
      <w:r>
        <w:rPr>
          <w:rFonts w:hint="eastAsia" w:hAnsi="仿宋"/>
          <w:color w:val="000000"/>
        </w:rPr>
        <w:t>联席会议办公室设在县自然资源和规划局，王华同志兼任办公室主任，</w:t>
      </w:r>
      <w:r>
        <w:rPr>
          <w:rFonts w:hint="eastAsia"/>
          <w:color w:val="000000"/>
        </w:rPr>
        <w:t>吴成明同志</w:t>
      </w:r>
      <w:r>
        <w:rPr>
          <w:rFonts w:hint="eastAsia" w:hAnsi="仿宋"/>
          <w:color w:val="000000"/>
        </w:rPr>
        <w:t>任办公室副主任。</w:t>
      </w:r>
    </w:p>
    <w:p>
      <w:pPr>
        <w:spacing w:line="580" w:lineRule="exact"/>
        <w:jc w:val="left"/>
        <w:rPr>
          <w:rFonts w:hint="eastAsia" w:ascii="黑体" w:hAnsi="黑体" w:eastAsia="黑体"/>
        </w:rPr>
      </w:pPr>
    </w:p>
    <w:p>
      <w:pPr>
        <w:spacing w:line="600" w:lineRule="exact"/>
        <w:jc w:val="left"/>
        <w:rPr>
          <w:rFonts w:ascii="黑体" w:hAnsi="黑体" w:eastAsia="黑体"/>
        </w:rPr>
        <w:sectPr>
          <w:headerReference r:id="rId3" w:type="default"/>
          <w:footerReference r:id="rId4" w:type="default"/>
          <w:footerReference r:id="rId5" w:type="even"/>
          <w:pgSz w:w="11906" w:h="16838"/>
          <w:pgMar w:top="1814" w:right="1418" w:bottom="1418" w:left="1503" w:header="851" w:footer="1701" w:gutter="0"/>
          <w:cols w:space="425" w:num="1"/>
          <w:docGrid w:linePitch="435" w:charSpace="0"/>
        </w:sectPr>
      </w:pPr>
    </w:p>
    <w:p>
      <w:pPr>
        <w:spacing w:line="600" w:lineRule="exact"/>
        <w:jc w:val="left"/>
        <w:rPr>
          <w:rFonts w:hint="eastAsia" w:ascii="黑体" w:hAnsi="黑体" w:eastAsia="黑体"/>
        </w:rPr>
      </w:pPr>
      <w:r>
        <w:rPr>
          <w:rFonts w:hint="eastAsia" w:ascii="黑体" w:hAnsi="黑体" w:eastAsia="黑体"/>
        </w:rPr>
        <w:t>附件2</w:t>
      </w:r>
    </w:p>
    <w:p>
      <w:pPr>
        <w:widowControl/>
        <w:spacing w:line="400" w:lineRule="exact"/>
        <w:jc w:val="center"/>
        <w:textAlignment w:val="center"/>
        <w:rPr>
          <w:rFonts w:hint="eastAsia" w:ascii="宋体" w:hAnsi="宋体" w:cs="宋体"/>
          <w:b/>
          <w:bCs/>
          <w:color w:val="000000"/>
          <w:kern w:val="0"/>
          <w:sz w:val="28"/>
          <w:szCs w:val="28"/>
          <w:lang w:bidi="ar"/>
        </w:rPr>
      </w:pPr>
      <w:r>
        <w:rPr>
          <w:rFonts w:hint="eastAsia" w:ascii="宋体" w:hAnsi="宋体" w:cs="宋体"/>
          <w:b/>
          <w:bCs/>
          <w:color w:val="000000"/>
          <w:kern w:val="0"/>
          <w:sz w:val="28"/>
          <w:szCs w:val="28"/>
          <w:lang w:bidi="ar"/>
        </w:rPr>
        <w:t>青阳县矿产品生产与运输综合整治工作任务清单</w:t>
      </w:r>
    </w:p>
    <w:tbl>
      <w:tblPr>
        <w:tblStyle w:val="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94"/>
        <w:gridCol w:w="4942"/>
        <w:gridCol w:w="1125"/>
        <w:gridCol w:w="1341"/>
        <w:gridCol w:w="2157"/>
        <w:gridCol w:w="1370"/>
        <w:gridCol w:w="17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blHeader/>
          <w:jc w:val="center"/>
        </w:trPr>
        <w:tc>
          <w:tcPr>
            <w:tcW w:w="1694" w:type="dxa"/>
            <w:noWrap w:val="0"/>
            <w:vAlign w:val="center"/>
          </w:tcPr>
          <w:p>
            <w:pPr>
              <w:spacing w:line="360" w:lineRule="exact"/>
              <w:jc w:val="center"/>
              <w:rPr>
                <w:rFonts w:ascii="黑体" w:hAnsi="黑体" w:eastAsia="黑体"/>
                <w:szCs w:val="21"/>
              </w:rPr>
            </w:pPr>
            <w:r>
              <w:rPr>
                <w:rFonts w:hint="eastAsia" w:ascii="黑体" w:hAnsi="黑体" w:eastAsia="黑体"/>
                <w:szCs w:val="21"/>
              </w:rPr>
              <w:t>工作任务</w:t>
            </w:r>
          </w:p>
        </w:tc>
        <w:tc>
          <w:tcPr>
            <w:tcW w:w="4942" w:type="dxa"/>
            <w:noWrap w:val="0"/>
            <w:vAlign w:val="center"/>
          </w:tcPr>
          <w:p>
            <w:pPr>
              <w:spacing w:line="360" w:lineRule="exact"/>
              <w:ind w:firstLine="420" w:firstLineChars="200"/>
              <w:jc w:val="center"/>
              <w:rPr>
                <w:rFonts w:ascii="黑体" w:hAnsi="黑体" w:eastAsia="黑体"/>
                <w:szCs w:val="21"/>
              </w:rPr>
            </w:pPr>
            <w:r>
              <w:rPr>
                <w:rFonts w:hint="eastAsia" w:ascii="黑体" w:hAnsi="黑体" w:eastAsia="黑体"/>
                <w:szCs w:val="21"/>
              </w:rPr>
              <w:t>主要措施</w:t>
            </w:r>
          </w:p>
        </w:tc>
        <w:tc>
          <w:tcPr>
            <w:tcW w:w="1125" w:type="dxa"/>
            <w:noWrap w:val="0"/>
            <w:vAlign w:val="center"/>
          </w:tcPr>
          <w:p>
            <w:pPr>
              <w:spacing w:line="360" w:lineRule="exact"/>
              <w:jc w:val="center"/>
              <w:rPr>
                <w:rFonts w:hint="eastAsia" w:ascii="黑体" w:hAnsi="黑体" w:eastAsia="黑体"/>
                <w:szCs w:val="21"/>
              </w:rPr>
            </w:pPr>
            <w:r>
              <w:rPr>
                <w:rFonts w:hint="eastAsia" w:ascii="黑体" w:hAnsi="黑体" w:eastAsia="黑体"/>
                <w:szCs w:val="21"/>
              </w:rPr>
              <w:t>牵头单位</w:t>
            </w:r>
          </w:p>
        </w:tc>
        <w:tc>
          <w:tcPr>
            <w:tcW w:w="1341" w:type="dxa"/>
            <w:noWrap w:val="0"/>
            <w:vAlign w:val="center"/>
          </w:tcPr>
          <w:p>
            <w:pPr>
              <w:spacing w:line="360" w:lineRule="exact"/>
              <w:jc w:val="center"/>
              <w:rPr>
                <w:rFonts w:hint="eastAsia" w:ascii="黑体" w:hAnsi="黑体" w:eastAsia="黑体"/>
                <w:szCs w:val="21"/>
              </w:rPr>
            </w:pPr>
            <w:r>
              <w:rPr>
                <w:rFonts w:hint="eastAsia" w:ascii="黑体" w:hAnsi="黑体" w:eastAsia="黑体"/>
                <w:szCs w:val="21"/>
              </w:rPr>
              <w:t>责任</w:t>
            </w:r>
          </w:p>
          <w:p>
            <w:pPr>
              <w:spacing w:line="360" w:lineRule="exact"/>
              <w:jc w:val="center"/>
              <w:rPr>
                <w:rFonts w:ascii="黑体" w:hAnsi="黑体" w:eastAsia="黑体"/>
                <w:szCs w:val="21"/>
              </w:rPr>
            </w:pPr>
            <w:r>
              <w:rPr>
                <w:rFonts w:hint="eastAsia" w:ascii="黑体" w:hAnsi="黑体" w:eastAsia="黑体"/>
                <w:szCs w:val="21"/>
              </w:rPr>
              <w:t>单位</w:t>
            </w:r>
          </w:p>
        </w:tc>
        <w:tc>
          <w:tcPr>
            <w:tcW w:w="2157" w:type="dxa"/>
            <w:noWrap w:val="0"/>
            <w:vAlign w:val="center"/>
          </w:tcPr>
          <w:p>
            <w:pPr>
              <w:spacing w:line="360" w:lineRule="exact"/>
              <w:jc w:val="center"/>
              <w:rPr>
                <w:rFonts w:ascii="黑体" w:hAnsi="黑体" w:eastAsia="黑体"/>
                <w:szCs w:val="21"/>
              </w:rPr>
            </w:pPr>
            <w:r>
              <w:rPr>
                <w:rFonts w:hint="eastAsia" w:ascii="黑体" w:hAnsi="黑体" w:eastAsia="黑体"/>
                <w:szCs w:val="21"/>
              </w:rPr>
              <w:t>协同单位</w:t>
            </w:r>
          </w:p>
        </w:tc>
        <w:tc>
          <w:tcPr>
            <w:tcW w:w="1370" w:type="dxa"/>
            <w:noWrap w:val="0"/>
            <w:vAlign w:val="center"/>
          </w:tcPr>
          <w:p>
            <w:pPr>
              <w:spacing w:line="360" w:lineRule="exact"/>
              <w:jc w:val="center"/>
              <w:rPr>
                <w:rFonts w:hint="eastAsia" w:ascii="黑体" w:hAnsi="黑体" w:eastAsia="黑体"/>
                <w:szCs w:val="21"/>
              </w:rPr>
            </w:pPr>
            <w:r>
              <w:rPr>
                <w:rFonts w:hint="eastAsia" w:ascii="黑体" w:hAnsi="黑体" w:eastAsia="黑体"/>
                <w:szCs w:val="21"/>
              </w:rPr>
              <w:t>完成</w:t>
            </w:r>
          </w:p>
          <w:p>
            <w:pPr>
              <w:spacing w:line="360" w:lineRule="exact"/>
              <w:jc w:val="center"/>
              <w:rPr>
                <w:rFonts w:ascii="黑体" w:hAnsi="黑体" w:eastAsia="黑体"/>
                <w:szCs w:val="21"/>
              </w:rPr>
            </w:pPr>
            <w:r>
              <w:rPr>
                <w:rFonts w:hint="eastAsia" w:ascii="黑体" w:hAnsi="黑体" w:eastAsia="黑体"/>
                <w:szCs w:val="21"/>
              </w:rPr>
              <w:t>时限</w:t>
            </w:r>
          </w:p>
        </w:tc>
        <w:tc>
          <w:tcPr>
            <w:tcW w:w="1744" w:type="dxa"/>
            <w:noWrap w:val="0"/>
            <w:vAlign w:val="center"/>
          </w:tcPr>
          <w:p>
            <w:pPr>
              <w:spacing w:line="360" w:lineRule="exact"/>
              <w:jc w:val="center"/>
              <w:rPr>
                <w:rFonts w:hint="eastAsia" w:ascii="黑体" w:hAnsi="黑体" w:eastAsia="黑体"/>
                <w:szCs w:val="21"/>
              </w:rPr>
            </w:pPr>
            <w:r>
              <w:rPr>
                <w:rFonts w:hint="eastAsia" w:ascii="黑体" w:hAnsi="黑体" w:eastAsia="黑体"/>
                <w:szCs w:val="21"/>
              </w:rPr>
              <w:t>备   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3" w:hRule="atLeast"/>
          <w:jc w:val="center"/>
        </w:trPr>
        <w:tc>
          <w:tcPr>
            <w:tcW w:w="1694" w:type="dxa"/>
            <w:vMerge w:val="restart"/>
            <w:noWrap w:val="0"/>
            <w:vAlign w:val="center"/>
          </w:tcPr>
          <w:p>
            <w:pPr>
              <w:spacing w:line="360" w:lineRule="exact"/>
              <w:rPr>
                <w:rFonts w:hint="eastAsia" w:ascii="黑体" w:hAnsi="黑体" w:eastAsia="黑体"/>
                <w:sz w:val="28"/>
                <w:szCs w:val="28"/>
              </w:rPr>
            </w:pPr>
            <w:r>
              <w:rPr>
                <w:rFonts w:hint="eastAsia" w:ascii="黑体" w:hAnsi="黑体" w:eastAsia="黑体" w:cs="宋体"/>
                <w:color w:val="000000"/>
                <w:kern w:val="0"/>
                <w:sz w:val="28"/>
                <w:szCs w:val="28"/>
              </w:rPr>
              <w:t>一</w:t>
            </w:r>
            <w:r>
              <w:rPr>
                <w:rFonts w:hint="eastAsia" w:ascii="黑体" w:hAnsi="黑体" w:eastAsia="黑体" w:cs="黑体"/>
                <w:color w:val="000000"/>
                <w:kern w:val="0"/>
                <w:sz w:val="28"/>
                <w:szCs w:val="28"/>
              </w:rPr>
              <w:t>、</w:t>
            </w:r>
            <w:r>
              <w:rPr>
                <w:rFonts w:hint="eastAsia" w:ascii="黑体" w:hAnsi="黑体" w:eastAsia="黑体" w:cs="黑体"/>
                <w:sz w:val="28"/>
                <w:szCs w:val="28"/>
              </w:rPr>
              <w:t>依法加强产能监管，落实源头管理措施。</w:t>
            </w:r>
          </w:p>
        </w:tc>
        <w:tc>
          <w:tcPr>
            <w:tcW w:w="4942" w:type="dxa"/>
            <w:noWrap w:val="0"/>
            <w:vAlign w:val="center"/>
          </w:tcPr>
          <w:p>
            <w:pPr>
              <w:widowControl/>
              <w:spacing w:line="400" w:lineRule="exact"/>
              <w:textAlignment w:val="center"/>
              <w:rPr>
                <w:rFonts w:hint="eastAsia"/>
                <w:sz w:val="28"/>
                <w:szCs w:val="28"/>
              </w:rPr>
            </w:pPr>
            <w:r>
              <w:rPr>
                <w:rFonts w:hint="eastAsia" w:ascii="宋体" w:hAnsi="宋体" w:cs="宋体"/>
                <w:color w:val="000000"/>
                <w:kern w:val="0"/>
                <w:sz w:val="28"/>
                <w:szCs w:val="28"/>
                <w:lang w:bidi="ar"/>
              </w:rPr>
              <w:t>1.全面开展矿山生产能力、开采设计、年度采掘计划执行及其安全生产隐患等情况排查，对超产能开采的矿山，责令停产整改，对因超能生产引发的安全事故，依法从严从重查处。</w:t>
            </w:r>
          </w:p>
        </w:tc>
        <w:tc>
          <w:tcPr>
            <w:tcW w:w="1125" w:type="dxa"/>
            <w:vMerge w:val="restart"/>
            <w:noWrap w:val="0"/>
            <w:vAlign w:val="center"/>
          </w:tcPr>
          <w:p>
            <w:pPr>
              <w:widowControl/>
              <w:spacing w:line="400" w:lineRule="exact"/>
              <w:jc w:val="center"/>
              <w:textAlignment w:val="center"/>
              <w:rPr>
                <w:rFonts w:hint="eastAsia" w:ascii="宋体" w:cs="宋体"/>
                <w:color w:val="000000"/>
                <w:kern w:val="0"/>
                <w:sz w:val="28"/>
                <w:szCs w:val="28"/>
              </w:rPr>
            </w:pPr>
            <w:r>
              <w:rPr>
                <w:rFonts w:hint="eastAsia" w:ascii="宋体" w:hAnsi="宋体" w:cs="宋体"/>
                <w:color w:val="000000"/>
                <w:kern w:val="0"/>
                <w:sz w:val="28"/>
                <w:szCs w:val="28"/>
                <w:lang w:bidi="ar"/>
              </w:rPr>
              <w:t>县科技经济信息化局</w:t>
            </w:r>
          </w:p>
        </w:tc>
        <w:tc>
          <w:tcPr>
            <w:tcW w:w="1341" w:type="dxa"/>
            <w:vMerge w:val="restart"/>
            <w:noWrap w:val="0"/>
            <w:vAlign w:val="center"/>
          </w:tcPr>
          <w:p>
            <w:pPr>
              <w:widowControl/>
              <w:spacing w:line="400" w:lineRule="exact"/>
              <w:textAlignment w:val="center"/>
              <w:rPr>
                <w:rFonts w:ascii="宋体" w:cs="宋体"/>
                <w:color w:val="000000"/>
                <w:kern w:val="0"/>
                <w:sz w:val="28"/>
                <w:szCs w:val="28"/>
              </w:rPr>
            </w:pPr>
            <w:r>
              <w:rPr>
                <w:rFonts w:hint="eastAsia" w:ascii="宋体" w:cs="宋体"/>
                <w:color w:val="000000"/>
                <w:kern w:val="0"/>
                <w:sz w:val="28"/>
                <w:szCs w:val="28"/>
              </w:rPr>
              <w:t>涉矿乡镇政府</w:t>
            </w:r>
          </w:p>
        </w:tc>
        <w:tc>
          <w:tcPr>
            <w:tcW w:w="2157" w:type="dxa"/>
            <w:vMerge w:val="restart"/>
            <w:noWrap w:val="0"/>
            <w:vAlign w:val="center"/>
          </w:tcPr>
          <w:p>
            <w:pPr>
              <w:widowControl/>
              <w:spacing w:line="400" w:lineRule="exact"/>
              <w:jc w:val="center"/>
              <w:textAlignment w:val="center"/>
              <w:rPr>
                <w:rFonts w:hint="eastAsia"/>
                <w:color w:val="000000"/>
                <w:sz w:val="28"/>
                <w:szCs w:val="28"/>
              </w:rPr>
            </w:pPr>
            <w:r>
              <w:rPr>
                <w:rFonts w:hint="eastAsia" w:ascii="宋体" w:hAnsi="宋体" w:cs="宋体"/>
                <w:color w:val="000000"/>
                <w:kern w:val="0"/>
                <w:sz w:val="28"/>
                <w:szCs w:val="28"/>
                <w:lang w:bidi="ar"/>
              </w:rPr>
              <w:t>县自然资源和规划局，县应急管理局，县环保局，县矿管所</w:t>
            </w:r>
          </w:p>
        </w:tc>
        <w:tc>
          <w:tcPr>
            <w:tcW w:w="1370" w:type="dxa"/>
            <w:vMerge w:val="restart"/>
            <w:noWrap w:val="0"/>
            <w:vAlign w:val="center"/>
          </w:tcPr>
          <w:p>
            <w:pPr>
              <w:widowControl/>
              <w:spacing w:line="400" w:lineRule="exact"/>
              <w:jc w:val="center"/>
              <w:textAlignment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2019年7月底前</w:t>
            </w:r>
          </w:p>
        </w:tc>
        <w:tc>
          <w:tcPr>
            <w:tcW w:w="1744" w:type="dxa"/>
            <w:vMerge w:val="restart"/>
            <w:noWrap w:val="0"/>
            <w:vAlign w:val="center"/>
          </w:tcPr>
          <w:p>
            <w:pPr>
              <w:widowControl/>
              <w:spacing w:line="40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县科技经济信息化局负责制定具体实施方案。</w:t>
            </w:r>
          </w:p>
          <w:p>
            <w:pPr>
              <w:widowControl/>
              <w:spacing w:line="40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7" w:hRule="atLeast"/>
          <w:jc w:val="center"/>
        </w:trPr>
        <w:tc>
          <w:tcPr>
            <w:tcW w:w="1694" w:type="dxa"/>
            <w:vMerge w:val="continue"/>
            <w:noWrap w:val="0"/>
            <w:vAlign w:val="center"/>
          </w:tcPr>
          <w:p>
            <w:pPr>
              <w:spacing w:line="360" w:lineRule="exact"/>
              <w:ind w:firstLine="420" w:firstLineChars="200"/>
              <w:rPr>
                <w:szCs w:val="21"/>
              </w:rPr>
            </w:pPr>
          </w:p>
        </w:tc>
        <w:tc>
          <w:tcPr>
            <w:tcW w:w="4942" w:type="dxa"/>
            <w:noWrap w:val="0"/>
            <w:vAlign w:val="center"/>
          </w:tcPr>
          <w:p>
            <w:pPr>
              <w:widowControl/>
              <w:spacing w:line="400" w:lineRule="exact"/>
              <w:jc w:val="left"/>
              <w:textAlignment w:val="center"/>
              <w:rPr>
                <w:sz w:val="28"/>
                <w:szCs w:val="28"/>
              </w:rPr>
            </w:pPr>
            <w:r>
              <w:rPr>
                <w:rFonts w:hint="eastAsia" w:ascii="宋体" w:hAnsi="宋体" w:cs="宋体"/>
                <w:color w:val="000000"/>
                <w:kern w:val="0"/>
                <w:sz w:val="28"/>
                <w:szCs w:val="28"/>
                <w:lang w:bidi="ar"/>
              </w:rPr>
              <w:t>2对未超产能开采的矿山，加强年度采掘计划的监督检查，合理安排矿产品月生产量。</w:t>
            </w:r>
          </w:p>
        </w:tc>
        <w:tc>
          <w:tcPr>
            <w:tcW w:w="1125" w:type="dxa"/>
            <w:vMerge w:val="continue"/>
            <w:tcBorders>
              <w:bottom w:val="single" w:color="auto" w:sz="4" w:space="0"/>
            </w:tcBorders>
            <w:noWrap w:val="0"/>
            <w:vAlign w:val="center"/>
          </w:tcPr>
          <w:p>
            <w:pPr>
              <w:widowControl/>
              <w:spacing w:line="400" w:lineRule="exact"/>
              <w:ind w:firstLine="560" w:firstLineChars="200"/>
              <w:jc w:val="center"/>
              <w:textAlignment w:val="center"/>
              <w:rPr>
                <w:rFonts w:ascii="宋体" w:cs="宋体"/>
                <w:color w:val="000000"/>
                <w:kern w:val="0"/>
                <w:sz w:val="28"/>
                <w:szCs w:val="28"/>
              </w:rPr>
            </w:pPr>
          </w:p>
        </w:tc>
        <w:tc>
          <w:tcPr>
            <w:tcW w:w="1341" w:type="dxa"/>
            <w:vMerge w:val="continue"/>
            <w:noWrap w:val="0"/>
            <w:vAlign w:val="center"/>
          </w:tcPr>
          <w:p>
            <w:pPr>
              <w:widowControl/>
              <w:spacing w:line="400" w:lineRule="exact"/>
              <w:ind w:firstLine="560" w:firstLineChars="200"/>
              <w:textAlignment w:val="center"/>
              <w:rPr>
                <w:rFonts w:ascii="宋体" w:cs="宋体"/>
                <w:color w:val="000000"/>
                <w:kern w:val="0"/>
                <w:sz w:val="28"/>
                <w:szCs w:val="28"/>
              </w:rPr>
            </w:pPr>
          </w:p>
        </w:tc>
        <w:tc>
          <w:tcPr>
            <w:tcW w:w="2157" w:type="dxa"/>
            <w:vMerge w:val="continue"/>
            <w:tcBorders>
              <w:bottom w:val="single" w:color="auto" w:sz="4" w:space="0"/>
            </w:tcBorders>
            <w:noWrap w:val="0"/>
            <w:vAlign w:val="center"/>
          </w:tcPr>
          <w:p>
            <w:pPr>
              <w:spacing w:line="400" w:lineRule="exact"/>
              <w:jc w:val="center"/>
              <w:textAlignment w:val="center"/>
              <w:rPr>
                <w:sz w:val="28"/>
                <w:szCs w:val="28"/>
              </w:rPr>
            </w:pPr>
          </w:p>
        </w:tc>
        <w:tc>
          <w:tcPr>
            <w:tcW w:w="1370" w:type="dxa"/>
            <w:vMerge w:val="continue"/>
            <w:tcBorders>
              <w:bottom w:val="single" w:color="auto" w:sz="4" w:space="0"/>
            </w:tcBorders>
            <w:noWrap w:val="0"/>
            <w:vAlign w:val="center"/>
          </w:tcPr>
          <w:p>
            <w:pPr>
              <w:widowControl/>
              <w:spacing w:line="400" w:lineRule="exact"/>
              <w:jc w:val="center"/>
              <w:textAlignment w:val="center"/>
              <w:rPr>
                <w:rFonts w:ascii="宋体" w:hAnsi="宋体" w:cs="宋体"/>
                <w:color w:val="000000"/>
                <w:kern w:val="0"/>
                <w:sz w:val="28"/>
                <w:szCs w:val="28"/>
                <w:lang w:bidi="ar"/>
              </w:rPr>
            </w:pPr>
          </w:p>
        </w:tc>
        <w:tc>
          <w:tcPr>
            <w:tcW w:w="1744" w:type="dxa"/>
            <w:vMerge w:val="continue"/>
            <w:tcBorders>
              <w:bottom w:val="single" w:color="auto" w:sz="4" w:space="0"/>
            </w:tcBorders>
            <w:noWrap w:val="0"/>
            <w:vAlign w:val="center"/>
          </w:tcPr>
          <w:p>
            <w:pPr>
              <w:widowControl/>
              <w:spacing w:line="40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6" w:hRule="atLeast"/>
          <w:jc w:val="center"/>
        </w:trPr>
        <w:tc>
          <w:tcPr>
            <w:tcW w:w="1694" w:type="dxa"/>
            <w:vMerge w:val="continue"/>
            <w:noWrap w:val="0"/>
            <w:vAlign w:val="center"/>
          </w:tcPr>
          <w:p>
            <w:pPr>
              <w:spacing w:line="360" w:lineRule="exact"/>
              <w:ind w:firstLine="420" w:firstLineChars="200"/>
              <w:rPr>
                <w:szCs w:val="21"/>
              </w:rPr>
            </w:pPr>
          </w:p>
        </w:tc>
        <w:tc>
          <w:tcPr>
            <w:tcW w:w="4942" w:type="dxa"/>
            <w:noWrap w:val="0"/>
            <w:vAlign w:val="center"/>
          </w:tcPr>
          <w:p>
            <w:pPr>
              <w:widowControl/>
              <w:spacing w:line="400" w:lineRule="exact"/>
              <w:textAlignment w:val="center"/>
              <w:rPr>
                <w:sz w:val="28"/>
                <w:szCs w:val="28"/>
              </w:rPr>
            </w:pPr>
            <w:r>
              <w:rPr>
                <w:rFonts w:hint="eastAsia" w:ascii="宋体" w:hAnsi="宋体" w:cs="宋体"/>
                <w:color w:val="000000"/>
                <w:kern w:val="0"/>
                <w:sz w:val="28"/>
                <w:szCs w:val="28"/>
                <w:lang w:bidi="ar"/>
              </w:rPr>
              <w:t>3.建立经信、交通运输、矿产品管理所、公安等部门数据信息交换共享机制，实行矿山生产能力审核与民爆物品供应量联审联批机制，合理核定矿山企业民爆物品用量，倒促矿山企业按采掘计划组织矿产品生产运输。</w:t>
            </w:r>
          </w:p>
        </w:tc>
        <w:tc>
          <w:tcPr>
            <w:tcW w:w="1125" w:type="dxa"/>
            <w:tcBorders>
              <w:top w:val="single" w:color="auto" w:sz="4" w:space="0"/>
            </w:tcBorders>
            <w:noWrap w:val="0"/>
            <w:vAlign w:val="center"/>
          </w:tcPr>
          <w:p>
            <w:pPr>
              <w:widowControl/>
              <w:spacing w:line="400" w:lineRule="exact"/>
              <w:jc w:val="center"/>
              <w:textAlignment w:val="center"/>
              <w:rPr>
                <w:rFonts w:hint="eastAsia" w:ascii="宋体" w:cs="宋体"/>
                <w:color w:val="000000"/>
                <w:kern w:val="0"/>
                <w:sz w:val="28"/>
                <w:szCs w:val="28"/>
              </w:rPr>
            </w:pPr>
            <w:r>
              <w:rPr>
                <w:rFonts w:hint="eastAsia" w:ascii="宋体" w:cs="宋体"/>
                <w:color w:val="000000"/>
                <w:kern w:val="0"/>
                <w:sz w:val="28"/>
                <w:szCs w:val="28"/>
              </w:rPr>
              <w:t>县公安局</w:t>
            </w:r>
          </w:p>
        </w:tc>
        <w:tc>
          <w:tcPr>
            <w:tcW w:w="1341" w:type="dxa"/>
            <w:vMerge w:val="continue"/>
            <w:noWrap w:val="0"/>
            <w:vAlign w:val="center"/>
          </w:tcPr>
          <w:p>
            <w:pPr>
              <w:widowControl/>
              <w:spacing w:line="400" w:lineRule="exact"/>
              <w:ind w:firstLine="560" w:firstLineChars="200"/>
              <w:textAlignment w:val="center"/>
              <w:rPr>
                <w:rFonts w:ascii="宋体" w:cs="宋体"/>
                <w:color w:val="000000"/>
                <w:kern w:val="0"/>
                <w:sz w:val="28"/>
                <w:szCs w:val="28"/>
              </w:rPr>
            </w:pPr>
          </w:p>
        </w:tc>
        <w:tc>
          <w:tcPr>
            <w:tcW w:w="2157" w:type="dxa"/>
            <w:tcBorders>
              <w:top w:val="single" w:color="auto" w:sz="4" w:space="0"/>
            </w:tcBorders>
            <w:noWrap w:val="0"/>
            <w:vAlign w:val="center"/>
          </w:tcPr>
          <w:p>
            <w:pPr>
              <w:widowControl/>
              <w:spacing w:line="400" w:lineRule="exact"/>
              <w:jc w:val="center"/>
              <w:textAlignment w:val="center"/>
              <w:rPr>
                <w:color w:val="000000"/>
                <w:sz w:val="28"/>
                <w:szCs w:val="28"/>
              </w:rPr>
            </w:pPr>
            <w:r>
              <w:rPr>
                <w:rFonts w:hint="eastAsia" w:ascii="宋体" w:hAnsi="宋体" w:cs="宋体"/>
                <w:color w:val="000000"/>
                <w:kern w:val="0"/>
                <w:sz w:val="28"/>
                <w:szCs w:val="28"/>
                <w:lang w:bidi="ar"/>
              </w:rPr>
              <w:t>县科技经济信息化局、县交通运输局、县矿管所</w:t>
            </w:r>
          </w:p>
        </w:tc>
        <w:tc>
          <w:tcPr>
            <w:tcW w:w="1370" w:type="dxa"/>
            <w:tcBorders>
              <w:top w:val="single" w:color="auto" w:sz="4" w:space="0"/>
            </w:tcBorders>
            <w:noWrap w:val="0"/>
            <w:vAlign w:val="center"/>
          </w:tcPr>
          <w:p>
            <w:pPr>
              <w:spacing w:line="400" w:lineRule="exact"/>
              <w:jc w:val="center"/>
              <w:textAlignment w:val="center"/>
              <w:rPr>
                <w:rFonts w:ascii="宋体" w:hAnsi="宋体" w:cs="宋体"/>
                <w:color w:val="000000"/>
                <w:kern w:val="0"/>
                <w:sz w:val="28"/>
                <w:szCs w:val="28"/>
                <w:lang w:bidi="ar"/>
              </w:rPr>
            </w:pPr>
          </w:p>
        </w:tc>
        <w:tc>
          <w:tcPr>
            <w:tcW w:w="1744" w:type="dxa"/>
            <w:tcBorders>
              <w:top w:val="single" w:color="auto" w:sz="4" w:space="0"/>
            </w:tcBorders>
            <w:noWrap w:val="0"/>
            <w:vAlign w:val="center"/>
          </w:tcPr>
          <w:p>
            <w:pPr>
              <w:widowControl/>
              <w:spacing w:line="40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县公安局负责制定具体实施方案。</w:t>
            </w:r>
          </w:p>
          <w:p>
            <w:pPr>
              <w:spacing w:line="40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1" w:hRule="atLeast"/>
          <w:jc w:val="center"/>
        </w:trPr>
        <w:tc>
          <w:tcPr>
            <w:tcW w:w="1694" w:type="dxa"/>
            <w:vMerge w:val="restart"/>
            <w:tcBorders>
              <w:top w:val="single" w:color="auto" w:sz="4" w:space="0"/>
              <w:right w:val="single" w:color="auto" w:sz="4" w:space="0"/>
            </w:tcBorders>
            <w:noWrap w:val="0"/>
            <w:vAlign w:val="center"/>
          </w:tcPr>
          <w:p>
            <w:pPr>
              <w:spacing w:line="360" w:lineRule="exact"/>
              <w:rPr>
                <w:rFonts w:ascii="黑体" w:hAnsi="黑体" w:eastAsia="黑体" w:cs="黑体"/>
                <w:sz w:val="28"/>
                <w:szCs w:val="28"/>
              </w:rPr>
            </w:pPr>
            <w:r>
              <w:rPr>
                <w:rFonts w:hint="eastAsia" w:ascii="黑体" w:hAnsi="黑体" w:eastAsia="黑体" w:cs="黑体"/>
                <w:sz w:val="28"/>
                <w:szCs w:val="28"/>
              </w:rPr>
              <w:t>二、推进绿色矿山创建，规范矿山开采行为。</w:t>
            </w:r>
          </w:p>
        </w:tc>
        <w:tc>
          <w:tcPr>
            <w:tcW w:w="4942" w:type="dxa"/>
            <w:tcBorders>
              <w:left w:val="single" w:color="auto" w:sz="4" w:space="0"/>
              <w:bottom w:val="single" w:color="auto" w:sz="4" w:space="0"/>
            </w:tcBorders>
            <w:noWrap w:val="0"/>
            <w:vAlign w:val="center"/>
          </w:tcPr>
          <w:p>
            <w:pPr>
              <w:widowControl/>
              <w:spacing w:line="5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1.强化绿色矿山动态管理，严格绿色矿山建设和验收标准，加大矿山超产能生产、科技治超监管平台联网等方面考核权重。</w:t>
            </w:r>
          </w:p>
        </w:tc>
        <w:tc>
          <w:tcPr>
            <w:tcW w:w="1125" w:type="dxa"/>
            <w:vMerge w:val="restart"/>
            <w:noWrap w:val="0"/>
            <w:vAlign w:val="center"/>
          </w:tcPr>
          <w:p>
            <w:pPr>
              <w:widowControl/>
              <w:spacing w:line="3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rPr>
              <w:t>县自然资源和规划局</w:t>
            </w:r>
          </w:p>
        </w:tc>
        <w:tc>
          <w:tcPr>
            <w:tcW w:w="1341" w:type="dxa"/>
            <w:vMerge w:val="restart"/>
            <w:noWrap w:val="0"/>
            <w:vAlign w:val="center"/>
          </w:tcPr>
          <w:p>
            <w:pPr>
              <w:widowControl/>
              <w:spacing w:line="360" w:lineRule="exact"/>
              <w:jc w:val="center"/>
              <w:textAlignment w:val="center"/>
              <w:rPr>
                <w:rFonts w:ascii="宋体" w:cs="宋体"/>
                <w:color w:val="000000"/>
                <w:kern w:val="0"/>
                <w:sz w:val="28"/>
                <w:szCs w:val="28"/>
              </w:rPr>
            </w:pPr>
            <w:r>
              <w:rPr>
                <w:rFonts w:hint="eastAsia" w:ascii="宋体" w:cs="宋体"/>
                <w:color w:val="000000"/>
                <w:kern w:val="0"/>
                <w:sz w:val="28"/>
                <w:szCs w:val="28"/>
              </w:rPr>
              <w:t>涉矿乡镇政府</w:t>
            </w:r>
          </w:p>
        </w:tc>
        <w:tc>
          <w:tcPr>
            <w:tcW w:w="2157" w:type="dxa"/>
            <w:vMerge w:val="restart"/>
            <w:noWrap w:val="0"/>
            <w:vAlign w:val="center"/>
          </w:tcPr>
          <w:p>
            <w:pPr>
              <w:spacing w:line="360" w:lineRule="exact"/>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县科技经济信息化局，县应急管理局，县交通运输局，县环保局，县林业局，县农业农村水利局，</w:t>
            </w:r>
            <w:r>
              <w:rPr>
                <w:rFonts w:hint="eastAsia" w:ascii="宋体" w:hAnsi="宋体" w:cs="宋体"/>
                <w:color w:val="000000"/>
                <w:kern w:val="0"/>
                <w:sz w:val="28"/>
                <w:szCs w:val="28"/>
              </w:rPr>
              <w:t>县矿管所</w:t>
            </w:r>
          </w:p>
          <w:p>
            <w:pPr>
              <w:spacing w:line="360" w:lineRule="exact"/>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县税务局</w:t>
            </w:r>
          </w:p>
        </w:tc>
        <w:tc>
          <w:tcPr>
            <w:tcW w:w="1370"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常态化</w:t>
            </w:r>
          </w:p>
          <w:p>
            <w:pPr>
              <w:widowControl/>
              <w:spacing w:line="360" w:lineRule="exact"/>
              <w:jc w:val="center"/>
              <w:textAlignment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管理</w:t>
            </w:r>
          </w:p>
        </w:tc>
        <w:tc>
          <w:tcPr>
            <w:tcW w:w="1744" w:type="dxa"/>
            <w:vMerge w:val="restart"/>
            <w:noWrap w:val="0"/>
            <w:vAlign w:val="center"/>
          </w:tcPr>
          <w:p>
            <w:pPr>
              <w:widowControl/>
              <w:spacing w:line="3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rPr>
              <w:t>县自然资源和规划局</w:t>
            </w:r>
            <w:r>
              <w:rPr>
                <w:rFonts w:hint="eastAsia" w:ascii="宋体" w:hAnsi="宋体" w:cs="宋体"/>
                <w:color w:val="000000"/>
                <w:kern w:val="0"/>
                <w:sz w:val="28"/>
                <w:szCs w:val="28"/>
                <w:lang w:bidi="ar"/>
              </w:rPr>
              <w:t>负责制定具体实施方案。</w:t>
            </w:r>
          </w:p>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3" w:hRule="atLeast"/>
          <w:jc w:val="center"/>
        </w:trPr>
        <w:tc>
          <w:tcPr>
            <w:tcW w:w="1694" w:type="dxa"/>
            <w:vMerge w:val="continue"/>
            <w:tcBorders>
              <w:right w:val="single" w:color="auto" w:sz="4" w:space="0"/>
            </w:tcBorders>
            <w:noWrap w:val="0"/>
            <w:vAlign w:val="center"/>
          </w:tcPr>
          <w:p>
            <w:pPr>
              <w:spacing w:line="360" w:lineRule="exact"/>
              <w:rPr>
                <w:rFonts w:hint="eastAsia" w:ascii="黑体" w:hAnsi="黑体" w:eastAsia="黑体" w:cs="黑体"/>
                <w:sz w:val="28"/>
                <w:szCs w:val="28"/>
              </w:rPr>
            </w:pPr>
          </w:p>
        </w:tc>
        <w:tc>
          <w:tcPr>
            <w:tcW w:w="4942" w:type="dxa"/>
            <w:tcBorders>
              <w:top w:val="single" w:color="auto" w:sz="4" w:space="0"/>
              <w:left w:val="single" w:color="auto" w:sz="4" w:space="0"/>
            </w:tcBorders>
            <w:noWrap w:val="0"/>
            <w:vAlign w:val="center"/>
          </w:tcPr>
          <w:p>
            <w:pPr>
              <w:widowControl/>
              <w:spacing w:line="5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2.按月开展矿山开采储量动态监测，实时提交矿山采掘工程平面现状图，对越界越层开采违法行，及时依法查处。</w:t>
            </w:r>
          </w:p>
        </w:tc>
        <w:tc>
          <w:tcPr>
            <w:tcW w:w="1125" w:type="dxa"/>
            <w:vMerge w:val="continue"/>
            <w:noWrap w:val="0"/>
            <w:vAlign w:val="center"/>
          </w:tcPr>
          <w:p>
            <w:pPr>
              <w:widowControl/>
              <w:spacing w:line="360" w:lineRule="exact"/>
              <w:textAlignment w:val="center"/>
              <w:rPr>
                <w:rFonts w:hint="eastAsia" w:ascii="宋体" w:hAnsi="宋体" w:cs="宋体"/>
                <w:color w:val="000000"/>
                <w:kern w:val="0"/>
                <w:sz w:val="28"/>
                <w:szCs w:val="28"/>
              </w:rPr>
            </w:pPr>
          </w:p>
        </w:tc>
        <w:tc>
          <w:tcPr>
            <w:tcW w:w="1341" w:type="dxa"/>
            <w:vMerge w:val="continue"/>
            <w:noWrap w:val="0"/>
            <w:vAlign w:val="center"/>
          </w:tcPr>
          <w:p>
            <w:pPr>
              <w:widowControl/>
              <w:spacing w:line="360" w:lineRule="exact"/>
              <w:jc w:val="center"/>
              <w:textAlignment w:val="center"/>
              <w:rPr>
                <w:rFonts w:hint="eastAsia" w:ascii="宋体" w:cs="宋体"/>
                <w:color w:val="000000"/>
                <w:kern w:val="0"/>
                <w:sz w:val="28"/>
                <w:szCs w:val="28"/>
              </w:rPr>
            </w:pPr>
          </w:p>
        </w:tc>
        <w:tc>
          <w:tcPr>
            <w:tcW w:w="2157" w:type="dxa"/>
            <w:vMerge w:val="continue"/>
            <w:noWrap w:val="0"/>
            <w:vAlign w:val="center"/>
          </w:tcPr>
          <w:p>
            <w:pPr>
              <w:spacing w:line="360" w:lineRule="exact"/>
              <w:textAlignment w:val="center"/>
              <w:rPr>
                <w:rFonts w:hint="eastAsia" w:ascii="宋体" w:hAnsi="宋体" w:cs="宋体"/>
                <w:color w:val="000000"/>
                <w:kern w:val="0"/>
                <w:sz w:val="28"/>
                <w:szCs w:val="28"/>
              </w:rPr>
            </w:pPr>
          </w:p>
        </w:tc>
        <w:tc>
          <w:tcPr>
            <w:tcW w:w="1370" w:type="dxa"/>
            <w:vMerge w:val="continue"/>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1694" w:type="dxa"/>
            <w:vMerge w:val="continue"/>
            <w:tcBorders>
              <w:top w:val="single" w:color="auto" w:sz="4" w:space="0"/>
            </w:tcBorders>
            <w:noWrap w:val="0"/>
            <w:vAlign w:val="center"/>
          </w:tcPr>
          <w:p>
            <w:pPr>
              <w:spacing w:line="360" w:lineRule="exact"/>
              <w:rPr>
                <w:rFonts w:hint="eastAsia" w:ascii="黑体" w:hAnsi="黑体" w:eastAsia="黑体" w:cs="黑体"/>
                <w:sz w:val="28"/>
                <w:szCs w:val="28"/>
              </w:rPr>
            </w:pPr>
          </w:p>
        </w:tc>
        <w:tc>
          <w:tcPr>
            <w:tcW w:w="4942" w:type="dxa"/>
            <w:tcBorders>
              <w:bottom w:val="single" w:color="auto" w:sz="4" w:space="0"/>
            </w:tcBorders>
            <w:noWrap w:val="0"/>
            <w:vAlign w:val="center"/>
          </w:tcPr>
          <w:p>
            <w:pPr>
              <w:widowControl/>
              <w:spacing w:line="5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3.严格执行矿产资源储量年报制度，开展矿产资源开发利用方案执行情况评价。</w:t>
            </w:r>
          </w:p>
        </w:tc>
        <w:tc>
          <w:tcPr>
            <w:tcW w:w="1125"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c>
          <w:tcPr>
            <w:tcW w:w="1341" w:type="dxa"/>
            <w:vMerge w:val="continue"/>
            <w:noWrap w:val="0"/>
            <w:vAlign w:val="center"/>
          </w:tcPr>
          <w:p>
            <w:pPr>
              <w:widowControl/>
              <w:spacing w:line="360" w:lineRule="exact"/>
              <w:ind w:firstLine="560" w:firstLineChars="200"/>
              <w:jc w:val="center"/>
              <w:textAlignment w:val="center"/>
              <w:rPr>
                <w:rFonts w:hint="eastAsia" w:ascii="宋体" w:hAnsi="宋体" w:cs="宋体"/>
                <w:color w:val="000000"/>
                <w:kern w:val="0"/>
                <w:sz w:val="28"/>
                <w:szCs w:val="28"/>
                <w:lang w:bidi="ar"/>
              </w:rPr>
            </w:pPr>
          </w:p>
        </w:tc>
        <w:tc>
          <w:tcPr>
            <w:tcW w:w="2157" w:type="dxa"/>
            <w:vMerge w:val="continue"/>
            <w:noWrap w:val="0"/>
            <w:vAlign w:val="center"/>
          </w:tcPr>
          <w:p>
            <w:pPr>
              <w:spacing w:line="360" w:lineRule="exact"/>
              <w:textAlignment w:val="center"/>
              <w:rPr>
                <w:rFonts w:hint="eastAsia" w:ascii="宋体" w:hAnsi="宋体" w:cs="宋体"/>
                <w:color w:val="000000"/>
                <w:sz w:val="28"/>
                <w:szCs w:val="28"/>
              </w:rPr>
            </w:pPr>
          </w:p>
        </w:tc>
        <w:tc>
          <w:tcPr>
            <w:tcW w:w="1370" w:type="dxa"/>
            <w:vMerge w:val="continue"/>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 w:hRule="atLeast"/>
          <w:jc w:val="center"/>
        </w:trPr>
        <w:tc>
          <w:tcPr>
            <w:tcW w:w="1694" w:type="dxa"/>
            <w:vMerge w:val="continue"/>
            <w:noWrap w:val="0"/>
            <w:vAlign w:val="center"/>
          </w:tcPr>
          <w:p>
            <w:pPr>
              <w:spacing w:line="360" w:lineRule="exact"/>
              <w:rPr>
                <w:rFonts w:hint="eastAsia" w:ascii="黑体" w:hAnsi="黑体" w:eastAsia="黑体" w:cs="黑体"/>
                <w:sz w:val="28"/>
                <w:szCs w:val="28"/>
              </w:rPr>
            </w:pPr>
          </w:p>
        </w:tc>
        <w:tc>
          <w:tcPr>
            <w:tcW w:w="4942" w:type="dxa"/>
            <w:tcBorders>
              <w:top w:val="single" w:color="auto" w:sz="4" w:space="0"/>
            </w:tcBorders>
            <w:noWrap w:val="0"/>
            <w:vAlign w:val="center"/>
          </w:tcPr>
          <w:p>
            <w:pPr>
              <w:widowControl/>
              <w:spacing w:line="560" w:lineRule="exact"/>
              <w:textAlignment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4.对矿山企业销售情况进行核实，方解石、石灰石、白云石原矿应优先满足本地加工企业，原则原矿不得外售。</w:t>
            </w:r>
          </w:p>
        </w:tc>
        <w:tc>
          <w:tcPr>
            <w:tcW w:w="1125"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c>
          <w:tcPr>
            <w:tcW w:w="1341" w:type="dxa"/>
            <w:vMerge w:val="continue"/>
            <w:noWrap w:val="0"/>
            <w:vAlign w:val="center"/>
          </w:tcPr>
          <w:p>
            <w:pPr>
              <w:widowControl/>
              <w:spacing w:line="360" w:lineRule="exact"/>
              <w:ind w:firstLine="560" w:firstLineChars="200"/>
              <w:jc w:val="center"/>
              <w:textAlignment w:val="center"/>
              <w:rPr>
                <w:rFonts w:hint="eastAsia" w:ascii="宋体" w:hAnsi="宋体" w:cs="宋体"/>
                <w:color w:val="000000"/>
                <w:kern w:val="0"/>
                <w:sz w:val="28"/>
                <w:szCs w:val="28"/>
                <w:lang w:bidi="ar"/>
              </w:rPr>
            </w:pPr>
          </w:p>
        </w:tc>
        <w:tc>
          <w:tcPr>
            <w:tcW w:w="2157" w:type="dxa"/>
            <w:vMerge w:val="continue"/>
            <w:noWrap w:val="0"/>
            <w:vAlign w:val="center"/>
          </w:tcPr>
          <w:p>
            <w:pPr>
              <w:spacing w:line="360" w:lineRule="exact"/>
              <w:textAlignment w:val="center"/>
              <w:rPr>
                <w:rFonts w:hint="eastAsia" w:ascii="宋体" w:hAnsi="宋体" w:cs="宋体"/>
                <w:color w:val="000000"/>
                <w:sz w:val="28"/>
                <w:szCs w:val="28"/>
              </w:rPr>
            </w:pPr>
          </w:p>
        </w:tc>
        <w:tc>
          <w:tcPr>
            <w:tcW w:w="1370" w:type="dxa"/>
            <w:vMerge w:val="continue"/>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9" w:hRule="atLeast"/>
          <w:jc w:val="center"/>
        </w:trPr>
        <w:tc>
          <w:tcPr>
            <w:tcW w:w="1694" w:type="dxa"/>
            <w:vMerge w:val="restart"/>
            <w:noWrap w:val="0"/>
            <w:vAlign w:val="center"/>
          </w:tcPr>
          <w:p>
            <w:pPr>
              <w:spacing w:line="360" w:lineRule="exact"/>
              <w:rPr>
                <w:rFonts w:hint="eastAsia" w:ascii="黑体" w:hAnsi="黑体" w:eastAsia="黑体" w:cs="黑体"/>
                <w:sz w:val="28"/>
                <w:szCs w:val="28"/>
              </w:rPr>
            </w:pPr>
            <w:r>
              <w:rPr>
                <w:rFonts w:hint="eastAsia" w:ascii="黑体" w:hAnsi="黑体" w:eastAsia="黑体" w:cs="黑体"/>
                <w:sz w:val="28"/>
                <w:szCs w:val="28"/>
              </w:rPr>
              <w:t>三、加强道路运输治理，确保矿产品规范运输。</w:t>
            </w:r>
          </w:p>
        </w:tc>
        <w:tc>
          <w:tcPr>
            <w:tcW w:w="4942" w:type="dxa"/>
            <w:noWrap w:val="0"/>
            <w:vAlign w:val="center"/>
          </w:tcPr>
          <w:p>
            <w:pPr>
              <w:widowControl/>
              <w:spacing w:line="560" w:lineRule="exact"/>
              <w:jc w:val="left"/>
              <w:textAlignment w:val="center"/>
              <w:rPr>
                <w:sz w:val="28"/>
                <w:szCs w:val="28"/>
              </w:rPr>
            </w:pPr>
            <w:r>
              <w:rPr>
                <w:rFonts w:hint="eastAsia" w:ascii="宋体" w:hAnsi="宋体" w:cs="宋体"/>
                <w:sz w:val="28"/>
                <w:szCs w:val="28"/>
              </w:rPr>
              <w:t>1</w:t>
            </w:r>
            <w:r>
              <w:rPr>
                <w:rFonts w:hint="eastAsia" w:ascii="宋体" w:hAnsi="宋体" w:cs="宋体"/>
                <w:color w:val="000000"/>
                <w:kern w:val="0"/>
                <w:sz w:val="28"/>
                <w:szCs w:val="28"/>
                <w:lang w:bidi="ar"/>
              </w:rPr>
              <w:t>.依托县科技治超监管平台，确保8月15日前全县绿色矿山企业、9月底前其他矿产品企业的源头治超系统称重和视频数据实时上传、联网运行和在线监管，确保货运车辆出场冲洗、覆盖运输，防止行驶过程扬尘泼洒影响道路通行安全。</w:t>
            </w:r>
          </w:p>
        </w:tc>
        <w:tc>
          <w:tcPr>
            <w:tcW w:w="1125" w:type="dxa"/>
            <w:vMerge w:val="restart"/>
            <w:noWrap w:val="0"/>
            <w:vAlign w:val="center"/>
          </w:tcPr>
          <w:p>
            <w:pPr>
              <w:spacing w:line="360" w:lineRule="exact"/>
              <w:jc w:val="center"/>
              <w:rPr>
                <w:rFonts w:hint="eastAsia" w:ascii="宋体" w:hAnsi="宋体" w:cs="宋体"/>
                <w:color w:val="000000"/>
                <w:kern w:val="0"/>
                <w:sz w:val="28"/>
                <w:szCs w:val="28"/>
              </w:rPr>
            </w:pPr>
            <w:r>
              <w:rPr>
                <w:rFonts w:hint="eastAsia" w:ascii="宋体" w:hAnsi="宋体" w:cs="宋体"/>
                <w:color w:val="000000"/>
                <w:kern w:val="0"/>
                <w:sz w:val="28"/>
                <w:szCs w:val="28"/>
              </w:rPr>
              <w:t>县交通</w:t>
            </w:r>
          </w:p>
          <w:p>
            <w:pPr>
              <w:spacing w:line="360" w:lineRule="exact"/>
              <w:jc w:val="center"/>
              <w:rPr>
                <w:rFonts w:hint="eastAsia" w:ascii="宋体" w:hAnsi="宋体" w:cs="宋体"/>
                <w:color w:val="000000"/>
                <w:sz w:val="28"/>
                <w:szCs w:val="28"/>
              </w:rPr>
            </w:pPr>
            <w:r>
              <w:rPr>
                <w:rFonts w:hint="eastAsia" w:ascii="宋体" w:hAnsi="宋体" w:cs="宋体"/>
                <w:color w:val="000000"/>
                <w:kern w:val="0"/>
                <w:sz w:val="28"/>
                <w:szCs w:val="28"/>
              </w:rPr>
              <w:t>运输局</w:t>
            </w:r>
          </w:p>
        </w:tc>
        <w:tc>
          <w:tcPr>
            <w:tcW w:w="1341" w:type="dxa"/>
            <w:vMerge w:val="restart"/>
            <w:noWrap w:val="0"/>
            <w:vAlign w:val="center"/>
          </w:tcPr>
          <w:p>
            <w:pPr>
              <w:spacing w:line="360" w:lineRule="exact"/>
              <w:jc w:val="center"/>
              <w:textAlignment w:val="center"/>
              <w:rPr>
                <w:rFonts w:ascii="宋体" w:cs="宋体"/>
                <w:color w:val="000000"/>
                <w:kern w:val="0"/>
                <w:sz w:val="28"/>
                <w:szCs w:val="28"/>
              </w:rPr>
            </w:pPr>
            <w:r>
              <w:rPr>
                <w:rFonts w:hint="eastAsia" w:ascii="宋体" w:cs="宋体"/>
                <w:color w:val="000000"/>
                <w:kern w:val="0"/>
                <w:sz w:val="28"/>
                <w:szCs w:val="28"/>
              </w:rPr>
              <w:t>涉矿乡镇政府</w:t>
            </w:r>
          </w:p>
        </w:tc>
        <w:tc>
          <w:tcPr>
            <w:tcW w:w="2157" w:type="dxa"/>
            <w:tcBorders>
              <w:bottom w:val="single" w:color="auto" w:sz="4" w:space="0"/>
            </w:tcBorders>
            <w:noWrap w:val="0"/>
            <w:vAlign w:val="center"/>
          </w:tcPr>
          <w:p>
            <w:pPr>
              <w:spacing w:line="32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县科技经济信息化局，县自然资源和规划局，县环保局，县公安局</w:t>
            </w:r>
          </w:p>
        </w:tc>
        <w:tc>
          <w:tcPr>
            <w:tcW w:w="1370"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常态化</w:t>
            </w:r>
          </w:p>
          <w:p>
            <w:pPr>
              <w:widowControl/>
              <w:spacing w:line="360" w:lineRule="exact"/>
              <w:jc w:val="center"/>
              <w:textAlignment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管理</w:t>
            </w:r>
          </w:p>
        </w:tc>
        <w:tc>
          <w:tcPr>
            <w:tcW w:w="1744" w:type="dxa"/>
            <w:vMerge w:val="restart"/>
            <w:noWrap w:val="0"/>
            <w:vAlign w:val="center"/>
          </w:tcPr>
          <w:p>
            <w:pPr>
              <w:widowControl/>
              <w:spacing w:line="3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县交通运输局负责制定具体实施方案。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jc w:val="center"/>
        </w:trPr>
        <w:tc>
          <w:tcPr>
            <w:tcW w:w="1694" w:type="dxa"/>
            <w:vMerge w:val="continue"/>
            <w:noWrap w:val="0"/>
            <w:vAlign w:val="center"/>
          </w:tcPr>
          <w:p>
            <w:pPr>
              <w:spacing w:line="360" w:lineRule="exact"/>
              <w:rPr>
                <w:rFonts w:ascii="黑体" w:hAnsi="黑体" w:eastAsia="黑体" w:cs="黑体"/>
                <w:sz w:val="28"/>
                <w:szCs w:val="28"/>
              </w:rPr>
            </w:pPr>
          </w:p>
        </w:tc>
        <w:tc>
          <w:tcPr>
            <w:tcW w:w="4942" w:type="dxa"/>
            <w:noWrap w:val="0"/>
            <w:vAlign w:val="center"/>
          </w:tcPr>
          <w:p>
            <w:pPr>
              <w:widowControl/>
              <w:spacing w:line="560" w:lineRule="exact"/>
              <w:jc w:val="left"/>
              <w:textAlignment w:val="center"/>
              <w:rPr>
                <w:color w:val="000000"/>
                <w:sz w:val="28"/>
                <w:szCs w:val="28"/>
              </w:rPr>
            </w:pPr>
            <w:r>
              <w:rPr>
                <w:rFonts w:hint="eastAsia" w:ascii="宋体" w:hAnsi="宋体" w:cs="宋体"/>
                <w:color w:val="000000"/>
                <w:kern w:val="0"/>
                <w:sz w:val="28"/>
                <w:szCs w:val="28"/>
                <w:lang w:bidi="ar"/>
              </w:rPr>
              <w:t>2.全面推行治超非现场执法，强化交通、公安治超联合执法常态化制度化，加大联合流动检测频次，坚决遏制运输车辆超限超载行为。</w:t>
            </w:r>
          </w:p>
        </w:tc>
        <w:tc>
          <w:tcPr>
            <w:tcW w:w="1125" w:type="dxa"/>
            <w:vMerge w:val="continue"/>
            <w:noWrap w:val="0"/>
            <w:vAlign w:val="center"/>
          </w:tcPr>
          <w:p>
            <w:pPr>
              <w:spacing w:line="360" w:lineRule="exact"/>
              <w:jc w:val="center"/>
              <w:textAlignment w:val="center"/>
              <w:rPr>
                <w:rFonts w:ascii="宋体" w:cs="宋体"/>
                <w:color w:val="000000"/>
                <w:kern w:val="0"/>
                <w:sz w:val="28"/>
                <w:szCs w:val="28"/>
              </w:rPr>
            </w:pPr>
          </w:p>
        </w:tc>
        <w:tc>
          <w:tcPr>
            <w:tcW w:w="1341" w:type="dxa"/>
            <w:vMerge w:val="continue"/>
            <w:noWrap w:val="0"/>
            <w:vAlign w:val="center"/>
          </w:tcPr>
          <w:p>
            <w:pPr>
              <w:spacing w:line="360" w:lineRule="exact"/>
              <w:jc w:val="center"/>
              <w:textAlignment w:val="center"/>
              <w:rPr>
                <w:rFonts w:ascii="宋体" w:cs="宋体"/>
                <w:color w:val="000000"/>
                <w:kern w:val="0"/>
                <w:sz w:val="28"/>
                <w:szCs w:val="28"/>
              </w:rPr>
            </w:pPr>
          </w:p>
        </w:tc>
        <w:tc>
          <w:tcPr>
            <w:tcW w:w="2157" w:type="dxa"/>
            <w:tcBorders>
              <w:top w:val="single" w:color="auto" w:sz="4" w:space="0"/>
            </w:tcBorders>
            <w:noWrap w:val="0"/>
            <w:vAlign w:val="center"/>
          </w:tcPr>
          <w:p>
            <w:pPr>
              <w:spacing w:line="360" w:lineRule="exact"/>
              <w:jc w:val="center"/>
              <w:textAlignment w:val="center"/>
              <w:rPr>
                <w:rFonts w:hint="eastAsia"/>
                <w:color w:val="000000"/>
                <w:sz w:val="28"/>
                <w:szCs w:val="28"/>
              </w:rPr>
            </w:pPr>
            <w:r>
              <w:rPr>
                <w:rFonts w:hint="eastAsia" w:ascii="宋体" w:hAnsi="宋体" w:cs="宋体"/>
                <w:color w:val="000000"/>
                <w:kern w:val="0"/>
                <w:sz w:val="28"/>
                <w:szCs w:val="28"/>
                <w:lang w:bidi="ar"/>
              </w:rPr>
              <w:t>县公安局、县矿管所</w:t>
            </w:r>
          </w:p>
        </w:tc>
        <w:tc>
          <w:tcPr>
            <w:tcW w:w="1370" w:type="dxa"/>
            <w:vMerge w:val="continue"/>
            <w:noWrap w:val="0"/>
            <w:vAlign w:val="center"/>
          </w:tcPr>
          <w:p>
            <w:pPr>
              <w:widowControl/>
              <w:spacing w:line="360" w:lineRule="exact"/>
              <w:jc w:val="center"/>
              <w:textAlignment w:val="center"/>
              <w:rPr>
                <w:rFonts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1694" w:type="dxa"/>
            <w:vMerge w:val="continue"/>
            <w:noWrap w:val="0"/>
            <w:vAlign w:val="center"/>
          </w:tcPr>
          <w:p>
            <w:pPr>
              <w:spacing w:line="360" w:lineRule="exact"/>
              <w:rPr>
                <w:rFonts w:ascii="黑体" w:hAnsi="黑体" w:eastAsia="黑体" w:cs="黑体"/>
                <w:sz w:val="28"/>
                <w:szCs w:val="28"/>
              </w:rPr>
            </w:pPr>
          </w:p>
        </w:tc>
        <w:tc>
          <w:tcPr>
            <w:tcW w:w="4942" w:type="dxa"/>
            <w:noWrap w:val="0"/>
            <w:vAlign w:val="center"/>
          </w:tcPr>
          <w:p>
            <w:pPr>
              <w:widowControl/>
              <w:spacing w:line="560" w:lineRule="exact"/>
              <w:jc w:val="lef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3、建立矿产品运输量半月通报制度，定期发布、报送矿产品企业运输量、车次流量信息。</w:t>
            </w:r>
          </w:p>
        </w:tc>
        <w:tc>
          <w:tcPr>
            <w:tcW w:w="1125" w:type="dxa"/>
            <w:vMerge w:val="continue"/>
            <w:noWrap w:val="0"/>
            <w:vAlign w:val="center"/>
          </w:tcPr>
          <w:p>
            <w:pPr>
              <w:widowControl/>
              <w:spacing w:line="360" w:lineRule="exact"/>
              <w:jc w:val="center"/>
              <w:textAlignment w:val="center"/>
              <w:rPr>
                <w:rFonts w:hint="eastAsia" w:ascii="宋体" w:cs="宋体"/>
                <w:color w:val="000000"/>
                <w:kern w:val="0"/>
                <w:sz w:val="28"/>
                <w:szCs w:val="28"/>
              </w:rPr>
            </w:pPr>
          </w:p>
        </w:tc>
        <w:tc>
          <w:tcPr>
            <w:tcW w:w="1341" w:type="dxa"/>
            <w:vMerge w:val="continue"/>
            <w:noWrap w:val="0"/>
            <w:vAlign w:val="center"/>
          </w:tcPr>
          <w:p>
            <w:pPr>
              <w:widowControl/>
              <w:spacing w:line="360" w:lineRule="exact"/>
              <w:jc w:val="center"/>
              <w:textAlignment w:val="center"/>
              <w:rPr>
                <w:rFonts w:hint="eastAsia" w:ascii="宋体" w:cs="宋体"/>
                <w:color w:val="000000"/>
                <w:kern w:val="0"/>
                <w:sz w:val="28"/>
                <w:szCs w:val="28"/>
              </w:rPr>
            </w:pPr>
          </w:p>
        </w:tc>
        <w:tc>
          <w:tcPr>
            <w:tcW w:w="2157" w:type="dxa"/>
            <w:tcBorders>
              <w:top w:val="single" w:color="auto" w:sz="4" w:space="0"/>
            </w:tcBorders>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370" w:type="dxa"/>
            <w:vMerge w:val="continue"/>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jc w:val="center"/>
        </w:trPr>
        <w:tc>
          <w:tcPr>
            <w:tcW w:w="1694" w:type="dxa"/>
            <w:vMerge w:val="restart"/>
            <w:noWrap w:val="0"/>
            <w:vAlign w:val="center"/>
          </w:tcPr>
          <w:p>
            <w:pPr>
              <w:spacing w:line="360" w:lineRule="exact"/>
              <w:rPr>
                <w:rFonts w:hint="eastAsia" w:ascii="黑体" w:hAnsi="黑体" w:eastAsia="黑体" w:cs="黑体"/>
                <w:sz w:val="28"/>
                <w:szCs w:val="28"/>
              </w:rPr>
            </w:pPr>
            <w:r>
              <w:rPr>
                <w:rFonts w:hint="eastAsia" w:ascii="黑体" w:hAnsi="黑体" w:eastAsia="黑体" w:cs="黑体"/>
                <w:sz w:val="28"/>
                <w:szCs w:val="28"/>
              </w:rPr>
              <w:t>四、强化交通法规宣传，整治货车交通秩序。</w:t>
            </w:r>
          </w:p>
        </w:tc>
        <w:tc>
          <w:tcPr>
            <w:tcW w:w="4942" w:type="dxa"/>
            <w:noWrap w:val="0"/>
            <w:vAlign w:val="center"/>
          </w:tcPr>
          <w:p>
            <w:pPr>
              <w:widowControl/>
              <w:spacing w:line="5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1.开展“进矿山企业、进运输企业”交通法规知识宣传活动，增强企业负责人、驾驶员遵章守法的意识，自觉履行交通安全主体责任。</w:t>
            </w:r>
          </w:p>
        </w:tc>
        <w:tc>
          <w:tcPr>
            <w:tcW w:w="1125"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县公安局</w:t>
            </w:r>
          </w:p>
        </w:tc>
        <w:tc>
          <w:tcPr>
            <w:tcW w:w="1341"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cs="宋体"/>
                <w:color w:val="000000"/>
                <w:kern w:val="0"/>
                <w:sz w:val="28"/>
                <w:szCs w:val="28"/>
              </w:rPr>
              <w:t>涉矿乡镇政府</w:t>
            </w:r>
          </w:p>
        </w:tc>
        <w:tc>
          <w:tcPr>
            <w:tcW w:w="2157"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县交通运输局</w:t>
            </w:r>
          </w:p>
        </w:tc>
        <w:tc>
          <w:tcPr>
            <w:tcW w:w="1370" w:type="dxa"/>
            <w:vMerge w:val="restart"/>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常态化</w:t>
            </w:r>
          </w:p>
          <w:p>
            <w:pPr>
              <w:widowControl/>
              <w:spacing w:line="360" w:lineRule="exact"/>
              <w:jc w:val="center"/>
              <w:textAlignment w:val="center"/>
              <w:rPr>
                <w:rFonts w:ascii="宋体" w:hAnsi="宋体" w:cs="宋体"/>
                <w:color w:val="000000"/>
                <w:kern w:val="0"/>
                <w:sz w:val="28"/>
                <w:szCs w:val="28"/>
                <w:lang w:bidi="ar"/>
              </w:rPr>
            </w:pPr>
            <w:r>
              <w:rPr>
                <w:rFonts w:hint="eastAsia" w:ascii="宋体" w:hAnsi="宋体" w:cs="宋体"/>
                <w:color w:val="000000"/>
                <w:kern w:val="0"/>
                <w:sz w:val="28"/>
                <w:szCs w:val="28"/>
                <w:lang w:bidi="ar"/>
              </w:rPr>
              <w:t>管理</w:t>
            </w:r>
          </w:p>
        </w:tc>
        <w:tc>
          <w:tcPr>
            <w:tcW w:w="1744" w:type="dxa"/>
            <w:vMerge w:val="restart"/>
            <w:noWrap w:val="0"/>
            <w:vAlign w:val="center"/>
          </w:tcPr>
          <w:p>
            <w:pPr>
              <w:widowControl/>
              <w:spacing w:line="3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县公安局负责制定</w:t>
            </w:r>
            <w:r>
              <w:rPr>
                <w:rFonts w:hint="eastAsia"/>
                <w:color w:val="000000"/>
                <w:sz w:val="28"/>
                <w:szCs w:val="28"/>
              </w:rPr>
              <w:t>具体</w:t>
            </w:r>
            <w:r>
              <w:rPr>
                <w:rFonts w:hint="eastAsia" w:ascii="宋体" w:hAnsi="宋体" w:cs="宋体"/>
                <w:color w:val="000000"/>
                <w:kern w:val="0"/>
                <w:sz w:val="28"/>
                <w:szCs w:val="28"/>
                <w:lang w:bidi="ar"/>
              </w:rPr>
              <w:t>实施</w:t>
            </w:r>
            <w:r>
              <w:rPr>
                <w:rFonts w:hint="eastAsia"/>
                <w:color w:val="000000"/>
                <w:sz w:val="28"/>
                <w:szCs w:val="28"/>
              </w:rPr>
              <w:t>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jc w:val="center"/>
        </w:trPr>
        <w:tc>
          <w:tcPr>
            <w:tcW w:w="1694" w:type="dxa"/>
            <w:vMerge w:val="continue"/>
            <w:noWrap w:val="0"/>
            <w:vAlign w:val="center"/>
          </w:tcPr>
          <w:p>
            <w:pPr>
              <w:spacing w:line="360" w:lineRule="exact"/>
              <w:rPr>
                <w:rFonts w:ascii="黑体" w:hAnsi="黑体" w:eastAsia="黑体" w:cs="黑体"/>
                <w:sz w:val="28"/>
                <w:szCs w:val="28"/>
              </w:rPr>
            </w:pPr>
          </w:p>
        </w:tc>
        <w:tc>
          <w:tcPr>
            <w:tcW w:w="4942" w:type="dxa"/>
            <w:noWrap w:val="0"/>
            <w:vAlign w:val="center"/>
          </w:tcPr>
          <w:p>
            <w:pPr>
              <w:widowControl/>
              <w:spacing w:line="560" w:lineRule="exac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2.重点路段、重点区域、重大活动、节假日期间，实施路面交通管控。</w:t>
            </w:r>
          </w:p>
        </w:tc>
        <w:tc>
          <w:tcPr>
            <w:tcW w:w="1125" w:type="dxa"/>
            <w:vMerge w:val="continue"/>
            <w:noWrap w:val="0"/>
            <w:vAlign w:val="center"/>
          </w:tcPr>
          <w:p>
            <w:pPr>
              <w:widowControl/>
              <w:spacing w:line="360" w:lineRule="exact"/>
              <w:jc w:val="center"/>
              <w:textAlignment w:val="center"/>
              <w:rPr>
                <w:rFonts w:hint="eastAsia" w:ascii="宋体" w:cs="宋体"/>
                <w:color w:val="000000"/>
                <w:kern w:val="0"/>
                <w:sz w:val="28"/>
                <w:szCs w:val="28"/>
              </w:rPr>
            </w:pPr>
          </w:p>
        </w:tc>
        <w:tc>
          <w:tcPr>
            <w:tcW w:w="1341" w:type="dxa"/>
            <w:vMerge w:val="continue"/>
            <w:noWrap w:val="0"/>
            <w:vAlign w:val="center"/>
          </w:tcPr>
          <w:p>
            <w:pPr>
              <w:widowControl/>
              <w:spacing w:line="360" w:lineRule="exact"/>
              <w:jc w:val="center"/>
              <w:textAlignment w:val="center"/>
              <w:rPr>
                <w:rFonts w:hint="eastAsia" w:ascii="宋体" w:cs="宋体"/>
                <w:color w:val="000000"/>
                <w:kern w:val="0"/>
                <w:sz w:val="28"/>
                <w:szCs w:val="28"/>
              </w:rPr>
            </w:pPr>
          </w:p>
        </w:tc>
        <w:tc>
          <w:tcPr>
            <w:tcW w:w="2157" w:type="dxa"/>
            <w:vMerge w:val="continue"/>
            <w:noWrap w:val="0"/>
            <w:vAlign w:val="center"/>
          </w:tcPr>
          <w:p>
            <w:pPr>
              <w:spacing w:line="360" w:lineRule="exact"/>
              <w:jc w:val="center"/>
              <w:textAlignment w:val="center"/>
              <w:rPr>
                <w:rFonts w:hint="eastAsia" w:ascii="宋体" w:hAnsi="宋体" w:cs="宋体"/>
                <w:color w:val="000000"/>
                <w:kern w:val="0"/>
                <w:sz w:val="28"/>
                <w:szCs w:val="28"/>
                <w:lang w:bidi="ar"/>
              </w:rPr>
            </w:pPr>
          </w:p>
        </w:tc>
        <w:tc>
          <w:tcPr>
            <w:tcW w:w="1370" w:type="dxa"/>
            <w:vMerge w:val="continue"/>
            <w:noWrap w:val="0"/>
            <w:vAlign w:val="center"/>
          </w:tcPr>
          <w:p>
            <w:pPr>
              <w:widowControl/>
              <w:spacing w:line="360" w:lineRule="exact"/>
              <w:jc w:val="center"/>
              <w:textAlignment w:val="center"/>
              <w:rPr>
                <w:rFonts w:hint="eastAsia" w:ascii="宋体" w:hAnsi="宋体" w:cs="宋体"/>
                <w:color w:val="000000"/>
                <w:kern w:val="0"/>
                <w:sz w:val="28"/>
                <w:szCs w:val="28"/>
                <w:lang w:bidi="ar"/>
              </w:rPr>
            </w:pPr>
          </w:p>
        </w:tc>
        <w:tc>
          <w:tcPr>
            <w:tcW w:w="1744" w:type="dxa"/>
            <w:vMerge w:val="continue"/>
            <w:noWrap w:val="0"/>
            <w:vAlign w:val="center"/>
          </w:tcPr>
          <w:p>
            <w:pPr>
              <w:widowControl/>
              <w:spacing w:line="360" w:lineRule="exact"/>
              <w:textAlignment w:val="center"/>
              <w:rPr>
                <w:rFonts w:hint="eastAsia" w:ascii="宋体" w:hAnsi="宋体" w:cs="宋体"/>
                <w:color w:val="000000"/>
                <w:kern w:val="0"/>
                <w:sz w:val="28"/>
                <w:szCs w:val="28"/>
                <w:lang w:bidi="ar"/>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3" w:hRule="atLeast"/>
          <w:jc w:val="center"/>
        </w:trPr>
        <w:tc>
          <w:tcPr>
            <w:tcW w:w="1694" w:type="dxa"/>
            <w:noWrap w:val="0"/>
            <w:vAlign w:val="center"/>
          </w:tcPr>
          <w:p>
            <w:pPr>
              <w:spacing w:line="360" w:lineRule="exact"/>
              <w:rPr>
                <w:rFonts w:ascii="黑体" w:hAnsi="黑体" w:eastAsia="黑体" w:cs="黑体"/>
                <w:sz w:val="28"/>
                <w:szCs w:val="28"/>
              </w:rPr>
            </w:pPr>
            <w:r>
              <w:rPr>
                <w:rFonts w:hint="eastAsia" w:ascii="黑体" w:hAnsi="黑体" w:eastAsia="黑体" w:cs="黑体"/>
                <w:sz w:val="28"/>
                <w:szCs w:val="28"/>
              </w:rPr>
              <w:t>五、开展税收评估核查，依法规范企业纳税。</w:t>
            </w:r>
          </w:p>
        </w:tc>
        <w:tc>
          <w:tcPr>
            <w:tcW w:w="4942" w:type="dxa"/>
            <w:noWrap w:val="0"/>
            <w:vAlign w:val="center"/>
          </w:tcPr>
          <w:p>
            <w:pPr>
              <w:widowControl/>
              <w:spacing w:line="560" w:lineRule="exact"/>
              <w:textAlignment w:val="center"/>
              <w:rPr>
                <w:color w:val="000000"/>
                <w:sz w:val="28"/>
                <w:szCs w:val="28"/>
              </w:rPr>
            </w:pPr>
            <w:r>
              <w:rPr>
                <w:rFonts w:hint="eastAsia" w:ascii="宋体" w:hAnsi="宋体" w:cs="宋体"/>
                <w:color w:val="000000"/>
                <w:kern w:val="0"/>
                <w:sz w:val="28"/>
                <w:szCs w:val="28"/>
                <w:lang w:bidi="ar"/>
              </w:rPr>
              <w:t>加强税收法规知识宣传，增强矿山企业依法纳税意识。依据县交通运输局、县矿管所等部门提供的矿产品运输数据，结合矿山企业纳税申报资料，组织开展税务评估、核查，严厉打击偷税逃税等违法行为。</w:t>
            </w:r>
          </w:p>
        </w:tc>
        <w:tc>
          <w:tcPr>
            <w:tcW w:w="1125" w:type="dxa"/>
            <w:noWrap w:val="0"/>
            <w:vAlign w:val="center"/>
          </w:tcPr>
          <w:p>
            <w:pPr>
              <w:widowControl/>
              <w:spacing w:line="360" w:lineRule="exact"/>
              <w:jc w:val="center"/>
              <w:textAlignment w:val="center"/>
              <w:rPr>
                <w:rFonts w:ascii="宋体" w:cs="宋体"/>
                <w:color w:val="000000"/>
                <w:kern w:val="0"/>
                <w:sz w:val="28"/>
                <w:szCs w:val="28"/>
              </w:rPr>
            </w:pPr>
            <w:r>
              <w:rPr>
                <w:rFonts w:hint="eastAsia" w:ascii="宋体" w:hAnsi="宋体" w:cs="宋体"/>
                <w:color w:val="000000"/>
                <w:kern w:val="0"/>
                <w:sz w:val="28"/>
                <w:szCs w:val="28"/>
                <w:lang w:bidi="ar"/>
              </w:rPr>
              <w:t>县税务局</w:t>
            </w:r>
          </w:p>
        </w:tc>
        <w:tc>
          <w:tcPr>
            <w:tcW w:w="1341" w:type="dxa"/>
            <w:noWrap w:val="0"/>
            <w:vAlign w:val="center"/>
          </w:tcPr>
          <w:p>
            <w:pPr>
              <w:widowControl/>
              <w:spacing w:line="360" w:lineRule="exact"/>
              <w:jc w:val="center"/>
              <w:textAlignment w:val="center"/>
              <w:rPr>
                <w:rFonts w:ascii="宋体" w:hAnsi="宋体" w:cs="宋体"/>
                <w:color w:val="000000"/>
                <w:kern w:val="0"/>
                <w:sz w:val="28"/>
                <w:szCs w:val="28"/>
                <w:lang w:bidi="ar"/>
              </w:rPr>
            </w:pPr>
            <w:r>
              <w:rPr>
                <w:rFonts w:hint="eastAsia" w:ascii="宋体" w:cs="宋体"/>
                <w:color w:val="000000"/>
                <w:kern w:val="0"/>
                <w:sz w:val="28"/>
                <w:szCs w:val="28"/>
              </w:rPr>
              <w:t>涉矿乡镇政府</w:t>
            </w:r>
          </w:p>
        </w:tc>
        <w:tc>
          <w:tcPr>
            <w:tcW w:w="2157" w:type="dxa"/>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县交通运输局，县科技经济信息化局，县矿管所</w:t>
            </w:r>
          </w:p>
        </w:tc>
        <w:tc>
          <w:tcPr>
            <w:tcW w:w="1370" w:type="dxa"/>
            <w:noWrap w:val="0"/>
            <w:vAlign w:val="center"/>
          </w:tcPr>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常态化</w:t>
            </w:r>
          </w:p>
          <w:p>
            <w:pPr>
              <w:widowControl/>
              <w:spacing w:line="36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管理</w:t>
            </w:r>
          </w:p>
        </w:tc>
        <w:tc>
          <w:tcPr>
            <w:tcW w:w="1744" w:type="dxa"/>
            <w:noWrap w:val="0"/>
            <w:vAlign w:val="center"/>
          </w:tcPr>
          <w:p>
            <w:pPr>
              <w:widowControl/>
              <w:spacing w:line="360" w:lineRule="exact"/>
              <w:textAlignment w:val="center"/>
              <w:rPr>
                <w:rFonts w:hint="eastAsia" w:ascii="宋体" w:hAnsi="宋体" w:cs="宋体"/>
                <w:color w:val="000000"/>
                <w:kern w:val="0"/>
                <w:sz w:val="28"/>
                <w:szCs w:val="28"/>
                <w:lang w:bidi="ar"/>
              </w:rPr>
            </w:pPr>
            <w:r>
              <w:rPr>
                <w:rFonts w:hint="eastAsia"/>
                <w:color w:val="000000"/>
                <w:sz w:val="28"/>
                <w:szCs w:val="28"/>
              </w:rPr>
              <w:t>县税务局负责制定具体实施方案。</w:t>
            </w:r>
          </w:p>
        </w:tc>
      </w:tr>
    </w:tbl>
    <w:p>
      <w:pPr>
        <w:jc w:val="center"/>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80" w:lineRule="exact"/>
        <w:jc w:val="both"/>
        <w:textAlignment w:val="auto"/>
        <w:rPr>
          <w:rFonts w:hint="eastAsia" w:hAnsi="仿宋"/>
          <w:szCs w:val="30"/>
          <w:lang w:eastAsia="zh-CN"/>
        </w:rPr>
      </w:pPr>
    </w:p>
    <w:p>
      <w:pPr>
        <w:tabs>
          <w:tab w:val="center" w:pos="4450"/>
          <w:tab w:val="right" w:pos="8260"/>
        </w:tabs>
        <w:spacing w:line="580" w:lineRule="exact"/>
        <w:jc w:val="center"/>
        <w:rPr>
          <w:rFonts w:hint="eastAsia" w:asciiTheme="minorEastAsia" w:hAnsiTheme="minorEastAsia" w:cstheme="minorEastAsia"/>
          <w:kern w:val="0"/>
          <w:sz w:val="28"/>
          <w:szCs w:val="28"/>
          <w:shd w:val="clear" w:color="auto" w:fill="FFFFFF"/>
          <w:lang w:eastAsia="zh-CN"/>
        </w:rPr>
      </w:pPr>
    </w:p>
    <w:p>
      <w:pPr>
        <w:ind w:firstLine="420" w:firstLineChars="200"/>
        <w:jc w:val="both"/>
        <w:rPr>
          <w:rFonts w:hint="eastAsia" w:hAnsi="宋体"/>
          <w:lang w:eastAsia="zh-CN"/>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rPr>
      </w:pPr>
    </w:p>
    <w:p>
      <w:pPr>
        <w:pStyle w:val="5"/>
        <w:widowControl/>
        <w:shd w:val="clear" w:color="auto" w:fill="FFFFFF"/>
        <w:spacing w:before="0" w:beforeAutospacing="0" w:after="0" w:afterAutospacing="0" w:line="600" w:lineRule="exact"/>
        <w:jc w:val="center"/>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青阳县人民政府办公室关于印发青阳县招商引资项目代办服务工作</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方案的通知</w:t>
      </w:r>
    </w:p>
    <w:p>
      <w:pPr>
        <w:pStyle w:val="5"/>
        <w:widowControl/>
        <w:shd w:val="clear" w:color="auto" w:fill="FFFFFF"/>
        <w:spacing w:before="0" w:beforeAutospacing="0" w:after="0" w:afterAutospacing="0" w:line="600" w:lineRule="exact"/>
        <w:ind w:firstLine="560" w:firstLineChars="200"/>
        <w:rPr>
          <w:rFonts w:hint="eastAsia" w:ascii="仿宋_GB2312" w:hAnsi="微软雅黑" w:eastAsia="仿宋_GB2312"/>
          <w:sz w:val="32"/>
          <w:shd w:val="clear" w:color="auto" w:fill="FFFFFF"/>
        </w:rPr>
      </w:pPr>
      <w:r>
        <w:rPr>
          <w:rFonts w:hint="eastAsia" w:asciiTheme="minorEastAsia" w:hAnsiTheme="minorEastAsia" w:eastAsiaTheme="minorEastAsia" w:cstheme="minorEastAsia"/>
          <w:kern w:val="0"/>
          <w:sz w:val="28"/>
          <w:szCs w:val="28"/>
          <w:shd w:val="clear" w:color="auto" w:fill="FFFFFF"/>
          <w:lang w:val="en-US" w:eastAsia="zh-CN" w:bidi="ar-SA"/>
        </w:rPr>
        <w:t>根据《关于印发池州市招商引资项目代办服务工作方案的通知》（池数资〔2019〕50号）要求，为加快构建简洁、高效、规范的招商项目服务机制，进一步优化营商环境，制定本工作方案。</w:t>
      </w:r>
    </w:p>
    <w:p>
      <w:pPr>
        <w:pStyle w:val="5"/>
        <w:widowControl/>
        <w:shd w:val="clear" w:color="auto" w:fill="FFFFFF"/>
        <w:spacing w:before="0" w:beforeAutospacing="0" w:after="0" w:afterAutospacing="0" w:line="600" w:lineRule="exact"/>
        <w:ind w:firstLine="620" w:firstLineChars="200"/>
        <w:rPr>
          <w:rFonts w:hint="eastAsia" w:ascii="仿宋_GB2312" w:hAnsi="微软雅黑" w:eastAsia="仿宋_GB2312"/>
          <w:sz w:val="32"/>
          <w:shd w:val="clear" w:color="auto" w:fill="FFFFFF"/>
        </w:rPr>
      </w:pPr>
      <w:r>
        <w:rPr>
          <w:rFonts w:hint="eastAsia" w:ascii="黑体" w:hAnsi="宋体" w:eastAsia="黑体"/>
          <w:sz w:val="31"/>
        </w:rPr>
        <w:t>一、指导思想</w:t>
      </w:r>
    </w:p>
    <w:p>
      <w:pPr>
        <w:pStyle w:val="5"/>
        <w:widowControl/>
        <w:shd w:val="clear" w:color="auto" w:fill="FFFFFF"/>
        <w:spacing w:before="0" w:beforeAutospacing="0" w:after="0" w:afterAutospacing="0" w:line="600" w:lineRule="exact"/>
        <w:ind w:firstLine="640"/>
        <w:rPr>
          <w:rFonts w:hint="eastAsia" w:ascii="仿宋_GB2312" w:hAnsi="仿宋_GB2312" w:eastAsia="仿宋_GB2312"/>
          <w:kern w:val="2"/>
          <w:sz w:val="32"/>
        </w:rPr>
      </w:pPr>
      <w:r>
        <w:rPr>
          <w:rFonts w:hint="eastAsia" w:asciiTheme="minorEastAsia" w:hAnsiTheme="minorEastAsia" w:eastAsiaTheme="minorEastAsia" w:cstheme="minorEastAsia"/>
          <w:kern w:val="0"/>
          <w:sz w:val="28"/>
          <w:szCs w:val="28"/>
          <w:shd w:val="clear" w:color="auto" w:fill="FFFFFF"/>
          <w:lang w:val="en-US" w:eastAsia="zh-CN" w:bidi="ar-SA"/>
        </w:rPr>
        <w:t>以习近平新时代中国特色社会主义思想为指导，深入贯彻党的十九大和十九届二中、三中全会精神，牢固树立新发展理念，以招商项目全程代办工作为抓手，加快政府职能转变，改进工作作风，创新服务机制，提高招商项目从引进到投产各个环节的服务水平，创优“四最”营商环境，为“修身福地，灵秀青阳”建设提供有力保障。</w:t>
      </w:r>
    </w:p>
    <w:p>
      <w:pPr>
        <w:pStyle w:val="5"/>
        <w:widowControl/>
        <w:shd w:val="clear" w:color="auto" w:fill="FFFFFF"/>
        <w:spacing w:before="0" w:beforeAutospacing="0" w:after="0" w:afterAutospacing="0" w:line="600" w:lineRule="exact"/>
        <w:ind w:firstLine="620" w:firstLineChars="200"/>
        <w:rPr>
          <w:rFonts w:hint="eastAsia" w:ascii="黑体" w:hAnsi="宋体" w:eastAsia="黑体"/>
          <w:sz w:val="31"/>
        </w:rPr>
      </w:pPr>
      <w:r>
        <w:rPr>
          <w:rFonts w:hint="eastAsia" w:ascii="黑体" w:hAnsi="宋体" w:eastAsia="黑体"/>
          <w:sz w:val="31"/>
        </w:rPr>
        <w:t>二、代办服务范围</w:t>
      </w:r>
    </w:p>
    <w:p>
      <w:pPr>
        <w:widowControl/>
        <w:spacing w:line="600" w:lineRule="exact"/>
        <w:ind w:firstLine="560" w:firstLineChars="200"/>
        <w:jc w:val="left"/>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凡符合国家产业、土地、环保、安全生产、节能减排等政策，符合青阳县土地利用总体规划、重点产业发展规划的招商引资项目提出代办申请的，均应及时受理并无偿帮助招商引资项目办理立项、开工、投产全过程中所涉及的行政许可事项、公共服务事项准备申请材料，开展帮办、代办服务。</w:t>
      </w:r>
    </w:p>
    <w:p>
      <w:pPr>
        <w:widowControl/>
        <w:spacing w:line="600" w:lineRule="exact"/>
        <w:ind w:firstLine="620" w:firstLineChars="200"/>
        <w:jc w:val="left"/>
        <w:rPr>
          <w:rFonts w:hint="eastAsia" w:ascii="黑体" w:hAnsi="宋体" w:eastAsia="黑体"/>
          <w:sz w:val="31"/>
        </w:rPr>
      </w:pPr>
      <w:r>
        <w:rPr>
          <w:rFonts w:hint="eastAsia" w:ascii="黑体" w:hAnsi="宋体" w:eastAsia="黑体"/>
          <w:kern w:val="0"/>
          <w:sz w:val="31"/>
        </w:rPr>
        <w:t>三、代办原</w:t>
      </w:r>
      <w:r>
        <w:rPr>
          <w:rFonts w:hint="eastAsia" w:ascii="黑体" w:hAnsi="宋体" w:eastAsia="黑体"/>
          <w:sz w:val="31"/>
        </w:rPr>
        <w:t>则</w:t>
      </w:r>
    </w:p>
    <w:p>
      <w:pPr>
        <w:widowControl/>
        <w:spacing w:line="600" w:lineRule="exact"/>
        <w:ind w:firstLine="560" w:firstLineChars="200"/>
        <w:jc w:val="left"/>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1.自愿委托。符合代办服务范围的招商引资项目，项目业主单位自愿委托全程或部分代办服务。</w:t>
      </w:r>
    </w:p>
    <w:p>
      <w:pPr>
        <w:widowControl/>
        <w:spacing w:line="600" w:lineRule="exact"/>
        <w:ind w:firstLine="560" w:firstLineChars="200"/>
        <w:jc w:val="left"/>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2.无偿服务。所代办事项除法律、法规明确规定由项目单位缴纳费用外，均实行免费代办服务。</w:t>
      </w:r>
    </w:p>
    <w:p>
      <w:pPr>
        <w:widowControl/>
        <w:spacing w:line="600" w:lineRule="exact"/>
        <w:ind w:firstLine="560" w:firstLineChars="200"/>
        <w:jc w:val="left"/>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3.属地受理。代办项目根据招商引资项目投资归属地实行属地受理。</w:t>
      </w:r>
    </w:p>
    <w:p>
      <w:pPr>
        <w:widowControl/>
        <w:spacing w:line="600" w:lineRule="exact"/>
        <w:ind w:firstLine="560" w:firstLineChars="200"/>
        <w:jc w:val="left"/>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4.合法高效。在遵循法定审批程序、不损害公共利益和委托方合法权益的前提下，提供优质、高效、规范的代办服务。</w:t>
      </w:r>
    </w:p>
    <w:p>
      <w:pPr>
        <w:pStyle w:val="5"/>
        <w:widowControl/>
        <w:shd w:val="clear" w:color="auto" w:fill="FFFFFF"/>
        <w:spacing w:before="0" w:beforeAutospacing="0" w:after="0" w:afterAutospacing="0" w:line="600" w:lineRule="exact"/>
        <w:ind w:firstLine="640"/>
        <w:rPr>
          <w:rFonts w:hint="eastAsia" w:ascii="黑体" w:hAnsi="黑体" w:eastAsia="黑体"/>
          <w:sz w:val="32"/>
          <w:shd w:val="clear" w:color="auto" w:fill="FFFFFF"/>
        </w:rPr>
      </w:pPr>
      <w:r>
        <w:rPr>
          <w:rFonts w:hint="eastAsia" w:ascii="黑体" w:hAnsi="黑体" w:eastAsia="黑体"/>
          <w:sz w:val="31"/>
        </w:rPr>
        <w:t>四、代办机构工作</w:t>
      </w:r>
      <w:r>
        <w:rPr>
          <w:rFonts w:hint="eastAsia" w:ascii="黑体" w:hAnsi="黑体" w:eastAsia="黑体"/>
          <w:sz w:val="32"/>
          <w:shd w:val="clear" w:color="auto" w:fill="FFFFFF"/>
        </w:rPr>
        <w:t>职责</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1.各乡镇政府、开发区管委会明确招商项目代办服务管理机构，组建代办员队伍，对落户园区的招商引资项目开展帮办、代办服务，帮助企业办理立项、开工、投产全过程中所涉及的行政许可事项、公共服务事项。</w:t>
      </w:r>
    </w:p>
    <w:p>
      <w:pPr>
        <w:pStyle w:val="5"/>
        <w:widowControl/>
        <w:shd w:val="clear" w:color="auto" w:fill="FFFFFF"/>
        <w:spacing w:before="0" w:beforeAutospacing="0" w:after="0" w:afterAutospacing="0" w:line="600" w:lineRule="exact"/>
        <w:ind w:firstLine="640"/>
        <w:rPr>
          <w:rFonts w:hint="eastAsia" w:ascii="仿宋_GB2312" w:hAnsi="微软雅黑" w:eastAsia="仿宋_GB2312"/>
          <w:sz w:val="32"/>
          <w:shd w:val="clear" w:color="auto" w:fill="FFFFFF"/>
        </w:rPr>
      </w:pPr>
      <w:r>
        <w:rPr>
          <w:rFonts w:hint="eastAsia" w:asciiTheme="minorEastAsia" w:hAnsiTheme="minorEastAsia" w:eastAsiaTheme="minorEastAsia" w:cstheme="minorEastAsia"/>
          <w:kern w:val="0"/>
          <w:sz w:val="28"/>
          <w:szCs w:val="28"/>
          <w:shd w:val="clear" w:color="auto" w:fill="FFFFFF"/>
          <w:lang w:val="en-US" w:eastAsia="zh-CN" w:bidi="ar-SA"/>
        </w:rPr>
        <w:t>2.县政务服务管理局、县投资促进局负责招商代办服务工作的业务指导、组织协调和监督汇总等日常工作，建立全程代办工作机制，将招商代办工作纳入企业开办、工程建设项目审批、不动产登记等窗口服务与监管之中，积极协调有关部门的联审联办。</w:t>
      </w:r>
    </w:p>
    <w:p>
      <w:pPr>
        <w:pStyle w:val="5"/>
        <w:widowControl/>
        <w:shd w:val="clear" w:color="auto" w:fill="FFFFFF"/>
        <w:spacing w:before="0" w:beforeAutospacing="0" w:after="0" w:afterAutospacing="0" w:line="600" w:lineRule="exact"/>
        <w:ind w:firstLine="640"/>
        <w:rPr>
          <w:rFonts w:hint="eastAsia" w:ascii="黑体" w:hAnsi="宋体" w:eastAsia="黑体"/>
          <w:sz w:val="31"/>
        </w:rPr>
      </w:pPr>
      <w:r>
        <w:rPr>
          <w:rFonts w:hint="eastAsia" w:ascii="黑体" w:hAnsi="黑体" w:eastAsia="黑体"/>
          <w:sz w:val="32"/>
          <w:shd w:val="clear" w:color="auto" w:fill="FFFFFF"/>
        </w:rPr>
        <w:t>五、</w:t>
      </w:r>
      <w:r>
        <w:rPr>
          <w:rFonts w:hint="eastAsia" w:ascii="黑体" w:hAnsi="宋体" w:eastAsia="黑体"/>
          <w:sz w:val="31"/>
        </w:rPr>
        <w:t>代办员工作职责</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1.协助企业分阶段准备申报材料，提供相关申报材料清单、需填报的表单，并指导填写申报表，整理申报材料。</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2.对审批过程进行全程跟踪，并做好企业与审批部门的沟通协调。</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3.协调解决代办过程中发现的问题，无法协调解决的，及时提交政务服务管理机构。</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4.做好代办项目相关资料的保管移交和整理归档工作。</w:t>
      </w:r>
    </w:p>
    <w:p>
      <w:pPr>
        <w:pStyle w:val="5"/>
        <w:widowControl/>
        <w:shd w:val="clear" w:color="auto" w:fill="FFFFFF"/>
        <w:spacing w:before="0" w:beforeAutospacing="0" w:after="0" w:afterAutospacing="0" w:line="600" w:lineRule="exact"/>
        <w:ind w:firstLine="640"/>
        <w:rPr>
          <w:rFonts w:hint="eastAsia" w:ascii="黑体" w:hAnsi="宋体" w:eastAsia="黑体"/>
          <w:sz w:val="31"/>
          <w:shd w:val="clear" w:color="auto" w:fill="FFFFFF"/>
        </w:rPr>
      </w:pPr>
      <w:r>
        <w:rPr>
          <w:rFonts w:hint="eastAsia" w:ascii="黑体" w:hAnsi="宋体" w:eastAsia="黑体"/>
          <w:sz w:val="31"/>
          <w:shd w:val="clear" w:color="auto" w:fill="FFFFFF"/>
        </w:rPr>
        <w:t>六、代办服务流程</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1.委托受理。项目业主填写代办服务申请表（附件1），各地代办服务机构受理后，指派代办员对代办事项提供代办服务, 代办服务机构不接受间接委托。</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2.材料预审。代办员根据项目基本情况、需申报审批的具体事项或其他事项，对申报资料进行整理、初审,协助项目业主做好申报资料等准备工作。</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3.开展代办。代办员以被委托人身份向相关部门申报、转送相关资料，除法律法规要求项目业务单位法定代表人必须到场且不得委托他人代办的事项外，审批部门均应视代办员为被委托人，对申报的事项予以受理、办结。</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4.跟踪反馈。项目审批过程中，代办员要做好代办项目的跟踪，动态掌握项目代办进展情况，做好代办日志（附件2）记录，并反馈给代办服务管理机构。</w:t>
      </w:r>
    </w:p>
    <w:p>
      <w:pPr>
        <w:pStyle w:val="5"/>
        <w:widowControl/>
        <w:shd w:val="clear" w:color="auto" w:fill="FFFFFF"/>
        <w:spacing w:before="0" w:beforeAutospacing="0" w:after="0" w:afterAutospacing="0" w:line="600" w:lineRule="exact"/>
        <w:ind w:firstLine="64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5.办结归档。项目代办完成后，代办员应及时向业主移交有关资料，填写《代办项目办结单》（附件3），经业主签字确认后代办结束。项目本身不具备办结条件或业主主动提出要求终止的，代办员应填写《代办项目委托终止单》（附件4），注明终止原因，移交相关资料，经业主签字确认后终止委托代办。</w:t>
      </w:r>
    </w:p>
    <w:p>
      <w:pPr>
        <w:spacing w:line="600" w:lineRule="exact"/>
        <w:ind w:firstLine="640"/>
        <w:rPr>
          <w:rFonts w:hint="eastAsia" w:ascii="黑体" w:hAnsi="宋体" w:eastAsia="黑体" w:cstheme="minorBidi"/>
          <w:kern w:val="0"/>
          <w:sz w:val="31"/>
          <w:szCs w:val="24"/>
          <w:shd w:val="clear" w:color="auto" w:fill="FFFFFF"/>
          <w:lang w:val="en-US" w:eastAsia="zh-CN" w:bidi="ar-SA"/>
        </w:rPr>
      </w:pPr>
      <w:r>
        <w:rPr>
          <w:rFonts w:hint="eastAsia" w:ascii="黑体" w:hAnsi="宋体" w:eastAsia="黑体" w:cstheme="minorBidi"/>
          <w:kern w:val="0"/>
          <w:sz w:val="31"/>
          <w:szCs w:val="24"/>
          <w:shd w:val="clear" w:color="auto" w:fill="FFFFFF"/>
          <w:lang w:val="en-US" w:eastAsia="zh-CN" w:bidi="ar-SA"/>
        </w:rPr>
        <w:t>七、工作要求</w:t>
      </w:r>
    </w:p>
    <w:p>
      <w:pPr>
        <w:pStyle w:val="5"/>
        <w:widowControl/>
        <w:shd w:val="clear" w:color="auto" w:fill="FFFFFF"/>
        <w:spacing w:before="0" w:beforeAutospacing="0" w:after="0" w:afterAutospacing="0" w:line="600" w:lineRule="exact"/>
        <w:ind w:firstLine="643" w:firstLineChars="200"/>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楷体_GB2312" w:hAnsi="仿宋_GB2312" w:eastAsia="楷体_GB2312"/>
          <w:b/>
          <w:sz w:val="32"/>
        </w:rPr>
        <w:t>（一）</w:t>
      </w:r>
      <w:r>
        <w:rPr>
          <w:rFonts w:hint="eastAsia" w:ascii="楷体_GB2312" w:hAnsi="微软雅黑" w:eastAsia="楷体_GB2312"/>
          <w:b/>
          <w:sz w:val="32"/>
          <w:shd w:val="clear" w:color="auto" w:fill="FFFFFF"/>
        </w:rPr>
        <w:t>加强组织领导。</w:t>
      </w:r>
      <w:r>
        <w:rPr>
          <w:rFonts w:hint="eastAsia" w:asciiTheme="minorEastAsia" w:hAnsiTheme="minorEastAsia" w:eastAsiaTheme="minorEastAsia" w:cstheme="minorEastAsia"/>
          <w:kern w:val="0"/>
          <w:sz w:val="28"/>
          <w:szCs w:val="28"/>
          <w:shd w:val="clear" w:color="auto" w:fill="FFFFFF"/>
          <w:lang w:val="en-US" w:eastAsia="zh-CN" w:bidi="ar-SA"/>
        </w:rPr>
        <w:t>各乡镇、开发区要充分认识招商项目代办服务工作的重要意义，明确1名分管领导和1名联络员，具体负责协调本地的招商引资项目代办服务工作的开展，确保招商代办工作顺畅运行，人员名单于8月31日前报送至县政务服务管理局（联系人：吴媛；联系电话：5038185 ； 邮箱：1301674113@qq.com ）。</w:t>
      </w:r>
    </w:p>
    <w:p>
      <w:pPr>
        <w:pStyle w:val="5"/>
        <w:widowControl/>
        <w:spacing w:before="0" w:beforeAutospacing="0" w:after="0" w:afterAutospacing="0" w:line="600" w:lineRule="exact"/>
        <w:ind w:firstLine="643" w:firstLineChars="200"/>
        <w:rPr>
          <w:rFonts w:hint="eastAsia" w:ascii="仿宋_GB2312" w:hAnsi="仿宋_GB2312" w:eastAsia="仿宋_GB2312"/>
          <w:sz w:val="32"/>
        </w:rPr>
      </w:pPr>
      <w:r>
        <w:rPr>
          <w:rFonts w:hint="eastAsia" w:ascii="楷体_GB2312" w:hAnsi="仿宋_GB2312" w:eastAsia="楷体_GB2312"/>
          <w:b/>
          <w:sz w:val="32"/>
        </w:rPr>
        <w:t>（二）</w:t>
      </w:r>
      <w:r>
        <w:rPr>
          <w:rFonts w:hint="eastAsia" w:ascii="楷体_GB2312" w:hAnsi="微软雅黑" w:eastAsia="楷体_GB2312"/>
          <w:b/>
          <w:sz w:val="32"/>
          <w:shd w:val="clear" w:color="auto" w:fill="FFFFFF"/>
        </w:rPr>
        <w:t>实行月度汇总。</w:t>
      </w:r>
      <w:r>
        <w:rPr>
          <w:rFonts w:hint="eastAsia" w:asciiTheme="minorEastAsia" w:hAnsiTheme="minorEastAsia" w:eastAsiaTheme="minorEastAsia" w:cstheme="minorEastAsia"/>
          <w:kern w:val="0"/>
          <w:sz w:val="28"/>
          <w:szCs w:val="28"/>
          <w:shd w:val="clear" w:color="auto" w:fill="FFFFFF"/>
          <w:lang w:val="en-US" w:eastAsia="zh-CN" w:bidi="ar-SA"/>
        </w:rPr>
        <w:t>各乡镇、开发区招商项目代办服务机构每月15日前将上月招商代办服务工作汇总表（附件5）报送至县政务服务管理局。</w:t>
      </w:r>
    </w:p>
    <w:p>
      <w:pPr>
        <w:pStyle w:val="5"/>
        <w:widowControl/>
        <w:shd w:val="clear" w:color="auto" w:fill="FFFFFF"/>
        <w:spacing w:before="0" w:beforeAutospacing="0" w:after="0" w:afterAutospacing="0" w:line="600" w:lineRule="exact"/>
        <w:ind w:firstLine="640"/>
        <w:rPr>
          <w:rFonts w:ascii="ABCDEE+黑体" w:hAnsi="ABCDEE+黑体" w:eastAsia="ABCDEE+黑体"/>
          <w:sz w:val="32"/>
        </w:rPr>
      </w:pPr>
      <w:r>
        <w:rPr>
          <w:rFonts w:hint="eastAsia" w:ascii="楷体_GB2312" w:hAnsi="仿宋_GB2312" w:eastAsia="楷体_GB2312"/>
          <w:b/>
          <w:sz w:val="32"/>
        </w:rPr>
        <w:t>（三）</w:t>
      </w:r>
      <w:r>
        <w:rPr>
          <w:rFonts w:hint="eastAsia" w:ascii="楷体_GB2312" w:hAnsi="微软雅黑" w:eastAsia="楷体_GB2312"/>
          <w:b/>
          <w:sz w:val="32"/>
          <w:shd w:val="clear" w:color="auto" w:fill="FFFFFF"/>
        </w:rPr>
        <w:t>规范监管考核。</w:t>
      </w:r>
      <w:r>
        <w:rPr>
          <w:rFonts w:hint="eastAsia" w:asciiTheme="minorEastAsia" w:hAnsiTheme="minorEastAsia" w:eastAsiaTheme="minorEastAsia" w:cstheme="minorEastAsia"/>
          <w:kern w:val="0"/>
          <w:sz w:val="28"/>
          <w:szCs w:val="28"/>
          <w:shd w:val="clear" w:color="auto" w:fill="FFFFFF"/>
          <w:lang w:val="en-US" w:eastAsia="zh-CN" w:bidi="ar-SA"/>
        </w:rPr>
        <w:t>县投资促进局将各地招商项目代办服务工作开展情况纳入招商引资工作督查内容，县政务服务管理局结合为民服务实行不定期抽查机制，并将各地代办服务工作落实情况纳入政务服务考核。</w:t>
      </w:r>
    </w:p>
    <w:p>
      <w:pPr>
        <w:pStyle w:val="5"/>
        <w:widowControl/>
        <w:spacing w:before="0" w:beforeAutospacing="0" w:after="0" w:afterAutospacing="0" w:line="600" w:lineRule="exact"/>
        <w:rPr>
          <w:rFonts w:hint="eastAsia" w:ascii="ABCDEE+黑体" w:hAnsi="ABCDEE+黑体" w:eastAsia="ABCDEE+黑体"/>
          <w:sz w:val="32"/>
        </w:rPr>
      </w:pPr>
    </w:p>
    <w:p>
      <w:pPr>
        <w:pStyle w:val="5"/>
        <w:widowControl/>
        <w:spacing w:before="0" w:beforeAutospacing="0" w:after="0" w:afterAutospacing="0" w:line="600" w:lineRule="exact"/>
        <w:rPr>
          <w:rFonts w:hint="eastAsia" w:ascii="ABCDEE+黑体" w:hAnsi="ABCDEE+黑体" w:eastAsia="黑体"/>
          <w:bCs/>
          <w:sz w:val="32"/>
        </w:rPr>
      </w:pPr>
      <w:r>
        <w:rPr>
          <w:rFonts w:hint="eastAsia" w:ascii="ABCDEE+黑体" w:hAnsi="ABCDEE+黑体" w:eastAsia="黑体"/>
          <w:bCs/>
          <w:sz w:val="32"/>
        </w:rPr>
        <w:t>附件1：</w:t>
      </w:r>
    </w:p>
    <w:p>
      <w:pPr>
        <w:pStyle w:val="5"/>
        <w:widowControl/>
        <w:spacing w:before="0" w:beforeAutospacing="0" w:after="0" w:afterAutospacing="0" w:line="600" w:lineRule="exact"/>
        <w:jc w:val="center"/>
        <w:rPr>
          <w:rFonts w:hint="eastAsia" w:ascii="方正小标宋简体" w:hAnsi="方正小标宋简体" w:eastAsia="方正小标宋简体"/>
          <w:bCs/>
          <w:sz w:val="44"/>
        </w:rPr>
      </w:pPr>
      <w:r>
        <w:rPr>
          <w:rFonts w:hint="eastAsia" w:ascii="方正小标宋简体" w:hAnsi="方正小标宋简体" w:eastAsia="方正小标宋简体"/>
          <w:bCs/>
          <w:sz w:val="44"/>
          <w:shd w:val="clear" w:color="auto" w:fill="FFFFFF"/>
        </w:rPr>
        <w:t>青阳县招商引资项目代办服务申请表</w:t>
      </w:r>
    </w:p>
    <w:tbl>
      <w:tblPr>
        <w:tblStyle w:val="6"/>
        <w:tblW w:w="9307" w:type="dxa"/>
        <w:tblInd w:w="0" w:type="dxa"/>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Layout w:type="fixed"/>
        <w:tblCellMar>
          <w:top w:w="0" w:type="dxa"/>
          <w:left w:w="108" w:type="dxa"/>
          <w:bottom w:w="0" w:type="dxa"/>
          <w:right w:w="108" w:type="dxa"/>
        </w:tblCellMar>
      </w:tblPr>
      <w:tblGrid>
        <w:gridCol w:w="1741"/>
        <w:gridCol w:w="2953"/>
        <w:gridCol w:w="1581"/>
        <w:gridCol w:w="3032"/>
      </w:tblGrid>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651" w:hRule="atLeast"/>
        </w:trPr>
        <w:tc>
          <w:tcPr>
            <w:tcW w:w="1741" w:type="dxa"/>
            <w:noWrap w:val="0"/>
            <w:vAlign w:val="center"/>
          </w:tcPr>
          <w:p>
            <w:pPr>
              <w:widowControl/>
              <w:jc w:val="center"/>
              <w:rPr>
                <w:rFonts w:hint="eastAsia" w:hAnsi="仿宋_GB2312"/>
                <w:sz w:val="24"/>
              </w:rPr>
            </w:pPr>
            <w:r>
              <w:rPr>
                <w:rFonts w:hint="eastAsia" w:hAnsi="仿宋_GB2312"/>
                <w:kern w:val="0"/>
                <w:sz w:val="24"/>
              </w:rPr>
              <w:t>项目单位名称</w:t>
            </w:r>
          </w:p>
        </w:tc>
        <w:tc>
          <w:tcPr>
            <w:tcW w:w="7566" w:type="dxa"/>
            <w:gridSpan w:val="3"/>
            <w:noWrap w:val="0"/>
            <w:vAlign w:val="top"/>
          </w:tcPr>
          <w:p>
            <w:pPr>
              <w:rPr>
                <w:rFonts w:hint="eastAsia" w:hAnsi="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760" w:hRule="atLeast"/>
        </w:trPr>
        <w:tc>
          <w:tcPr>
            <w:tcW w:w="1741" w:type="dxa"/>
            <w:noWrap w:val="0"/>
            <w:vAlign w:val="center"/>
          </w:tcPr>
          <w:p>
            <w:pPr>
              <w:widowControl/>
              <w:jc w:val="center"/>
              <w:rPr>
                <w:rFonts w:hint="eastAsia" w:hAnsi="仿宋_GB2312"/>
                <w:sz w:val="24"/>
              </w:rPr>
            </w:pPr>
            <w:r>
              <w:rPr>
                <w:rFonts w:hint="eastAsia" w:hAnsi="仿宋_GB2312"/>
                <w:kern w:val="0"/>
                <w:sz w:val="24"/>
              </w:rPr>
              <w:t>项目地址</w:t>
            </w:r>
          </w:p>
        </w:tc>
        <w:tc>
          <w:tcPr>
            <w:tcW w:w="2953" w:type="dxa"/>
            <w:noWrap w:val="0"/>
            <w:vAlign w:val="top"/>
          </w:tcPr>
          <w:p>
            <w:pPr>
              <w:rPr>
                <w:rFonts w:hint="eastAsia" w:hAnsi="仿宋_GB2312"/>
                <w:sz w:val="24"/>
              </w:rPr>
            </w:pPr>
          </w:p>
        </w:tc>
        <w:tc>
          <w:tcPr>
            <w:tcW w:w="1581" w:type="dxa"/>
            <w:noWrap w:val="0"/>
            <w:vAlign w:val="center"/>
          </w:tcPr>
          <w:p>
            <w:pPr>
              <w:widowControl/>
              <w:rPr>
                <w:rFonts w:hint="eastAsia" w:hAnsi="仿宋_GB2312"/>
                <w:kern w:val="0"/>
                <w:sz w:val="24"/>
              </w:rPr>
            </w:pPr>
            <w:r>
              <w:rPr>
                <w:rFonts w:hint="eastAsia" w:hAnsi="仿宋_GB2312"/>
                <w:kern w:val="0"/>
                <w:sz w:val="24"/>
              </w:rPr>
              <w:t>建设规模及投资总额</w:t>
            </w:r>
          </w:p>
        </w:tc>
        <w:tc>
          <w:tcPr>
            <w:tcW w:w="3031" w:type="dxa"/>
            <w:noWrap w:val="0"/>
            <w:vAlign w:val="top"/>
          </w:tcPr>
          <w:p>
            <w:pPr>
              <w:rPr>
                <w:rFonts w:hint="eastAsia" w:hAnsi="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515" w:hRule="atLeast"/>
        </w:trPr>
        <w:tc>
          <w:tcPr>
            <w:tcW w:w="1741" w:type="dxa"/>
            <w:noWrap w:val="0"/>
            <w:vAlign w:val="center"/>
          </w:tcPr>
          <w:p>
            <w:pPr>
              <w:widowControl/>
              <w:jc w:val="center"/>
              <w:rPr>
                <w:rFonts w:hint="eastAsia" w:hAnsi="仿宋_GB2312"/>
                <w:kern w:val="0"/>
                <w:sz w:val="24"/>
              </w:rPr>
            </w:pPr>
            <w:r>
              <w:rPr>
                <w:rFonts w:hint="eastAsia" w:hAnsi="仿宋_GB2312"/>
                <w:kern w:val="0"/>
                <w:sz w:val="24"/>
              </w:rPr>
              <w:t>项目经办人</w:t>
            </w:r>
          </w:p>
        </w:tc>
        <w:tc>
          <w:tcPr>
            <w:tcW w:w="2953" w:type="dxa"/>
            <w:noWrap w:val="0"/>
            <w:vAlign w:val="top"/>
          </w:tcPr>
          <w:p>
            <w:pPr>
              <w:rPr>
                <w:rFonts w:hint="eastAsia" w:hAnsi="仿宋_GB2312"/>
                <w:sz w:val="24"/>
              </w:rPr>
            </w:pPr>
          </w:p>
        </w:tc>
        <w:tc>
          <w:tcPr>
            <w:tcW w:w="1581" w:type="dxa"/>
            <w:noWrap w:val="0"/>
            <w:vAlign w:val="center"/>
          </w:tcPr>
          <w:p>
            <w:pPr>
              <w:widowControl/>
              <w:rPr>
                <w:rFonts w:hint="eastAsia" w:hAnsi="仿宋_GB2312"/>
                <w:kern w:val="0"/>
                <w:sz w:val="24"/>
              </w:rPr>
            </w:pPr>
            <w:r>
              <w:rPr>
                <w:rFonts w:hint="eastAsia" w:hAnsi="仿宋_GB2312"/>
                <w:kern w:val="0"/>
                <w:sz w:val="24"/>
              </w:rPr>
              <w:t>联系电话</w:t>
            </w:r>
          </w:p>
        </w:tc>
        <w:tc>
          <w:tcPr>
            <w:tcW w:w="3031" w:type="dxa"/>
            <w:noWrap w:val="0"/>
            <w:vAlign w:val="top"/>
          </w:tcPr>
          <w:p>
            <w:pPr>
              <w:rPr>
                <w:rFonts w:hint="eastAsia" w:hAnsi="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1375" w:hRule="atLeast"/>
        </w:trPr>
        <w:tc>
          <w:tcPr>
            <w:tcW w:w="1741" w:type="dxa"/>
            <w:noWrap w:val="0"/>
            <w:vAlign w:val="center"/>
          </w:tcPr>
          <w:p>
            <w:pPr>
              <w:widowControl/>
              <w:jc w:val="center"/>
              <w:rPr>
                <w:rFonts w:hint="eastAsia" w:hAnsi="仿宋_GB2312"/>
                <w:kern w:val="0"/>
                <w:sz w:val="24"/>
              </w:rPr>
            </w:pPr>
            <w:r>
              <w:rPr>
                <w:rFonts w:hint="eastAsia" w:hAnsi="仿宋_GB2312"/>
                <w:sz w:val="24"/>
              </w:rPr>
              <w:t>目前项目审批进展情况</w:t>
            </w:r>
          </w:p>
        </w:tc>
        <w:tc>
          <w:tcPr>
            <w:tcW w:w="7566" w:type="dxa"/>
            <w:gridSpan w:val="3"/>
            <w:noWrap w:val="0"/>
            <w:vAlign w:val="center"/>
          </w:tcPr>
          <w:p>
            <w:pPr>
              <w:rPr>
                <w:rFonts w:hint="eastAsia" w:hAnsi="仿宋_GB2312"/>
                <w:kern w:val="0"/>
                <w:sz w:val="24"/>
              </w:rPr>
            </w:pPr>
            <w:r>
              <w:rPr>
                <w:rFonts w:hint="eastAsia" w:hAnsi="仿宋_GB2312"/>
                <w:kern w:val="0"/>
                <w:sz w:val="24"/>
              </w:rPr>
              <w:sym w:font="Wingdings 2" w:char="00A3"/>
            </w:r>
            <w:r>
              <w:rPr>
                <w:rFonts w:hint="eastAsia" w:hAnsi="仿宋_GB2312"/>
                <w:kern w:val="0"/>
                <w:sz w:val="24"/>
              </w:rPr>
              <w:t xml:space="preserve">企业开办    □立项用地规划许可阶段    □工程建设许可阶段    </w:t>
            </w:r>
          </w:p>
          <w:p>
            <w:pPr>
              <w:rPr>
                <w:rFonts w:hint="eastAsia" w:hAnsi="仿宋_GB2312"/>
                <w:kern w:val="0"/>
                <w:sz w:val="24"/>
              </w:rPr>
            </w:pPr>
            <w:r>
              <w:rPr>
                <w:rFonts w:hint="eastAsia" w:hAnsi="仿宋_GB2312"/>
                <w:kern w:val="0"/>
                <w:sz w:val="24"/>
              </w:rPr>
              <w:t>□施工许可阶段    □竣工验收阶段</w:t>
            </w:r>
          </w:p>
          <w:p>
            <w:pPr>
              <w:rPr>
                <w:rFonts w:hint="eastAsia" w:hAnsi="仿宋_GB2312"/>
                <w:kern w:val="0"/>
                <w:sz w:val="24"/>
                <w:u w:val="single"/>
              </w:rPr>
            </w:pPr>
            <w:r>
              <w:rPr>
                <w:rFonts w:hint="eastAsia" w:hAnsi="仿宋_GB2312"/>
                <w:kern w:val="0"/>
                <w:sz w:val="24"/>
              </w:rPr>
              <w:t>□其他阶段：</w:t>
            </w:r>
            <w:r>
              <w:rPr>
                <w:rFonts w:hint="eastAsia" w:hAnsi="仿宋_GB2312"/>
                <w:kern w:val="0"/>
                <w:sz w:val="24"/>
                <w:u w:val="single"/>
              </w:rPr>
              <w:t xml:space="preserve">                   </w:t>
            </w: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640" w:hRule="atLeast"/>
        </w:trPr>
        <w:tc>
          <w:tcPr>
            <w:tcW w:w="1741" w:type="dxa"/>
            <w:noWrap w:val="0"/>
            <w:vAlign w:val="center"/>
          </w:tcPr>
          <w:p>
            <w:pPr>
              <w:widowControl/>
              <w:jc w:val="center"/>
              <w:rPr>
                <w:rFonts w:hint="eastAsia" w:hAnsi="仿宋_GB2312"/>
                <w:sz w:val="24"/>
              </w:rPr>
            </w:pPr>
            <w:r>
              <w:rPr>
                <w:rFonts w:hint="eastAsia" w:hAnsi="仿宋_GB2312"/>
                <w:kern w:val="0"/>
                <w:sz w:val="24"/>
              </w:rPr>
              <w:t>委托代办</w:t>
            </w:r>
            <w:r>
              <w:rPr>
                <w:rFonts w:hint="eastAsia" w:hAnsi="仿宋_GB2312"/>
                <w:sz w:val="24"/>
              </w:rPr>
              <w:t>内容</w:t>
            </w:r>
          </w:p>
        </w:tc>
        <w:tc>
          <w:tcPr>
            <w:tcW w:w="7566" w:type="dxa"/>
            <w:gridSpan w:val="3"/>
            <w:noWrap w:val="0"/>
            <w:vAlign w:val="center"/>
          </w:tcPr>
          <w:p>
            <w:pPr>
              <w:rPr>
                <w:rFonts w:hint="eastAsia" w:hAnsi="仿宋_GB2312"/>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2912" w:hRule="atLeast"/>
        </w:trPr>
        <w:tc>
          <w:tcPr>
            <w:tcW w:w="1741" w:type="dxa"/>
            <w:noWrap w:val="0"/>
            <w:vAlign w:val="center"/>
          </w:tcPr>
          <w:p>
            <w:pPr>
              <w:widowControl/>
              <w:jc w:val="center"/>
              <w:rPr>
                <w:rFonts w:hint="eastAsia" w:hAnsi="仿宋_GB2312"/>
                <w:kern w:val="0"/>
                <w:sz w:val="24"/>
              </w:rPr>
            </w:pPr>
            <w:r>
              <w:rPr>
                <w:rFonts w:hint="eastAsia" w:hAnsi="仿宋_GB2312"/>
                <w:kern w:val="0"/>
                <w:sz w:val="24"/>
              </w:rPr>
              <w:t>委托方已提供申报材料清单</w:t>
            </w:r>
          </w:p>
        </w:tc>
        <w:tc>
          <w:tcPr>
            <w:tcW w:w="7566" w:type="dxa"/>
            <w:gridSpan w:val="3"/>
            <w:noWrap w:val="0"/>
            <w:vAlign w:val="top"/>
          </w:tcPr>
          <w:p>
            <w:pPr>
              <w:rPr>
                <w:rFonts w:hint="eastAsia" w:hAnsi="仿宋_GB2312"/>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2223" w:hRule="atLeast"/>
        </w:trPr>
        <w:tc>
          <w:tcPr>
            <w:tcW w:w="1741" w:type="dxa"/>
            <w:noWrap w:val="0"/>
            <w:vAlign w:val="center"/>
          </w:tcPr>
          <w:p>
            <w:pPr>
              <w:widowControl/>
              <w:jc w:val="center"/>
              <w:rPr>
                <w:rFonts w:hint="eastAsia" w:hAnsi="仿宋_GB2312"/>
                <w:sz w:val="24"/>
              </w:rPr>
            </w:pPr>
            <w:r>
              <w:rPr>
                <w:rFonts w:hint="eastAsia" w:hAnsi="仿宋_GB2312"/>
                <w:kern w:val="0"/>
                <w:sz w:val="24"/>
              </w:rPr>
              <w:t xml:space="preserve">项目单位 </w:t>
            </w:r>
            <w:r>
              <w:rPr>
                <w:rFonts w:hint="eastAsia" w:hAnsi="仿宋_GB2312"/>
                <w:kern w:val="0"/>
                <w:sz w:val="24"/>
              </w:rPr>
              <w:br w:type="textWrapping"/>
            </w:r>
            <w:r>
              <w:rPr>
                <w:rFonts w:hint="eastAsia" w:hAnsi="仿宋_GB2312"/>
                <w:kern w:val="0"/>
                <w:sz w:val="24"/>
              </w:rPr>
              <w:t>委托承诺</w:t>
            </w:r>
          </w:p>
        </w:tc>
        <w:tc>
          <w:tcPr>
            <w:tcW w:w="7566" w:type="dxa"/>
            <w:gridSpan w:val="3"/>
            <w:noWrap w:val="0"/>
            <w:vAlign w:val="top"/>
          </w:tcPr>
          <w:p>
            <w:pPr>
              <w:rPr>
                <w:rFonts w:hint="eastAsia" w:hAnsi="仿宋_GB2312"/>
                <w:kern w:val="0"/>
                <w:sz w:val="24"/>
              </w:rPr>
            </w:pPr>
            <w:r>
              <w:rPr>
                <w:rFonts w:hint="eastAsia" w:hAnsi="仿宋_GB2312"/>
                <w:kern w:val="0"/>
                <w:sz w:val="24"/>
              </w:rPr>
              <w:t xml:space="preserve">1.负责及时、真实、充分地提供项目申报相关材料，与代办员共同做好项目申报材料整理工作； </w:t>
            </w:r>
            <w:r>
              <w:rPr>
                <w:rFonts w:hint="eastAsia" w:hAnsi="仿宋_GB2312"/>
                <w:kern w:val="0"/>
                <w:sz w:val="24"/>
              </w:rPr>
              <w:br w:type="textWrapping"/>
            </w:r>
            <w:r>
              <w:rPr>
                <w:rFonts w:hint="eastAsia" w:hAnsi="仿宋_GB2312"/>
                <w:kern w:val="0"/>
                <w:sz w:val="24"/>
              </w:rPr>
              <w:t xml:space="preserve">2.根据审批职能部门提出的要求，及时对申报材料进行修改或补充； </w:t>
            </w:r>
            <w:r>
              <w:rPr>
                <w:rFonts w:hint="eastAsia" w:hAnsi="仿宋_GB2312"/>
                <w:kern w:val="0"/>
                <w:sz w:val="24"/>
              </w:rPr>
              <w:br w:type="textWrapping"/>
            </w:r>
            <w:r>
              <w:rPr>
                <w:rFonts w:hint="eastAsia" w:hAnsi="仿宋_GB2312"/>
                <w:kern w:val="0"/>
                <w:sz w:val="24"/>
              </w:rPr>
              <w:t xml:space="preserve">3.审批环节必须由项目单位人员到场的，应及时派人到场； </w:t>
            </w:r>
            <w:r>
              <w:rPr>
                <w:rFonts w:hint="eastAsia" w:hAnsi="仿宋_GB2312"/>
                <w:kern w:val="0"/>
                <w:sz w:val="24"/>
              </w:rPr>
              <w:br w:type="textWrapping"/>
            </w:r>
            <w:r>
              <w:rPr>
                <w:rFonts w:hint="eastAsia" w:hAnsi="仿宋_GB2312"/>
                <w:kern w:val="0"/>
                <w:sz w:val="24"/>
              </w:rPr>
              <w:t>4.负责按规定及时交纳各类规费。</w:t>
            </w:r>
          </w:p>
          <w:p>
            <w:pPr>
              <w:jc w:val="right"/>
              <w:rPr>
                <w:rFonts w:hint="eastAsia" w:hAnsi="仿宋_GB2312"/>
                <w:sz w:val="24"/>
              </w:rPr>
            </w:pPr>
            <w:r>
              <w:rPr>
                <w:rFonts w:hint="eastAsia" w:hAnsi="仿宋_GB2312"/>
                <w:sz w:val="24"/>
              </w:rPr>
              <w:t>项目单位： （ 盖章）</w:t>
            </w:r>
          </w:p>
          <w:p>
            <w:pPr>
              <w:ind w:firstLine="240" w:firstLineChars="100"/>
              <w:jc w:val="right"/>
              <w:rPr>
                <w:rFonts w:hint="eastAsia" w:hAnsi="仿宋_GB2312"/>
                <w:sz w:val="24"/>
              </w:rPr>
            </w:pPr>
            <w:r>
              <w:rPr>
                <w:rFonts w:hint="eastAsia" w:hAnsi="仿宋_GB2312"/>
                <w:sz w:val="24"/>
              </w:rPr>
              <w:t>年     月     日</w:t>
            </w:r>
          </w:p>
        </w:tc>
      </w:tr>
      <w:tr>
        <w:tblPrEx>
          <w:tblBorders>
            <w:top w:val="single" w:color="auto" w:sz="6" w:space="0"/>
            <w:left w:val="single" w:color="auto" w:sz="6" w:space="0"/>
            <w:bottom w:val="single" w:color="auto" w:sz="6" w:space="0"/>
            <w:right w:val="single" w:color="auto" w:sz="6" w:space="0"/>
            <w:insideH w:val="single" w:color="auto" w:sz="6" w:space="0"/>
            <w:insideV w:val="outset" w:color="auto" w:sz="6" w:space="0"/>
          </w:tblBorders>
          <w:tblCellMar>
            <w:top w:w="0" w:type="dxa"/>
            <w:left w:w="108" w:type="dxa"/>
            <w:bottom w:w="0" w:type="dxa"/>
            <w:right w:w="108" w:type="dxa"/>
          </w:tblCellMar>
        </w:tblPrEx>
        <w:trPr>
          <w:trHeight w:val="1397" w:hRule="atLeast"/>
        </w:trPr>
        <w:tc>
          <w:tcPr>
            <w:tcW w:w="1741" w:type="dxa"/>
            <w:noWrap w:val="0"/>
            <w:vAlign w:val="center"/>
          </w:tcPr>
          <w:p>
            <w:pPr>
              <w:pStyle w:val="5"/>
              <w:widowControl/>
              <w:spacing w:before="0" w:beforeAutospacing="0" w:after="0" w:afterAutospacing="0"/>
              <w:jc w:val="center"/>
              <w:rPr>
                <w:rFonts w:hint="eastAsia" w:ascii="仿宋_GB2312" w:hAnsi="仿宋_GB2312" w:eastAsia="仿宋_GB2312"/>
              </w:rPr>
            </w:pPr>
            <w:r>
              <w:rPr>
                <w:rFonts w:hint="eastAsia" w:ascii="仿宋_GB2312" w:hAnsi="仿宋_GB2312" w:eastAsia="仿宋_GB2312"/>
              </w:rPr>
              <w:t>代办服务机构</w:t>
            </w:r>
          </w:p>
          <w:p>
            <w:pPr>
              <w:widowControl/>
              <w:jc w:val="center"/>
              <w:rPr>
                <w:rFonts w:hint="eastAsia" w:hAnsi="仿宋_GB2312"/>
                <w:sz w:val="24"/>
              </w:rPr>
            </w:pPr>
            <w:r>
              <w:rPr>
                <w:rFonts w:hint="eastAsia" w:hAnsi="仿宋_GB2312"/>
                <w:kern w:val="0"/>
                <w:sz w:val="24"/>
              </w:rPr>
              <w:t>意见及安排</w:t>
            </w:r>
          </w:p>
        </w:tc>
        <w:tc>
          <w:tcPr>
            <w:tcW w:w="7566" w:type="dxa"/>
            <w:gridSpan w:val="3"/>
            <w:noWrap w:val="0"/>
            <w:vAlign w:val="top"/>
          </w:tcPr>
          <w:p>
            <w:pPr>
              <w:pStyle w:val="5"/>
              <w:widowControl/>
              <w:spacing w:before="0" w:beforeAutospacing="0" w:after="0" w:afterAutospacing="0"/>
              <w:ind w:right="480"/>
              <w:jc w:val="both"/>
              <w:rPr>
                <w:rFonts w:hint="eastAsia" w:ascii="仿宋_GB2312" w:hAnsi="仿宋_GB2312" w:eastAsia="仿宋_GB2312"/>
                <w:kern w:val="2"/>
              </w:rPr>
            </w:pPr>
            <w:r>
              <w:rPr>
                <w:rFonts w:hint="eastAsia" w:ascii="仿宋_GB2312" w:hAnsi="仿宋_GB2312" w:eastAsia="仿宋_GB2312"/>
                <w:kern w:val="2"/>
              </w:rPr>
              <w:t xml:space="preserve">                                 </w:t>
            </w:r>
          </w:p>
          <w:p>
            <w:pPr>
              <w:pStyle w:val="5"/>
              <w:widowControl/>
              <w:spacing w:before="0" w:beforeAutospacing="0" w:after="0" w:afterAutospacing="0"/>
              <w:ind w:right="480"/>
              <w:jc w:val="both"/>
              <w:rPr>
                <w:rFonts w:hint="eastAsia" w:ascii="仿宋_GB2312" w:hAnsi="仿宋_GB2312" w:eastAsia="仿宋_GB2312"/>
                <w:kern w:val="2"/>
              </w:rPr>
            </w:pPr>
          </w:p>
          <w:p>
            <w:pPr>
              <w:pStyle w:val="5"/>
              <w:widowControl/>
              <w:spacing w:before="0" w:beforeAutospacing="0" w:after="0" w:afterAutospacing="0"/>
              <w:ind w:right="480"/>
              <w:jc w:val="right"/>
              <w:rPr>
                <w:rFonts w:hint="eastAsia" w:ascii="仿宋_GB2312" w:hAnsi="仿宋_GB2312" w:eastAsia="仿宋_GB2312"/>
                <w:kern w:val="2"/>
              </w:rPr>
            </w:pPr>
            <w:r>
              <w:rPr>
                <w:rFonts w:hint="eastAsia" w:ascii="仿宋_GB2312" w:hAnsi="仿宋_GB2312" w:eastAsia="仿宋_GB2312"/>
                <w:kern w:val="2"/>
              </w:rPr>
              <w:t>（盖章）</w:t>
            </w:r>
          </w:p>
          <w:p>
            <w:pPr>
              <w:jc w:val="right"/>
              <w:rPr>
                <w:rFonts w:hint="eastAsia" w:hAnsi="仿宋_GB2312"/>
                <w:sz w:val="24"/>
              </w:rPr>
            </w:pPr>
            <w:r>
              <w:rPr>
                <w:rFonts w:hint="eastAsia" w:hAnsi="仿宋_GB2312"/>
                <w:sz w:val="24"/>
              </w:rPr>
              <w:t>年  月  日</w:t>
            </w:r>
          </w:p>
        </w:tc>
      </w:tr>
    </w:tbl>
    <w:p>
      <w:pPr>
        <w:pStyle w:val="5"/>
        <w:widowControl/>
        <w:spacing w:before="0" w:beforeAutospacing="0" w:after="0" w:afterAutospacing="0"/>
        <w:jc w:val="both"/>
        <w:rPr>
          <w:rFonts w:hint="eastAsia" w:ascii="仿宋_GB2312" w:hAnsi="仿宋_GB2312" w:eastAsia="仿宋_GB2312"/>
        </w:rPr>
      </w:pPr>
      <w:r>
        <w:rPr>
          <w:rFonts w:hint="eastAsia" w:ascii="仿宋_GB2312" w:hAnsi="仿宋_GB2312" w:eastAsia="仿宋_GB2312"/>
        </w:rPr>
        <w:t>填表说明：1.本表一式两份，代办服务机构留存一份，申请代办单位自存一份。</w:t>
      </w:r>
    </w:p>
    <w:p>
      <w:pPr>
        <w:pStyle w:val="5"/>
        <w:widowControl/>
        <w:spacing w:before="0" w:beforeAutospacing="0" w:after="0" w:afterAutospacing="0"/>
        <w:ind w:firstLine="1200" w:firstLineChars="500"/>
        <w:jc w:val="both"/>
      </w:pPr>
      <w:r>
        <w:rPr>
          <w:rFonts w:hint="eastAsia" w:ascii="仿宋_GB2312" w:hAnsi="仿宋_GB2312" w:eastAsia="仿宋_GB2312"/>
        </w:rPr>
        <w:t>2.除最后一项内容由代办服务机构填写，其它均由申请代办方填写。</w:t>
      </w:r>
    </w:p>
    <w:p>
      <w:pPr>
        <w:pStyle w:val="5"/>
        <w:widowControl/>
        <w:rPr>
          <w:rFonts w:hint="eastAsia" w:ascii="黑体" w:eastAsia="黑体"/>
          <w:bCs/>
        </w:rPr>
      </w:pPr>
      <w:r>
        <w:rPr>
          <w:rFonts w:hint="eastAsia" w:ascii="黑体" w:hAnsi="ABCDEE+黑体" w:eastAsia="黑体"/>
          <w:bCs/>
          <w:sz w:val="32"/>
        </w:rPr>
        <w:t>附件2：</w:t>
      </w:r>
    </w:p>
    <w:p>
      <w:pPr>
        <w:pStyle w:val="5"/>
        <w:widowControl/>
        <w:jc w:val="center"/>
        <w:rPr>
          <w:rFonts w:hint="eastAsia" w:ascii="方正小标宋简体" w:hAnsi="方正小标宋简体" w:eastAsia="方正小标宋简体"/>
          <w:bCs/>
          <w:sz w:val="44"/>
          <w:shd w:val="clear" w:color="auto" w:fill="FFFFFF"/>
        </w:rPr>
      </w:pPr>
      <w:r>
        <w:rPr>
          <w:rFonts w:hint="eastAsia" w:ascii="方正小标宋简体" w:hAnsi="方正小标宋简体" w:eastAsia="方正小标宋简体"/>
          <w:bCs/>
          <w:sz w:val="44"/>
          <w:shd w:val="clear" w:color="auto" w:fill="FFFFFF"/>
        </w:rPr>
        <w:t>招商引资项目代办日志</w:t>
      </w:r>
    </w:p>
    <w:tbl>
      <w:tblPr>
        <w:tblStyle w:val="6"/>
        <w:tblW w:w="0" w:type="auto"/>
        <w:jc w:val="center"/>
        <w:tblCellSpacing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833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blCellSpacing w:w="0" w:type="dxa"/>
          <w:jc w:val="center"/>
        </w:trPr>
        <w:tc>
          <w:tcPr>
            <w:tcW w:w="8336" w:type="dxa"/>
            <w:tcBorders>
              <w:top w:val="outset" w:color="auto" w:sz="6" w:space="0"/>
              <w:left w:val="outset" w:color="auto" w:sz="6" w:space="0"/>
              <w:bottom w:val="outset" w:color="auto" w:sz="6" w:space="0"/>
              <w:right w:val="outset" w:color="auto" w:sz="6" w:space="0"/>
            </w:tcBorders>
            <w:noWrap w:val="0"/>
            <w:vAlign w:val="center"/>
          </w:tcPr>
          <w:p>
            <w:pPr>
              <w:widowControl/>
              <w:jc w:val="left"/>
              <w:rPr>
                <w:rFonts w:hint="eastAsia" w:hAnsi="宋体"/>
                <w:kern w:val="0"/>
                <w:sz w:val="28"/>
              </w:rPr>
            </w:pPr>
            <w:r>
              <w:rPr>
                <w:rFonts w:hint="eastAsia" w:hAnsi="宋体"/>
                <w:kern w:val="0"/>
                <w:sz w:val="28"/>
              </w:rPr>
              <w:t xml:space="preserve">日志应当简要叙述当日代办有关事项、解决有关问题的经过。包括但不限于以下内容： </w:t>
            </w:r>
          </w:p>
          <w:p>
            <w:pPr>
              <w:widowControl/>
              <w:numPr>
                <w:ilvl w:val="0"/>
                <w:numId w:val="2"/>
              </w:numPr>
              <w:jc w:val="left"/>
              <w:rPr>
                <w:rFonts w:hint="eastAsia" w:hAnsi="宋体"/>
                <w:kern w:val="0"/>
                <w:sz w:val="28"/>
              </w:rPr>
            </w:pPr>
            <w:r>
              <w:rPr>
                <w:rFonts w:hint="eastAsia" w:hAnsi="宋体"/>
                <w:kern w:val="0"/>
                <w:sz w:val="28"/>
              </w:rPr>
              <w:t>项目相关情况</w:t>
            </w:r>
          </w:p>
          <w:p>
            <w:pPr>
              <w:widowControl/>
              <w:jc w:val="left"/>
              <w:rPr>
                <w:rFonts w:hint="eastAsia" w:hAnsi="宋体"/>
              </w:rPr>
            </w:pPr>
            <w:r>
              <w:rPr>
                <w:rFonts w:hint="eastAsia" w:hAnsi="宋体"/>
                <w:kern w:val="0"/>
                <w:sz w:val="28"/>
              </w:rPr>
              <w:t xml:space="preserve">2．审批办理情况（审批部门、承诺办理时限、受理时间、部门代办联络员等）以及存在问题和需要协调解决的矛盾等 </w:t>
            </w:r>
          </w:p>
          <w:p>
            <w:pPr>
              <w:widowControl/>
              <w:jc w:val="left"/>
              <w:rPr>
                <w:rFonts w:hint="eastAsia" w:hAnsi="宋体"/>
              </w:rPr>
            </w:pPr>
            <w:r>
              <w:rPr>
                <w:rFonts w:hint="eastAsia" w:hAnsi="宋体"/>
                <w:kern w:val="0"/>
                <w:sz w:val="28"/>
              </w:rPr>
              <w:t xml:space="preserve">3、中介服务情况（中介服务事项名称、中介机构、中介机构联 </w:t>
            </w:r>
          </w:p>
          <w:p>
            <w:pPr>
              <w:widowControl/>
              <w:jc w:val="left"/>
              <w:rPr>
                <w:rFonts w:ascii="ABCDEE+仿宋_GB2312" w:hAnsi="ABCDEE+仿宋_GB2312" w:eastAsia="ABCDEE+仿宋_GB2312"/>
                <w:kern w:val="0"/>
                <w:sz w:val="28"/>
              </w:rPr>
            </w:pPr>
            <w:r>
              <w:rPr>
                <w:rFonts w:hint="eastAsia" w:hAnsi="宋体"/>
                <w:kern w:val="0"/>
                <w:sz w:val="28"/>
              </w:rPr>
              <w:t xml:space="preserve">联系方式、受理时间、办结时间等）以及存在问题和需要协调解决的矛盾等 。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513" w:hRule="atLeast"/>
          <w:tblCellSpacing w:w="0" w:type="dxa"/>
          <w:jc w:val="center"/>
        </w:trPr>
        <w:tc>
          <w:tcPr>
            <w:tcW w:w="8336" w:type="dxa"/>
            <w:tcBorders>
              <w:top w:val="outset" w:color="auto" w:sz="6" w:space="0"/>
              <w:left w:val="outset" w:color="auto" w:sz="6" w:space="0"/>
              <w:bottom w:val="outset" w:color="auto" w:sz="6" w:space="0"/>
              <w:right w:val="outset" w:color="auto" w:sz="6" w:space="0"/>
            </w:tcBorders>
            <w:noWrap w:val="0"/>
            <w:vAlign w:val="center"/>
          </w:tcPr>
          <w:p>
            <w:pPr>
              <w:widowControl/>
              <w:jc w:val="left"/>
            </w:pPr>
          </w:p>
        </w:tc>
      </w:tr>
    </w:tbl>
    <w:p>
      <w:pPr>
        <w:pStyle w:val="5"/>
        <w:widowControl/>
        <w:rPr>
          <w:rFonts w:hint="eastAsia" w:ascii="黑体" w:hAnsi="ABCDEE+黑体" w:eastAsia="黑体"/>
          <w:bCs/>
          <w:sz w:val="32"/>
        </w:rPr>
      </w:pPr>
    </w:p>
    <w:p>
      <w:pPr>
        <w:pStyle w:val="5"/>
        <w:widowControl/>
        <w:rPr>
          <w:rFonts w:hint="eastAsia" w:ascii="黑体" w:hAnsi="ABCDEE+黑体" w:eastAsia="黑体"/>
          <w:bCs/>
          <w:sz w:val="32"/>
        </w:rPr>
      </w:pPr>
    </w:p>
    <w:p>
      <w:pPr>
        <w:pStyle w:val="5"/>
        <w:widowControl/>
        <w:spacing w:line="540" w:lineRule="exact"/>
        <w:rPr>
          <w:rFonts w:hint="eastAsia" w:ascii="黑体" w:hAnsi="ABCDEE+黑体" w:eastAsia="黑体"/>
          <w:bCs/>
          <w:sz w:val="32"/>
        </w:rPr>
      </w:pPr>
      <w:r>
        <w:rPr>
          <w:rFonts w:hint="eastAsia" w:ascii="黑体" w:hAnsi="ABCDEE+黑体" w:eastAsia="黑体"/>
          <w:bCs/>
          <w:sz w:val="32"/>
        </w:rPr>
        <w:t xml:space="preserve">附件3： </w:t>
      </w:r>
    </w:p>
    <w:p>
      <w:pPr>
        <w:pStyle w:val="5"/>
        <w:widowControl/>
        <w:spacing w:beforeAutospacing="0" w:afterAutospacing="0" w:line="540" w:lineRule="exact"/>
        <w:jc w:val="center"/>
        <w:rPr>
          <w:rFonts w:hint="eastAsia" w:ascii="方正小标宋简体" w:hAnsi="方正小标宋简体" w:eastAsia="方正小标宋简体"/>
          <w:bCs/>
          <w:sz w:val="44"/>
        </w:rPr>
      </w:pPr>
      <w:r>
        <w:rPr>
          <w:rFonts w:hint="eastAsia" w:ascii="方正小标宋简体" w:hAnsi="方正小标宋简体" w:eastAsia="方正小标宋简体"/>
          <w:bCs/>
          <w:sz w:val="44"/>
        </w:rPr>
        <w:t xml:space="preserve">代办办结单 </w:t>
      </w:r>
    </w:p>
    <w:p>
      <w:pPr>
        <w:pStyle w:val="5"/>
        <w:widowControl/>
        <w:spacing w:beforeAutospacing="0" w:afterAutospacing="0" w:line="540" w:lineRule="exact"/>
        <w:ind w:firstLine="560" w:firstLineChars="200"/>
        <w:rPr>
          <w:rFonts w:hint="eastAsia" w:ascii="仿宋_GB2312" w:hAnsi="仿宋_GB2312" w:eastAsia="仿宋_GB2312"/>
        </w:rPr>
      </w:pPr>
      <w:r>
        <w:rPr>
          <w:rFonts w:hint="eastAsia" w:ascii="仿宋_GB2312" w:hAnsi="仿宋_GB2312" w:eastAsia="仿宋_GB2312"/>
          <w:sz w:val="28"/>
        </w:rPr>
        <w:t xml:space="preserve">兹有代办项目（项目名称）_____________，项目编码__________， 已于____年___月___日完成代办服务工作， 相关资料已向项目代办单位移交完毕，现作办结处理。 </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8"/>
        </w:rPr>
        <w:t>项目单位（ 盖章）：                代办员（签字）：</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8"/>
        </w:rPr>
        <w:t xml:space="preserve">                                   代办机构（签章）</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1"/>
        </w:rPr>
        <w:t xml:space="preserve">代办服务满意度评价：□ 满意 □ 基本满意 </w:t>
      </w:r>
      <w:r>
        <w:rPr>
          <w:rFonts w:hint="eastAsia" w:ascii="仿宋_GB2312" w:hAnsi="仿宋_GB2312" w:eastAsia="仿宋_GB2312"/>
          <w:sz w:val="21"/>
        </w:rPr>
        <w:sym w:font="Wingdings 2" w:char="00A3"/>
      </w:r>
      <w:r>
        <w:rPr>
          <w:rFonts w:hint="eastAsia" w:ascii="仿宋_GB2312" w:hAnsi="仿宋_GB2312" w:eastAsia="仿宋_GB2312"/>
          <w:sz w:val="21"/>
        </w:rPr>
        <w:t xml:space="preserve"> 不满意</w:t>
      </w:r>
    </w:p>
    <w:p>
      <w:pPr>
        <w:widowControl/>
        <w:spacing w:line="540" w:lineRule="exact"/>
        <w:ind w:firstLine="420"/>
        <w:jc w:val="center"/>
        <w:rPr>
          <w:rFonts w:hint="eastAsia" w:hAnsi="仿宋_GB2312"/>
          <w:kern w:val="0"/>
          <w:sz w:val="28"/>
        </w:rPr>
      </w:pPr>
      <w:r>
        <w:rPr>
          <w:rFonts w:hint="eastAsia" w:hAnsi="仿宋_GB2312"/>
          <w:kern w:val="0"/>
          <w:sz w:val="28"/>
        </w:rPr>
        <w:t xml:space="preserve">                       年  月  日</w:t>
      </w:r>
    </w:p>
    <w:p>
      <w:pPr>
        <w:pStyle w:val="5"/>
        <w:widowControl/>
        <w:spacing w:beforeAutospacing="0" w:afterAutospacing="0" w:line="540" w:lineRule="exact"/>
        <w:ind w:firstLine="560" w:firstLineChars="200"/>
        <w:rPr>
          <w:rFonts w:hint="eastAsia" w:ascii="仿宋_GB2312" w:hAnsi="仿宋_GB2312" w:eastAsia="仿宋_GB2312"/>
          <w:sz w:val="28"/>
        </w:rPr>
      </w:pPr>
      <w:r>
        <w:rPr>
          <w:rFonts w:hint="eastAsia" w:ascii="仿宋_GB2312" w:hAnsi="仿宋_GB2312" w:eastAsia="仿宋_GB2312"/>
          <w:sz w:val="28"/>
        </w:rPr>
        <w:t>注：第一联：代办机构留存，第二联： 项目单位留存</w:t>
      </w:r>
    </w:p>
    <w:p>
      <w:pPr>
        <w:pStyle w:val="5"/>
        <w:widowControl/>
        <w:spacing w:beforeAutospacing="0" w:afterAutospacing="0" w:line="540" w:lineRule="exact"/>
        <w:rPr>
          <w:rFonts w:ascii="ABCDEE+仿宋_GB2312" w:hAnsi="ABCDEE+仿宋_GB2312" w:eastAsia="ABCDEE+仿宋_GB2312"/>
          <w:sz w:val="28"/>
        </w:rPr>
      </w:pPr>
      <w:r>
        <w:rPr>
          <w:rFonts w:hint="eastAsia" w:ascii="仿宋_GB2312" w:hAnsi="仿宋_GB2312" w:eastAsia="仿宋_GB2312"/>
          <w:sz w:val="28"/>
        </w:rPr>
        <w:t xml:space="preserve"> —————————————————————————————</w:t>
      </w:r>
    </w:p>
    <w:p>
      <w:pPr>
        <w:pStyle w:val="5"/>
        <w:widowControl/>
        <w:spacing w:beforeAutospacing="0" w:afterAutospacing="0" w:line="540" w:lineRule="exact"/>
        <w:jc w:val="center"/>
        <w:rPr>
          <w:rFonts w:ascii="ABCDEE+楷体_GB2312" w:hAnsi="ABCDEE+楷体_GB2312" w:eastAsia="ABCDEE+楷体_GB2312"/>
          <w:bCs/>
          <w:sz w:val="32"/>
        </w:rPr>
      </w:pPr>
      <w:r>
        <w:rPr>
          <w:rFonts w:hint="eastAsia" w:ascii="方正小标宋简体" w:hAnsi="方正小标宋简体" w:eastAsia="方正小标宋简体"/>
          <w:bCs/>
          <w:sz w:val="44"/>
        </w:rPr>
        <w:t xml:space="preserve">代办办结单 </w:t>
      </w:r>
    </w:p>
    <w:p>
      <w:pPr>
        <w:pStyle w:val="5"/>
        <w:widowControl/>
        <w:spacing w:beforeAutospacing="0" w:afterAutospacing="0" w:line="540" w:lineRule="exact"/>
        <w:ind w:firstLine="560" w:firstLineChars="200"/>
        <w:rPr>
          <w:rFonts w:hint="eastAsia" w:ascii="仿宋_GB2312" w:hAnsi="仿宋_GB2312" w:eastAsia="仿宋_GB2312"/>
          <w:sz w:val="28"/>
        </w:rPr>
      </w:pPr>
      <w:r>
        <w:rPr>
          <w:rFonts w:hint="eastAsia" w:ascii="仿宋_GB2312" w:hAnsi="仿宋_GB2312" w:eastAsia="仿宋_GB2312"/>
          <w:sz w:val="28"/>
        </w:rPr>
        <w:t xml:space="preserve">兹有代办项目（项目名称）_____________，项目编码__________，已于______ 年___月___日完成代办服务工作， 相关资料已向项目代办单位移交完毕，现作办结处理。 </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8"/>
        </w:rPr>
        <w:t xml:space="preserve">项目单位（ 盖章）：                代办员（签字）： </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8"/>
        </w:rPr>
        <w:t xml:space="preserve">                                  代办机构（签章）</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1"/>
        </w:rPr>
        <w:t xml:space="preserve">代办服务满意度评价：□ 满意 □ 基本满意 </w:t>
      </w:r>
      <w:r>
        <w:rPr>
          <w:rFonts w:hint="eastAsia" w:ascii="仿宋_GB2312" w:hAnsi="仿宋_GB2312" w:eastAsia="仿宋_GB2312"/>
          <w:sz w:val="21"/>
        </w:rPr>
        <w:sym w:font="Wingdings 2" w:char="00A3"/>
      </w:r>
      <w:r>
        <w:rPr>
          <w:rFonts w:hint="eastAsia" w:ascii="仿宋_GB2312" w:hAnsi="仿宋_GB2312" w:eastAsia="仿宋_GB2312"/>
          <w:sz w:val="21"/>
        </w:rPr>
        <w:t xml:space="preserve"> 不满意</w:t>
      </w:r>
    </w:p>
    <w:p>
      <w:pPr>
        <w:widowControl/>
        <w:spacing w:line="540" w:lineRule="exact"/>
        <w:ind w:firstLine="420"/>
        <w:jc w:val="center"/>
        <w:rPr>
          <w:rFonts w:hint="eastAsia" w:hAnsi="仿宋_GB2312"/>
          <w:kern w:val="0"/>
          <w:sz w:val="28"/>
        </w:rPr>
      </w:pPr>
      <w:r>
        <w:rPr>
          <w:rFonts w:hint="eastAsia" w:hAnsi="仿宋_GB2312"/>
          <w:kern w:val="0"/>
          <w:sz w:val="28"/>
        </w:rPr>
        <w:t xml:space="preserve">                       年  月  日</w:t>
      </w:r>
    </w:p>
    <w:p>
      <w:pPr>
        <w:pStyle w:val="5"/>
        <w:widowControl/>
        <w:spacing w:beforeAutospacing="0" w:afterAutospacing="0" w:line="540" w:lineRule="exact"/>
        <w:ind w:firstLine="560" w:firstLineChars="200"/>
        <w:rPr>
          <w:rFonts w:hint="eastAsia" w:ascii="仿宋_GB2312" w:hAnsi="仿宋_GB2312" w:eastAsia="仿宋_GB2312"/>
          <w:sz w:val="28"/>
        </w:rPr>
      </w:pPr>
      <w:r>
        <w:rPr>
          <w:rFonts w:hint="eastAsia" w:ascii="仿宋_GB2312" w:hAnsi="仿宋_GB2312" w:eastAsia="仿宋_GB2312"/>
          <w:sz w:val="28"/>
        </w:rPr>
        <w:t>注：第一联：代办机构留存，第二联： 项目单位留存</w:t>
      </w:r>
    </w:p>
    <w:p>
      <w:pPr>
        <w:pStyle w:val="5"/>
        <w:widowControl/>
        <w:spacing w:beforeAutospacing="0" w:afterAutospacing="0" w:line="540" w:lineRule="exact"/>
        <w:rPr>
          <w:rFonts w:hint="eastAsia" w:ascii="黑体" w:eastAsia="黑体"/>
          <w:bCs/>
        </w:rPr>
      </w:pPr>
      <w:r>
        <w:rPr>
          <w:rFonts w:hint="eastAsia" w:ascii="黑体" w:hAnsi="ABCDEE+黑体" w:eastAsia="黑体"/>
          <w:bCs/>
          <w:sz w:val="32"/>
        </w:rPr>
        <w:t xml:space="preserve">附件4 </w:t>
      </w:r>
    </w:p>
    <w:p>
      <w:pPr>
        <w:pStyle w:val="5"/>
        <w:widowControl/>
        <w:spacing w:beforeAutospacing="0" w:afterAutospacing="0" w:line="540" w:lineRule="exact"/>
        <w:jc w:val="center"/>
        <w:rPr>
          <w:rFonts w:hint="eastAsia" w:ascii="方正小标宋简体" w:hAnsi="方正小标宋简体" w:eastAsia="方正小标宋简体"/>
          <w:bCs/>
          <w:sz w:val="44"/>
        </w:rPr>
      </w:pPr>
      <w:r>
        <w:rPr>
          <w:rFonts w:hint="eastAsia" w:ascii="方正小标宋简体" w:hAnsi="方正小标宋简体" w:eastAsia="方正小标宋简体"/>
          <w:bCs/>
          <w:sz w:val="44"/>
        </w:rPr>
        <w:t>代办终止单</w:t>
      </w:r>
    </w:p>
    <w:p>
      <w:pPr>
        <w:pStyle w:val="5"/>
        <w:widowControl/>
        <w:spacing w:beforeAutospacing="0" w:afterAutospacing="0" w:line="540" w:lineRule="exact"/>
        <w:rPr>
          <w:rFonts w:hint="eastAsia" w:ascii="仿宋_GB2312" w:hAnsi="仿宋_GB2312" w:eastAsia="仿宋_GB2312"/>
          <w:sz w:val="28"/>
        </w:rPr>
      </w:pPr>
      <w:r>
        <w:rPr>
          <w:rFonts w:ascii="ABCDEE+楷体_GB2312" w:hAnsi="ABCDEE+楷体_GB2312" w:eastAsia="ABCDEE+楷体_GB2312"/>
          <w:sz w:val="32"/>
        </w:rPr>
        <w:t xml:space="preserve">    </w:t>
      </w:r>
      <w:r>
        <w:rPr>
          <w:rFonts w:hint="eastAsia" w:ascii="仿宋_GB2312" w:hAnsi="仿宋_GB2312" w:eastAsia="仿宋_GB2312"/>
          <w:sz w:val="28"/>
        </w:rPr>
        <w:t>兹有代办项目 （项目名称）__________________________ ，项目编码_____________________，现因____________________ ， 经双方认可， 该事项于_____ 年___ 月___ 日终止代办服务，相关资料已向项目单位移交完毕，现作终止处理。</w:t>
      </w:r>
    </w:p>
    <w:p>
      <w:pPr>
        <w:pStyle w:val="5"/>
        <w:widowControl/>
        <w:spacing w:beforeAutospacing="0" w:afterAutospacing="0" w:line="540" w:lineRule="exact"/>
        <w:ind w:firstLine="560" w:firstLineChars="200"/>
        <w:rPr>
          <w:rFonts w:hint="eastAsia" w:ascii="仿宋_GB2312" w:hAnsi="仿宋_GB2312" w:eastAsia="仿宋_GB2312"/>
          <w:sz w:val="28"/>
        </w:rPr>
      </w:pPr>
      <w:r>
        <w:rPr>
          <w:rFonts w:hint="eastAsia" w:ascii="仿宋_GB2312" w:hAnsi="仿宋_GB2312" w:eastAsia="仿宋_GB2312"/>
          <w:sz w:val="28"/>
        </w:rPr>
        <w:t>项目单位（ 盖章）：             代办员（签字）：</w:t>
      </w:r>
    </w:p>
    <w:p>
      <w:pPr>
        <w:widowControl/>
        <w:spacing w:line="540" w:lineRule="exact"/>
        <w:ind w:firstLine="5320" w:firstLineChars="1900"/>
        <w:jc w:val="left"/>
        <w:rPr>
          <w:rFonts w:hint="eastAsia" w:hAnsi="仿宋_GB2312"/>
          <w:kern w:val="0"/>
          <w:sz w:val="28"/>
        </w:rPr>
      </w:pPr>
      <w:r>
        <w:rPr>
          <w:rFonts w:hint="eastAsia" w:hAnsi="仿宋_GB2312"/>
          <w:kern w:val="0"/>
          <w:sz w:val="28"/>
        </w:rPr>
        <w:t>代办机构签章</w:t>
      </w:r>
    </w:p>
    <w:p>
      <w:pPr>
        <w:widowControl/>
        <w:spacing w:line="540" w:lineRule="exact"/>
        <w:ind w:firstLine="420"/>
        <w:jc w:val="center"/>
        <w:rPr>
          <w:rFonts w:hint="eastAsia" w:hAnsi="仿宋_GB2312"/>
          <w:kern w:val="0"/>
          <w:sz w:val="28"/>
        </w:rPr>
      </w:pPr>
      <w:r>
        <w:rPr>
          <w:rFonts w:hint="eastAsia" w:hAnsi="仿宋_GB2312"/>
          <w:kern w:val="0"/>
          <w:sz w:val="28"/>
        </w:rPr>
        <w:t xml:space="preserve">                       年  月  日</w:t>
      </w:r>
    </w:p>
    <w:p>
      <w:pPr>
        <w:pStyle w:val="5"/>
        <w:widowControl/>
        <w:spacing w:beforeAutospacing="0" w:afterAutospacing="0" w:line="540" w:lineRule="exact"/>
        <w:ind w:firstLine="560" w:firstLineChars="200"/>
        <w:rPr>
          <w:rFonts w:hint="eastAsia" w:ascii="仿宋_GB2312" w:hAnsi="仿宋_GB2312" w:eastAsia="仿宋_GB2312"/>
          <w:sz w:val="28"/>
        </w:rPr>
      </w:pPr>
    </w:p>
    <w:p>
      <w:pPr>
        <w:pStyle w:val="5"/>
        <w:widowControl/>
        <w:spacing w:beforeAutospacing="0" w:afterAutospacing="0" w:line="540" w:lineRule="exact"/>
        <w:ind w:firstLine="560" w:firstLineChars="200"/>
        <w:rPr>
          <w:rFonts w:hint="eastAsia" w:ascii="仿宋_GB2312" w:hAnsi="仿宋_GB2312" w:eastAsia="仿宋_GB2312"/>
          <w:sz w:val="28"/>
        </w:rPr>
      </w:pPr>
      <w:r>
        <w:rPr>
          <w:rFonts w:hint="eastAsia" w:ascii="仿宋_GB2312" w:hAnsi="仿宋_GB2312" w:eastAsia="仿宋_GB2312"/>
          <w:sz w:val="28"/>
        </w:rPr>
        <w:t>注：第一联：代办机构留存，第二联： 项目单位留存</w:t>
      </w:r>
    </w:p>
    <w:p>
      <w:pPr>
        <w:pStyle w:val="5"/>
        <w:widowControl/>
        <w:spacing w:beforeAutospacing="0" w:afterAutospacing="0" w:line="540" w:lineRule="exact"/>
      </w:pPr>
      <w:r>
        <w:rPr>
          <w:rFonts w:hint="eastAsia"/>
        </w:rPr>
        <w:t>——————————————————————————————————</w:t>
      </w:r>
    </w:p>
    <w:p>
      <w:pPr>
        <w:pStyle w:val="5"/>
        <w:widowControl/>
        <w:spacing w:beforeAutospacing="0" w:afterAutospacing="0" w:line="540" w:lineRule="exact"/>
        <w:jc w:val="center"/>
        <w:rPr>
          <w:rFonts w:hint="eastAsia" w:ascii="方正小标宋简体" w:hAnsi="方正小标宋简体" w:eastAsia="方正小标宋简体"/>
          <w:bCs/>
          <w:sz w:val="44"/>
        </w:rPr>
      </w:pPr>
      <w:r>
        <w:rPr>
          <w:rFonts w:hint="eastAsia" w:ascii="方正小标宋简体" w:hAnsi="方正小标宋简体" w:eastAsia="方正小标宋简体"/>
          <w:bCs/>
          <w:sz w:val="44"/>
        </w:rPr>
        <w:t>代办终止单</w:t>
      </w:r>
    </w:p>
    <w:p>
      <w:pPr>
        <w:pStyle w:val="5"/>
        <w:widowControl/>
        <w:spacing w:beforeAutospacing="0" w:afterAutospacing="0" w:line="540" w:lineRule="exact"/>
        <w:rPr>
          <w:rFonts w:hint="eastAsia" w:ascii="仿宋_GB2312" w:hAnsi="仿宋_GB2312" w:eastAsia="仿宋_GB2312"/>
          <w:sz w:val="28"/>
        </w:rPr>
      </w:pPr>
      <w:r>
        <w:rPr>
          <w:rFonts w:ascii="ABCDEE+楷体_GB2312" w:hAnsi="ABCDEE+楷体_GB2312" w:eastAsia="ABCDEE+楷体_GB2312"/>
          <w:sz w:val="32"/>
        </w:rPr>
        <w:t xml:space="preserve">    </w:t>
      </w:r>
      <w:r>
        <w:rPr>
          <w:rFonts w:hint="eastAsia" w:ascii="仿宋_GB2312" w:hAnsi="仿宋_GB2312" w:eastAsia="仿宋_GB2312"/>
          <w:sz w:val="28"/>
        </w:rPr>
        <w:t>兹有代办项目 （项目名称）__________________________ ，项目编码_____________________，现因___________________ ， 经双方认可， 该事项于_____ 年___ 月___ 日终止代办服务，相关资料已向项目单位移交完毕，现作终止处理。</w:t>
      </w:r>
    </w:p>
    <w:p>
      <w:pPr>
        <w:pStyle w:val="5"/>
        <w:widowControl/>
        <w:spacing w:beforeAutospacing="0" w:afterAutospacing="0" w:line="540" w:lineRule="exact"/>
        <w:ind w:firstLine="840" w:firstLineChars="300"/>
        <w:rPr>
          <w:rFonts w:hint="eastAsia" w:ascii="仿宋_GB2312" w:hAnsi="仿宋_GB2312" w:eastAsia="仿宋_GB2312"/>
          <w:sz w:val="28"/>
        </w:rPr>
      </w:pPr>
      <w:r>
        <w:rPr>
          <w:rFonts w:hint="eastAsia" w:ascii="仿宋_GB2312" w:hAnsi="仿宋_GB2312" w:eastAsia="仿宋_GB2312"/>
          <w:sz w:val="28"/>
        </w:rPr>
        <w:t>项目单位（ 盖章）：             代办员（签字）：</w:t>
      </w:r>
    </w:p>
    <w:p>
      <w:pPr>
        <w:widowControl/>
        <w:spacing w:line="540" w:lineRule="exact"/>
        <w:ind w:firstLine="5320" w:firstLineChars="1900"/>
        <w:jc w:val="left"/>
        <w:rPr>
          <w:rFonts w:hint="eastAsia" w:hAnsi="仿宋_GB2312"/>
          <w:kern w:val="0"/>
          <w:sz w:val="28"/>
        </w:rPr>
      </w:pPr>
      <w:r>
        <w:rPr>
          <w:rFonts w:hint="eastAsia" w:hAnsi="仿宋_GB2312"/>
          <w:kern w:val="0"/>
          <w:sz w:val="28"/>
        </w:rPr>
        <w:t>代办机构签章</w:t>
      </w:r>
    </w:p>
    <w:p>
      <w:pPr>
        <w:widowControl/>
        <w:spacing w:line="540" w:lineRule="exact"/>
        <w:ind w:firstLine="420"/>
        <w:jc w:val="center"/>
        <w:rPr>
          <w:rFonts w:hint="eastAsia" w:hAnsi="仿宋_GB2312"/>
          <w:kern w:val="0"/>
          <w:sz w:val="28"/>
        </w:rPr>
      </w:pPr>
      <w:r>
        <w:rPr>
          <w:rFonts w:hint="eastAsia" w:hAnsi="仿宋_GB2312"/>
          <w:kern w:val="0"/>
          <w:sz w:val="28"/>
        </w:rPr>
        <w:t xml:space="preserve">                       年  月  日</w:t>
      </w:r>
    </w:p>
    <w:p>
      <w:pPr>
        <w:pStyle w:val="5"/>
        <w:widowControl/>
        <w:spacing w:beforeAutospacing="0" w:afterAutospacing="0" w:line="540" w:lineRule="exact"/>
        <w:rPr>
          <w:rFonts w:hint="eastAsia" w:ascii="仿宋_GB2312" w:hAnsi="仿宋_GB2312" w:eastAsia="仿宋_GB2312"/>
          <w:sz w:val="28"/>
        </w:rPr>
      </w:pPr>
      <w:r>
        <w:rPr>
          <w:rFonts w:hint="eastAsia" w:ascii="仿宋_GB2312" w:hAnsi="仿宋_GB2312" w:eastAsia="仿宋_GB2312"/>
          <w:sz w:val="28"/>
        </w:rPr>
        <w:t>注：第一联：代办机构留存，第二联： 项目单位留存</w:t>
      </w:r>
    </w:p>
    <w:p>
      <w:pPr>
        <w:pStyle w:val="5"/>
        <w:widowControl/>
        <w:spacing w:beforeAutospacing="0" w:afterAutospacing="0" w:line="580" w:lineRule="exact"/>
        <w:rPr>
          <w:rFonts w:ascii="ABCDEE+黑体" w:hAnsi="ABCDEE+黑体" w:eastAsia="ABCDEE+黑体"/>
          <w:bCs/>
          <w:sz w:val="32"/>
        </w:rPr>
      </w:pPr>
      <w:r>
        <w:rPr>
          <w:rFonts w:hint="eastAsia" w:ascii="黑体" w:hAnsi="ABCDEE+黑体" w:eastAsia="黑体"/>
          <w:bCs/>
          <w:sz w:val="32"/>
        </w:rPr>
        <w:t xml:space="preserve">附件5 </w:t>
      </w:r>
      <w:r>
        <w:rPr>
          <w:rFonts w:ascii="ABCDEE+黑体" w:hAnsi="ABCDEE+黑体" w:eastAsia="ABCDEE+黑体"/>
          <w:bCs/>
          <w:sz w:val="32"/>
        </w:rPr>
        <w:t xml:space="preserve"> </w:t>
      </w:r>
    </w:p>
    <w:p>
      <w:pPr>
        <w:pStyle w:val="5"/>
        <w:widowControl/>
        <w:spacing w:beforeAutospacing="0" w:afterAutospacing="0" w:line="580" w:lineRule="exact"/>
        <w:jc w:val="center"/>
        <w:rPr>
          <w:rFonts w:hint="eastAsia" w:ascii="宋体" w:hAnsi="宋体" w:eastAsiaTheme="minorEastAsia" w:cstheme="minorBidi"/>
          <w:kern w:val="0"/>
          <w:sz w:val="28"/>
          <w:szCs w:val="24"/>
          <w:lang w:val="en-US" w:eastAsia="zh-CN" w:bidi="ar-SA"/>
        </w:rPr>
      </w:pPr>
      <w:r>
        <w:rPr>
          <w:rFonts w:hint="eastAsia" w:ascii="宋体" w:hAnsi="宋体" w:eastAsiaTheme="minorEastAsia" w:cstheme="minorBidi"/>
          <w:kern w:val="0"/>
          <w:sz w:val="28"/>
          <w:szCs w:val="24"/>
          <w:lang w:val="en-US" w:eastAsia="zh-CN" w:bidi="ar-SA"/>
        </w:rPr>
        <w:t>招商项目代办服务工作月度汇总表</w:t>
      </w:r>
    </w:p>
    <w:tbl>
      <w:tblPr>
        <w:tblStyle w:val="6"/>
        <w:tblpPr w:leftFromText="180" w:rightFromText="180" w:vertAnchor="text" w:horzAnchor="page" w:tblpX="3873" w:tblpY="1118"/>
        <w:tblW w:w="0" w:type="auto"/>
        <w:tblInd w:w="0" w:type="dxa"/>
        <w:tblLayout w:type="fixed"/>
        <w:tblCellMar>
          <w:top w:w="15" w:type="dxa"/>
          <w:left w:w="108" w:type="dxa"/>
          <w:bottom w:w="15" w:type="dxa"/>
          <w:right w:w="108" w:type="dxa"/>
        </w:tblCellMar>
      </w:tblPr>
      <w:tblGrid>
        <w:gridCol w:w="496"/>
        <w:gridCol w:w="2164"/>
        <w:gridCol w:w="1796"/>
        <w:gridCol w:w="1748"/>
        <w:gridCol w:w="1984"/>
        <w:gridCol w:w="1272"/>
      </w:tblGrid>
      <w:tr>
        <w:tblPrEx>
          <w:tblCellMar>
            <w:top w:w="15" w:type="dxa"/>
            <w:left w:w="108" w:type="dxa"/>
            <w:bottom w:w="15" w:type="dxa"/>
            <w:right w:w="108" w:type="dxa"/>
          </w:tblCellMar>
        </w:tblPrEx>
        <w:trPr>
          <w:trHeight w:val="405"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序号</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项目名称</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项目代码</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代办内容</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解决问题情况</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center"/>
              <w:rPr>
                <w:rFonts w:hint="eastAsia" w:ascii="宋体" w:hAnsi="宋体"/>
                <w:kern w:val="0"/>
                <w:sz w:val="28"/>
              </w:rPr>
            </w:pPr>
            <w:r>
              <w:rPr>
                <w:rFonts w:hint="eastAsia" w:ascii="宋体" w:hAnsi="宋体"/>
                <w:kern w:val="0"/>
                <w:sz w:val="28"/>
              </w:rPr>
              <w:t>建议</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r>
        <w:tblPrEx>
          <w:tblCellMar>
            <w:top w:w="15" w:type="dxa"/>
            <w:left w:w="108" w:type="dxa"/>
            <w:bottom w:w="15" w:type="dxa"/>
            <w:right w:w="108" w:type="dxa"/>
          </w:tblCellMar>
        </w:tblPrEx>
        <w:trPr>
          <w:trHeight w:val="757" w:hRule="atLeast"/>
        </w:trPr>
        <w:tc>
          <w:tcPr>
            <w:tcW w:w="4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216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96"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748"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984"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c>
          <w:tcPr>
            <w:tcW w:w="1272" w:type="dxa"/>
            <w:tcBorders>
              <w:top w:val="single" w:color="auto" w:sz="6" w:space="0"/>
              <w:left w:val="single" w:color="auto" w:sz="6" w:space="0"/>
              <w:bottom w:val="single" w:color="auto" w:sz="6" w:space="0"/>
              <w:right w:val="single" w:color="auto" w:sz="6" w:space="0"/>
            </w:tcBorders>
            <w:noWrap w:val="0"/>
            <w:vAlign w:val="center"/>
          </w:tcPr>
          <w:p>
            <w:pPr>
              <w:widowControl/>
              <w:jc w:val="left"/>
              <w:rPr>
                <w:rFonts w:hint="eastAsia" w:ascii="宋体" w:hAnsi="宋体"/>
                <w:kern w:val="0"/>
                <w:sz w:val="24"/>
              </w:rPr>
            </w:pPr>
            <w:r>
              <w:rPr>
                <w:rFonts w:hint="eastAsia" w:ascii="宋体" w:hAnsi="宋体"/>
                <w:kern w:val="0"/>
                <w:sz w:val="24"/>
              </w:rPr>
              <w:t>　</w:t>
            </w:r>
          </w:p>
        </w:tc>
      </w:tr>
    </w:tbl>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Theme="minorEastAsia" w:hAnsiTheme="minorEastAsia" w:eastAsiaTheme="minorEastAsia" w:cstheme="minorEastAsia"/>
          <w:kern w:val="0"/>
          <w:sz w:val="28"/>
          <w:szCs w:val="28"/>
          <w:shd w:val="clear" w:color="auto" w:fill="FFFFFF"/>
          <w:lang w:val="en-US" w:eastAsia="zh-CN" w:bidi="ar-SA"/>
        </w:rPr>
      </w:pPr>
    </w:p>
    <w:p>
      <w:pPr>
        <w:keepNext w:val="0"/>
        <w:keepLines w:val="0"/>
        <w:pageBreakBefore w:val="0"/>
        <w:widowControl w:val="0"/>
        <w:kinsoku/>
        <w:wordWrap/>
        <w:overflowPunct/>
        <w:topLinePunct w:val="0"/>
        <w:autoSpaceDE/>
        <w:autoSpaceDN/>
        <w:bidi w:val="0"/>
        <w:adjustRightInd/>
        <w:snapToGrid/>
        <w:spacing w:line="590" w:lineRule="exact"/>
        <w:jc w:val="both"/>
        <w:textAlignment w:val="auto"/>
        <w:rPr>
          <w:rFonts w:hint="eastAsia" w:hAnsi="仿宋_GB2312" w:cs="Arial"/>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both"/>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spacing w:line="560" w:lineRule="exact"/>
        <w:ind w:firstLine="315" w:firstLineChars="150"/>
        <w:rPr>
          <w:rFonts w:hint="eastAsia" w:hAnsi="华文仿宋" w:cs="华文仿宋"/>
          <w:color w:val="000000"/>
        </w:rPr>
      </w:pPr>
    </w:p>
    <w:p>
      <w:pPr>
        <w:spacing w:line="560" w:lineRule="exact"/>
        <w:ind w:firstLine="315" w:firstLineChars="150"/>
        <w:rPr>
          <w:rFonts w:hint="eastAsia" w:hAnsi="华文仿宋" w:cs="华文仿宋"/>
          <w:color w:val="000000"/>
        </w:rPr>
      </w:pPr>
    </w:p>
    <w:p>
      <w:pPr>
        <w:jc w:val="both"/>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heme="minorEastAsia" w:hAnsiTheme="minorEastAsia" w:cstheme="minorEastAsia"/>
          <w:kern w:val="0"/>
          <w:sz w:val="28"/>
          <w:szCs w:val="28"/>
          <w:shd w:val="clear" w:color="auto" w:fill="FFFFFF"/>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6" w:type="default"/>
      <w:footerReference r:id="rId7"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Microsoft YaHei Western">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方正小标宋_GBK">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方正黑体简体">
    <w:panose1 w:val="02010601030101010101"/>
    <w:charset w:val="86"/>
    <w:family w:val="auto"/>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仿宋_GBK">
    <w:panose1 w:val="03000509000000000000"/>
    <w:charset w:val="86"/>
    <w:family w:val="auto"/>
    <w:pitch w:val="default"/>
    <w:sig w:usb0="00000001" w:usb1="080E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ABCDEE+黑体">
    <w:altName w:val="黑体"/>
    <w:panose1 w:val="00000000000000000000"/>
    <w:charset w:val="00"/>
    <w:family w:val="auto"/>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ABCDEE+仿宋_GB2312">
    <w:altName w:val="微软雅黑"/>
    <w:panose1 w:val="00000000000000000000"/>
    <w:charset w:val="00"/>
    <w:family w:val="auto"/>
    <w:pitch w:val="default"/>
    <w:sig w:usb0="00000000" w:usb1="00000000" w:usb2="00000000" w:usb3="00000000" w:csb0="00040001" w:csb1="00000000"/>
  </w:font>
  <w:font w:name="ABCDEE+楷体_GB2312">
    <w:altName w:val="宋体"/>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1783" w:h="524" w:hRule="exact" w:wrap="around" w:vAnchor="text" w:hAnchor="page" w:x="9424" w:y="939"/>
      <w:jc w:val="center"/>
      <w:rPr>
        <w:rStyle w:val="9"/>
        <w:rFonts w:hint="eastAsia" w:ascii="宋体" w:hAnsi="宋体"/>
        <w:sz w:val="28"/>
        <w:szCs w:val="28"/>
      </w:rPr>
    </w:pPr>
    <w:r>
      <w:rPr>
        <w:rFonts w:ascii="宋体" w:hAnsi="宋体"/>
        <w:sz w:val="28"/>
        <w:szCs w:val="28"/>
      </w:rPr>
      <w:t>—</w:t>
    </w:r>
    <w:r>
      <w:rPr>
        <w:rFonts w:hint="eastAsia" w:ascii="宋体" w:hAnsi="宋体"/>
        <w:sz w:val="28"/>
        <w:szCs w:val="28"/>
      </w:rPr>
      <w:t xml:space="preserve"> </w:t>
    </w:r>
    <w:r>
      <w:rPr>
        <w:rFonts w:ascii="宋体" w:hAnsi="宋体"/>
        <w:sz w:val="28"/>
        <w:szCs w:val="28"/>
      </w:rPr>
      <w:fldChar w:fldCharType="begin"/>
    </w:r>
    <w:r>
      <w:rPr>
        <w:rStyle w:val="9"/>
        <w:rFonts w:ascii="宋体" w:hAnsi="宋体"/>
        <w:sz w:val="28"/>
        <w:szCs w:val="28"/>
      </w:rPr>
      <w:instrText xml:space="preserve">PAGE  </w:instrText>
    </w:r>
    <w:r>
      <w:rPr>
        <w:rFonts w:ascii="宋体" w:hAnsi="宋体"/>
        <w:sz w:val="28"/>
        <w:szCs w:val="28"/>
      </w:rPr>
      <w:fldChar w:fldCharType="separate"/>
    </w:r>
    <w:r>
      <w:rPr>
        <w:rStyle w:val="9"/>
        <w:rFonts w:ascii="宋体" w:hAnsi="宋体"/>
        <w:sz w:val="28"/>
        <w:szCs w:val="28"/>
      </w:rPr>
      <w:t>11</w:t>
    </w:r>
    <w:r>
      <w:rPr>
        <w:rFonts w:ascii="宋体" w:hAnsi="宋体"/>
        <w:sz w:val="28"/>
        <w:szCs w:val="28"/>
      </w:rPr>
      <w:fldChar w:fldCharType="end"/>
    </w:r>
    <w:r>
      <w:rPr>
        <w:rFonts w:hint="eastAsia" w:ascii="宋体" w:hAnsi="宋体"/>
        <w:sz w:val="28"/>
        <w:szCs w:val="28"/>
      </w:rPr>
      <w:t xml:space="preserve"> </w:t>
    </w:r>
    <w:r>
      <w:rPr>
        <w:rFonts w:ascii="宋体" w:hAnsi="宋体"/>
        <w:sz w:val="28"/>
        <w:szCs w:val="28"/>
      </w:rPr>
      <w:t>—</w:t>
    </w:r>
  </w:p>
  <w:p>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1783" w:h="368" w:hRule="exact" w:wrap="around" w:vAnchor="text" w:hAnchor="page" w:x="784" w:y="939"/>
      <w:jc w:val="center"/>
      <w:rPr>
        <w:rStyle w:val="9"/>
        <w:rFonts w:hint="eastAsia" w:ascii="宋体" w:hAnsi="宋体"/>
        <w:sz w:val="28"/>
        <w:szCs w:val="28"/>
      </w:rPr>
    </w:pPr>
    <w:r>
      <w:rPr>
        <w:rFonts w:ascii="宋体" w:hAnsi="宋体"/>
        <w:sz w:val="28"/>
        <w:szCs w:val="28"/>
      </w:rPr>
      <w:t>—</w:t>
    </w:r>
    <w:r>
      <w:rPr>
        <w:rFonts w:hint="eastAsia" w:ascii="宋体" w:hAnsi="宋体"/>
        <w:sz w:val="28"/>
        <w:szCs w:val="28"/>
      </w:rPr>
      <w:t xml:space="preserve"> </w:t>
    </w:r>
    <w:r>
      <w:rPr>
        <w:rFonts w:ascii="宋体" w:hAnsi="宋体"/>
        <w:sz w:val="28"/>
        <w:szCs w:val="28"/>
      </w:rPr>
      <w:fldChar w:fldCharType="begin"/>
    </w:r>
    <w:r>
      <w:rPr>
        <w:rStyle w:val="9"/>
        <w:rFonts w:ascii="宋体" w:hAnsi="宋体"/>
        <w:sz w:val="28"/>
        <w:szCs w:val="28"/>
      </w:rPr>
      <w:instrText xml:space="preserve">PAGE  </w:instrText>
    </w:r>
    <w:r>
      <w:rPr>
        <w:rFonts w:ascii="宋体" w:hAnsi="宋体"/>
        <w:sz w:val="28"/>
        <w:szCs w:val="28"/>
      </w:rPr>
      <w:fldChar w:fldCharType="separate"/>
    </w:r>
    <w:r>
      <w:rPr>
        <w:rStyle w:val="9"/>
        <w:rFonts w:ascii="宋体" w:hAnsi="宋体"/>
        <w:sz w:val="28"/>
        <w:szCs w:val="28"/>
      </w:rPr>
      <w:t>10</w:t>
    </w:r>
    <w:r>
      <w:rPr>
        <w:rFonts w:ascii="宋体" w:hAnsi="宋体"/>
        <w:sz w:val="28"/>
        <w:szCs w:val="28"/>
      </w:rPr>
      <w:fldChar w:fldCharType="end"/>
    </w:r>
    <w:r>
      <w:rPr>
        <w:rFonts w:hint="eastAsia" w:ascii="宋体" w:hAnsi="宋体"/>
        <w:sz w:val="28"/>
        <w:szCs w:val="28"/>
      </w:rPr>
      <w:t xml:space="preserve"> </w:t>
    </w:r>
    <w:r>
      <w:rPr>
        <w:rFonts w:ascii="宋体" w:hAnsi="宋体"/>
        <w:sz w:val="28"/>
        <w:szCs w:val="28"/>
      </w:rPr>
      <w:t>—</w:t>
    </w:r>
  </w:p>
  <w:p>
    <w:pPr>
      <w:pStyle w:val="3"/>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1EE737"/>
    <w:multiLevelType w:val="multilevel"/>
    <w:tmpl w:val="DC1EE737"/>
    <w:lvl w:ilvl="0" w:tentative="0">
      <w:start w:val="1"/>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2"/>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2FB01099"/>
    <w:rsid w:val="58011DA5"/>
    <w:rsid w:val="59F24B7D"/>
    <w:rsid w:val="708562F1"/>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5">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rPr>
      <w:rFonts w:cs="Times New Roman"/>
    </w:rPr>
  </w:style>
  <w:style w:type="character" w:styleId="10">
    <w:name w:val="Emphasis"/>
    <w:basedOn w:val="8"/>
    <w:qFormat/>
    <w:uiPriority w:val="0"/>
    <w:rPr>
      <w:i/>
      <w:iC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2019-12-02T03:54:24Z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