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overflowPunct/>
        <w:topLinePunct w:val="0"/>
        <w:autoSpaceDE/>
        <w:autoSpaceDN/>
        <w:bidi w:val="0"/>
        <w:adjustRightInd/>
        <w:snapToGrid/>
        <w:spacing w:line="600" w:lineRule="exact"/>
        <w:ind w:left="0" w:leftChars="0"/>
        <w:jc w:val="center"/>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eastAsia="zh-CN"/>
        </w:rPr>
        <w:t>青阳县人民政府公报</w:t>
      </w:r>
      <w:r>
        <w:rPr>
          <w:rFonts w:hint="eastAsia" w:ascii="方正小标宋简体" w:hAnsi="方正小标宋简体" w:eastAsia="方正小标宋简体" w:cs="方正小标宋简体"/>
          <w:b w:val="0"/>
          <w:bCs w:val="0"/>
          <w:color w:val="auto"/>
          <w:sz w:val="44"/>
          <w:szCs w:val="44"/>
          <w:lang w:val="en-US" w:eastAsia="zh-CN"/>
        </w:rPr>
        <w:t>2024年第2号</w:t>
      </w:r>
    </w:p>
    <w:p>
      <w:pPr>
        <w:pageBreakBefore w:val="0"/>
        <w:widowControl w:val="0"/>
        <w:kinsoku/>
        <w:overflowPunct/>
        <w:topLinePunct w:val="0"/>
        <w:autoSpaceDE/>
        <w:autoSpaceDN/>
        <w:bidi w:val="0"/>
        <w:adjustRightInd/>
        <w:snapToGrid/>
        <w:spacing w:line="600" w:lineRule="exact"/>
        <w:ind w:left="0" w:leftChars="0"/>
        <w:jc w:val="center"/>
        <w:rPr>
          <w:rFonts w:hint="eastAsia" w:ascii="楷体_GB2312" w:hAnsi="楷体_GB2312" w:eastAsia="楷体_GB2312" w:cs="楷体_GB2312"/>
          <w:b w:val="0"/>
          <w:bCs w:val="0"/>
          <w:color w:val="auto"/>
          <w:sz w:val="36"/>
          <w:szCs w:val="36"/>
          <w:lang w:val="en-US" w:eastAsia="zh-CN"/>
        </w:rPr>
      </w:pPr>
      <w:r>
        <w:rPr>
          <w:rFonts w:hint="eastAsia" w:ascii="楷体_GB2312" w:hAnsi="楷体_GB2312" w:eastAsia="楷体_GB2312" w:cs="楷体_GB2312"/>
          <w:b w:val="0"/>
          <w:bCs w:val="0"/>
          <w:color w:val="auto"/>
          <w:sz w:val="36"/>
          <w:szCs w:val="36"/>
          <w:lang w:val="en-US" w:eastAsia="zh-CN"/>
        </w:rPr>
        <w:t>（总第48期）</w:t>
      </w:r>
    </w:p>
    <w:p>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color w:val="auto"/>
          <w:sz w:val="36"/>
          <w:szCs w:val="36"/>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39"/>
        <w:pageBreakBefore w:val="0"/>
        <w:widowControl w:val="0"/>
        <w:kinsoku/>
        <w:overflowPunct/>
        <w:topLinePunct w:val="0"/>
        <w:autoSpaceDE/>
        <w:autoSpaceDN/>
        <w:bidi w:val="0"/>
        <w:adjustRightInd/>
        <w:snapToGrid/>
        <w:spacing w:line="600" w:lineRule="exact"/>
        <w:ind w:left="0" w:leftChars="0"/>
        <w:rPr>
          <w:rFonts w:hint="eastAsia"/>
          <w:color w:val="auto"/>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县政府办文件</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青阳县人民政府办公室关于印发青阳县传统建筑保护修缮管理实施意见的通知</w:t>
      </w:r>
    </w:p>
    <w:p>
      <w:pPr>
        <w:pStyle w:val="25"/>
        <w:rPr>
          <w:rFonts w:hint="eastAsia"/>
          <w:color w:val="auto"/>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青阳县人民政府办公室关于成立青阳县钙基新材料产业转型发展领导小组的通知</w:t>
      </w: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5"/>
        <w:pageBreakBefore w:val="0"/>
        <w:widowControl w:val="0"/>
        <w:numPr>
          <w:ilvl w:val="3"/>
          <w:numId w:val="0"/>
        </w:numPr>
        <w:kinsoku/>
        <w:overflowPunct/>
        <w:topLinePunct w:val="0"/>
        <w:autoSpaceDE/>
        <w:autoSpaceDN/>
        <w:bidi w:val="0"/>
        <w:adjustRightInd/>
        <w:snapToGrid/>
        <w:spacing w:before="0" w:after="0" w:line="600" w:lineRule="exact"/>
        <w:ind w:left="0" w:leftChars="0"/>
        <w:rPr>
          <w:rFonts w:hint="eastAsia"/>
          <w:color w:val="auto"/>
          <w:lang w:eastAsia="zh-CN"/>
        </w:rPr>
      </w:pPr>
    </w:p>
    <w:p>
      <w:pPr>
        <w:pageBreakBefore w:val="0"/>
        <w:widowControl w:val="0"/>
        <w:kinsoku/>
        <w:overflowPunct/>
        <w:topLinePunct w:val="0"/>
        <w:autoSpaceDE/>
        <w:autoSpaceDN/>
        <w:bidi w:val="0"/>
        <w:adjustRightInd/>
        <w:snapToGrid/>
        <w:spacing w:line="600" w:lineRule="exact"/>
        <w:ind w:left="0" w:leftChars="0"/>
        <w:rPr>
          <w:rFonts w:hint="eastAsia"/>
          <w:color w:val="auto"/>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color w:val="auto"/>
        </w:rPr>
      </w:pPr>
    </w:p>
    <w:p>
      <w:pPr>
        <w:pStyle w:val="39"/>
        <w:pageBreakBefore w:val="0"/>
        <w:widowControl w:val="0"/>
        <w:kinsoku/>
        <w:overflowPunct/>
        <w:topLinePunct w:val="0"/>
        <w:autoSpaceDE/>
        <w:autoSpaceDN/>
        <w:bidi w:val="0"/>
        <w:adjustRightInd/>
        <w:snapToGrid/>
        <w:spacing w:line="600" w:lineRule="exact"/>
        <w:ind w:left="0" w:leftChars="0"/>
        <w:rPr>
          <w:rFonts w:hint="eastAsia"/>
          <w:color w:val="auto"/>
        </w:rPr>
      </w:pPr>
    </w:p>
    <w:p>
      <w:pPr>
        <w:pStyle w:val="39"/>
        <w:pageBreakBefore w:val="0"/>
        <w:widowControl w:val="0"/>
        <w:kinsoku/>
        <w:overflowPunct/>
        <w:topLinePunct w:val="0"/>
        <w:autoSpaceDE/>
        <w:autoSpaceDN/>
        <w:bidi w:val="0"/>
        <w:adjustRightInd/>
        <w:snapToGrid/>
        <w:spacing w:line="600" w:lineRule="exact"/>
        <w:ind w:left="0" w:leftChars="0"/>
        <w:rPr>
          <w:rFonts w:hint="eastAsia"/>
          <w:color w:val="auto"/>
        </w:rPr>
      </w:pPr>
    </w:p>
    <w:p>
      <w:pPr>
        <w:pStyle w:val="39"/>
        <w:pageBreakBefore w:val="0"/>
        <w:widowControl w:val="0"/>
        <w:kinsoku/>
        <w:overflowPunct/>
        <w:topLinePunct w:val="0"/>
        <w:autoSpaceDE/>
        <w:autoSpaceDN/>
        <w:bidi w:val="0"/>
        <w:adjustRightInd/>
        <w:snapToGrid/>
        <w:spacing w:line="600" w:lineRule="exact"/>
        <w:ind w:left="0" w:leftChars="0"/>
        <w:rPr>
          <w:rFonts w:hint="eastAsia"/>
          <w:color w:val="auto"/>
        </w:rPr>
      </w:pPr>
    </w:p>
    <w:p>
      <w:pPr>
        <w:keepNext w:val="0"/>
        <w:keepLines w:val="0"/>
        <w:pageBreakBefore w:val="0"/>
        <w:widowControl w:val="0"/>
        <w:kinsoku/>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kern w:val="44"/>
          <w:sz w:val="44"/>
          <w:szCs w:val="44"/>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eastAsia="zh-CN"/>
        </w:rPr>
        <w:t>青阳县人民政府办公室关于印发青阳县</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spacing w:val="-28"/>
          <w:sz w:val="44"/>
          <w:szCs w:val="44"/>
          <w:lang w:eastAsia="zh-CN"/>
        </w:rPr>
      </w:pPr>
      <w:r>
        <w:rPr>
          <w:rFonts w:hint="eastAsia" w:ascii="方正小标宋简体" w:hAnsi="方正小标宋简体" w:eastAsia="方正小标宋简体" w:cs="方正小标宋简体"/>
          <w:color w:val="auto"/>
          <w:sz w:val="44"/>
          <w:szCs w:val="44"/>
          <w:lang w:eastAsia="zh-CN"/>
        </w:rPr>
        <w:t>传统建筑保护修缮管理实施意见</w:t>
      </w:r>
      <w:r>
        <w:rPr>
          <w:rFonts w:hint="eastAsia" w:ascii="方正小标宋简体" w:hAnsi="方正小标宋简体" w:eastAsia="方正小标宋简体" w:cs="方正小标宋简体"/>
          <w:color w:val="auto"/>
          <w:spacing w:val="-28"/>
          <w:sz w:val="44"/>
          <w:szCs w:val="44"/>
          <w:lang w:eastAsia="zh-CN"/>
        </w:rPr>
        <w:t>的通知</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各乡镇人民政府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县开发区管委会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县政府各部门、各直属机构，驻青各单位，县建投集团，县乡投集团：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《青阳县传统建筑保护修缮管理实施意见》</w:t>
      </w:r>
      <w:r>
        <w:rPr>
          <w:rFonts w:hint="eastAsia" w:ascii="仿宋_GB2312" w:hAnsi="仿宋_GB2312" w:eastAsia="仿宋_GB2312" w:cs="仿宋_GB2312"/>
          <w:color w:val="auto"/>
          <w:sz w:val="32"/>
          <w:szCs w:val="32"/>
          <w:lang w:eastAsia="zh-CN"/>
        </w:rPr>
        <w:t>已</w:t>
      </w:r>
      <w:r>
        <w:rPr>
          <w:rFonts w:hint="eastAsia" w:ascii="仿宋_GB2312" w:hAnsi="仿宋_GB2312" w:eastAsia="仿宋_GB2312" w:cs="仿宋_GB2312"/>
          <w:color w:val="auto"/>
          <w:sz w:val="32"/>
          <w:szCs w:val="32"/>
        </w:rPr>
        <w:t>经县政府</w:t>
      </w:r>
      <w:r>
        <w:rPr>
          <w:rFonts w:hint="eastAsia" w:ascii="仿宋_GB2312" w:hAnsi="仿宋_GB2312" w:eastAsia="仿宋_GB2312" w:cs="仿宋_GB2312"/>
          <w:color w:val="auto"/>
          <w:sz w:val="32"/>
          <w:szCs w:val="32"/>
          <w:lang w:eastAsia="zh-CN"/>
        </w:rPr>
        <w:t>第</w:t>
      </w:r>
      <w:r>
        <w:rPr>
          <w:rFonts w:hint="eastAsia" w:ascii="仿宋_GB2312" w:hAnsi="仿宋_GB2312" w:eastAsia="仿宋_GB2312" w:cs="仿宋_GB2312"/>
          <w:color w:val="auto"/>
          <w:sz w:val="32"/>
          <w:szCs w:val="32"/>
          <w:lang w:val="en-US" w:eastAsia="zh-CN"/>
        </w:rPr>
        <w:t>54</w:t>
      </w:r>
      <w:r>
        <w:rPr>
          <w:rFonts w:hint="eastAsia" w:ascii="仿宋_GB2312" w:hAnsi="仿宋_GB2312" w:eastAsia="仿宋_GB2312" w:cs="仿宋_GB2312"/>
          <w:color w:val="auto"/>
          <w:sz w:val="32"/>
          <w:szCs w:val="32"/>
          <w:lang w:eastAsia="zh-CN"/>
        </w:rPr>
        <w:t>次常务会议审议通过</w:t>
      </w:r>
      <w:r>
        <w:rPr>
          <w:rFonts w:hint="eastAsia" w:ascii="仿宋_GB2312" w:hAnsi="仿宋_GB2312" w:eastAsia="仿宋_GB2312" w:cs="仿宋_GB2312"/>
          <w:color w:val="auto"/>
          <w:sz w:val="32"/>
          <w:szCs w:val="32"/>
        </w:rPr>
        <w:t>，现将印发给你们，请认真贯彻执行。</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青阳县人民政府办公室</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2024年5月11日</w:t>
      </w: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r>
        <w:rPr>
          <w:rFonts w:hint="eastAsia" w:ascii="方正小标宋简体" w:hAnsi="方正小标宋简体" w:eastAsia="方正小标宋简体" w:cs="方正小标宋简体"/>
          <w:color w:val="auto"/>
          <w:kern w:val="0"/>
          <w:sz w:val="44"/>
          <w:szCs w:val="44"/>
        </w:rPr>
        <w:t>青阳县传统建筑保护修缮管理实施意见</w:t>
      </w:r>
    </w:p>
    <w:p>
      <w:pPr>
        <w:keepNext w:val="0"/>
        <w:keepLines w:val="0"/>
        <w:pageBreakBefore w:val="0"/>
        <w:widowControl/>
        <w:shd w:val="clear" w:color="auto" w:fill="FFFFFF"/>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kern w:val="0"/>
          <w:sz w:val="44"/>
          <w:szCs w:val="44"/>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第一条</w:t>
      </w:r>
      <w:r>
        <w:rPr>
          <w:rFonts w:hint="eastAsia" w:ascii="仿宋_GB2312" w:hAnsi="仿宋_GB2312" w:eastAsia="仿宋_GB2312" w:cs="仿宋_GB2312"/>
          <w:color w:val="auto"/>
          <w:kern w:val="0"/>
          <w:sz w:val="32"/>
          <w:szCs w:val="32"/>
        </w:rPr>
        <w:t xml:space="preserve"> 为</w:t>
      </w:r>
      <w:r>
        <w:rPr>
          <w:rFonts w:hint="eastAsia" w:ascii="仿宋_GB2312" w:hAnsi="仿宋_GB2312" w:eastAsia="仿宋_GB2312" w:cs="仿宋_GB2312"/>
          <w:color w:val="auto"/>
          <w:kern w:val="0"/>
          <w:sz w:val="32"/>
          <w:szCs w:val="32"/>
          <w:lang w:eastAsia="zh-CN"/>
        </w:rPr>
        <w:t>加强</w:t>
      </w:r>
      <w:r>
        <w:rPr>
          <w:rFonts w:hint="eastAsia" w:ascii="仿宋_GB2312" w:hAnsi="仿宋_GB2312" w:eastAsia="仿宋_GB2312" w:cs="仿宋_GB2312"/>
          <w:color w:val="auto"/>
          <w:kern w:val="0"/>
          <w:sz w:val="32"/>
          <w:szCs w:val="32"/>
        </w:rPr>
        <w:t>传统建筑修缮全过程管理，促进传统建筑活化利用，</w:t>
      </w:r>
      <w:r>
        <w:rPr>
          <w:rFonts w:hint="eastAsia" w:ascii="仿宋_GB2312" w:hAnsi="仿宋_GB2312" w:eastAsia="仿宋_GB2312" w:cs="仿宋_GB2312"/>
          <w:color w:val="auto"/>
          <w:kern w:val="0"/>
          <w:sz w:val="32"/>
          <w:szCs w:val="32"/>
          <w:lang w:eastAsia="zh-CN"/>
        </w:rPr>
        <w:t>做好</w:t>
      </w:r>
      <w:r>
        <w:rPr>
          <w:rFonts w:hint="eastAsia" w:ascii="仿宋_GB2312" w:hAnsi="仿宋_GB2312" w:eastAsia="仿宋_GB2312" w:cs="仿宋_GB2312"/>
          <w:color w:val="auto"/>
          <w:kern w:val="0"/>
          <w:sz w:val="32"/>
          <w:szCs w:val="32"/>
        </w:rPr>
        <w:t>历史文化保护与传承，根据相关法律法规，结合我县实际情况，制定本实施意见。</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第二条</w:t>
      </w:r>
      <w:r>
        <w:rPr>
          <w:rFonts w:hint="eastAsia" w:ascii="仿宋_GB2312" w:hAnsi="仿宋_GB2312" w:eastAsia="仿宋_GB2312" w:cs="仿宋_GB2312"/>
          <w:color w:val="auto"/>
          <w:kern w:val="0"/>
          <w:sz w:val="32"/>
          <w:szCs w:val="32"/>
        </w:rPr>
        <w:t xml:space="preserve"> 本实施意见适用于青阳县行政区域内所有传统建筑的修缮管理。相关法律法规对传统建筑管理另有规定的，从其规定。</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第三条</w:t>
      </w:r>
      <w:r>
        <w:rPr>
          <w:rFonts w:hint="eastAsia" w:ascii="仿宋_GB2312" w:hAnsi="仿宋_GB2312" w:eastAsia="仿宋_GB2312" w:cs="仿宋_GB2312"/>
          <w:color w:val="auto"/>
          <w:kern w:val="0"/>
          <w:sz w:val="32"/>
          <w:szCs w:val="32"/>
        </w:rPr>
        <w:t xml:space="preserve"> 本实施意见所称传统建筑，是指使用传统材料、具有传统形制、运用传统工艺建造的民宅、祠堂、庙宇、牌坊、书院、名人故居等，对传统风貌形成具有重要意义的建筑。</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第四条</w:t>
      </w:r>
      <w:r>
        <w:rPr>
          <w:rFonts w:hint="eastAsia" w:ascii="仿宋_GB2312" w:hAnsi="仿宋_GB2312" w:eastAsia="仿宋_GB2312" w:cs="仿宋_GB2312"/>
          <w:color w:val="auto"/>
          <w:kern w:val="0"/>
          <w:sz w:val="32"/>
          <w:szCs w:val="32"/>
        </w:rPr>
        <w:t xml:space="preserve"> 本实施意见所称传统建筑保护修缮，是指对传统建筑及其设备、历史环境要素进行保护</w:t>
      </w:r>
      <w:r>
        <w:rPr>
          <w:rFonts w:hint="eastAsia" w:ascii="仿宋_GB2312" w:hAnsi="仿宋_GB2312" w:eastAsia="仿宋_GB2312" w:cs="仿宋_GB2312"/>
          <w:color w:val="auto"/>
          <w:kern w:val="0"/>
          <w:sz w:val="32"/>
          <w:szCs w:val="32"/>
          <w:lang w:val="en-US" w:eastAsia="zh-CN"/>
        </w:rPr>
        <w:t>和</w:t>
      </w:r>
      <w:r>
        <w:rPr>
          <w:rFonts w:hint="eastAsia" w:ascii="仿宋_GB2312" w:hAnsi="仿宋_GB2312" w:eastAsia="仿宋_GB2312" w:cs="仿宋_GB2312"/>
          <w:color w:val="auto"/>
          <w:kern w:val="0"/>
          <w:sz w:val="32"/>
          <w:szCs w:val="32"/>
        </w:rPr>
        <w:t>修缮，恢复其传统风貌和改善房屋安全的工程行为，包括</w:t>
      </w:r>
      <w:r>
        <w:rPr>
          <w:rFonts w:hint="eastAsia" w:ascii="仿宋_GB2312" w:hAnsi="仿宋_GB2312" w:eastAsia="仿宋_GB2312" w:cs="仿宋_GB2312"/>
          <w:color w:val="auto"/>
          <w:kern w:val="0"/>
          <w:sz w:val="32"/>
          <w:szCs w:val="32"/>
          <w:lang w:val="en-US" w:eastAsia="zh-CN"/>
        </w:rPr>
        <w:t>现状</w:t>
      </w:r>
      <w:r>
        <w:rPr>
          <w:rFonts w:hint="eastAsia" w:ascii="仿宋_GB2312" w:hAnsi="仿宋_GB2312" w:eastAsia="仿宋_GB2312" w:cs="仿宋_GB2312"/>
          <w:color w:val="auto"/>
          <w:kern w:val="0"/>
          <w:sz w:val="32"/>
          <w:szCs w:val="32"/>
        </w:rPr>
        <w:t>维护、现状整修、结构加固，以及因使用需要，对建筑结构、功能、性能进行必要的改善。</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w:t>
      </w:r>
      <w:r>
        <w:rPr>
          <w:rFonts w:hint="eastAsia" w:ascii="黑体" w:hAnsi="黑体" w:eastAsia="黑体" w:cs="黑体"/>
          <w:color w:val="auto"/>
          <w:kern w:val="0"/>
          <w:sz w:val="32"/>
          <w:szCs w:val="32"/>
          <w:lang w:val="en-US" w:eastAsia="zh-CN"/>
        </w:rPr>
        <w:t>五</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kern w:val="0"/>
          <w:sz w:val="32"/>
          <w:szCs w:val="32"/>
        </w:rPr>
        <w:t xml:space="preserve"> 传统建筑产权人或使用人是保护修缮责任人，产权人或使用人不明确的，所在地的乡（镇）人民政府或街道办事处为责任主体。保护修缮责任人应履行传统建筑的保护修缮义务，不具备修缮能力的，应采取措施进行保护。对濒临倒塌、损毁严重，存在重大安全隐患的传统建筑应及时开展抢救性修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第六条</w:t>
      </w:r>
      <w:r>
        <w:rPr>
          <w:rFonts w:hint="eastAsia" w:ascii="仿宋_GB2312" w:hAnsi="仿宋_GB2312" w:eastAsia="仿宋_GB2312" w:cs="仿宋_GB2312"/>
          <w:color w:val="auto"/>
          <w:kern w:val="0"/>
          <w:sz w:val="32"/>
          <w:szCs w:val="32"/>
        </w:rPr>
        <w:t xml:space="preserve"> 县</w:t>
      </w:r>
      <w:r>
        <w:rPr>
          <w:rFonts w:hint="eastAsia" w:ascii="仿宋_GB2312" w:hAnsi="仿宋_GB2312" w:eastAsia="仿宋_GB2312" w:cs="仿宋_GB2312"/>
          <w:color w:val="auto"/>
          <w:sz w:val="32"/>
          <w:szCs w:val="32"/>
        </w:rPr>
        <w:t>住房和城乡建设部门负责统筹全县传统建筑的保护修缮等管理工作。</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县自然资源、应急、文旅、生态环境、农业农村</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水利、财政等部门按照各自职责，做好传统建筑保护修缮的相关职责管理工作。</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w:t>
      </w:r>
      <w:r>
        <w:rPr>
          <w:rFonts w:hint="eastAsia" w:ascii="黑体" w:hAnsi="黑体" w:eastAsia="黑体" w:cs="黑体"/>
          <w:color w:val="auto"/>
          <w:kern w:val="0"/>
          <w:sz w:val="32"/>
          <w:szCs w:val="32"/>
          <w:lang w:val="en-US" w:eastAsia="zh-CN"/>
        </w:rPr>
        <w:t>七</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传统建筑保护修缮应当遵循保护优先、合理利用、加强管理、社会参与的原则。任何单位和个人都有依法保护传统建筑的义务，有权对破坏、损害传统建筑的行为进行劝阻和举报。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w:t>
      </w:r>
      <w:r>
        <w:rPr>
          <w:rFonts w:hint="eastAsia" w:ascii="黑体" w:hAnsi="黑体" w:eastAsia="黑体" w:cs="黑体"/>
          <w:color w:val="auto"/>
          <w:kern w:val="0"/>
          <w:sz w:val="32"/>
          <w:szCs w:val="32"/>
          <w:lang w:val="en-US" w:eastAsia="zh-CN"/>
        </w:rPr>
        <w:t>八</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传统建筑应按照“一宅一档”的要求建立档案，重点对传统建筑座落位置、建筑年代、建筑类别、结构类型、价值特征、使用现状、权属信息等进行登记，实行挂牌保护。</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w:t>
      </w:r>
      <w:r>
        <w:rPr>
          <w:rFonts w:hint="eastAsia" w:ascii="黑体" w:hAnsi="黑体" w:eastAsia="黑体" w:cs="黑体"/>
          <w:color w:val="auto"/>
          <w:kern w:val="0"/>
          <w:sz w:val="32"/>
          <w:szCs w:val="32"/>
          <w:lang w:val="en-US" w:eastAsia="zh-CN"/>
        </w:rPr>
        <w:t>九</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传统建筑的修缮应当符合技术规范、质量标准要求，采用真实、完整、可识别和可持续的修缮方法和技术措施。</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w:t>
      </w:r>
      <w:r>
        <w:rPr>
          <w:rFonts w:hint="eastAsia" w:ascii="黑体" w:hAnsi="黑体" w:eastAsia="黑体" w:cs="黑体"/>
          <w:color w:val="auto"/>
          <w:kern w:val="0"/>
          <w:sz w:val="32"/>
          <w:szCs w:val="32"/>
          <w:lang w:val="en-US" w:eastAsia="zh-CN"/>
        </w:rPr>
        <w:t>十</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保护修缮责任人按照国家技术规范和质量标准、传统建筑修缮计划等相关要求进行修缮的，可以按照有关规定申请补助资金。</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一</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修缮补助资金按以下流程办理：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（一）申请。传统建筑修缮工程竣工验收通过后，产权人根据属地管理原则，向所在地乡镇人民政府（街道办事处）提出申请，并附申请书、权属证明材料、工程决算书、施工合同等相关资料。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（二）审核。县住房和城</w:t>
      </w:r>
      <w:r>
        <w:rPr>
          <w:rFonts w:hint="eastAsia" w:ascii="仿宋_GB2312" w:hAnsi="仿宋_GB2312" w:eastAsia="仿宋_GB2312" w:cs="仿宋_GB2312"/>
          <w:color w:val="auto"/>
          <w:sz w:val="32"/>
          <w:szCs w:val="32"/>
        </w:rPr>
        <w:t>乡建设</w:t>
      </w:r>
      <w:r>
        <w:rPr>
          <w:rFonts w:hint="eastAsia" w:ascii="仿宋_GB2312" w:hAnsi="仿宋_GB2312" w:eastAsia="仿宋_GB2312" w:cs="仿宋_GB2312"/>
          <w:color w:val="auto"/>
          <w:sz w:val="32"/>
          <w:szCs w:val="32"/>
        </w:rPr>
        <w:t>部门对提交的相关资料进行审核，根据资金来源情况商财政部门，提出具体补助方案。</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拨付。县住房和城乡建设部门将确定的补助方案报县人民政府同意后，县财政部门根据县人民政府的批示，拨付相关资金。按照属地原则，资金由县财政拨付至各乡镇（街道办事处），再由各乡镇（街道办事处）进行拨付。</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二</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修缮补助资金的使用应当专款专用，补助资金的预算申请、使用管理、发放等按照县财政资金管理有关规定执行。任何单位、个人不得弄虚作假、挪用、侵占，否则依法追究相关责任人的责任。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三</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传统建筑的修缮应当委托具有相应资质的设计、施工、监理单位实施。依法应当招标的传统建筑修缮项目，应当按照招投标有关法律法规进行招标。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四</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传统建筑修缮需要制定设计方案的，保护责任人或委托代理人应当委托有资质的设计机构编制修缮工程设计方案，并按要求向县住房和城乡建设部门进行申报。县住房和城乡建设部门经组织专家论证并审查合格后，方可进行施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对传统建筑不</w:t>
      </w:r>
      <w:r>
        <w:rPr>
          <w:rFonts w:hint="eastAsia" w:ascii="仿宋_GB2312" w:hAnsi="仿宋_GB2312" w:eastAsia="仿宋_GB2312" w:cs="仿宋_GB2312"/>
          <w:color w:val="auto"/>
          <w:sz w:val="32"/>
          <w:szCs w:val="32"/>
        </w:rPr>
        <w:t>涉及体现传统</w:t>
      </w:r>
      <w:r>
        <w:rPr>
          <w:rFonts w:hint="eastAsia" w:ascii="仿宋_GB2312" w:hAnsi="仿宋_GB2312" w:eastAsia="仿宋_GB2312" w:cs="仿宋_GB2312"/>
          <w:color w:val="auto"/>
          <w:sz w:val="32"/>
          <w:szCs w:val="32"/>
        </w:rPr>
        <w:t>风貌特色的部位、材料、构造、装饰的轻微修缮由保护责任人自行修缮。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五</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保护修缮责任人不得从事损坏建筑主体承重结构或者危害建筑安全的其他活动，不得私自拆卸传统建筑构件。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六</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在传统建筑上设置牌匾、照明设备，或者设置空调外机、遮雨（阳）篷等外部设施的，在依法批准前应当由县住房和城乡建设部门组织专家论证，同意后方可添加并与建筑立面相协调。</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七</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传统建筑修缮时，建设责任主体应将建设适应传统建筑特点和保护需要的消防设施纳入工程建设内容，制定相应管理要求和保障方案。</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八</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传统建筑修缮中涉及消防设计的，应当按照国家和省、市有关规定和现行消防技术标准及规范执行。确因保护需要无法按照现行标准和规范执行的，由保护责任人说明情况并提出专家论证申请，县住房和城乡建设部门可以按照“一建筑一策”的原则组织专家论证，按专家论证意见执行。</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九</w:t>
      </w:r>
      <w:r>
        <w:rPr>
          <w:rFonts w:hint="eastAsia" w:ascii="黑体" w:hAnsi="黑体" w:eastAsia="黑体" w:cs="黑体"/>
          <w:color w:val="auto"/>
          <w:kern w:val="0"/>
          <w:sz w:val="32"/>
          <w:szCs w:val="32"/>
        </w:rPr>
        <w:t xml:space="preserve">条 </w:t>
      </w:r>
      <w:r>
        <w:rPr>
          <w:rFonts w:hint="eastAsia" w:ascii="仿宋_GB2312" w:hAnsi="仿宋_GB2312" w:eastAsia="仿宋_GB2312" w:cs="仿宋_GB2312"/>
          <w:color w:val="auto"/>
          <w:sz w:val="32"/>
          <w:szCs w:val="32"/>
        </w:rPr>
        <w:t>传统建筑开展合理利用时，保护责任人可通过以下防火安全措施提高火灾防控和灭火应急救援能力：</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（一）提高建筑耐火等级。按照国家消防技术规范要求，在不影响传统建筑核心价值外观、结构和构件的前提下，通过采取置换构件、设置防火分隔等措施进行阻燃处理，提高传统建筑消防安全性能。</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完善内部改造。通过改建和增加内部楼梯、增加内部连廊等方式，使疏散楼梯的宽度、坡度及疏散距离最大限度满足国家建筑规范强制性条款要求。疏散楼梯确实无法满足要求的，应当增设逃生绳、逃生梯等缓降逃生设施。</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增设消防设施。可以在非主要立面外增加疏散楼梯或者连廊等消防设施，采取设置火灾自动报警、电气火灾防护、应急照明、消防软管卷盘、喷淋装置（或简易喷淋）等消防技术措施。增设的消防疏散楼梯或者连廊应当与传统建筑结构相互独立，并可拆除恢复原貌，不影响传统建筑核心价值部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第二十条</w:t>
      </w:r>
      <w:r>
        <w:rPr>
          <w:rFonts w:hint="eastAsia" w:ascii="仿宋_GB2312" w:hAnsi="仿宋_GB2312" w:eastAsia="仿宋_GB2312" w:cs="仿宋_GB2312"/>
          <w:color w:val="auto"/>
          <w:sz w:val="32"/>
          <w:szCs w:val="32"/>
        </w:rPr>
        <w:t xml:space="preserve"> 有关部门、单位及其工作人员在传统建筑保护修缮管理工作中滥用职权、玩忽职守、徇私舞弊的，依法给予处分；构成犯罪的，依法追究刑事责任。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第二十</w:t>
      </w:r>
      <w:r>
        <w:rPr>
          <w:rFonts w:hint="eastAsia" w:ascii="黑体" w:hAnsi="黑体" w:eastAsia="黑体" w:cs="黑体"/>
          <w:color w:val="auto"/>
          <w:kern w:val="0"/>
          <w:sz w:val="32"/>
          <w:szCs w:val="32"/>
          <w:lang w:val="en-US" w:eastAsia="zh-CN"/>
        </w:rPr>
        <w:t>一</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违反本实施意见规定，产权责任人通过弄虚作假或者其他不正当手段骗取修缮补助资金的，依据有关法律、法规和规章的规定进行处罚；构成犯罪的，依法追究刑事责任。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kern w:val="0"/>
          <w:sz w:val="32"/>
          <w:szCs w:val="32"/>
        </w:rPr>
        <w:t>第二十</w:t>
      </w:r>
      <w:r>
        <w:rPr>
          <w:rFonts w:hint="eastAsia" w:ascii="黑体" w:hAnsi="黑体" w:eastAsia="黑体" w:cs="黑体"/>
          <w:color w:val="auto"/>
          <w:kern w:val="0"/>
          <w:sz w:val="32"/>
          <w:szCs w:val="32"/>
          <w:lang w:val="en-US" w:eastAsia="zh-CN"/>
        </w:rPr>
        <w:t>二</w:t>
      </w:r>
      <w:r>
        <w:rPr>
          <w:rFonts w:hint="eastAsia" w:ascii="黑体" w:hAnsi="黑体" w:eastAsia="黑体" w:cs="黑体"/>
          <w:color w:val="auto"/>
          <w:kern w:val="0"/>
          <w:sz w:val="32"/>
          <w:szCs w:val="32"/>
        </w:rPr>
        <w:t>条</w:t>
      </w:r>
      <w:r>
        <w:rPr>
          <w:rFonts w:hint="eastAsia" w:ascii="仿宋_GB2312" w:hAnsi="仿宋_GB2312" w:eastAsia="仿宋_GB2312" w:cs="仿宋_GB2312"/>
          <w:color w:val="auto"/>
          <w:sz w:val="32"/>
          <w:szCs w:val="32"/>
        </w:rPr>
        <w:t xml:space="preserve"> 本实施意见自公布之日30日后施行，有效期为2年，具体由县住房和城乡建设部门负责解释。</w:t>
      </w:r>
    </w:p>
    <w:p>
      <w:pPr>
        <w:spacing w:line="620" w:lineRule="exact"/>
        <w:rPr>
          <w:rFonts w:ascii="仿宋_GB2312" w:hAnsi="Times New Roman" w:eastAsia="仿宋_GB2312" w:cs="Times New Roman"/>
          <w:color w:val="auto"/>
          <w:sz w:val="32"/>
          <w:szCs w:val="32"/>
        </w:rPr>
      </w:pPr>
      <w:r>
        <w:rPr>
          <w:rFonts w:hint="eastAsia" w:ascii="仿宋_GB2312" w:hAnsi="仿宋_GB2312" w:eastAsia="仿宋_GB2312" w:cs="仿宋_GB2312"/>
          <w:color w:val="auto"/>
          <w:sz w:val="32"/>
          <w:szCs w:val="32"/>
        </w:rPr>
        <w:br w:type="page"/>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青阳县人民政府办公室关于成立青阳县</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钙基新材料产业转型发展领导小组的通知</w:t>
      </w:r>
    </w:p>
    <w:p>
      <w:pPr>
        <w:keepNext w:val="0"/>
        <w:keepLines w:val="0"/>
        <w:pageBreakBefore w:val="0"/>
        <w:widowControl w:val="0"/>
        <w:kinsoku/>
        <w:wordWrap/>
        <w:overflowPunct/>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各乡镇人民政府、县开发区管委会，县政府各部门、各直属机构，驻青各单位，县建投集团、县乡投集团: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贯彻落实市委市政府关于矿业经济绿色转型发展决策部署，推进我县钙基新材料产业转型升级，根据2024年4月22日县委专题会议要求，成立县钙基新材料产业转型发展领导小组，组建工作专班，现将组成人员名单通知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组  长：方操胜    县委副书记、县长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副组长：汪  峰    县委副书记、常务副县长</w:t>
      </w:r>
    </w:p>
    <w:p>
      <w:pPr>
        <w:keepNext w:val="0"/>
        <w:keepLines w:val="0"/>
        <w:pageBreakBefore w:val="0"/>
        <w:widowControl w:val="0"/>
        <w:kinsoku/>
        <w:wordWrap/>
        <w:overflowPunct/>
        <w:topLinePunct w:val="0"/>
        <w:autoSpaceDE/>
        <w:autoSpaceDN/>
        <w:bidi w:val="0"/>
        <w:adjustRightInd/>
        <w:snapToGrid/>
        <w:spacing w:line="560" w:lineRule="exact"/>
        <w:ind w:left="2858" w:leftChars="904" w:hanging="960" w:hangingChars="3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王松华    县委常委、副县长、县开发区党工委</w:t>
      </w:r>
    </w:p>
    <w:p>
      <w:pPr>
        <w:keepNext w:val="0"/>
        <w:keepLines w:val="0"/>
        <w:pageBreakBefore w:val="0"/>
        <w:widowControl w:val="0"/>
        <w:kinsoku/>
        <w:wordWrap/>
        <w:overflowPunct/>
        <w:topLinePunct w:val="0"/>
        <w:autoSpaceDE/>
        <w:autoSpaceDN/>
        <w:bidi w:val="0"/>
        <w:adjustRightInd/>
        <w:snapToGrid/>
        <w:spacing w:line="560" w:lineRule="exact"/>
        <w:ind w:left="2310" w:leftChars="1100" w:firstLine="1280" w:firstLineChars="4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第一书记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疏  勇    县政府副县长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Cs w:val="0"/>
          <w:color w:val="auto"/>
          <w:kern w:val="2"/>
          <w:sz w:val="32"/>
          <w:szCs w:val="32"/>
          <w:lang w:val="en-US" w:eastAsia="zh-CN" w:bidi="ar-SA"/>
        </w:rPr>
        <w:t>费  飞    县政府副县长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成  员：施  君    县科技工信局局长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邵染林    县发改委主任</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王  敏    县财政局局长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江明星    县自然资源和规划局局长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王  斌    县应急管理局局长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吴根发    县交通运输局局长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沈  飞    县林业局局长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吴士衡    县农业农村局局长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甘正华    县市场监管局局长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袁  卿    县生态环境分局局长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程  平    县税务局局长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高  峰    县公安局副局长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汪福义    县建投集团总经理</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葛石炜    新河镇党委书记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张小牛    木镇镇党委书记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张  勇    丁桥镇党委书记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胡一马    乔木乡党委书记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汪兴华    酉华镇党委书记</w:t>
      </w:r>
    </w:p>
    <w:p>
      <w:pPr>
        <w:keepNext w:val="0"/>
        <w:keepLines w:val="0"/>
        <w:pageBreakBefore w:val="0"/>
        <w:widowControl w:val="0"/>
        <w:kinsoku/>
        <w:wordWrap/>
        <w:overflowPunct/>
        <w:topLinePunct w:val="0"/>
        <w:autoSpaceDE/>
        <w:autoSpaceDN/>
        <w:bidi w:val="0"/>
        <w:adjustRightInd/>
        <w:snapToGrid/>
        <w:spacing w:before="0" w:after="0" w:line="560" w:lineRule="exact"/>
        <w:ind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下设工作专班办公室，王松华同志任办公室主任，施君同志任办公室副主任。</w:t>
      </w:r>
    </w:p>
    <w:p>
      <w:pPr>
        <w:keepNext w:val="0"/>
        <w:keepLines w:val="0"/>
        <w:pageBreakBefore w:val="0"/>
        <w:widowControl w:val="0"/>
        <w:kinsoku/>
        <w:wordWrap/>
        <w:overflowPunct/>
        <w:topLinePunct w:val="0"/>
        <w:autoSpaceDE/>
        <w:autoSpaceDN/>
        <w:bidi w:val="0"/>
        <w:adjustRightInd/>
        <w:snapToGrid/>
        <w:spacing w:line="560" w:lineRule="exact"/>
        <w:ind w:left="3299" w:leftChars="352" w:hanging="2560" w:hangingChars="8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Cs w:val="0"/>
          <w:color w:val="auto"/>
          <w:kern w:val="2"/>
          <w:sz w:val="32"/>
          <w:szCs w:val="32"/>
          <w:lang w:val="en-US" w:eastAsia="zh-CN" w:bidi="ar-SA"/>
        </w:rPr>
        <w:t>主  任：王松华</w:t>
      </w:r>
      <w:r>
        <w:rPr>
          <w:rFonts w:hint="eastAsia" w:ascii="仿宋_GB2312" w:hAnsi="仿宋_GB2312" w:eastAsia="仿宋_GB2312" w:cs="仿宋_GB2312"/>
          <w:color w:val="auto"/>
          <w:sz w:val="32"/>
          <w:szCs w:val="32"/>
          <w:lang w:val="en-US" w:eastAsia="zh-CN"/>
        </w:rPr>
        <w:t xml:space="preserve">    县委常委、副县长、县开发区党工委</w:t>
      </w:r>
    </w:p>
    <w:p>
      <w:pPr>
        <w:keepNext w:val="0"/>
        <w:keepLines w:val="0"/>
        <w:pageBreakBefore w:val="0"/>
        <w:widowControl w:val="0"/>
        <w:kinsoku/>
        <w:wordWrap/>
        <w:overflowPunct/>
        <w:topLinePunct w:val="0"/>
        <w:autoSpaceDE/>
        <w:autoSpaceDN/>
        <w:bidi w:val="0"/>
        <w:adjustRightInd/>
        <w:snapToGrid/>
        <w:spacing w:line="560" w:lineRule="exact"/>
        <w:ind w:left="2310" w:leftChars="1100" w:firstLine="1280" w:firstLineChars="4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第一书记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副主任：施  君    县科技工信局局长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成  员：</w:t>
      </w:r>
      <w:r>
        <w:rPr>
          <w:rFonts w:hint="eastAsia" w:ascii="仿宋_GB2312" w:hAnsi="仿宋_GB2312" w:eastAsia="仿宋_GB2312" w:cs="仿宋_GB2312"/>
          <w:bCs w:val="0"/>
          <w:color w:val="auto"/>
          <w:kern w:val="2"/>
          <w:sz w:val="32"/>
          <w:szCs w:val="32"/>
          <w:lang w:val="en-US" w:eastAsia="zh-CN" w:bidi="ar-SA"/>
        </w:rPr>
        <w:t>邵染林</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bCs w:val="0"/>
          <w:color w:val="auto"/>
          <w:kern w:val="2"/>
          <w:sz w:val="32"/>
          <w:szCs w:val="32"/>
          <w:lang w:val="en-US" w:eastAsia="zh-CN" w:bidi="ar-SA"/>
        </w:rPr>
        <w:t>县发改委主任</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王  斌    县应急管理局局长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吴根发    县交通运输局局长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袁  卿    县生态环境分局局长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高  峰    县公安局副局长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汪福义    县建投集团总经理</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郭君彪    新河镇镇长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王  华    木镇镇镇长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方  针    乔木乡乡长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丁  钱    酉华镇镇长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章蓓蓓    丁桥镇党委副书记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曹言根    县科技工信局一级主任科员</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姚秀亭    县发改委一级主任科员</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吴成明    县自然资源和规划局副局长</w:t>
      </w:r>
    </w:p>
    <w:p>
      <w:pPr>
        <w:spacing w:line="560" w:lineRule="exact"/>
        <w:ind w:firstLine="1920" w:firstLineChars="600"/>
        <w:rPr>
          <w:rFonts w:ascii="仿宋_GB2312" w:hAnsi="Times New Roman" w:eastAsia="仿宋_GB2312" w:cs="Times New Roman"/>
          <w:color w:val="auto"/>
          <w:sz w:val="32"/>
          <w:szCs w:val="32"/>
        </w:rPr>
      </w:pPr>
      <w:r>
        <w:rPr>
          <w:rFonts w:hint="eastAsia" w:ascii="仿宋_GB2312" w:hAnsi="仿宋_GB2312" w:eastAsia="仿宋_GB2312" w:cs="仿宋_GB2312"/>
          <w:color w:val="auto"/>
          <w:sz w:val="32"/>
          <w:szCs w:val="32"/>
          <w:lang w:val="en-US" w:eastAsia="zh-CN"/>
        </w:rPr>
        <w:t>徐  虹    县生态环境分局党组成员</w:t>
      </w:r>
    </w:p>
    <w:p>
      <w:pPr>
        <w:spacing w:line="590" w:lineRule="exact"/>
        <w:rPr>
          <w:rFonts w:hint="eastAsia" w:ascii="仿宋_GB2312" w:hAnsi="Times New Roman" w:eastAsia="仿宋_GB2312" w:cs="Times New Roman"/>
          <w:color w:val="auto"/>
          <w:sz w:val="32"/>
          <w:szCs w:val="32"/>
          <w:lang w:eastAsia="zh-CN"/>
        </w:rPr>
      </w:pPr>
    </w:p>
    <w:p>
      <w:pPr>
        <w:spacing w:line="590" w:lineRule="exact"/>
        <w:rPr>
          <w:rFonts w:hint="eastAsia" w:ascii="仿宋_GB2312" w:hAnsi="Times New Roman" w:eastAsia="仿宋_GB2312" w:cs="Times New Roman"/>
          <w:color w:val="auto"/>
          <w:sz w:val="32"/>
          <w:szCs w:val="32"/>
          <w:lang w:eastAsia="zh-CN"/>
        </w:rPr>
      </w:pPr>
    </w:p>
    <w:p>
      <w:pPr>
        <w:spacing w:line="590" w:lineRule="exact"/>
        <w:rPr>
          <w:rFonts w:hint="eastAsia" w:ascii="仿宋_GB2312" w:hAnsi="Times New Roman" w:eastAsia="仿宋_GB2312" w:cs="Times New Roman"/>
          <w:color w:val="auto"/>
          <w:sz w:val="32"/>
          <w:szCs w:val="32"/>
          <w:lang w:eastAsia="zh-CN"/>
        </w:rPr>
      </w:pPr>
    </w:p>
    <w:p>
      <w:pPr>
        <w:wordWrap w:val="0"/>
        <w:spacing w:line="560" w:lineRule="exact"/>
        <w:jc w:val="right"/>
        <w:rPr>
          <w:rFonts w:hint="default"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eastAsia="zh-CN"/>
        </w:rPr>
        <w:t>青阳县人民政府办公室</w:t>
      </w:r>
      <w:r>
        <w:rPr>
          <w:rFonts w:hint="eastAsia" w:ascii="仿宋_GB2312" w:hAnsi="Times New Roman" w:eastAsia="仿宋_GB2312" w:cs="Times New Roman"/>
          <w:color w:val="auto"/>
          <w:sz w:val="32"/>
          <w:szCs w:val="32"/>
          <w:lang w:val="en-US" w:eastAsia="zh-CN"/>
        </w:rPr>
        <w:t xml:space="preserve">    </w:t>
      </w:r>
    </w:p>
    <w:p>
      <w:pPr>
        <w:spacing w:line="590" w:lineRule="exact"/>
        <w:ind w:firstLine="5760" w:firstLineChars="1800"/>
        <w:rPr>
          <w:rFonts w:ascii="仿宋_GB2312" w:hAnsi="Times New Roman" w:eastAsia="仿宋_GB2312" w:cs="Times New Roman"/>
          <w:color w:val="auto"/>
          <w:sz w:val="32"/>
          <w:szCs w:val="32"/>
        </w:rPr>
      </w:pPr>
      <w:r>
        <w:rPr>
          <w:rFonts w:hint="eastAsia" w:ascii="仿宋_GB2312" w:hAnsi="Times New Roman" w:eastAsia="仿宋_GB2312" w:cs="Times New Roman"/>
          <w:color w:val="auto"/>
          <w:sz w:val="32"/>
          <w:szCs w:val="32"/>
          <w:lang w:val="en-US" w:eastAsia="zh-CN"/>
        </w:rPr>
        <w:t>2024年5月25日</w:t>
      </w:r>
    </w:p>
    <w:p>
      <w:pPr>
        <w:rPr>
          <w:rFonts w:hint="eastAsia" w:ascii="仿宋_GB2312" w:hAnsi="仿宋_GB2312" w:eastAsia="仿宋_GB2312" w:cs="仿宋_GB2312"/>
          <w:color w:val="auto"/>
          <w:sz w:val="32"/>
          <w:szCs w:val="32"/>
          <w:lang w:val="en-US" w:eastAsia="zh-CN"/>
        </w:rPr>
      </w:pPr>
    </w:p>
    <w:sectPr>
      <w:headerReference r:id="rId3" w:type="default"/>
      <w:footerReference r:id="rId4"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汉仪程行简">
    <w:panose1 w:val="00020600040101010101"/>
    <w:charset w:val="86"/>
    <w:family w:val="auto"/>
    <w:pitch w:val="default"/>
    <w:sig w:usb0="A00002BF" w:usb1="18EF7CFA" w:usb2="00000016" w:usb3="00000000" w:csb0="0004009F" w:csb1="DFD70000"/>
  </w:font>
  <w:font w:name="汉仪行楷简">
    <w:panose1 w:val="02010600000101010101"/>
    <w:charset w:val="86"/>
    <w:family w:val="auto"/>
    <w:pitch w:val="default"/>
    <w:sig w:usb0="00000001" w:usb1="080E0800" w:usb2="00000002" w:usb3="00000000" w:csb0="00040000" w:csb1="00000000"/>
  </w:font>
  <w:font w:name="华文中宋">
    <w:panose1 w:val="02010600040101010101"/>
    <w:charset w:val="86"/>
    <w:family w:val="auto"/>
    <w:pitch w:val="default"/>
    <w:sig w:usb0="00000287" w:usb1="080F0000" w:usb2="00000000" w:usb3="00000000" w:csb0="0004009F" w:csb1="DFD70000"/>
  </w:font>
  <w:font w:name="极简细圆体">
    <w:panose1 w:val="02000503000000000000"/>
    <w:charset w:val="86"/>
    <w:family w:val="auto"/>
    <w:pitch w:val="default"/>
    <w:sig w:usb0="8000002F" w:usb1="084164FA" w:usb2="00000012" w:usb3="00000000" w:csb0="00040001" w:csb1="00000000"/>
  </w:font>
  <w:font w:name="方正公文小标宋">
    <w:panose1 w:val="02000500000000000000"/>
    <w:charset w:val="86"/>
    <w:family w:val="auto"/>
    <w:pitch w:val="default"/>
    <w:sig w:usb0="A00002BF" w:usb1="38CF7CFA" w:usb2="00000016" w:usb3="00000000" w:csb0="00040001" w:csb1="00000000"/>
  </w:font>
  <w:font w:name="微软雅黑 Light">
    <w:panose1 w:val="020B0502040204020203"/>
    <w:charset w:val="86"/>
    <w:family w:val="auto"/>
    <w:pitch w:val="default"/>
    <w:sig w:usb0="80000287" w:usb1="2ACF0010" w:usb2="00000016" w:usb3="00000000" w:csb0="0004001F" w:csb1="00000000"/>
  </w:font>
  <w:font w:name="文鼎霹雳体">
    <w:panose1 w:val="020B0602010101010101"/>
    <w:charset w:val="86"/>
    <w:family w:val="auto"/>
    <w:pitch w:val="default"/>
    <w:sig w:usb0="00000001" w:usb1="080E0000" w:usb2="00000000" w:usb3="00000000" w:csb0="00040000" w:csb1="00000000"/>
  </w:font>
  <w:font w:name="微软繁粗圆">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方正大标宋_GBK">
    <w:panose1 w:val="03000509000000000000"/>
    <w:charset w:val="86"/>
    <w:family w:val="auto"/>
    <w:pitch w:val="default"/>
    <w:sig w:usb0="00000001" w:usb1="080E0000" w:usb2="00000000" w:usb3="00000000" w:csb0="00040000" w:csb1="00000000"/>
  </w:font>
  <w:font w:name="方正行楷_GBK">
    <w:panose1 w:val="03000509000000000000"/>
    <w:charset w:val="86"/>
    <w:family w:val="auto"/>
    <w:pitch w:val="default"/>
    <w:sig w:usb0="00000001" w:usb1="080E0000" w:usb2="00000000" w:usb3="00000000" w:csb0="00040000" w:csb1="00000000"/>
  </w:font>
  <w:font w:name="汉仪旗黑-105简">
    <w:panose1 w:val="00020600040101010101"/>
    <w:charset w:val="86"/>
    <w:family w:val="auto"/>
    <w:pitch w:val="default"/>
    <w:sig w:usb0="A00002BF" w:usb1="18EF7CFA" w:usb2="00000016" w:usb3="00000000" w:csb0="00040000" w:csb1="00000000"/>
  </w:font>
  <w:font w:name="经典繁仿圆">
    <w:panose1 w:val="02010609000101010101"/>
    <w:charset w:val="86"/>
    <w:family w:val="auto"/>
    <w:pitch w:val="default"/>
    <w:sig w:usb0="A1007AEF" w:usb1="F9DF7CFB" w:usb2="0000001E" w:usb3="00000000" w:csb0="20040000" w:csb1="00000000"/>
  </w:font>
  <w:font w:name="BatangChe">
    <w:panose1 w:val="02030609000101010101"/>
    <w:charset w:val="81"/>
    <w:family w:val="auto"/>
    <w:pitch w:val="default"/>
    <w:sig w:usb0="B00002AF" w:usb1="69D77CFB" w:usb2="00000030" w:usb3="00000000" w:csb0="4008009F" w:csb1="DFD70000"/>
  </w:font>
  <w:font w:name="经典繁毛楷">
    <w:panose1 w:val="02010609000101010101"/>
    <w:charset w:val="86"/>
    <w:family w:val="auto"/>
    <w:pitch w:val="default"/>
    <w:sig w:usb0="A1007AEF" w:usb1="F9DF7CFB" w:usb2="0000001E" w:usb3="00000000" w:csb0="20040000" w:csb1="00000000"/>
  </w:font>
  <w:font w:name="方正隶书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1NjUyNDQyNmQ3YTAxYjM0NTQ5ZjY2MTg2ZDkxNDgifQ=="/>
  </w:docVars>
  <w:rsids>
    <w:rsidRoot w:val="2FB01099"/>
    <w:rsid w:val="01A45770"/>
    <w:rsid w:val="021C02D7"/>
    <w:rsid w:val="05766603"/>
    <w:rsid w:val="08440798"/>
    <w:rsid w:val="0D30732B"/>
    <w:rsid w:val="0D9807F1"/>
    <w:rsid w:val="0F063E98"/>
    <w:rsid w:val="0F604919"/>
    <w:rsid w:val="0FC6172E"/>
    <w:rsid w:val="1130645B"/>
    <w:rsid w:val="148835E1"/>
    <w:rsid w:val="14C76E78"/>
    <w:rsid w:val="14DF46F8"/>
    <w:rsid w:val="173F3295"/>
    <w:rsid w:val="19FF135E"/>
    <w:rsid w:val="2FB01099"/>
    <w:rsid w:val="312F5B0B"/>
    <w:rsid w:val="32D2FD58"/>
    <w:rsid w:val="35B73415"/>
    <w:rsid w:val="385D0642"/>
    <w:rsid w:val="38EA028C"/>
    <w:rsid w:val="391265BF"/>
    <w:rsid w:val="395A26FB"/>
    <w:rsid w:val="3B1F1663"/>
    <w:rsid w:val="3BD79C60"/>
    <w:rsid w:val="3DBC21AF"/>
    <w:rsid w:val="3FAEE73A"/>
    <w:rsid w:val="3FEF81D6"/>
    <w:rsid w:val="41BD2653"/>
    <w:rsid w:val="47B3209C"/>
    <w:rsid w:val="47FB71E1"/>
    <w:rsid w:val="4AD9713C"/>
    <w:rsid w:val="4B22791E"/>
    <w:rsid w:val="4BAB7C3C"/>
    <w:rsid w:val="4BBF2498"/>
    <w:rsid w:val="4BFB776F"/>
    <w:rsid w:val="4D490E6F"/>
    <w:rsid w:val="4EC04D83"/>
    <w:rsid w:val="4EFF07F7"/>
    <w:rsid w:val="4F4F6F06"/>
    <w:rsid w:val="4FEA26A5"/>
    <w:rsid w:val="5361191C"/>
    <w:rsid w:val="5456530E"/>
    <w:rsid w:val="55FCF5CD"/>
    <w:rsid w:val="58011DA5"/>
    <w:rsid w:val="588B1D9A"/>
    <w:rsid w:val="59CB0B48"/>
    <w:rsid w:val="59F21686"/>
    <w:rsid w:val="59F24B7D"/>
    <w:rsid w:val="5D38790B"/>
    <w:rsid w:val="5EFFFC9B"/>
    <w:rsid w:val="6AE98F7C"/>
    <w:rsid w:val="6DC7F33B"/>
    <w:rsid w:val="6FFF15E6"/>
    <w:rsid w:val="708562F1"/>
    <w:rsid w:val="736C78CC"/>
    <w:rsid w:val="739EBC17"/>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7FFF0E8D"/>
    <w:rsid w:val="9B660796"/>
    <w:rsid w:val="ABC9263D"/>
    <w:rsid w:val="AFCFD8BE"/>
    <w:rsid w:val="AFF6EDF8"/>
    <w:rsid w:val="B71FD18D"/>
    <w:rsid w:val="BD72EBE1"/>
    <w:rsid w:val="DBEBE1D1"/>
    <w:rsid w:val="DC7E2BC9"/>
    <w:rsid w:val="DCF9CABC"/>
    <w:rsid w:val="DFF3C0EC"/>
    <w:rsid w:val="E77F48AB"/>
    <w:rsid w:val="E7FF8763"/>
    <w:rsid w:val="ECADEBEC"/>
    <w:rsid w:val="ECBEA320"/>
    <w:rsid w:val="EDFDD69D"/>
    <w:rsid w:val="F3FF1EBB"/>
    <w:rsid w:val="F963D060"/>
    <w:rsid w:val="F9BD6E24"/>
    <w:rsid w:val="FDFF0242"/>
    <w:rsid w:val="FE7BE3F4"/>
    <w:rsid w:val="FEB7BFB2"/>
    <w:rsid w:val="FEF71744"/>
    <w:rsid w:val="FFB7383B"/>
    <w:rsid w:val="FFDFB153"/>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1"/>
    <w:qFormat/>
    <w:uiPriority w:val="0"/>
    <w:pPr>
      <w:keepNext/>
      <w:keepLines/>
      <w:spacing w:before="340" w:after="330" w:line="576" w:lineRule="auto"/>
      <w:outlineLvl w:val="0"/>
    </w:pPr>
    <w:rPr>
      <w:rFonts w:ascii="Calibri" w:hAnsi="Calibri" w:eastAsia="宋体"/>
      <w:b/>
      <w:kern w:val="44"/>
      <w:sz w:val="44"/>
      <w:szCs w:val="24"/>
    </w:rPr>
  </w:style>
  <w:style w:type="paragraph" w:styleId="4">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5">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rPr>
      <w:rFonts w:hAnsi="宋体" w:cs="宋体"/>
    </w:rPr>
  </w:style>
  <w:style w:type="paragraph" w:styleId="6">
    <w:name w:val="Normal Indent"/>
    <w:basedOn w:val="1"/>
    <w:unhideWhenUsed/>
    <w:qFormat/>
    <w:uiPriority w:val="99"/>
    <w:pPr>
      <w:ind w:firstLine="420" w:firstLineChars="200"/>
    </w:pPr>
    <w:rPr>
      <w:rFonts w:ascii="Calibri" w:hAnsi="Calibri" w:eastAsia="宋体" w:cs="Calibri"/>
      <w:sz w:val="21"/>
      <w:szCs w:val="21"/>
    </w:rPr>
  </w:style>
  <w:style w:type="paragraph" w:styleId="7">
    <w:name w:val="annotation text"/>
    <w:basedOn w:val="1"/>
    <w:unhideWhenUsed/>
    <w:qFormat/>
    <w:uiPriority w:val="99"/>
    <w:pPr>
      <w:jc w:val="left"/>
    </w:pPr>
    <w:rPr>
      <w:rFonts w:ascii="Calibri" w:hAnsi="Calibri" w:eastAsia="宋体" w:cs="Calibri"/>
      <w:sz w:val="21"/>
      <w:szCs w:val="21"/>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Body Text First Indent 2"/>
    <w:basedOn w:val="8"/>
    <w:qFormat/>
    <w:uiPriority w:val="0"/>
    <w:pPr>
      <w:ind w:firstLine="420" w:firstLineChars="200"/>
    </w:pPr>
    <w:rPr>
      <w:rFonts w:ascii="Calibri" w:hAnsi="Calibri" w:eastAsia="宋体"/>
      <w:sz w:val="21"/>
      <w:szCs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rPr>
      <w:rFonts w:cs="Times New Roman"/>
    </w:rPr>
  </w:style>
  <w:style w:type="character" w:styleId="23">
    <w:name w:val="Emphasis"/>
    <w:basedOn w:val="21"/>
    <w:qFormat/>
    <w:uiPriority w:val="0"/>
    <w:rPr>
      <w:i/>
      <w:iCs/>
    </w:rPr>
  </w:style>
  <w:style w:type="character" w:styleId="24">
    <w:name w:val="Hyperlink"/>
    <w:unhideWhenUsed/>
    <w:qFormat/>
    <w:uiPriority w:val="99"/>
    <w:rPr>
      <w:color w:val="0000FF"/>
      <w:u w:val="single"/>
    </w:rPr>
  </w:style>
  <w:style w:type="paragraph" w:customStyle="1" w:styleId="25">
    <w:name w:val="BodyText1I2"/>
    <w:basedOn w:val="26"/>
    <w:qFormat/>
    <w:uiPriority w:val="0"/>
    <w:pPr>
      <w:ind w:firstLine="420"/>
      <w:jc w:val="left"/>
    </w:pPr>
  </w:style>
  <w:style w:type="paragraph" w:customStyle="1" w:styleId="26">
    <w:name w:val="BodyTextIndent"/>
    <w:basedOn w:val="1"/>
    <w:qFormat/>
    <w:uiPriority w:val="0"/>
    <w:pPr>
      <w:ind w:firstLine="640"/>
      <w:jc w:val="left"/>
    </w:pPr>
    <w:rPr>
      <w:rFonts w:ascii="宋体" w:hAnsi="宋体"/>
      <w:sz w:val="32"/>
    </w:rPr>
  </w:style>
  <w:style w:type="paragraph" w:customStyle="1" w:styleId="27">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8">
    <w:name w:val="BodyTextIndent2"/>
    <w:basedOn w:val="1"/>
    <w:qFormat/>
    <w:uiPriority w:val="0"/>
    <w:pPr>
      <w:spacing w:line="590" w:lineRule="exact"/>
      <w:ind w:firstLine="880" w:firstLineChars="200"/>
      <w:textAlignment w:val="baseline"/>
    </w:pPr>
    <w:rPr>
      <w:rFonts w:eastAsia="方正仿宋_GBK"/>
    </w:rPr>
  </w:style>
  <w:style w:type="paragraph" w:customStyle="1" w:styleId="29">
    <w:name w:val="文件内容"/>
    <w:basedOn w:val="1"/>
    <w:qFormat/>
    <w:uiPriority w:val="0"/>
    <w:pPr>
      <w:autoSpaceDN w:val="0"/>
      <w:spacing w:line="480" w:lineRule="exact"/>
      <w:ind w:firstLine="200" w:firstLineChars="200"/>
    </w:pPr>
    <w:rPr>
      <w:sz w:val="30"/>
      <w:szCs w:val="24"/>
    </w:rPr>
  </w:style>
  <w:style w:type="character" w:customStyle="1" w:styleId="30">
    <w:name w:val="15"/>
    <w:qFormat/>
    <w:uiPriority w:val="0"/>
    <w:rPr>
      <w:rFonts w:hint="default" w:ascii="Calibri" w:hAnsi="Calibri" w:eastAsia="宋体" w:cs="Calibri"/>
      <w:kern w:val="2"/>
      <w:sz w:val="24"/>
      <w:szCs w:val="24"/>
    </w:rPr>
  </w:style>
  <w:style w:type="character" w:customStyle="1" w:styleId="31">
    <w:name w:val="标题 1 Char"/>
    <w:basedOn w:val="21"/>
    <w:link w:val="3"/>
    <w:qFormat/>
    <w:uiPriority w:val="0"/>
    <w:rPr>
      <w:rFonts w:ascii="Calibri" w:hAnsi="Calibri" w:eastAsia="宋体"/>
      <w:b/>
      <w:kern w:val="44"/>
      <w:sz w:val="44"/>
      <w:szCs w:val="24"/>
    </w:rPr>
  </w:style>
  <w:style w:type="paragraph" w:customStyle="1" w:styleId="32">
    <w:name w:val="_Style 2"/>
    <w:basedOn w:val="1"/>
    <w:qFormat/>
    <w:uiPriority w:val="0"/>
    <w:pPr>
      <w:spacing w:line="351" w:lineRule="atLeast"/>
      <w:ind w:firstLine="623"/>
    </w:pPr>
    <w:rPr>
      <w:rFonts w:ascii="Times New Roman" w:eastAsia="宋体"/>
      <w:color w:val="000000"/>
      <w:sz w:val="31"/>
      <w:szCs w:val="31"/>
    </w:rPr>
  </w:style>
  <w:style w:type="paragraph" w:customStyle="1" w:styleId="33">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4">
    <w:name w:val="Table Paragraph"/>
    <w:basedOn w:val="1"/>
    <w:qFormat/>
    <w:uiPriority w:val="0"/>
    <w:rPr>
      <w:rFonts w:ascii="宋体" w:hAnsi="宋体" w:eastAsia="宋体" w:cs="宋体"/>
      <w:sz w:val="21"/>
      <w:szCs w:val="21"/>
    </w:rPr>
  </w:style>
  <w:style w:type="paragraph" w:customStyle="1" w:styleId="35">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6">
    <w:name w:val="列出段落1"/>
    <w:basedOn w:val="1"/>
    <w:qFormat/>
    <w:uiPriority w:val="99"/>
    <w:pPr>
      <w:ind w:firstLine="420" w:firstLineChars="200"/>
    </w:pPr>
    <w:rPr>
      <w:rFonts w:ascii="Times New Roman" w:eastAsia="宋体"/>
      <w:sz w:val="21"/>
      <w:szCs w:val="21"/>
    </w:rPr>
  </w:style>
  <w:style w:type="paragraph" w:customStyle="1" w:styleId="37">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8">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39">
    <w:name w:val="正文缩进1"/>
    <w:basedOn w:val="1"/>
    <w:qFormat/>
    <w:uiPriority w:val="0"/>
    <w:pPr>
      <w:ind w:firstLine="624"/>
      <w:textAlignment w:val="center"/>
    </w:pPr>
  </w:style>
  <w:style w:type="character" w:customStyle="1" w:styleId="40">
    <w:name w:val="NormalCharacter"/>
    <w:qFormat/>
    <w:uiPriority w:val="99"/>
    <w:rPr>
      <w:rFonts w:ascii="Times New Roman" w:hAnsi="Times New Roman" w:eastAsia="宋体"/>
    </w:rPr>
  </w:style>
  <w:style w:type="table" w:customStyle="1" w:styleId="41">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7039</Words>
  <Characters>7163</Characters>
  <Lines>0</Lines>
  <Paragraphs>0</Paragraphs>
  <TotalTime>1</TotalTime>
  <ScaleCrop>false</ScaleCrop>
  <LinksUpToDate>false</LinksUpToDate>
  <CharactersWithSpaces>7377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2019-12-05T10:35:00Z</dcterms:created>
  <dc:creator>Administrator</dc:creator>
  <cp:lastModifiedBy>方恒</cp:lastModifiedBy>
  <dcterms:modified xsi:type="dcterms:W3CDTF">2024-06-06T06:45:58Z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B4436D4519AC404EAAAD615328DCA9AF</vt:lpwstr>
  </property>
</Properties>
</file>