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pict>
          <v:shape id="_x0000_i1025" o:spt="136" type="#_x0000_t136" style="height:78.75pt;width:414.75pt;" fillcolor="#FF0000" filled="t" stroked="t" coordsize="21600,21600">
            <v:path/>
            <v:fill on="t" focussize="0,0"/>
            <v:stroke color="#FF0000"/>
            <v:imagedata o:title=""/>
            <o:lock v:ext="edit"/>
            <v:textpath on="t" fitshape="t" fitpath="t" trim="t" xscale="f" string="青阳县事中事后监管联席会议办公室文件" style="font-family:方正小标宋简体;font-size:36pt;font-weight:bold;v-text-align:center;"/>
            <w10:wrap type="none"/>
            <w10:anchorlock/>
          </v:shape>
        </w:pict>
      </w:r>
    </w:p>
    <w:p>
      <w:pPr>
        <w:spacing w:line="500" w:lineRule="exact"/>
        <w:jc w:val="center"/>
        <w:rPr>
          <w:rFonts w:ascii="仿宋_GB2312" w:hAnsi="华文中宋" w:eastAsia="仿宋_GB2312"/>
          <w:sz w:val="32"/>
          <w:szCs w:val="32"/>
        </w:rPr>
      </w:pPr>
    </w:p>
    <w:p>
      <w:pPr>
        <w:spacing w:line="600" w:lineRule="exact"/>
        <w:jc w:val="center"/>
        <w:rPr>
          <w:rFonts w:ascii="仿宋_GB2312" w:hAnsi="宋体" w:eastAsia="仿宋_GB2312" w:cs="宋体"/>
          <w:bCs/>
          <w:sz w:val="32"/>
          <w:szCs w:val="32"/>
        </w:rPr>
      </w:pPr>
      <w:r>
        <w:rPr>
          <w:rFonts w:hint="eastAsia" w:ascii="仿宋_GB2312" w:hAnsi="宋体" w:eastAsia="仿宋_GB2312" w:cs="宋体"/>
          <w:bCs/>
          <w:sz w:val="32"/>
          <w:szCs w:val="32"/>
        </w:rPr>
        <w:t>青事监联办〔</w:t>
      </w:r>
      <w:r>
        <w:rPr>
          <w:rFonts w:ascii="仿宋_GB2312" w:hAnsi="宋体" w:eastAsia="仿宋_GB2312" w:cs="宋体"/>
          <w:bCs/>
          <w:sz w:val="32"/>
          <w:szCs w:val="32"/>
        </w:rPr>
        <w:t>202</w:t>
      </w:r>
      <w:r>
        <w:rPr>
          <w:rFonts w:hint="eastAsia" w:ascii="仿宋_GB2312" w:hAnsi="宋体" w:eastAsia="仿宋_GB2312" w:cs="宋体"/>
          <w:bCs/>
          <w:sz w:val="32"/>
          <w:szCs w:val="32"/>
        </w:rPr>
        <w:t>2〕</w:t>
      </w:r>
      <w:r>
        <w:rPr>
          <w:rFonts w:ascii="仿宋_GB2312" w:hAnsi="宋体" w:eastAsia="仿宋_GB2312" w:cs="宋体"/>
          <w:bCs/>
          <w:sz w:val="32"/>
          <w:szCs w:val="32"/>
        </w:rPr>
        <w:t>1</w:t>
      </w:r>
      <w:r>
        <w:rPr>
          <w:rFonts w:hint="eastAsia" w:ascii="仿宋_GB2312" w:hAnsi="宋体" w:eastAsia="仿宋_GB2312" w:cs="宋体"/>
          <w:bCs/>
          <w:sz w:val="32"/>
          <w:szCs w:val="32"/>
        </w:rPr>
        <w:t>号</w:t>
      </w:r>
    </w:p>
    <w:p>
      <w:pPr>
        <w:spacing w:before="156" w:beforeLines="50" w:line="660" w:lineRule="exact"/>
        <w:ind w:firstLine="105" w:firstLineChars="50"/>
        <w:rPr>
          <w:rFonts w:ascii="方正小标宋简体" w:hAnsi="方正小标宋简体" w:eastAsia="方正小标宋简体" w:cs="方正小标宋简体"/>
          <w:b/>
          <w:sz w:val="44"/>
          <w:szCs w:val="44"/>
        </w:rPr>
      </w:pPr>
      <w:r>
        <w:rPr>
          <w:rFonts w:ascii="Calibri" w:cs="Times New Roma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-85090</wp:posOffset>
                </wp:positionH>
                <wp:positionV relativeFrom="paragraph">
                  <wp:posOffset>27940</wp:posOffset>
                </wp:positionV>
                <wp:extent cx="5602605" cy="0"/>
                <wp:effectExtent l="19685" t="27940" r="26035" b="19685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0260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6.7pt;margin-top:2.2pt;height:0pt;width:441.15pt;z-index:251659264;mso-width-relative:page;mso-height-relative:page;" filled="f" stroked="t" coordsize="21600,21600" o:gfxdata="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  <w:t>关于印发《青阳县推行“一业一查”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部门</w:t>
      </w:r>
    </w:p>
    <w:p>
      <w:pPr>
        <w:widowControl/>
        <w:shd w:val="clear" w:color="auto" w:fill="FFFFFF"/>
        <w:spacing w:line="520" w:lineRule="exact"/>
        <w:jc w:val="center"/>
        <w:rPr>
          <w:rFonts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联合双随机监管</w:t>
      </w: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  <w:t>工作方案</w:t>
      </w:r>
      <w:r>
        <w:rPr>
          <w:rFonts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  <w:t>（试行）</w:t>
      </w: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  <w:t>》的通知</w:t>
      </w:r>
    </w:p>
    <w:p>
      <w:pPr>
        <w:widowControl/>
        <w:shd w:val="clear" w:color="auto" w:fill="FFFFFF"/>
        <w:spacing w:line="520" w:lineRule="exact"/>
        <w:ind w:firstLine="640" w:firstLineChars="200"/>
        <w:rPr>
          <w:rFonts w:ascii="仿宋" w:hAnsi="仿宋" w:eastAsia="仿宋" w:cs="Arial"/>
          <w:sz w:val="32"/>
          <w:szCs w:val="32"/>
        </w:rPr>
      </w:pPr>
    </w:p>
    <w:p>
      <w:pPr>
        <w:widowControl/>
        <w:shd w:val="clear" w:color="auto" w:fill="FFFFFF"/>
        <w:spacing w:line="520" w:lineRule="exact"/>
        <w:rPr>
          <w:rFonts w:ascii="仿宋" w:hAnsi="仿宋" w:eastAsia="仿宋"/>
          <w:sz w:val="32"/>
          <w:shd w:val="clear" w:color="auto" w:fill="FFFFFF"/>
        </w:rPr>
      </w:pPr>
      <w:r>
        <w:rPr>
          <w:rFonts w:ascii="Arial" w:hAnsi="Arial" w:eastAsia="仿宋" w:cs="Arial"/>
          <w:kern w:val="0"/>
          <w:sz w:val="32"/>
          <w:szCs w:val="24"/>
        </w:rPr>
        <w:t> </w:t>
      </w:r>
      <w:r>
        <w:rPr>
          <w:rFonts w:hint="eastAsia" w:ascii="仿宋" w:hAnsi="仿宋" w:eastAsia="仿宋"/>
          <w:sz w:val="32"/>
          <w:shd w:val="clear" w:color="auto" w:fill="FFFFFF"/>
        </w:rPr>
        <w:t>县直各有关部门：</w:t>
      </w:r>
    </w:p>
    <w:p>
      <w:pPr>
        <w:spacing w:line="520" w:lineRule="exact"/>
        <w:ind w:firstLine="640" w:firstLineChars="200"/>
        <w:jc w:val="left"/>
        <w:rPr>
          <w:rFonts w:ascii="仿宋" w:hAnsi="仿宋" w:eastAsia="仿宋" w:cs="Arial"/>
          <w:kern w:val="0"/>
          <w:sz w:val="32"/>
          <w:szCs w:val="32"/>
        </w:rPr>
      </w:pPr>
      <w:r>
        <w:rPr>
          <w:rFonts w:hint="eastAsia" w:ascii="仿宋" w:hAnsi="仿宋" w:eastAsia="仿宋"/>
          <w:sz w:val="32"/>
          <w:szCs w:val="27"/>
        </w:rPr>
        <w:t>为深化“放管服”改革，全面落实安徽省委省政府争创一流营商环境的决策部署，</w:t>
      </w:r>
      <w:r>
        <w:rPr>
          <w:rFonts w:hint="eastAsia" w:ascii="仿宋" w:hAnsi="仿宋" w:eastAsia="仿宋" w:cs="Arial"/>
          <w:sz w:val="32"/>
          <w:szCs w:val="39"/>
        </w:rPr>
        <w:t>积极探索部门联合“双随机、一公开”监管的新模式，</w:t>
      </w:r>
      <w:r>
        <w:rPr>
          <w:rFonts w:hint="eastAsia" w:ascii="仿宋" w:hAnsi="仿宋" w:eastAsia="仿宋"/>
          <w:sz w:val="32"/>
          <w:szCs w:val="27"/>
        </w:rPr>
        <w:t>依据</w:t>
      </w:r>
      <w:r>
        <w:rPr>
          <w:rFonts w:hint="eastAsia" w:ascii="仿宋" w:hAnsi="仿宋" w:eastAsia="仿宋" w:cs="Arial"/>
          <w:sz w:val="32"/>
          <w:szCs w:val="32"/>
        </w:rPr>
        <w:t>《</w:t>
      </w:r>
      <w:r>
        <w:rPr>
          <w:rFonts w:ascii="仿宋" w:hAnsi="仿宋" w:eastAsia="仿宋"/>
          <w:bCs/>
          <w:kern w:val="36"/>
          <w:sz w:val="32"/>
          <w:szCs w:val="36"/>
        </w:rPr>
        <w:t>安徽省人民政府办公厅关于印发创优营商环境对标提升举措（2022版）的通知</w:t>
      </w:r>
      <w:r>
        <w:rPr>
          <w:rFonts w:hint="eastAsia" w:ascii="仿宋" w:hAnsi="仿宋" w:eastAsia="仿宋" w:cs="Arial"/>
          <w:sz w:val="32"/>
          <w:szCs w:val="32"/>
        </w:rPr>
        <w:t>》、《</w:t>
      </w:r>
      <w:r>
        <w:rPr>
          <w:rFonts w:ascii="仿宋" w:hAnsi="仿宋" w:eastAsia="仿宋" w:cs="Arial"/>
          <w:sz w:val="32"/>
          <w:szCs w:val="39"/>
        </w:rPr>
        <w:t>安徽省人民政府办公厅印发“一业一证一码”改革试点工作实施方案</w:t>
      </w:r>
      <w:r>
        <w:rPr>
          <w:rFonts w:hint="eastAsia" w:ascii="仿宋" w:hAnsi="仿宋" w:eastAsia="仿宋" w:cs="Arial"/>
          <w:sz w:val="32"/>
          <w:szCs w:val="32"/>
        </w:rPr>
        <w:t>》和</w:t>
      </w:r>
      <w:r>
        <w:rPr>
          <w:rFonts w:hint="eastAsia" w:ascii="仿宋" w:hAnsi="仿宋" w:eastAsia="仿宋" w:cs="Arial"/>
          <w:sz w:val="32"/>
          <w:szCs w:val="39"/>
        </w:rPr>
        <w:t>《池州市推行“一业一查”部门联合双随机监管工作方案</w:t>
      </w:r>
      <w:r>
        <w:rPr>
          <w:rFonts w:ascii="仿宋" w:hAnsi="仿宋" w:eastAsia="仿宋" w:cs="Arial"/>
          <w:sz w:val="32"/>
          <w:szCs w:val="39"/>
        </w:rPr>
        <w:t>（试行）</w:t>
      </w:r>
      <w:r>
        <w:rPr>
          <w:rFonts w:hint="eastAsia" w:ascii="仿宋" w:hAnsi="仿宋" w:eastAsia="仿宋" w:cs="Arial"/>
          <w:sz w:val="32"/>
          <w:szCs w:val="39"/>
        </w:rPr>
        <w:t>》</w:t>
      </w:r>
      <w:r>
        <w:rPr>
          <w:rFonts w:hint="eastAsia" w:ascii="仿宋" w:hAnsi="仿宋" w:eastAsia="仿宋" w:cs="Arial"/>
          <w:sz w:val="32"/>
          <w:szCs w:val="32"/>
        </w:rPr>
        <w:t>要求，</w:t>
      </w:r>
      <w:r>
        <w:rPr>
          <w:rFonts w:hint="eastAsia" w:ascii="仿宋" w:hAnsi="仿宋" w:eastAsia="仿宋" w:cs="Arial"/>
          <w:sz w:val="32"/>
          <w:szCs w:val="39"/>
        </w:rPr>
        <w:t>经会议研究制定了</w:t>
      </w:r>
      <w:r>
        <w:rPr>
          <w:rFonts w:hint="eastAsia" w:ascii="仿宋" w:hAnsi="仿宋" w:eastAsia="仿宋" w:cs="仿宋"/>
          <w:kern w:val="0"/>
          <w:sz w:val="32"/>
          <w:szCs w:val="32"/>
        </w:rPr>
        <w:t>《青阳县推行“一业一查”</w:t>
      </w:r>
      <w:r>
        <w:rPr>
          <w:rFonts w:hint="eastAsia" w:ascii="仿宋" w:hAnsi="仿宋" w:eastAsia="仿宋" w:cs="仿宋"/>
          <w:sz w:val="32"/>
          <w:szCs w:val="32"/>
        </w:rPr>
        <w:t>部门联合双随机监管</w:t>
      </w:r>
      <w:r>
        <w:rPr>
          <w:rFonts w:hint="eastAsia" w:ascii="仿宋" w:hAnsi="仿宋" w:eastAsia="仿宋" w:cs="仿宋"/>
          <w:kern w:val="0"/>
          <w:sz w:val="32"/>
          <w:szCs w:val="32"/>
        </w:rPr>
        <w:t>工作方案</w:t>
      </w:r>
      <w:r>
        <w:rPr>
          <w:rFonts w:ascii="仿宋" w:hAnsi="仿宋" w:eastAsia="仿宋" w:cs="仿宋"/>
          <w:kern w:val="0"/>
          <w:sz w:val="32"/>
          <w:szCs w:val="32"/>
        </w:rPr>
        <w:t>（试行）</w:t>
      </w:r>
      <w:r>
        <w:rPr>
          <w:rFonts w:hint="eastAsia" w:ascii="仿宋" w:hAnsi="仿宋" w:eastAsia="仿宋" w:cs="仿宋"/>
          <w:kern w:val="0"/>
          <w:sz w:val="32"/>
          <w:szCs w:val="32"/>
        </w:rPr>
        <w:t>》和《青阳县“一业一查”部门联合双随机抽查事项清单（第一版）》。</w:t>
      </w:r>
      <w:r>
        <w:rPr>
          <w:rFonts w:hint="eastAsia" w:ascii="仿宋" w:hAnsi="仿宋" w:eastAsia="仿宋" w:cs="Arial"/>
          <w:kern w:val="0"/>
          <w:sz w:val="32"/>
          <w:szCs w:val="32"/>
        </w:rPr>
        <w:t>现印发给你们，请结事实际认真组织实施。</w:t>
      </w:r>
    </w:p>
    <w:p>
      <w:pPr>
        <w:pStyle w:val="14"/>
        <w:ind w:firstLine="640" w:firstLineChars="200"/>
        <w:rPr>
          <w:rFonts w:ascii="仿宋" w:hAnsi="仿宋" w:eastAsia="仿宋" w:cs="Arial"/>
          <w:b/>
          <w:kern w:val="0"/>
          <w:sz w:val="32"/>
          <w:szCs w:val="24"/>
        </w:rPr>
      </w:pPr>
      <w:r>
        <w:rPr>
          <w:rFonts w:ascii="仿宋" w:hAnsi="仿宋" w:eastAsia="仿宋"/>
          <w:kern w:val="0"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2609850</wp:posOffset>
            </wp:positionH>
            <wp:positionV relativeFrom="paragraph">
              <wp:posOffset>395605</wp:posOffset>
            </wp:positionV>
            <wp:extent cx="1447165" cy="1447165"/>
            <wp:effectExtent l="0" t="0" r="635" b="635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165" cy="1447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 w:cs="Arial"/>
          <w:kern w:val="0"/>
          <w:sz w:val="32"/>
          <w:szCs w:val="32"/>
        </w:rPr>
        <w:t>附：</w:t>
      </w:r>
      <w:r>
        <w:rPr>
          <w:rFonts w:hint="eastAsia" w:ascii="仿宋" w:hAnsi="仿宋" w:eastAsia="仿宋" w:cs="仿宋"/>
          <w:kern w:val="0"/>
          <w:sz w:val="32"/>
          <w:szCs w:val="32"/>
        </w:rPr>
        <w:t>《青阳县“一业一查”部门联合双随机抽查事项清单（第一版）》</w:t>
      </w:r>
    </w:p>
    <w:p>
      <w:pPr>
        <w:widowControl/>
        <w:shd w:val="clear" w:color="auto" w:fill="FFFFFF"/>
        <w:spacing w:line="520" w:lineRule="exact"/>
        <w:ind w:firstLine="640" w:firstLineChars="200"/>
        <w:jc w:val="right"/>
        <w:rPr>
          <w:rFonts w:ascii="仿宋" w:hAnsi="仿宋" w:eastAsia="仿宋" w:cs="Arial"/>
          <w:kern w:val="0"/>
          <w:sz w:val="32"/>
          <w:szCs w:val="32"/>
        </w:rPr>
      </w:pPr>
      <w:r>
        <w:rPr>
          <w:rFonts w:hint="eastAsia" w:ascii="仿宋" w:hAnsi="仿宋" w:eastAsia="仿宋" w:cs="Arial"/>
          <w:kern w:val="0"/>
          <w:sz w:val="32"/>
          <w:szCs w:val="32"/>
        </w:rPr>
        <w:t>青阳县事中事后监管联席会议办公室</w:t>
      </w:r>
    </w:p>
    <w:p>
      <w:pPr>
        <w:widowControl/>
        <w:shd w:val="clear" w:color="auto" w:fill="FFFFFF"/>
        <w:spacing w:line="520" w:lineRule="exact"/>
        <w:ind w:right="480" w:firstLine="640" w:firstLineChars="200"/>
        <w:jc w:val="center"/>
        <w:rPr>
          <w:rFonts w:ascii="仿宋" w:hAnsi="仿宋" w:eastAsia="仿宋" w:cs="Arial"/>
          <w:kern w:val="0"/>
          <w:sz w:val="32"/>
          <w:szCs w:val="32"/>
        </w:rPr>
      </w:pPr>
      <w:r>
        <w:rPr>
          <w:rFonts w:hint="eastAsia" w:ascii="MS Mincho" w:hAnsi="MS Mincho" w:eastAsia="仿宋" w:cs="MS Mincho"/>
          <w:kern w:val="0"/>
          <w:sz w:val="32"/>
          <w:szCs w:val="32"/>
        </w:rPr>
        <w:t xml:space="preserve">                  </w:t>
      </w:r>
      <w:r>
        <w:rPr>
          <w:rFonts w:hint="eastAsia" w:ascii="仿宋" w:hAnsi="仿宋" w:eastAsia="仿宋" w:cs="仿宋"/>
          <w:kern w:val="0"/>
          <w:sz w:val="32"/>
          <w:szCs w:val="32"/>
        </w:rPr>
        <w:t>202</w:t>
      </w:r>
      <w:r>
        <w:rPr>
          <w:rFonts w:ascii="仿宋" w:hAnsi="仿宋" w:eastAsia="仿宋" w:cs="仿宋"/>
          <w:kern w:val="0"/>
          <w:sz w:val="32"/>
          <w:szCs w:val="32"/>
        </w:rPr>
        <w:t>2</w:t>
      </w:r>
      <w:r>
        <w:rPr>
          <w:rFonts w:hint="eastAsia" w:ascii="仿宋" w:hAnsi="仿宋" w:eastAsia="仿宋" w:cs="Arial"/>
          <w:kern w:val="0"/>
          <w:sz w:val="32"/>
          <w:szCs w:val="32"/>
        </w:rPr>
        <w:t>年</w:t>
      </w:r>
      <w:r>
        <w:rPr>
          <w:rFonts w:ascii="仿宋" w:hAnsi="仿宋" w:eastAsia="仿宋" w:cs="Arial"/>
          <w:kern w:val="0"/>
          <w:sz w:val="32"/>
          <w:szCs w:val="32"/>
        </w:rPr>
        <w:t>4</w:t>
      </w:r>
      <w:r>
        <w:rPr>
          <w:rFonts w:hint="eastAsia" w:ascii="仿宋" w:hAnsi="仿宋" w:eastAsia="仿宋" w:cs="Arial"/>
          <w:kern w:val="0"/>
          <w:sz w:val="32"/>
          <w:szCs w:val="32"/>
        </w:rPr>
        <w:t>月</w:t>
      </w:r>
      <w:r>
        <w:rPr>
          <w:rFonts w:ascii="仿宋" w:hAnsi="仿宋" w:eastAsia="仿宋" w:cs="Arial"/>
          <w:kern w:val="0"/>
          <w:sz w:val="32"/>
          <w:szCs w:val="32"/>
        </w:rPr>
        <w:t>30</w:t>
      </w:r>
      <w:r>
        <w:rPr>
          <w:rFonts w:hint="eastAsia" w:ascii="仿宋" w:hAnsi="仿宋" w:eastAsia="仿宋" w:cs="Arial"/>
          <w:kern w:val="0"/>
          <w:sz w:val="32"/>
          <w:szCs w:val="32"/>
        </w:rPr>
        <w:t>日</w:t>
      </w:r>
    </w:p>
    <w:p>
      <w:pPr>
        <w:widowControl/>
        <w:shd w:val="clear" w:color="auto" w:fill="FFFFFF"/>
        <w:spacing w:line="520" w:lineRule="exact"/>
        <w:jc w:val="left"/>
        <w:rPr>
          <w:rFonts w:hint="eastAsia" w:ascii="仿宋" w:hAnsi="仿宋" w:eastAsia="仿宋" w:cs="仿宋"/>
          <w:kern w:val="0"/>
          <w:sz w:val="32"/>
          <w:szCs w:val="32"/>
        </w:rPr>
      </w:pPr>
    </w:p>
    <w:p>
      <w:pPr>
        <w:widowControl/>
        <w:shd w:val="clear" w:color="auto" w:fill="FFFFFF"/>
        <w:spacing w:line="520" w:lineRule="exact"/>
        <w:jc w:val="left"/>
        <w:rPr>
          <w:rFonts w:ascii="仿宋" w:hAnsi="仿宋" w:eastAsia="仿宋" w:cs="仿宋"/>
          <w:kern w:val="0"/>
          <w:sz w:val="32"/>
          <w:szCs w:val="32"/>
        </w:rPr>
      </w:pPr>
      <w:r>
        <w:rPr>
          <w:rFonts w:hint="eastAsia" w:ascii="仿宋" w:hAnsi="仿宋" w:eastAsia="仿宋" w:cs="仿宋"/>
          <w:kern w:val="0"/>
          <w:sz w:val="32"/>
          <w:szCs w:val="32"/>
        </w:rPr>
        <w:t>抄送：池州市市场监管局、县营商办</w:t>
      </w:r>
    </w:p>
    <w:p>
      <w:pPr>
        <w:widowControl/>
        <w:shd w:val="clear" w:color="auto" w:fill="FFFFFF"/>
        <w:spacing w:line="520" w:lineRule="exact"/>
        <w:ind w:firstLine="1767" w:firstLineChars="400"/>
        <w:rPr>
          <w:rFonts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  <w:t>青阳县推行“一业一查”</w:t>
      </w:r>
    </w:p>
    <w:p>
      <w:pPr>
        <w:widowControl/>
        <w:shd w:val="clear" w:color="auto" w:fill="FFFFFF"/>
        <w:spacing w:line="520" w:lineRule="exact"/>
        <w:jc w:val="center"/>
        <w:rPr>
          <w:rFonts w:ascii="方正小标宋简体" w:hAnsi="方正小标宋简体" w:eastAsia="方正小标宋简体" w:cs="方正小标宋简体"/>
          <w:b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  <w:t>部门联合双随机监管工作方案</w:t>
      </w:r>
      <w:r>
        <w:rPr>
          <w:rFonts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  <w:t>（试行）</w:t>
      </w:r>
    </w:p>
    <w:p>
      <w:pPr>
        <w:pStyle w:val="5"/>
        <w:shd w:val="clear" w:color="auto" w:fill="FFFFFF"/>
        <w:spacing w:before="0" w:beforeAutospacing="0" w:after="0" w:afterAutospacing="0" w:line="520" w:lineRule="exact"/>
        <w:ind w:firstLine="640" w:firstLineChars="200"/>
        <w:jc w:val="both"/>
        <w:rPr>
          <w:rFonts w:ascii="仿宋" w:hAnsi="仿宋" w:eastAsia="仿宋"/>
          <w:sz w:val="32"/>
          <w:szCs w:val="27"/>
        </w:rPr>
      </w:pPr>
    </w:p>
    <w:p>
      <w:pPr>
        <w:pStyle w:val="5"/>
        <w:shd w:val="clear" w:color="auto" w:fill="FFFFFF"/>
        <w:spacing w:before="0" w:beforeAutospacing="0" w:after="0" w:afterAutospacing="0" w:line="520" w:lineRule="exact"/>
        <w:ind w:firstLine="640" w:firstLineChars="200"/>
        <w:jc w:val="both"/>
        <w:rPr>
          <w:rFonts w:ascii="仿宋" w:hAnsi="仿宋" w:eastAsia="仿宋"/>
          <w:sz w:val="32"/>
          <w:szCs w:val="27"/>
        </w:rPr>
      </w:pPr>
      <w:r>
        <w:rPr>
          <w:rFonts w:hint="eastAsia" w:ascii="仿宋" w:hAnsi="仿宋" w:eastAsia="仿宋"/>
          <w:sz w:val="32"/>
          <w:szCs w:val="27"/>
        </w:rPr>
        <w:t>为深入贯彻落实党中央、国务院深化“放管服”改革优化营商环境的决策部署、</w:t>
      </w:r>
      <w:r>
        <w:rPr>
          <w:rFonts w:hint="eastAsia" w:ascii="仿宋" w:hAnsi="仿宋" w:eastAsia="仿宋" w:cs="Arial"/>
          <w:sz w:val="32"/>
          <w:szCs w:val="32"/>
        </w:rPr>
        <w:t>《</w:t>
      </w:r>
      <w:r>
        <w:rPr>
          <w:rFonts w:ascii="仿宋" w:hAnsi="仿宋" w:eastAsia="仿宋"/>
          <w:bCs/>
          <w:kern w:val="36"/>
          <w:sz w:val="32"/>
          <w:szCs w:val="36"/>
        </w:rPr>
        <w:t>安徽省人民政府办公厅关于印发创优营商环境对标提升举措（2022版）的通知</w:t>
      </w:r>
      <w:r>
        <w:rPr>
          <w:rFonts w:hint="eastAsia" w:ascii="仿宋" w:hAnsi="仿宋" w:eastAsia="仿宋" w:cs="Arial"/>
          <w:sz w:val="32"/>
          <w:szCs w:val="32"/>
        </w:rPr>
        <w:t>》、《</w:t>
      </w:r>
      <w:r>
        <w:rPr>
          <w:rFonts w:ascii="仿宋" w:hAnsi="仿宋" w:eastAsia="仿宋" w:cs="Arial"/>
          <w:sz w:val="32"/>
          <w:szCs w:val="39"/>
        </w:rPr>
        <w:t>安徽省人民政府办公厅印发“一业一证一码”改革试点工作实施方案</w:t>
      </w:r>
      <w:r>
        <w:rPr>
          <w:rFonts w:hint="eastAsia" w:ascii="仿宋" w:hAnsi="仿宋" w:eastAsia="仿宋" w:cs="Arial"/>
          <w:sz w:val="32"/>
          <w:szCs w:val="32"/>
        </w:rPr>
        <w:t>》精神</w:t>
      </w:r>
      <w:r>
        <w:rPr>
          <w:rFonts w:hint="eastAsia" w:ascii="仿宋" w:hAnsi="仿宋" w:eastAsia="仿宋"/>
          <w:sz w:val="32"/>
          <w:szCs w:val="27"/>
        </w:rPr>
        <w:t>和市委、市政府工作要求，坚持不懈统筹推进新一轮营商环境改革，制定本实施方案。</w:t>
      </w:r>
    </w:p>
    <w:p>
      <w:pPr>
        <w:pStyle w:val="5"/>
        <w:shd w:val="clear" w:color="auto" w:fill="FFFFFF"/>
        <w:spacing w:before="0" w:beforeAutospacing="0" w:after="0" w:afterAutospacing="0" w:line="520" w:lineRule="exact"/>
        <w:ind w:firstLine="643" w:firstLineChars="200"/>
        <w:jc w:val="both"/>
        <w:rPr>
          <w:rFonts w:ascii="仿宋" w:hAnsi="仿宋" w:eastAsia="黑体"/>
          <w:sz w:val="32"/>
          <w:szCs w:val="32"/>
        </w:rPr>
      </w:pPr>
      <w:r>
        <w:rPr>
          <w:rStyle w:val="10"/>
          <w:rFonts w:hint="eastAsia" w:ascii="仿宋" w:hAnsi="仿宋" w:eastAsia="黑体"/>
          <w:bCs w:val="0"/>
          <w:sz w:val="32"/>
          <w:szCs w:val="32"/>
        </w:rPr>
        <w:t>一、总体要求</w:t>
      </w:r>
    </w:p>
    <w:p>
      <w:pPr>
        <w:spacing w:line="520" w:lineRule="exact"/>
        <w:ind w:firstLine="643" w:firstLineChars="2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（一）指导思想。</w:t>
      </w:r>
    </w:p>
    <w:p>
      <w:pPr>
        <w:spacing w:line="520" w:lineRule="exact"/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kern w:val="0"/>
          <w:sz w:val="32"/>
          <w:szCs w:val="24"/>
        </w:rPr>
        <w:t>以习近平新时代中国特色社会主义思想为指导，</w:t>
      </w:r>
      <w:r>
        <w:rPr>
          <w:rFonts w:hint="eastAsia" w:ascii="仿宋" w:hAnsi="仿宋" w:eastAsia="仿宋"/>
          <w:sz w:val="32"/>
          <w:szCs w:val="32"/>
        </w:rPr>
        <w:t>认真贯彻党中央、国务院和省委、省政府及市委、市政府决策部署，以</w:t>
      </w:r>
      <w:r>
        <w:rPr>
          <w:rFonts w:ascii="仿宋" w:hAnsi="仿宋" w:eastAsia="仿宋"/>
          <w:bCs/>
          <w:kern w:val="36"/>
          <w:sz w:val="32"/>
          <w:szCs w:val="36"/>
        </w:rPr>
        <w:t>创优营商环境</w:t>
      </w:r>
      <w:r>
        <w:rPr>
          <w:rFonts w:hint="eastAsia" w:ascii="仿宋" w:hAnsi="仿宋" w:eastAsia="仿宋"/>
          <w:bCs/>
          <w:kern w:val="36"/>
          <w:sz w:val="32"/>
          <w:szCs w:val="36"/>
        </w:rPr>
        <w:t>为切入点，</w:t>
      </w:r>
      <w:r>
        <w:rPr>
          <w:rFonts w:hint="eastAsia" w:ascii="仿宋" w:hAnsi="仿宋" w:eastAsia="仿宋"/>
          <w:sz w:val="32"/>
          <w:szCs w:val="32"/>
        </w:rPr>
        <w:t>在市场监管领域全面推行“一业一查”部门联合双随机监管模式，凝聚监管合力，强化监管责任，提高监管效能，着力破解市场监管中存在的重复监管、多头监管、随意监管和监管盲区等难题，维护经济秩序，保护合法权益，持续优化营商环境，打造人民满意的法治政府。</w:t>
      </w:r>
    </w:p>
    <w:p>
      <w:pPr>
        <w:spacing w:line="520" w:lineRule="exact"/>
        <w:ind w:firstLine="643" w:firstLineChars="200"/>
        <w:rPr>
          <w:rFonts w:ascii="仿宋" w:hAnsi="仿宋" w:eastAsia="仿宋"/>
          <w:b/>
          <w:bCs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（二）基本原则。</w:t>
      </w:r>
    </w:p>
    <w:p>
      <w:pPr>
        <w:pStyle w:val="11"/>
        <w:spacing w:line="520" w:lineRule="exact"/>
        <w:ind w:firstLine="643" w:firstLineChars="200"/>
        <w:rPr>
          <w:rFonts w:ascii="仿宋" w:hAnsi="仿宋" w:eastAsia="仿宋" w:cs="宋体"/>
          <w:sz w:val="32"/>
          <w:szCs w:val="28"/>
        </w:rPr>
      </w:pPr>
      <w:r>
        <w:rPr>
          <w:rFonts w:hint="eastAsia" w:ascii="仿宋" w:hAnsi="仿宋" w:eastAsia="仿宋" w:cs="宋体"/>
          <w:b/>
          <w:sz w:val="32"/>
          <w:szCs w:val="28"/>
        </w:rPr>
        <w:t>全面覆盖。</w:t>
      </w:r>
      <w:r>
        <w:rPr>
          <w:rFonts w:hint="eastAsia" w:ascii="仿宋" w:hAnsi="仿宋" w:eastAsia="仿宋" w:cs="宋体"/>
          <w:sz w:val="32"/>
          <w:szCs w:val="28"/>
        </w:rPr>
        <w:t>将“一业一查”作为推进跨部门双随机的基本监管模式，除特殊重点领域外，原则上所有行政检查都应通过行业（主管）部门牵头以“一业一查”模式，按跨部门双随机抽查的方式进行，取代日常监管的巡查制和随意检查，形成常态化管理机制。</w:t>
      </w:r>
    </w:p>
    <w:p>
      <w:pPr>
        <w:spacing w:line="520" w:lineRule="exact"/>
        <w:ind w:firstLine="643" w:firstLineChars="200"/>
        <w:rPr>
          <w:rFonts w:ascii="仿宋" w:hAnsi="仿宋" w:eastAsia="仿宋" w:cs="宋体"/>
          <w:sz w:val="32"/>
          <w:szCs w:val="28"/>
        </w:rPr>
      </w:pPr>
      <w:r>
        <w:rPr>
          <w:rFonts w:hint="eastAsia" w:ascii="仿宋" w:hAnsi="仿宋" w:eastAsia="仿宋" w:cs="宋体"/>
          <w:b/>
          <w:sz w:val="32"/>
          <w:szCs w:val="28"/>
        </w:rPr>
        <w:t>清单管理。</w:t>
      </w:r>
      <w:r>
        <w:rPr>
          <w:rFonts w:hint="eastAsia" w:ascii="仿宋" w:hAnsi="仿宋" w:eastAsia="仿宋" w:cs="宋体"/>
          <w:sz w:val="32"/>
          <w:szCs w:val="28"/>
        </w:rPr>
        <w:t>按照“能合尽合”“能联尽联”原则进一步优化整合对同一业态市场主体的抽查事项，形成“一业一查”部门联合抽查事项清单，依据清单开展联合抽查，原则上不允许单一部门发起双随机抽查任务。县事中事后监管联席会议办公室</w:t>
      </w:r>
      <w:r>
        <w:rPr>
          <w:rFonts w:hint="eastAsia" w:ascii="仿宋" w:hAnsi="仿宋" w:eastAsia="仿宋" w:cs="Arial"/>
          <w:kern w:val="0"/>
          <w:sz w:val="32"/>
          <w:szCs w:val="28"/>
        </w:rPr>
        <w:t>负责清单的动态管理和发布，原则上成熟一批、公布一批，逐步健全完善。</w:t>
      </w:r>
    </w:p>
    <w:p>
      <w:pPr>
        <w:spacing w:line="520" w:lineRule="exact"/>
        <w:ind w:firstLine="643" w:firstLineChars="200"/>
        <w:rPr>
          <w:rFonts w:ascii="仿宋" w:hAnsi="仿宋" w:eastAsia="仿宋" w:cs="宋体"/>
          <w:sz w:val="32"/>
          <w:szCs w:val="28"/>
          <w:shd w:val="clear" w:color="auto" w:fill="FFFFFF"/>
        </w:rPr>
      </w:pPr>
      <w:r>
        <w:rPr>
          <w:rFonts w:hint="eastAsia" w:ascii="仿宋" w:hAnsi="仿宋" w:eastAsia="仿宋" w:cs="宋体"/>
          <w:b/>
          <w:sz w:val="32"/>
          <w:szCs w:val="28"/>
          <w:shd w:val="clear" w:color="auto" w:fill="FFFFFF"/>
        </w:rPr>
        <w:t>信用监管。</w:t>
      </w:r>
      <w:r>
        <w:rPr>
          <w:rFonts w:hint="eastAsia" w:ascii="仿宋" w:hAnsi="仿宋" w:eastAsia="仿宋" w:cs="宋体"/>
          <w:sz w:val="32"/>
          <w:szCs w:val="28"/>
        </w:rPr>
        <w:t>“一业一查”要</w:t>
      </w:r>
      <w:r>
        <w:rPr>
          <w:rFonts w:hint="eastAsia" w:ascii="仿宋" w:hAnsi="仿宋" w:eastAsia="仿宋" w:cs="宋体"/>
          <w:sz w:val="32"/>
          <w:szCs w:val="28"/>
          <w:shd w:val="clear" w:color="auto" w:fill="FFFFFF"/>
        </w:rPr>
        <w:t>与信用风险分类管理结合，对于风险低、信用好的市场主体，降低检查比例和频次；对八大新兴产业中信用风险较低的企业,实施企业登记事项、年报公示信息、商标使用情况等“守信免查”、触发式监管；对于风险高、信用差的市场主体，提高检查比例和频次。</w:t>
      </w:r>
    </w:p>
    <w:p>
      <w:pPr>
        <w:spacing w:line="520" w:lineRule="exact"/>
        <w:ind w:firstLine="643" w:firstLineChars="200"/>
        <w:rPr>
          <w:rFonts w:ascii="仿宋" w:hAnsi="仿宋" w:eastAsia="仿宋"/>
          <w:sz w:val="32"/>
          <w:szCs w:val="28"/>
          <w:shd w:val="clear" w:color="auto" w:fill="FFFFFF"/>
        </w:rPr>
      </w:pPr>
      <w:r>
        <w:rPr>
          <w:rFonts w:hint="eastAsia" w:ascii="仿宋" w:hAnsi="仿宋" w:eastAsia="仿宋"/>
          <w:b/>
          <w:bCs/>
          <w:sz w:val="32"/>
          <w:szCs w:val="28"/>
          <w:shd w:val="clear" w:color="auto" w:fill="FFFFFF"/>
        </w:rPr>
        <w:t>智慧监管</w:t>
      </w:r>
      <w:r>
        <w:rPr>
          <w:rFonts w:ascii="仿宋" w:hAnsi="仿宋" w:eastAsia="仿宋"/>
          <w:b/>
          <w:bCs/>
          <w:sz w:val="32"/>
          <w:szCs w:val="28"/>
          <w:shd w:val="clear" w:color="auto" w:fill="FFFFFF"/>
        </w:rPr>
        <w:t>。</w:t>
      </w:r>
      <w:r>
        <w:rPr>
          <w:rFonts w:ascii="仿宋" w:hAnsi="仿宋" w:eastAsia="仿宋"/>
          <w:sz w:val="32"/>
          <w:szCs w:val="28"/>
          <w:shd w:val="clear" w:color="auto" w:fill="FFFFFF"/>
        </w:rPr>
        <w:t>充分发挥现代科技手段在“一业一查”监管中的作用，依托互联网、大数据、物联网、云计算、人工智能、区块链等新技术推动“一业一查”跨部门联合抽查工作创新，努力做到监管效能最大化、监管成本最优化、对市场主体干扰最小化。</w:t>
      </w:r>
    </w:p>
    <w:p>
      <w:pPr>
        <w:spacing w:line="520" w:lineRule="exact"/>
        <w:ind w:firstLine="643" w:firstLineChars="200"/>
        <w:rPr>
          <w:rFonts w:ascii="仿宋" w:hAnsi="仿宋" w:eastAsia="仿宋"/>
          <w:sz w:val="32"/>
          <w:szCs w:val="28"/>
          <w:shd w:val="clear" w:color="auto" w:fill="FFFFFF"/>
        </w:rPr>
      </w:pPr>
      <w:r>
        <w:rPr>
          <w:rFonts w:ascii="仿宋" w:hAnsi="仿宋" w:eastAsia="仿宋"/>
          <w:b/>
          <w:bCs/>
          <w:sz w:val="32"/>
          <w:szCs w:val="28"/>
          <w:shd w:val="clear" w:color="auto" w:fill="FFFFFF"/>
        </w:rPr>
        <w:t>寓管于服。</w:t>
      </w:r>
      <w:r>
        <w:rPr>
          <w:rFonts w:ascii="仿宋" w:hAnsi="仿宋" w:eastAsia="仿宋"/>
          <w:sz w:val="32"/>
          <w:szCs w:val="28"/>
          <w:shd w:val="clear" w:color="auto" w:fill="FFFFFF"/>
        </w:rPr>
        <w:t>推进政府监管与服务相互结合、相互促进，坚持行“简约”之道，做到一</w:t>
      </w:r>
      <w:r>
        <w:rPr>
          <w:rFonts w:hint="eastAsia" w:ascii="仿宋" w:hAnsi="仿宋" w:eastAsia="仿宋"/>
          <w:sz w:val="32"/>
          <w:szCs w:val="28"/>
          <w:shd w:val="clear" w:color="auto" w:fill="FFFFFF"/>
        </w:rPr>
        <w:t>张</w:t>
      </w:r>
      <w:r>
        <w:rPr>
          <w:rFonts w:ascii="仿宋" w:hAnsi="仿宋" w:eastAsia="仿宋"/>
          <w:sz w:val="32"/>
          <w:szCs w:val="28"/>
          <w:shd w:val="clear" w:color="auto" w:fill="FFFFFF"/>
        </w:rPr>
        <w:t>清单管边界、一本手册管检查、一次上门管秩序、一个平台管信息，营造良好发展环境，增强人民群众幸福感、获得感和安全感。</w:t>
      </w:r>
    </w:p>
    <w:p>
      <w:pPr>
        <w:numPr>
          <w:ilvl w:val="0"/>
          <w:numId w:val="1"/>
        </w:numPr>
        <w:spacing w:line="520" w:lineRule="exact"/>
        <w:ind w:firstLine="643" w:firstLineChars="200"/>
        <w:rPr>
          <w:rFonts w:ascii="仿宋" w:hAnsi="仿宋" w:eastAsia="仿宋" w:cs="宋体"/>
          <w:b/>
          <w:bCs/>
          <w:sz w:val="32"/>
          <w:szCs w:val="28"/>
        </w:rPr>
      </w:pPr>
      <w:r>
        <w:rPr>
          <w:rFonts w:hint="eastAsia" w:ascii="仿宋" w:hAnsi="仿宋" w:eastAsia="仿宋" w:cs="宋体"/>
          <w:b/>
          <w:bCs/>
          <w:sz w:val="32"/>
          <w:szCs w:val="28"/>
        </w:rPr>
        <w:t>工作目标。</w:t>
      </w:r>
    </w:p>
    <w:p>
      <w:pPr>
        <w:spacing w:line="520" w:lineRule="exact"/>
        <w:ind w:firstLine="640" w:firstLineChars="200"/>
        <w:rPr>
          <w:rFonts w:ascii="仿宋" w:hAnsi="仿宋" w:eastAsia="仿宋" w:cs="宋体"/>
          <w:sz w:val="32"/>
          <w:szCs w:val="28"/>
        </w:rPr>
      </w:pPr>
      <w:r>
        <w:rPr>
          <w:rFonts w:hint="eastAsia" w:ascii="仿宋" w:hAnsi="仿宋" w:eastAsia="仿宋" w:cs="宋体"/>
          <w:sz w:val="32"/>
          <w:szCs w:val="28"/>
        </w:rPr>
        <w:t>到2022年底，“一业一查”模式得到全面推行，推动事中事后监管从“按事项管”向“按行业管”转变，实现</w:t>
      </w:r>
      <w:r>
        <w:rPr>
          <w:rFonts w:hint="eastAsia" w:ascii="仿宋" w:hAnsi="仿宋" w:eastAsia="仿宋"/>
          <w:sz w:val="32"/>
          <w:szCs w:val="27"/>
        </w:rPr>
        <w:t>“进一次门、查多项事”，最大限度地减少对企业经营的干扰。</w:t>
      </w:r>
      <w:r>
        <w:rPr>
          <w:rFonts w:hint="eastAsia" w:ascii="仿宋" w:hAnsi="仿宋" w:eastAsia="仿宋" w:cs="宋体"/>
          <w:sz w:val="32"/>
          <w:szCs w:val="28"/>
        </w:rPr>
        <w:t>通过企业信用风险分级分类管理，对违法者“利剑高悬”，对守法者“无事不扰”</w:t>
      </w:r>
      <w:r>
        <w:rPr>
          <w:rFonts w:hint="eastAsia" w:ascii="仿宋" w:hAnsi="仿宋" w:eastAsia="仿宋"/>
          <w:sz w:val="32"/>
          <w:shd w:val="clear" w:color="auto" w:fill="FFFFFF"/>
        </w:rPr>
        <w:t>，</w:t>
      </w:r>
      <w:r>
        <w:rPr>
          <w:rFonts w:hint="eastAsia" w:ascii="仿宋" w:hAnsi="仿宋" w:eastAsia="仿宋" w:cs="宋体"/>
          <w:sz w:val="32"/>
          <w:szCs w:val="28"/>
        </w:rPr>
        <w:t>推动优化营商环境向纵深推进，打造国际一流的市场化法治化国际化营商环境，不断提升企业群众的获得感、幸福感、安全感，为青阳高质量发展提供有力支撑。</w:t>
      </w:r>
    </w:p>
    <w:p>
      <w:pPr>
        <w:pStyle w:val="5"/>
        <w:shd w:val="clear" w:color="auto" w:fill="FFFFFF"/>
        <w:spacing w:before="0" w:beforeAutospacing="0" w:after="0" w:afterAutospacing="0" w:line="520" w:lineRule="exact"/>
        <w:ind w:firstLine="643" w:firstLineChars="200"/>
        <w:jc w:val="both"/>
        <w:rPr>
          <w:rStyle w:val="10"/>
          <w:rFonts w:ascii="仿宋" w:hAnsi="仿宋" w:eastAsia="黑体"/>
          <w:bCs w:val="0"/>
          <w:sz w:val="32"/>
          <w:szCs w:val="32"/>
        </w:rPr>
      </w:pPr>
      <w:r>
        <w:rPr>
          <w:rStyle w:val="10"/>
          <w:rFonts w:hint="eastAsia" w:ascii="仿宋" w:hAnsi="仿宋" w:eastAsia="黑体"/>
          <w:bCs w:val="0"/>
          <w:sz w:val="32"/>
          <w:szCs w:val="32"/>
        </w:rPr>
        <w:t>二、主要任务</w:t>
      </w:r>
    </w:p>
    <w:p>
      <w:pPr>
        <w:pStyle w:val="5"/>
        <w:shd w:val="clear" w:color="auto" w:fill="FFFFFF"/>
        <w:spacing w:before="0" w:beforeAutospacing="0" w:after="0" w:afterAutospacing="0" w:line="520" w:lineRule="exact"/>
        <w:ind w:firstLine="643" w:firstLineChars="200"/>
        <w:jc w:val="both"/>
        <w:rPr>
          <w:rFonts w:ascii="仿宋" w:hAnsi="仿宋" w:eastAsia="仿宋" w:cs="Arial"/>
          <w:sz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（一）编制“一业一查” “一册两单”。</w:t>
      </w:r>
      <w:r>
        <w:rPr>
          <w:rFonts w:hint="eastAsia" w:ascii="仿宋" w:hAnsi="仿宋" w:eastAsia="仿宋"/>
          <w:sz w:val="32"/>
          <w:szCs w:val="32"/>
        </w:rPr>
        <w:t>县各行业（主管）部门要以权力事项清单为基础，以监管对象或事项为联结点，全面梳理涉及同一业态对象或事项有多个监管主体、</w:t>
      </w:r>
      <w:r>
        <w:rPr>
          <w:rFonts w:hint="eastAsia" w:ascii="仿宋" w:hAnsi="仿宋" w:eastAsia="仿宋" w:cs="仿宋"/>
          <w:sz w:val="32"/>
          <w:szCs w:val="32"/>
        </w:rPr>
        <w:t>需要协同监管的群众关注热点、行业治理难点、中心工作重点、部门监管盲点，形成“一业一查”部门联合检查事项清单，</w:t>
      </w:r>
      <w:r>
        <w:rPr>
          <w:rFonts w:hint="eastAsia" w:ascii="仿宋" w:hAnsi="仿宋" w:eastAsia="仿宋" w:cs="仿宋"/>
          <w:kern w:val="2"/>
          <w:sz w:val="32"/>
          <w:szCs w:val="32"/>
        </w:rPr>
        <w:t>制定行业统一检查单，</w:t>
      </w:r>
      <w:r>
        <w:rPr>
          <w:rFonts w:hint="eastAsia" w:ascii="仿宋" w:hAnsi="仿宋" w:eastAsia="仿宋" w:cs="仿宋"/>
          <w:sz w:val="32"/>
          <w:szCs w:val="32"/>
        </w:rPr>
        <w:t>整合各协同部门的监管指引，</w:t>
      </w:r>
      <w:r>
        <w:rPr>
          <w:rFonts w:hint="eastAsia" w:ascii="仿宋" w:hAnsi="仿宋" w:eastAsia="仿宋" w:cs="仿宋"/>
          <w:kern w:val="2"/>
          <w:sz w:val="32"/>
          <w:szCs w:val="32"/>
        </w:rPr>
        <w:t>汇编成统一的综合监管合规手册。</w:t>
      </w:r>
      <w:r>
        <w:rPr>
          <w:rFonts w:hint="eastAsia" w:ascii="仿宋" w:hAnsi="仿宋" w:eastAsia="仿宋" w:cs="仿宋"/>
          <w:sz w:val="32"/>
          <w:szCs w:val="32"/>
        </w:rPr>
        <w:t>明确牵头单位、协同单位、检查主体行业类型、检查事项、检查内容、检查依据、部门任务分工等，合理安排联合检查频次，既保证必要的执法力度，又避免检查过多和执法扰民。</w:t>
      </w:r>
    </w:p>
    <w:p>
      <w:pPr>
        <w:widowControl/>
        <w:shd w:val="clear" w:color="auto" w:fill="FFFFFF"/>
        <w:spacing w:line="520" w:lineRule="exact"/>
        <w:ind w:firstLine="643" w:firstLineChars="200"/>
        <w:rPr>
          <w:rFonts w:ascii="仿宋" w:hAnsi="仿宋" w:eastAsia="仿宋" w:cs="Arial"/>
          <w:kern w:val="0"/>
          <w:sz w:val="32"/>
          <w:szCs w:val="24"/>
        </w:rPr>
      </w:pPr>
      <w:r>
        <w:rPr>
          <w:rFonts w:hint="eastAsia" w:ascii="仿宋" w:hAnsi="仿宋" w:eastAsia="仿宋" w:cs="Arial"/>
          <w:b/>
          <w:kern w:val="0"/>
          <w:sz w:val="32"/>
          <w:szCs w:val="32"/>
        </w:rPr>
        <w:t>（二）统筹建立“一业一查”名录库。</w:t>
      </w:r>
      <w:r>
        <w:rPr>
          <w:rFonts w:hint="eastAsia" w:ascii="仿宋" w:hAnsi="仿宋" w:eastAsia="仿宋" w:cs="Arial"/>
          <w:kern w:val="0"/>
          <w:sz w:val="32"/>
          <w:szCs w:val="32"/>
        </w:rPr>
        <w:t>依托</w:t>
      </w:r>
      <w:r>
        <w:rPr>
          <w:rFonts w:hint="eastAsia" w:hAnsi="仿宋" w:eastAsia="仿宋"/>
          <w:sz w:val="32"/>
          <w:szCs w:val="32"/>
        </w:rPr>
        <w:t>安徽省事中事后综合监管平台（以下简称“监管平台”）</w:t>
      </w:r>
      <w:r>
        <w:rPr>
          <w:rFonts w:hint="eastAsia" w:ascii="仿宋" w:hAnsi="仿宋" w:eastAsia="仿宋" w:cs="Arial"/>
          <w:kern w:val="0"/>
          <w:sz w:val="32"/>
          <w:szCs w:val="32"/>
        </w:rPr>
        <w:t>，整合现有执法检查对象和各联合执法检查部门执法检查人员等信息，建立“一业一查”联合检查对象名录库、执法检查人员名录库，并建立动态调整机制。探索建立“一业一查”执法检查专家库，聘任综合执法系统、相关业务主管部门的办案能手和业务专家，参与对重大、疑难、复杂检查事项的指导与查处。各牵头部门要借势借力，将条线布置的执法检查专项行动和“一业一查”工作有机结合，发挥检查最大效力。</w:t>
      </w:r>
    </w:p>
    <w:p>
      <w:pPr>
        <w:widowControl/>
        <w:shd w:val="clear" w:color="auto" w:fill="FFFFFF"/>
        <w:spacing w:line="520" w:lineRule="exact"/>
        <w:ind w:firstLine="643" w:firstLineChars="200"/>
        <w:rPr>
          <w:rFonts w:ascii="仿宋" w:hAnsi="仿宋" w:eastAsia="仿宋" w:cs="Arial"/>
          <w:kern w:val="0"/>
          <w:sz w:val="32"/>
          <w:szCs w:val="32"/>
        </w:rPr>
      </w:pPr>
      <w:r>
        <w:rPr>
          <w:rFonts w:hint="eastAsia" w:ascii="仿宋" w:hAnsi="仿宋" w:eastAsia="仿宋" w:cs="Arial"/>
          <w:b/>
          <w:kern w:val="0"/>
          <w:sz w:val="32"/>
          <w:szCs w:val="32"/>
        </w:rPr>
        <w:t>（三）科学组织</w:t>
      </w:r>
      <w:r>
        <w:rPr>
          <w:rFonts w:hint="eastAsia" w:ascii="仿宋" w:hAnsi="仿宋" w:eastAsia="仿宋"/>
          <w:b/>
          <w:bCs/>
          <w:sz w:val="32"/>
          <w:szCs w:val="32"/>
        </w:rPr>
        <w:t>派发“一业一查”检查任务。</w:t>
      </w:r>
      <w:r>
        <w:rPr>
          <w:rFonts w:hint="eastAsia" w:ascii="仿宋" w:hAnsi="仿宋" w:eastAsia="仿宋" w:cs="Arial"/>
          <w:kern w:val="0"/>
          <w:sz w:val="32"/>
          <w:szCs w:val="32"/>
        </w:rPr>
        <w:t>依托</w:t>
      </w:r>
      <w:r>
        <w:rPr>
          <w:rFonts w:hint="eastAsia" w:hAnsi="仿宋" w:eastAsia="仿宋"/>
          <w:sz w:val="32"/>
          <w:szCs w:val="32"/>
        </w:rPr>
        <w:t>“监管平台”</w:t>
      </w:r>
      <w:r>
        <w:rPr>
          <w:rFonts w:hint="eastAsia" w:ascii="仿宋" w:hAnsi="仿宋" w:eastAsia="仿宋" w:cs="Arial"/>
          <w:kern w:val="0"/>
          <w:sz w:val="32"/>
          <w:szCs w:val="32"/>
        </w:rPr>
        <w:t>，</w:t>
      </w:r>
      <w:r>
        <w:rPr>
          <w:rFonts w:hint="eastAsia" w:ascii="仿宋" w:hAnsi="仿宋" w:eastAsia="仿宋"/>
          <w:sz w:val="32"/>
          <w:szCs w:val="32"/>
        </w:rPr>
        <w:t>实现检查任务线上磋商、一键分发。实施检查前，除依法不予公开和上级机关明确要求不能事先通知的检查事项外，可将检查时间、依据、方式等内容事先向检查对象通报，督促检查对象落实主体责任，自行整改纠正。</w:t>
      </w:r>
      <w:r>
        <w:rPr>
          <w:rFonts w:hint="eastAsia" w:ascii="仿宋" w:hAnsi="仿宋" w:eastAsia="仿宋" w:cs="Arial"/>
          <w:kern w:val="0"/>
          <w:sz w:val="32"/>
          <w:szCs w:val="32"/>
        </w:rPr>
        <w:t>做到对象一次性抽取、人员一次性选派、检查一次性完成、结果一次性公布，实现“一次检查、全面体检、综合会诊、精准施策”的综合查办的工作成效。建立“牵头吹哨、部门报到”的联合执法检查机制，创新监管方式，提升监管执法效能。</w:t>
      </w:r>
    </w:p>
    <w:p>
      <w:pPr>
        <w:pStyle w:val="5"/>
        <w:shd w:val="clear" w:color="auto" w:fill="FFFFFF"/>
        <w:spacing w:before="0" w:beforeAutospacing="0" w:after="0" w:afterAutospacing="0" w:line="520" w:lineRule="exact"/>
        <w:ind w:firstLine="643" w:firstLineChars="200"/>
        <w:jc w:val="both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（四）规范实施“一业一查”联合检查。</w:t>
      </w:r>
      <w:r>
        <w:rPr>
          <w:rFonts w:hint="eastAsia" w:ascii="仿宋" w:hAnsi="仿宋" w:eastAsia="仿宋"/>
          <w:bCs/>
          <w:sz w:val="32"/>
          <w:szCs w:val="32"/>
        </w:rPr>
        <w:t>在开展</w:t>
      </w:r>
      <w:r>
        <w:rPr>
          <w:rFonts w:hint="eastAsia" w:ascii="仿宋" w:hAnsi="仿宋" w:eastAsia="仿宋"/>
          <w:sz w:val="32"/>
          <w:szCs w:val="32"/>
        </w:rPr>
        <w:t>“一业一查”执法检查中，要积极拓展“双随机”抽查移动端应用范围和场景，推进随机抽查事项清单与“互联网+监管”清单对接匹配。积极推行“双随机+信用化+网格化”监管机制，检查结果和处理结果依法公示并同时推送至相关部门，涉案线索证据材料同步纳入证据共享库。严格执行行政执法公示制度和行政执法全过程记录制度。对检查中未发现问题的，予以归档；对检查发现的问题，依照法定程序实施行政处罚；检查中发现的涉及行业性、区域性严重违法行为和重大危险隐患，牵头单位及时向当地政府报告，并通报同级相关监管部门和综合执法指导机构，由当地政府组织进行专项治理。检查和相关处理中形成的文字、视听资料和电子执法文件等资料，按照规定立卷，并做好归档和保管。</w:t>
      </w:r>
    </w:p>
    <w:p>
      <w:pPr>
        <w:pStyle w:val="5"/>
        <w:shd w:val="clear" w:color="auto" w:fill="FFFFFF"/>
        <w:spacing w:before="0" w:beforeAutospacing="0" w:after="0" w:afterAutospacing="0" w:line="520" w:lineRule="exact"/>
        <w:ind w:firstLine="643" w:firstLineChars="200"/>
        <w:jc w:val="both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bCs/>
          <w:sz w:val="32"/>
          <w:szCs w:val="32"/>
        </w:rPr>
        <w:t>（五）开展“一业一查”模式监督评价。</w:t>
      </w:r>
      <w:r>
        <w:rPr>
          <w:rFonts w:hint="eastAsia" w:ascii="仿宋" w:hAnsi="仿宋" w:eastAsia="仿宋"/>
          <w:sz w:val="32"/>
          <w:szCs w:val="32"/>
        </w:rPr>
        <w:t>各部门要对“一业一查”跨部门随机抽查制度实施情况实行全流程监测、监督和动态评价，深入分析检查协同、任务实施、结果运用等情况及执法对象有关意见，督促监管主体切实规范履职。对执法检查工作中出现的新情况、新问题，由牵头部门会同有关执法监管部门协商解决，重大问题报当地政府协调。将各监管部门开展 “一业一查”模式实施情况作为绩效考核内容。</w:t>
      </w:r>
    </w:p>
    <w:p>
      <w:pPr>
        <w:widowControl/>
        <w:shd w:val="clear" w:color="auto" w:fill="FFFFFF"/>
        <w:spacing w:line="520" w:lineRule="exact"/>
        <w:ind w:firstLine="643" w:firstLineChars="200"/>
        <w:rPr>
          <w:rFonts w:ascii="仿宋" w:hAnsi="仿宋" w:eastAsia="黑体" w:cs="Arial"/>
          <w:b/>
          <w:kern w:val="0"/>
          <w:sz w:val="32"/>
          <w:szCs w:val="24"/>
        </w:rPr>
      </w:pPr>
      <w:r>
        <w:rPr>
          <w:rFonts w:hint="eastAsia" w:ascii="仿宋" w:hAnsi="仿宋" w:eastAsia="黑体" w:cs="Arial"/>
          <w:b/>
          <w:kern w:val="0"/>
          <w:sz w:val="32"/>
          <w:szCs w:val="32"/>
        </w:rPr>
        <w:t>三、实施步骤</w:t>
      </w:r>
    </w:p>
    <w:p>
      <w:pPr>
        <w:widowControl/>
        <w:shd w:val="clear" w:color="auto" w:fill="FFFFFF"/>
        <w:spacing w:line="520" w:lineRule="exact"/>
        <w:ind w:firstLine="643" w:firstLineChars="200"/>
        <w:rPr>
          <w:rFonts w:ascii="仿宋" w:hAnsi="仿宋" w:eastAsia="仿宋" w:cs="仿宋"/>
          <w:kern w:val="0"/>
          <w:sz w:val="32"/>
          <w:szCs w:val="24"/>
        </w:rPr>
      </w:pPr>
      <w:r>
        <w:rPr>
          <w:rFonts w:hint="eastAsia" w:ascii="仿宋" w:hAnsi="仿宋" w:eastAsia="仿宋" w:cs="Arial"/>
          <w:b/>
          <w:kern w:val="0"/>
          <w:sz w:val="32"/>
          <w:szCs w:val="32"/>
        </w:rPr>
        <w:t>（一）安排部署。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全县市场监管领域各</w:t>
      </w:r>
      <w:r>
        <w:rPr>
          <w:rFonts w:hint="eastAsia" w:ascii="仿宋" w:hAnsi="仿宋" w:eastAsia="仿宋" w:cs="仿宋"/>
          <w:kern w:val="0"/>
          <w:sz w:val="32"/>
          <w:szCs w:val="32"/>
        </w:rPr>
        <w:t>特定行业（主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管）部门要发挥</w:t>
      </w:r>
      <w:r>
        <w:rPr>
          <w:rFonts w:hint="eastAsia" w:ascii="仿宋" w:hAnsi="仿宋" w:eastAsia="仿宋" w:cs="仿宋"/>
          <w:kern w:val="0"/>
          <w:sz w:val="32"/>
          <w:szCs w:val="32"/>
        </w:rPr>
        <w:t>牵头作用，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应</w:t>
      </w:r>
      <w:r>
        <w:rPr>
          <w:rFonts w:hint="eastAsia" w:ascii="仿宋" w:hAnsi="仿宋" w:eastAsia="仿宋" w:cs="仿宋"/>
          <w:kern w:val="0"/>
          <w:sz w:val="32"/>
          <w:szCs w:val="32"/>
        </w:rPr>
        <w:t>于每年4月底前，结合实际，负责梳理完善本部门牵头发起的“一业一查”事项清单，制定年度联合抽查计划和检查方案，报县事中事后监管联席会议办公室汇总印发。抽查清单需要进行动态调整的，要及时报备，联席会议办公室依规在政府网站公告公示清单调整情况。</w:t>
      </w:r>
    </w:p>
    <w:p>
      <w:pPr>
        <w:widowControl/>
        <w:shd w:val="clear" w:color="auto" w:fill="FFFFFF"/>
        <w:spacing w:line="520" w:lineRule="exact"/>
        <w:ind w:firstLine="643" w:firstLineChars="200"/>
        <w:rPr>
          <w:rFonts w:ascii="仿宋" w:hAnsi="仿宋" w:eastAsia="仿宋" w:cs="Arial"/>
          <w:kern w:val="0"/>
          <w:sz w:val="32"/>
          <w:szCs w:val="24"/>
        </w:rPr>
      </w:pPr>
      <w:r>
        <w:rPr>
          <w:rFonts w:hint="eastAsia" w:ascii="仿宋" w:hAnsi="仿宋" w:eastAsia="仿宋" w:cs="Arial"/>
          <w:b/>
          <w:bCs/>
          <w:kern w:val="0"/>
          <w:sz w:val="32"/>
          <w:szCs w:val="32"/>
        </w:rPr>
        <w:t>（二）全面实施。</w:t>
      </w:r>
      <w:r>
        <w:rPr>
          <w:rFonts w:hint="eastAsia" w:ascii="仿宋" w:hAnsi="仿宋" w:eastAsia="仿宋" w:cs="Arial"/>
          <w:kern w:val="0"/>
          <w:sz w:val="32"/>
          <w:szCs w:val="32"/>
        </w:rPr>
        <w:t>各牵头部门应于每年5月起至11月底，依据</w:t>
      </w:r>
      <w:r>
        <w:rPr>
          <w:rFonts w:hint="eastAsia" w:ascii="仿宋" w:hAnsi="仿宋" w:eastAsia="仿宋" w:cs="仿宋"/>
          <w:kern w:val="0"/>
          <w:sz w:val="32"/>
          <w:szCs w:val="32"/>
        </w:rPr>
        <w:t>年度联合抽查计划和检查方案，</w:t>
      </w:r>
      <w:r>
        <w:rPr>
          <w:rFonts w:hint="eastAsia" w:ascii="仿宋" w:hAnsi="仿宋" w:eastAsia="仿宋" w:cs="Arial"/>
          <w:kern w:val="0"/>
          <w:sz w:val="32"/>
          <w:szCs w:val="32"/>
        </w:rPr>
        <w:t>牵头开展”跨部门“一业一查”联合抽查工作，各协同部门要主动积极配合，在工作中要及时总结提炼，不断完善政策措施，将好的经验做法积极推广。</w:t>
      </w:r>
    </w:p>
    <w:p>
      <w:pPr>
        <w:widowControl/>
        <w:shd w:val="clear" w:color="auto" w:fill="FFFFFF"/>
        <w:spacing w:line="520" w:lineRule="exact"/>
        <w:ind w:firstLine="643" w:firstLineChars="200"/>
        <w:rPr>
          <w:rFonts w:ascii="仿宋" w:hAnsi="仿宋" w:eastAsia="仿宋" w:cs="Arial"/>
          <w:kern w:val="0"/>
          <w:sz w:val="32"/>
          <w:szCs w:val="24"/>
        </w:rPr>
      </w:pPr>
      <w:r>
        <w:rPr>
          <w:rFonts w:hint="eastAsia" w:ascii="仿宋" w:hAnsi="仿宋" w:eastAsia="仿宋" w:cs="Arial"/>
          <w:b/>
          <w:bCs/>
          <w:kern w:val="0"/>
          <w:sz w:val="32"/>
          <w:szCs w:val="32"/>
        </w:rPr>
        <w:t>（三）总结评估。</w:t>
      </w:r>
      <w:r>
        <w:rPr>
          <w:rFonts w:hint="eastAsia" w:ascii="仿宋" w:hAnsi="仿宋" w:eastAsia="仿宋" w:cs="Arial"/>
          <w:kern w:val="0"/>
          <w:sz w:val="32"/>
          <w:szCs w:val="32"/>
        </w:rPr>
        <w:t>各部门要及时了解工作实施情况，定期进行评估，每年度12月底前对开展”一业一查”联合抽查工作情况进行全面总结，客观分析”一业一查”工作取得的经验、存在的问题和不足，形成工作总结报送</w:t>
      </w:r>
      <w:r>
        <w:rPr>
          <w:rFonts w:hint="eastAsia" w:ascii="仿宋" w:hAnsi="仿宋" w:eastAsia="仿宋" w:cs="仿宋"/>
          <w:kern w:val="0"/>
          <w:sz w:val="32"/>
          <w:szCs w:val="32"/>
        </w:rPr>
        <w:t>联席会议办公室</w:t>
      </w:r>
      <w:r>
        <w:rPr>
          <w:rFonts w:hint="eastAsia" w:ascii="仿宋" w:hAnsi="仿宋" w:eastAsia="仿宋" w:cs="Arial"/>
          <w:kern w:val="0"/>
          <w:sz w:val="32"/>
          <w:szCs w:val="32"/>
        </w:rPr>
        <w:t>。</w:t>
      </w:r>
    </w:p>
    <w:p>
      <w:pPr>
        <w:widowControl/>
        <w:shd w:val="clear" w:color="auto" w:fill="FFFFFF"/>
        <w:spacing w:line="520" w:lineRule="exact"/>
        <w:ind w:firstLine="643" w:firstLineChars="200"/>
        <w:rPr>
          <w:rFonts w:ascii="仿宋" w:hAnsi="仿宋" w:eastAsia="黑体" w:cs="黑体"/>
          <w:b/>
          <w:bCs/>
          <w:kern w:val="0"/>
          <w:sz w:val="32"/>
          <w:szCs w:val="24"/>
        </w:rPr>
      </w:pPr>
      <w:r>
        <w:rPr>
          <w:rFonts w:hint="eastAsia" w:ascii="仿宋" w:hAnsi="仿宋" w:eastAsia="黑体" w:cs="黑体"/>
          <w:b/>
          <w:bCs/>
          <w:kern w:val="0"/>
          <w:sz w:val="32"/>
          <w:szCs w:val="32"/>
        </w:rPr>
        <w:t>四、组织保障</w:t>
      </w:r>
    </w:p>
    <w:p>
      <w:pPr>
        <w:widowControl/>
        <w:shd w:val="clear" w:color="auto" w:fill="FFFFFF"/>
        <w:spacing w:line="520" w:lineRule="exact"/>
        <w:ind w:firstLine="643" w:firstLineChars="200"/>
        <w:rPr>
          <w:rFonts w:ascii="仿宋" w:hAnsi="仿宋" w:eastAsia="仿宋" w:cs="Arial"/>
          <w:kern w:val="0"/>
          <w:sz w:val="32"/>
          <w:szCs w:val="24"/>
        </w:rPr>
      </w:pPr>
      <w:r>
        <w:rPr>
          <w:rFonts w:hint="eastAsia" w:ascii="仿宋" w:hAnsi="仿宋" w:eastAsia="仿宋" w:cs="Arial"/>
          <w:b/>
          <w:bCs/>
          <w:kern w:val="0"/>
          <w:sz w:val="32"/>
          <w:szCs w:val="32"/>
        </w:rPr>
        <w:t>（一）加强组织领导，明确责任分工。</w:t>
      </w:r>
      <w:r>
        <w:rPr>
          <w:rFonts w:hint="eastAsia" w:ascii="仿宋" w:hAnsi="仿宋" w:eastAsia="仿宋" w:cs="Arial"/>
          <w:kern w:val="0"/>
          <w:sz w:val="32"/>
          <w:szCs w:val="32"/>
        </w:rPr>
        <w:t>各部门要统一思想认识，深刻理解跨部门“一业一查”联合抽查工作对打造服务型政府、提高市场监管水平的重要意义，提高工作站位，强化责任落实。各牵头部门要切实履行职责，抓好本部门牵头的“一业一查”事项的组织实施；各联合检查部门要主动参与、积极配合，扎实做好跨部门“一业一查”联合抽查工作。各部门的主要负责人是本部门开展跨部门“一业一查”联合抽查工作的第一责任人，要及时准确掌握有关工作情况，研究解决工作中的重大问题，确保工作有序推进。</w:t>
      </w:r>
    </w:p>
    <w:p>
      <w:pPr>
        <w:widowControl/>
        <w:shd w:val="clear" w:color="auto" w:fill="FFFFFF"/>
        <w:spacing w:line="520" w:lineRule="exact"/>
        <w:ind w:firstLine="643" w:firstLineChars="200"/>
        <w:rPr>
          <w:rFonts w:ascii="仿宋" w:hAnsi="仿宋" w:eastAsia="仿宋" w:cs="Arial"/>
          <w:kern w:val="0"/>
          <w:sz w:val="32"/>
          <w:szCs w:val="24"/>
        </w:rPr>
      </w:pPr>
      <w:r>
        <w:rPr>
          <w:rFonts w:hint="eastAsia" w:ascii="仿宋" w:hAnsi="仿宋" w:eastAsia="仿宋" w:cs="Arial"/>
          <w:b/>
          <w:bCs/>
          <w:kern w:val="0"/>
          <w:sz w:val="32"/>
          <w:szCs w:val="32"/>
        </w:rPr>
        <w:t>（二）加强协作配合，压实工作责任。</w:t>
      </w:r>
      <w:r>
        <w:rPr>
          <w:rFonts w:hint="eastAsia" w:ascii="仿宋" w:hAnsi="仿宋" w:eastAsia="仿宋" w:cs="Arial"/>
          <w:kern w:val="0"/>
          <w:sz w:val="32"/>
          <w:szCs w:val="32"/>
        </w:rPr>
        <w:t>建立和规范跨领域、跨部门和跨层级的信息资源共享机制，进一步提高跨部门双随机监管协同处理水平。建立联合会商和联络员制度，各部门要明确一名分管领导和一名“一业一查”专职联络员，加强对重大问题和重大事项的协调沟通。健全后续监管制度，按照“谁主管、谁负责”的原则，对联合执法检查中发现的问题实施严格的后续监管，形成工作合力，防止监管脱节。牵头部门要建立工作通报制度，督促各部门全面落实”一业一查”工作计划安排。</w:t>
      </w:r>
    </w:p>
    <w:p>
      <w:pPr>
        <w:widowControl/>
        <w:shd w:val="clear" w:color="auto" w:fill="FFFFFF"/>
        <w:spacing w:line="520" w:lineRule="exact"/>
        <w:ind w:firstLine="643" w:firstLineChars="200"/>
        <w:rPr>
          <w:rFonts w:ascii="仿宋" w:hAnsi="仿宋" w:eastAsia="仿宋" w:cs="Arial"/>
          <w:kern w:val="0"/>
          <w:sz w:val="32"/>
          <w:szCs w:val="24"/>
        </w:rPr>
      </w:pPr>
      <w:r>
        <w:rPr>
          <w:rFonts w:hint="eastAsia" w:ascii="仿宋" w:hAnsi="仿宋" w:eastAsia="仿宋" w:cs="Arial"/>
          <w:b/>
          <w:bCs/>
          <w:kern w:val="0"/>
          <w:sz w:val="32"/>
          <w:szCs w:val="32"/>
        </w:rPr>
        <w:t>（三）加强宣传培训，营造良好氛围。</w:t>
      </w:r>
      <w:r>
        <w:rPr>
          <w:rFonts w:hint="eastAsia" w:ascii="仿宋" w:hAnsi="仿宋" w:eastAsia="仿宋" w:cs="Arial"/>
          <w:kern w:val="0"/>
          <w:sz w:val="32"/>
          <w:szCs w:val="32"/>
        </w:rPr>
        <w:t>各部门要加强专职联络员和检查人员的业务培训和工作交流，强化服务理念，提高监管能力。各牵头部门及时汇总阶段性工作实施情况，收集相关典型案例，充分利用报刊、广播、电视、网络新媒体等平台，多形式、多渠道广泛宣传”一业一查”联合执法的重要意义、工作进度及开展成效，提高企业和市民知晓度、参与度和满意度，为”一业一查”联合抽查机制高质、高效、有序运行营造良好社会氛围。</w:t>
      </w:r>
    </w:p>
    <w:p>
      <w:pPr>
        <w:widowControl/>
        <w:shd w:val="clear" w:color="auto" w:fill="FFFFFF"/>
        <w:spacing w:line="520" w:lineRule="exact"/>
        <w:ind w:firstLine="640" w:firstLineChars="200"/>
        <w:rPr>
          <w:rFonts w:ascii="Arial" w:hAnsi="Arial" w:eastAsia="仿宋" w:cs="Arial"/>
          <w:kern w:val="0"/>
          <w:sz w:val="32"/>
          <w:szCs w:val="24"/>
        </w:rPr>
      </w:pPr>
    </w:p>
    <w:p>
      <w:pPr>
        <w:widowControl/>
        <w:shd w:val="clear" w:color="auto" w:fill="FFFFFF"/>
        <w:spacing w:line="520" w:lineRule="exact"/>
        <w:ind w:firstLine="640" w:firstLineChars="200"/>
        <w:rPr>
          <w:rFonts w:ascii="Arial" w:hAnsi="Arial" w:eastAsia="仿宋" w:cs="Arial"/>
          <w:kern w:val="0"/>
          <w:sz w:val="32"/>
          <w:szCs w:val="24"/>
        </w:rPr>
      </w:pPr>
    </w:p>
    <w:p>
      <w:pPr>
        <w:widowControl/>
        <w:shd w:val="clear" w:color="auto" w:fill="FFFFFF"/>
        <w:spacing w:line="520" w:lineRule="exact"/>
        <w:ind w:firstLine="640" w:firstLineChars="200"/>
        <w:rPr>
          <w:rFonts w:ascii="Arial" w:hAnsi="Arial" w:eastAsia="仿宋" w:cs="Arial"/>
          <w:kern w:val="0"/>
          <w:sz w:val="32"/>
          <w:szCs w:val="24"/>
        </w:rPr>
      </w:pPr>
    </w:p>
    <w:p>
      <w:pPr>
        <w:widowControl/>
        <w:shd w:val="clear" w:color="auto" w:fill="FFFFFF"/>
        <w:spacing w:line="520" w:lineRule="exact"/>
        <w:ind w:firstLine="640" w:firstLineChars="200"/>
        <w:rPr>
          <w:rFonts w:ascii="Arial" w:hAnsi="Arial" w:eastAsia="仿宋" w:cs="Arial"/>
          <w:kern w:val="0"/>
          <w:sz w:val="32"/>
          <w:szCs w:val="24"/>
        </w:rPr>
      </w:pPr>
    </w:p>
    <w:p>
      <w:pPr>
        <w:widowControl/>
        <w:shd w:val="clear" w:color="auto" w:fill="FFFFFF"/>
        <w:spacing w:line="520" w:lineRule="exact"/>
        <w:ind w:firstLine="640" w:firstLineChars="200"/>
        <w:rPr>
          <w:rFonts w:ascii="Arial" w:hAnsi="Arial" w:eastAsia="仿宋" w:cs="Arial"/>
          <w:kern w:val="0"/>
          <w:sz w:val="32"/>
          <w:szCs w:val="24"/>
        </w:rPr>
      </w:pPr>
    </w:p>
    <w:p>
      <w:pPr>
        <w:widowControl/>
        <w:shd w:val="clear" w:color="auto" w:fill="FFFFFF"/>
        <w:spacing w:line="520" w:lineRule="exact"/>
        <w:ind w:firstLine="640" w:firstLineChars="200"/>
        <w:rPr>
          <w:rFonts w:ascii="Arial" w:hAnsi="Arial" w:eastAsia="仿宋" w:cs="Arial"/>
          <w:kern w:val="0"/>
          <w:sz w:val="32"/>
          <w:szCs w:val="24"/>
        </w:rPr>
      </w:pPr>
    </w:p>
    <w:p>
      <w:pPr>
        <w:widowControl/>
        <w:shd w:val="clear" w:color="auto" w:fill="FFFFFF"/>
        <w:spacing w:line="520" w:lineRule="exact"/>
        <w:ind w:firstLine="640" w:firstLineChars="200"/>
        <w:rPr>
          <w:rFonts w:ascii="Arial" w:hAnsi="Arial" w:eastAsia="仿宋" w:cs="Arial"/>
          <w:kern w:val="0"/>
          <w:sz w:val="32"/>
          <w:szCs w:val="24"/>
        </w:rPr>
      </w:pPr>
    </w:p>
    <w:p>
      <w:pPr>
        <w:widowControl/>
        <w:shd w:val="clear" w:color="auto" w:fill="FFFFFF"/>
        <w:spacing w:line="520" w:lineRule="exact"/>
        <w:ind w:firstLine="640" w:firstLineChars="200"/>
        <w:rPr>
          <w:rFonts w:ascii="Arial" w:hAnsi="Arial" w:eastAsia="仿宋" w:cs="Arial"/>
          <w:kern w:val="0"/>
          <w:sz w:val="32"/>
          <w:szCs w:val="24"/>
        </w:rPr>
      </w:pPr>
    </w:p>
    <w:p>
      <w:pPr>
        <w:widowControl/>
        <w:shd w:val="clear" w:color="auto" w:fill="FFFFFF"/>
        <w:spacing w:line="520" w:lineRule="exact"/>
        <w:ind w:firstLine="640" w:firstLineChars="200"/>
        <w:rPr>
          <w:rFonts w:ascii="Arial" w:hAnsi="Arial" w:eastAsia="仿宋" w:cs="Arial"/>
          <w:kern w:val="0"/>
          <w:sz w:val="32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0000000000000000000"/>
    <w:charset w:val="86"/>
    <w:family w:val="auto"/>
    <w:pitch w:val="default"/>
    <w:sig w:usb0="00000000" w:usb1="00000000" w:usb2="00000010" w:usb3="00000000" w:csb0="000400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S Mincho">
    <w:panose1 w:val="02020609040205080304"/>
    <w:charset w:val="80"/>
    <w:family w:val="roman"/>
    <w:pitch w:val="default"/>
    <w:sig w:usb0="E00002FF" w:usb1="6AC7FDFB" w:usb2="00000012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C681D7"/>
    <w:multiLevelType w:val="singleLevel"/>
    <w:tmpl w:val="93C681D7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UyM2NkNjE4ZWQxZDU3NTgzNzA4YjIzM2ZhN2ZiY2IifQ=="/>
  </w:docVars>
  <w:rsids>
    <w:rsidRoot w:val="009603DA"/>
    <w:rsid w:val="00041447"/>
    <w:rsid w:val="000757A6"/>
    <w:rsid w:val="000A3770"/>
    <w:rsid w:val="00175810"/>
    <w:rsid w:val="001D77AE"/>
    <w:rsid w:val="001F5D4C"/>
    <w:rsid w:val="0025504C"/>
    <w:rsid w:val="002D3C2C"/>
    <w:rsid w:val="002E1E55"/>
    <w:rsid w:val="002F1EE3"/>
    <w:rsid w:val="00347B02"/>
    <w:rsid w:val="0036731A"/>
    <w:rsid w:val="0039448E"/>
    <w:rsid w:val="003B5DCA"/>
    <w:rsid w:val="003E3C52"/>
    <w:rsid w:val="003F73B3"/>
    <w:rsid w:val="004223F7"/>
    <w:rsid w:val="00453282"/>
    <w:rsid w:val="004F7572"/>
    <w:rsid w:val="00503499"/>
    <w:rsid w:val="005820DE"/>
    <w:rsid w:val="0059587B"/>
    <w:rsid w:val="005B5421"/>
    <w:rsid w:val="005F5A51"/>
    <w:rsid w:val="00604140"/>
    <w:rsid w:val="006423A2"/>
    <w:rsid w:val="00664953"/>
    <w:rsid w:val="006930EE"/>
    <w:rsid w:val="006B5DF5"/>
    <w:rsid w:val="006B626F"/>
    <w:rsid w:val="006B7A5B"/>
    <w:rsid w:val="00722A42"/>
    <w:rsid w:val="00740C02"/>
    <w:rsid w:val="00747303"/>
    <w:rsid w:val="0077254B"/>
    <w:rsid w:val="007D2170"/>
    <w:rsid w:val="007D75CA"/>
    <w:rsid w:val="00801F27"/>
    <w:rsid w:val="008369C7"/>
    <w:rsid w:val="00914E09"/>
    <w:rsid w:val="00916C5B"/>
    <w:rsid w:val="00923979"/>
    <w:rsid w:val="0093542C"/>
    <w:rsid w:val="009603DA"/>
    <w:rsid w:val="009937FC"/>
    <w:rsid w:val="009B2F51"/>
    <w:rsid w:val="00A44D9A"/>
    <w:rsid w:val="00A726BA"/>
    <w:rsid w:val="00A80A2F"/>
    <w:rsid w:val="00AB1604"/>
    <w:rsid w:val="00AC3F37"/>
    <w:rsid w:val="00B36040"/>
    <w:rsid w:val="00B57E85"/>
    <w:rsid w:val="00BC4EDC"/>
    <w:rsid w:val="00BE69B6"/>
    <w:rsid w:val="00C44860"/>
    <w:rsid w:val="00CC4051"/>
    <w:rsid w:val="00CD0429"/>
    <w:rsid w:val="00D11DC4"/>
    <w:rsid w:val="00D23DB7"/>
    <w:rsid w:val="00D30897"/>
    <w:rsid w:val="00D61E2A"/>
    <w:rsid w:val="00D7117C"/>
    <w:rsid w:val="00D75BA2"/>
    <w:rsid w:val="00DF4F9F"/>
    <w:rsid w:val="00E40F04"/>
    <w:rsid w:val="00EF2F55"/>
    <w:rsid w:val="00F301F9"/>
    <w:rsid w:val="0A592892"/>
    <w:rsid w:val="0EA61504"/>
    <w:rsid w:val="106042F9"/>
    <w:rsid w:val="12910FE6"/>
    <w:rsid w:val="153E63CB"/>
    <w:rsid w:val="166242C9"/>
    <w:rsid w:val="191431CA"/>
    <w:rsid w:val="19A242BF"/>
    <w:rsid w:val="19B64389"/>
    <w:rsid w:val="1B9F7DF8"/>
    <w:rsid w:val="2A6D1599"/>
    <w:rsid w:val="2A851C69"/>
    <w:rsid w:val="2F2B2230"/>
    <w:rsid w:val="30B62254"/>
    <w:rsid w:val="32DA0CAB"/>
    <w:rsid w:val="355C6B29"/>
    <w:rsid w:val="3C8A35E1"/>
    <w:rsid w:val="3EE116E4"/>
    <w:rsid w:val="41762F06"/>
    <w:rsid w:val="47EE1947"/>
    <w:rsid w:val="4E1C29D4"/>
    <w:rsid w:val="4F740FED"/>
    <w:rsid w:val="51AF0B41"/>
    <w:rsid w:val="544301FC"/>
    <w:rsid w:val="56B52BD2"/>
    <w:rsid w:val="5A0A59D3"/>
    <w:rsid w:val="60C10909"/>
    <w:rsid w:val="6B083763"/>
    <w:rsid w:val="703D25D7"/>
    <w:rsid w:val="73CC024C"/>
    <w:rsid w:val="79CD0A72"/>
    <w:rsid w:val="7AF0245A"/>
    <w:rsid w:val="7FEE2A7E"/>
    <w:rsid w:val="FF2F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customStyle="1" w:styleId="9">
    <w:name w:val="标题 2 Char"/>
    <w:basedOn w:val="7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0">
    <w:name w:val="15"/>
    <w:basedOn w:val="7"/>
    <w:qFormat/>
    <w:uiPriority w:val="0"/>
    <w:rPr>
      <w:rFonts w:hint="default" w:ascii="Calibri" w:hAnsi="Calibri"/>
      <w:b/>
      <w:bCs/>
    </w:rPr>
  </w:style>
  <w:style w:type="paragraph" w:customStyle="1" w:styleId="11">
    <w:name w:val="正文1"/>
    <w:basedOn w:val="1"/>
    <w:qFormat/>
    <w:uiPriority w:val="0"/>
    <w:pPr>
      <w:widowControl/>
    </w:pPr>
    <w:rPr>
      <w:rFonts w:ascii="Calibri" w:hAnsi="Calibri" w:eastAsia="宋体" w:cs="Times New Roman"/>
      <w:szCs w:val="21"/>
    </w:rPr>
  </w:style>
  <w:style w:type="character" w:customStyle="1" w:styleId="12">
    <w:name w:val="页眉 Char"/>
    <w:basedOn w:val="7"/>
    <w:link w:val="4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3">
    <w:name w:val="页脚 Char"/>
    <w:basedOn w:val="7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4">
    <w:name w:val="正文2"/>
    <w:qFormat/>
    <w:uiPriority w:val="0"/>
    <w:pPr>
      <w:jc w:val="both"/>
    </w:pPr>
    <w:rPr>
      <w:rFonts w:ascii="Calibri" w:hAnsi="Calibri" w:eastAsia="宋体" w:cs="宋体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3777</Words>
  <Characters>3795</Characters>
  <Lines>27</Lines>
  <Paragraphs>7</Paragraphs>
  <TotalTime>0</TotalTime>
  <ScaleCrop>false</ScaleCrop>
  <LinksUpToDate>false</LinksUpToDate>
  <CharactersWithSpaces>3816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2022-05-07T00:57:00Z</dcterms:created>
  <dc:creator>xbany</dc:creator>
  <cp:lastModifiedBy>Administrator</cp:lastModifiedBy>
  <dcterms:modified xsi:type="dcterms:W3CDTF">2022-05-07T01:09:09Z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1E1883266D32438E994570B2B5AFA7BE</vt:lpwstr>
  </property>
</Properties>
</file>