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财预〔2023〕20 号</w:t>
      </w:r>
    </w:p>
    <w:p>
      <w:pPr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关于批复2023年县直部门预算指标的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知</w:t>
      </w:r>
    </w:p>
    <w:bookmarkEnd w:id="0"/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县直各预算单位：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2023 年财政预算已经县第十六届人民代表大会第二次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会议审查批准，根据《中华人民共和国预算法》有关规定，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现将 2023 年县直部门预算指标予以批复。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请各预算单位严格按《预算法》规定，本批复文件下达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后二十日内积极公开部门预算信息，强化预算约束，分解落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实各项收支指标，积极完成单位收支计划，提高财政资金使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用效益。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附件：2023 年县直单位预算批复表和绩效目标批复表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（分单位在预算管理一体化系统下发）</w:t>
      </w:r>
    </w:p>
    <w:p>
      <w:pPr>
        <w:ind w:firstLine="4800" w:firstLineChars="1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青阳县财政局</w:t>
      </w:r>
    </w:p>
    <w:p>
      <w:pPr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2023 年 3 月 6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3ZTU2YWNkZDkzYzMzNTE3NDg3OGE1YjEyODRiNTMifQ=="/>
  </w:docVars>
  <w:rsids>
    <w:rsidRoot w:val="3B1A6D49"/>
    <w:rsid w:val="3B1A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1"/>
    <w:pPr>
      <w:ind w:left="973" w:right="1144"/>
      <w:jc w:val="center"/>
    </w:pPr>
    <w:rPr>
      <w:rFonts w:ascii="宋体" w:hAnsi="宋体" w:eastAsia="宋体" w:cs="宋体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27</Characters>
  <Lines>0</Lines>
  <Paragraphs>0</Paragraphs>
  <TotalTime>3</TotalTime>
  <ScaleCrop>false</ScaleCrop>
  <LinksUpToDate>false</LinksUpToDate>
  <CharactersWithSpaces>27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2023-04-19T01:12:00Z</dcterms:created>
  <dc:creator>樱桃小丸子</dc:creator>
  <cp:lastModifiedBy>樱桃小丸子</cp:lastModifiedBy>
  <dcterms:modified xsi:type="dcterms:W3CDTF">2023-04-19T01:16:08Z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57C29E0D922648C79DD4875724062699_11</vt:lpwstr>
  </property>
</Properties>
</file>