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700F25">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hanging="178"/>
        <w:jc w:val="center"/>
        <w:textAlignment w:val="auto"/>
        <w:rPr>
          <w:rFonts w:hint="eastAsia" w:ascii="方正小标宋简体" w:hAnsi="宋体" w:eastAsia="方正小标宋简体" w:cs="宋体"/>
          <w:color w:val="000000"/>
          <w:sz w:val="36"/>
          <w:szCs w:val="36"/>
        </w:rPr>
      </w:pPr>
      <w:r>
        <w:rPr>
          <w:rFonts w:hint="eastAsia" w:ascii="方正小标宋简体" w:hAnsi="宋体" w:eastAsia="方正小标宋简体" w:cs="宋体"/>
          <w:color w:val="000000"/>
          <w:sz w:val="36"/>
          <w:szCs w:val="36"/>
        </w:rPr>
        <w:t>关于印发青阳县市场监督管理局特种设备事故</w:t>
      </w:r>
    </w:p>
    <w:p w14:paraId="2F15BC3B">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hanging="178"/>
        <w:jc w:val="center"/>
        <w:textAlignment w:val="auto"/>
        <w:rPr>
          <w:rFonts w:hint="eastAsia" w:ascii="方正小标宋简体" w:hAnsi="Tahoma" w:eastAsia="方正小标宋简体" w:cs="Tahoma"/>
          <w:color w:val="000000"/>
          <w:sz w:val="36"/>
          <w:szCs w:val="36"/>
        </w:rPr>
      </w:pPr>
      <w:r>
        <w:rPr>
          <w:rFonts w:hint="eastAsia" w:ascii="方正小标宋简体" w:hAnsi="宋体" w:eastAsia="方正小标宋简体" w:cs="宋体"/>
          <w:color w:val="000000"/>
          <w:sz w:val="36"/>
          <w:szCs w:val="36"/>
        </w:rPr>
        <w:t>应急预案的通知</w:t>
      </w:r>
    </w:p>
    <w:p w14:paraId="41A3E97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ascii="Tahoma" w:hAnsi="Tahoma" w:eastAsia="Tahoma" w:cs="Tahoma"/>
          <w:color w:val="000000"/>
          <w:sz w:val="36"/>
          <w:szCs w:val="36"/>
        </w:rPr>
      </w:pPr>
      <w:r>
        <w:rPr>
          <w:rFonts w:ascii="黑体" w:hAnsi="宋体" w:eastAsia="黑体" w:cs="黑体"/>
          <w:b/>
          <w:bCs/>
          <w:color w:val="000000"/>
          <w:sz w:val="36"/>
          <w:szCs w:val="36"/>
        </w:rPr>
        <w:t> </w:t>
      </w:r>
    </w:p>
    <w:p w14:paraId="3370A9F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textAlignment w:val="auto"/>
        <w:rPr>
          <w:rFonts w:ascii="仿宋" w:hAnsi="仿宋" w:eastAsia="仿宋" w:cs="仿宋"/>
          <w:color w:val="000000"/>
          <w:sz w:val="32"/>
          <w:szCs w:val="32"/>
        </w:rPr>
      </w:pPr>
      <w:r>
        <w:rPr>
          <w:rFonts w:hint="eastAsia" w:ascii="仿宋" w:hAnsi="仿宋" w:eastAsia="仿宋" w:cs="仿宋"/>
          <w:color w:val="000000"/>
          <w:sz w:val="32"/>
          <w:szCs w:val="32"/>
        </w:rPr>
        <w:t>机关各科室、市场监管所，综合行政执法中队：</w:t>
      </w:r>
    </w:p>
    <w:p w14:paraId="26D7402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经县局局长办公会议审议通过，现将修订后的《青阳县市场监督管理局特种设备事故应急预案》印发给你们，请遵照执行。</w:t>
      </w:r>
    </w:p>
    <w:p w14:paraId="671FB48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ascii="仿宋" w:hAnsi="仿宋" w:eastAsia="仿宋" w:cs="仿宋"/>
          <w:color w:val="000000"/>
          <w:sz w:val="32"/>
          <w:szCs w:val="32"/>
        </w:rPr>
      </w:pPr>
      <w:r>
        <w:rPr>
          <w:rFonts w:hint="eastAsia" w:ascii="仿宋" w:hAnsi="仿宋" w:eastAsia="仿宋" w:cs="仿宋"/>
          <w:b/>
          <w:bCs/>
          <w:color w:val="000000"/>
          <w:sz w:val="32"/>
          <w:szCs w:val="32"/>
        </w:rPr>
        <w:t> </w:t>
      </w:r>
    </w:p>
    <w:p w14:paraId="56CB51B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ascii="仿宋" w:hAnsi="仿宋" w:eastAsia="仿宋" w:cs="仿宋"/>
          <w:color w:val="000000"/>
          <w:sz w:val="32"/>
          <w:szCs w:val="32"/>
        </w:rPr>
      </w:pPr>
      <w:r>
        <w:rPr>
          <w:rFonts w:hint="eastAsia" w:ascii="仿宋" w:hAnsi="仿宋" w:eastAsia="仿宋" w:cs="仿宋"/>
          <w:b/>
          <w:bCs/>
          <w:color w:val="000000"/>
          <w:sz w:val="32"/>
          <w:szCs w:val="32"/>
        </w:rPr>
        <w:t> </w:t>
      </w:r>
    </w:p>
    <w:p w14:paraId="427EAF2B">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ascii="仿宋" w:hAnsi="仿宋" w:eastAsia="仿宋" w:cs="仿宋"/>
          <w:color w:val="000000"/>
          <w:sz w:val="32"/>
          <w:szCs w:val="32"/>
        </w:rPr>
      </w:pPr>
      <w:r>
        <w:rPr>
          <w:rFonts w:hint="eastAsia" w:ascii="仿宋" w:hAnsi="仿宋" w:eastAsia="仿宋" w:cs="仿宋"/>
          <w:color w:val="000000"/>
          <w:sz w:val="32"/>
          <w:szCs w:val="32"/>
        </w:rPr>
        <w:t>                       </w:t>
      </w:r>
    </w:p>
    <w:p w14:paraId="090D133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ascii="仿宋" w:hAnsi="仿宋" w:eastAsia="仿宋" w:cs="仿宋"/>
          <w:color w:val="000000"/>
          <w:sz w:val="32"/>
          <w:szCs w:val="32"/>
        </w:rPr>
      </w:pPr>
      <w:r>
        <w:rPr>
          <w:rFonts w:hint="eastAsia" w:ascii="仿宋" w:hAnsi="仿宋" w:eastAsia="仿宋" w:cs="仿宋"/>
          <w:color w:val="000000"/>
          <w:sz w:val="32"/>
          <w:szCs w:val="32"/>
        </w:rPr>
        <w:t xml:space="preserve">              </w:t>
      </w: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 青阳县市场监督管理局</w:t>
      </w:r>
    </w:p>
    <w:p w14:paraId="25D455F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right="1600"/>
        <w:jc w:val="right"/>
        <w:textAlignment w:val="auto"/>
        <w:rPr>
          <w:rFonts w:ascii="仿宋" w:hAnsi="仿宋" w:eastAsia="仿宋" w:cs="仿宋"/>
          <w:color w:val="000000"/>
          <w:sz w:val="32"/>
          <w:szCs w:val="32"/>
        </w:rPr>
      </w:pPr>
      <w:r>
        <w:rPr>
          <w:rFonts w:hint="eastAsia" w:ascii="仿宋" w:hAnsi="仿宋" w:eastAsia="仿宋" w:cs="仿宋"/>
          <w:color w:val="000000"/>
          <w:sz w:val="32"/>
          <w:szCs w:val="32"/>
        </w:rPr>
        <w:t>2023年 3 月 10 日</w:t>
      </w:r>
    </w:p>
    <w:p w14:paraId="0D6152D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textAlignment w:val="auto"/>
        <w:rPr>
          <w:rFonts w:ascii="仿宋" w:hAnsi="仿宋" w:eastAsia="仿宋" w:cs="仿宋"/>
          <w:color w:val="000000"/>
          <w:sz w:val="28"/>
          <w:szCs w:val="28"/>
        </w:rPr>
      </w:pPr>
      <w:r>
        <w:rPr>
          <w:rFonts w:hint="eastAsia" w:ascii="仿宋" w:hAnsi="仿宋" w:eastAsia="仿宋" w:cs="仿宋"/>
          <w:color w:val="000000"/>
          <w:sz w:val="28"/>
          <w:szCs w:val="28"/>
        </w:rPr>
        <w:t> </w:t>
      </w:r>
    </w:p>
    <w:p w14:paraId="0F22A47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textAlignment w:val="auto"/>
        <w:rPr>
          <w:rFonts w:ascii="仿宋" w:hAnsi="仿宋" w:eastAsia="仿宋" w:cs="仿宋"/>
          <w:color w:val="000000"/>
          <w:sz w:val="28"/>
          <w:szCs w:val="28"/>
        </w:rPr>
      </w:pPr>
    </w:p>
    <w:p w14:paraId="4C004591">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textAlignment w:val="auto"/>
        <w:rPr>
          <w:rFonts w:hint="eastAsia" w:ascii="仿宋" w:hAnsi="仿宋" w:eastAsia="仿宋" w:cs="仿宋"/>
          <w:color w:val="000000"/>
          <w:sz w:val="28"/>
          <w:szCs w:val="28"/>
        </w:rPr>
      </w:pPr>
    </w:p>
    <w:p w14:paraId="0512CF3D">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textAlignment w:val="auto"/>
        <w:rPr>
          <w:rFonts w:hint="eastAsia" w:ascii="仿宋" w:hAnsi="仿宋" w:eastAsia="仿宋" w:cs="仿宋"/>
          <w:color w:val="000000"/>
          <w:sz w:val="28"/>
          <w:szCs w:val="28"/>
        </w:rPr>
      </w:pPr>
    </w:p>
    <w:p w14:paraId="2A6EC7D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textAlignment w:val="auto"/>
        <w:rPr>
          <w:rFonts w:hint="eastAsia" w:ascii="仿宋" w:hAnsi="仿宋" w:eastAsia="仿宋" w:cs="仿宋"/>
          <w:color w:val="000000"/>
          <w:sz w:val="28"/>
          <w:szCs w:val="28"/>
        </w:rPr>
      </w:pPr>
    </w:p>
    <w:p w14:paraId="51C734CD">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textAlignment w:val="auto"/>
        <w:rPr>
          <w:rFonts w:hint="eastAsia" w:ascii="仿宋" w:hAnsi="仿宋" w:eastAsia="仿宋" w:cs="仿宋"/>
          <w:color w:val="000000"/>
          <w:sz w:val="28"/>
          <w:szCs w:val="28"/>
        </w:rPr>
      </w:pPr>
    </w:p>
    <w:p w14:paraId="77533BC1">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textAlignment w:val="auto"/>
        <w:rPr>
          <w:rFonts w:hint="eastAsia" w:ascii="仿宋" w:hAnsi="仿宋" w:eastAsia="仿宋" w:cs="仿宋"/>
          <w:color w:val="000000"/>
          <w:sz w:val="28"/>
          <w:szCs w:val="28"/>
        </w:rPr>
      </w:pPr>
    </w:p>
    <w:p w14:paraId="42E0060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textAlignment w:val="auto"/>
        <w:rPr>
          <w:rFonts w:hint="eastAsia" w:ascii="仿宋" w:hAnsi="仿宋" w:eastAsia="仿宋" w:cs="仿宋"/>
          <w:color w:val="000000"/>
          <w:sz w:val="28"/>
          <w:szCs w:val="28"/>
        </w:rPr>
      </w:pPr>
    </w:p>
    <w:p w14:paraId="575BC8D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textAlignment w:val="auto"/>
        <w:rPr>
          <w:rFonts w:hint="eastAsia" w:ascii="仿宋" w:hAnsi="仿宋" w:eastAsia="仿宋" w:cs="仿宋"/>
          <w:color w:val="000000"/>
          <w:sz w:val="28"/>
          <w:szCs w:val="28"/>
        </w:rPr>
      </w:pPr>
    </w:p>
    <w:p w14:paraId="0CDB4D2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textAlignment w:val="auto"/>
        <w:rPr>
          <w:rFonts w:ascii="仿宋" w:hAnsi="仿宋" w:eastAsia="仿宋" w:cs="仿宋"/>
          <w:color w:val="000000"/>
          <w:sz w:val="32"/>
          <w:szCs w:val="32"/>
        </w:rPr>
      </w:pPr>
      <w:r>
        <w:rPr>
          <w:rFonts w:hint="eastAsia" w:ascii="仿宋" w:hAnsi="仿宋" w:eastAsia="仿宋" w:cs="仿宋"/>
          <w:color w:val="000000"/>
          <w:sz w:val="32"/>
          <w:szCs w:val="32"/>
        </w:rPr>
        <w:t>抄送：市场监管局，县安委会。</w:t>
      </w:r>
    </w:p>
    <w:p w14:paraId="48864B65">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hanging="178"/>
        <w:textAlignment w:val="auto"/>
        <w:rPr>
          <w:rFonts w:hint="eastAsia" w:ascii="仿宋" w:hAnsi="仿宋" w:eastAsia="仿宋" w:cs="仿宋"/>
          <w:color w:val="000000"/>
          <w:sz w:val="28"/>
          <w:szCs w:val="28"/>
        </w:rPr>
      </w:pPr>
    </w:p>
    <w:p w14:paraId="242A366D">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hanging="178"/>
        <w:textAlignment w:val="auto"/>
        <w:rPr>
          <w:rFonts w:ascii="仿宋" w:hAnsi="仿宋" w:eastAsia="仿宋" w:cs="仿宋"/>
          <w:color w:val="000000"/>
          <w:sz w:val="28"/>
          <w:szCs w:val="28"/>
        </w:rPr>
      </w:pPr>
      <w:r>
        <w:rPr>
          <w:rFonts w:hint="eastAsia" w:ascii="仿宋" w:hAnsi="仿宋" w:eastAsia="仿宋" w:cs="仿宋"/>
          <w:color w:val="000000"/>
          <w:sz w:val="28"/>
          <w:szCs w:val="28"/>
        </w:rPr>
        <w:t>预案编号：1</w:t>
      </w:r>
    </w:p>
    <w:p w14:paraId="1BE4CE17">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hanging="178"/>
        <w:textAlignment w:val="auto"/>
        <w:rPr>
          <w:rFonts w:ascii="仿宋" w:hAnsi="仿宋" w:eastAsia="仿宋" w:cs="仿宋"/>
          <w:color w:val="000000"/>
          <w:sz w:val="28"/>
          <w:szCs w:val="28"/>
        </w:rPr>
      </w:pPr>
      <w:r>
        <w:rPr>
          <w:rFonts w:hint="eastAsia" w:ascii="仿宋" w:hAnsi="仿宋" w:eastAsia="仿宋" w:cs="仿宋"/>
          <w:color w:val="000000"/>
          <w:sz w:val="28"/>
          <w:szCs w:val="28"/>
        </w:rPr>
        <w:t>预案版本号：2023-1</w:t>
      </w:r>
    </w:p>
    <w:p w14:paraId="1DACBABD">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hanging="178"/>
        <w:textAlignment w:val="auto"/>
        <w:rPr>
          <w:rFonts w:asciiTheme="minorEastAsia" w:hAnsiTheme="minorEastAsia" w:cstheme="minorEastAsia"/>
          <w:color w:val="000000"/>
          <w:sz w:val="32"/>
          <w:szCs w:val="32"/>
        </w:rPr>
      </w:pPr>
    </w:p>
    <w:p w14:paraId="41DAAB98">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hanging="178"/>
        <w:jc w:val="center"/>
        <w:textAlignment w:val="auto"/>
        <w:rPr>
          <w:rFonts w:ascii="方正小标宋简体" w:hAnsi="方正小标宋简体" w:eastAsia="方正小标宋简体" w:cs="方正小标宋简体"/>
          <w:color w:val="000000"/>
          <w:sz w:val="72"/>
          <w:szCs w:val="72"/>
        </w:rPr>
      </w:pPr>
    </w:p>
    <w:p w14:paraId="66D6725F">
      <w:pPr>
        <w:pStyle w:val="4"/>
        <w:keepNext w:val="0"/>
        <w:keepLines w:val="0"/>
        <w:pageBreakBefore w:val="0"/>
        <w:widowControl/>
        <w:kinsoku/>
        <w:wordWrap/>
        <w:overflowPunct/>
        <w:topLinePunct w:val="0"/>
        <w:autoSpaceDE/>
        <w:autoSpaceDN/>
        <w:bidi w:val="0"/>
        <w:adjustRightInd/>
        <w:snapToGrid/>
        <w:spacing w:beforeAutospacing="0" w:afterAutospacing="0" w:line="1000" w:lineRule="exact"/>
        <w:ind w:firstLine="0"/>
        <w:jc w:val="center"/>
        <w:textAlignment w:val="auto"/>
        <w:rPr>
          <w:rFonts w:hint="eastAsia" w:ascii="方正小标宋_GBK" w:hAnsi="方正小标宋_GBK" w:eastAsia="方正小标宋_GBK" w:cs="方正小标宋_GBK"/>
          <w:color w:val="000000"/>
          <w:sz w:val="72"/>
          <w:szCs w:val="72"/>
        </w:rPr>
      </w:pPr>
      <w:r>
        <w:rPr>
          <w:rFonts w:hint="eastAsia" w:ascii="方正小标宋_GBK" w:hAnsi="方正小标宋_GBK" w:eastAsia="方正小标宋_GBK" w:cs="方正小标宋_GBK"/>
          <w:color w:val="000000"/>
          <w:sz w:val="72"/>
          <w:szCs w:val="72"/>
        </w:rPr>
        <w:t>青阳县市场监督管理局</w:t>
      </w:r>
    </w:p>
    <w:p w14:paraId="14DE9A63">
      <w:pPr>
        <w:pStyle w:val="4"/>
        <w:keepNext w:val="0"/>
        <w:keepLines w:val="0"/>
        <w:pageBreakBefore w:val="0"/>
        <w:widowControl/>
        <w:kinsoku/>
        <w:wordWrap/>
        <w:overflowPunct/>
        <w:topLinePunct w:val="0"/>
        <w:autoSpaceDE/>
        <w:autoSpaceDN/>
        <w:bidi w:val="0"/>
        <w:adjustRightInd/>
        <w:snapToGrid/>
        <w:spacing w:beforeAutospacing="0" w:afterAutospacing="0" w:line="1000" w:lineRule="exact"/>
        <w:ind w:firstLine="0"/>
        <w:jc w:val="center"/>
        <w:textAlignment w:val="auto"/>
        <w:rPr>
          <w:rFonts w:hint="eastAsia" w:ascii="方正小标宋_GBK" w:hAnsi="方正小标宋_GBK" w:eastAsia="方正小标宋_GBK" w:cs="方正小标宋_GBK"/>
          <w:color w:val="000000"/>
          <w:sz w:val="72"/>
          <w:szCs w:val="72"/>
        </w:rPr>
      </w:pPr>
      <w:r>
        <w:rPr>
          <w:rFonts w:hint="eastAsia" w:ascii="方正小标宋_GBK" w:hAnsi="方正小标宋_GBK" w:eastAsia="方正小标宋_GBK" w:cs="方正小标宋_GBK"/>
          <w:color w:val="000000"/>
          <w:sz w:val="72"/>
          <w:szCs w:val="72"/>
        </w:rPr>
        <w:t>特种设备事故应急预案</w:t>
      </w:r>
    </w:p>
    <w:p w14:paraId="6FAA99A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hanging="178"/>
        <w:jc w:val="center"/>
        <w:textAlignment w:val="auto"/>
        <w:rPr>
          <w:rFonts w:ascii="方正小标宋简体" w:hAnsi="方正小标宋简体" w:eastAsia="方正小标宋简体" w:cs="方正小标宋简体"/>
          <w:color w:val="000000"/>
          <w:sz w:val="44"/>
          <w:szCs w:val="44"/>
        </w:rPr>
      </w:pPr>
    </w:p>
    <w:p w14:paraId="27AE5AC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hanging="178"/>
        <w:jc w:val="center"/>
        <w:textAlignment w:val="auto"/>
        <w:rPr>
          <w:rFonts w:ascii="方正小标宋简体" w:hAnsi="方正小标宋简体" w:eastAsia="方正小标宋简体" w:cs="方正小标宋简体"/>
          <w:color w:val="000000"/>
          <w:sz w:val="44"/>
          <w:szCs w:val="44"/>
        </w:rPr>
      </w:pPr>
    </w:p>
    <w:p w14:paraId="5205475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3840" w:firstLineChars="1200"/>
        <w:jc w:val="both"/>
        <w:textAlignment w:val="auto"/>
        <w:rPr>
          <w:rFonts w:hint="eastAsia" w:ascii="楷体_GB2312" w:hAnsi="楷体_GB2312" w:eastAsia="楷体_GB2312" w:cs="楷体_GB2312"/>
          <w:b w:val="0"/>
          <w:bCs w:val="0"/>
          <w:color w:val="000000"/>
          <w:sz w:val="32"/>
          <w:szCs w:val="32"/>
        </w:rPr>
      </w:pPr>
    </w:p>
    <w:p w14:paraId="5542ADF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hanging="178"/>
        <w:jc w:val="center"/>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编制人：管荣虎</w:t>
      </w:r>
    </w:p>
    <w:p w14:paraId="588A84B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hanging="178"/>
        <w:jc w:val="center"/>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审核人：章良泽</w:t>
      </w:r>
    </w:p>
    <w:p w14:paraId="55C0C77B">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hanging="178"/>
        <w:jc w:val="center"/>
        <w:textAlignment w:val="auto"/>
        <w:rPr>
          <w:rFonts w:hint="eastAsia" w:ascii="黑体" w:hAnsi="黑体" w:eastAsia="黑体" w:cs="黑体"/>
          <w:b w:val="0"/>
          <w:bCs w:val="0"/>
          <w:color w:val="000000"/>
          <w:sz w:val="32"/>
          <w:szCs w:val="32"/>
        </w:rPr>
      </w:pPr>
      <w:r>
        <w:rPr>
          <w:rFonts w:hint="eastAsia" w:ascii="楷体_GB2312" w:hAnsi="楷体_GB2312" w:eastAsia="楷体_GB2312" w:cs="楷体_GB2312"/>
          <w:b w:val="0"/>
          <w:bCs w:val="0"/>
          <w:color w:val="000000"/>
          <w:sz w:val="32"/>
          <w:szCs w:val="32"/>
        </w:rPr>
        <w:t>签发人：甘正华</w:t>
      </w:r>
    </w:p>
    <w:p w14:paraId="0F90454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hanging="178"/>
        <w:jc w:val="right"/>
        <w:textAlignment w:val="auto"/>
        <w:rPr>
          <w:rFonts w:hint="eastAsia" w:ascii="黑体" w:hAnsi="黑体" w:eastAsia="黑体" w:cs="黑体"/>
          <w:b w:val="0"/>
          <w:bCs w:val="0"/>
          <w:color w:val="000000"/>
          <w:sz w:val="32"/>
          <w:szCs w:val="32"/>
        </w:rPr>
      </w:pPr>
    </w:p>
    <w:p w14:paraId="2AC0FE0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hanging="178"/>
        <w:jc w:val="center"/>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编制单位：青阳县市场监督管理局</w:t>
      </w:r>
    </w:p>
    <w:p w14:paraId="58A181D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hanging="178"/>
        <w:jc w:val="center"/>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颁布日期：2023年 3 月 10 日</w:t>
      </w:r>
    </w:p>
    <w:p w14:paraId="3B65A907">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hanging="178"/>
        <w:jc w:val="center"/>
        <w:textAlignment w:val="auto"/>
        <w:rPr>
          <w:rFonts w:hint="eastAsia" w:ascii="黑体" w:hAnsi="黑体" w:eastAsia="黑体" w:cs="黑体"/>
          <w:color w:val="000000"/>
          <w:sz w:val="32"/>
          <w:szCs w:val="32"/>
        </w:rPr>
      </w:pPr>
      <w:r>
        <w:rPr>
          <w:rFonts w:hint="eastAsia" w:ascii="黑体" w:hAnsi="黑体" w:eastAsia="黑体" w:cs="黑体"/>
          <w:color w:val="000000"/>
          <w:sz w:val="32"/>
          <w:szCs w:val="32"/>
        </w:rPr>
        <w:t>实施日期：2023年 3 月 10 日</w:t>
      </w:r>
    </w:p>
    <w:p w14:paraId="788B0D0B">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asciiTheme="majorEastAsia" w:hAnsiTheme="majorEastAsia" w:eastAsiaTheme="majorEastAsia" w:cstheme="majorEastAsia"/>
          <w:color w:val="000000"/>
          <w:sz w:val="32"/>
          <w:szCs w:val="32"/>
        </w:rPr>
      </w:pPr>
    </w:p>
    <w:p w14:paraId="0CD2A5A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Theme="majorEastAsia" w:hAnsiTheme="majorEastAsia" w:eastAsiaTheme="majorEastAsia" w:cstheme="majorEastAsia"/>
          <w:color w:val="000000"/>
          <w:sz w:val="32"/>
          <w:szCs w:val="32"/>
        </w:rPr>
      </w:pPr>
    </w:p>
    <w:p w14:paraId="4EA5B3D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Theme="majorEastAsia" w:hAnsiTheme="majorEastAsia" w:eastAsiaTheme="majorEastAsia" w:cstheme="majorEastAsia"/>
          <w:color w:val="000000"/>
          <w:sz w:val="32"/>
          <w:szCs w:val="32"/>
        </w:rPr>
      </w:pPr>
    </w:p>
    <w:p w14:paraId="4283130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Theme="majorEastAsia" w:hAnsiTheme="majorEastAsia" w:eastAsiaTheme="majorEastAsia" w:cstheme="majorEastAsia"/>
          <w:color w:val="000000"/>
          <w:sz w:val="32"/>
          <w:szCs w:val="32"/>
        </w:rPr>
      </w:pPr>
    </w:p>
    <w:p w14:paraId="0BFE933D">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Theme="majorEastAsia" w:hAnsiTheme="majorEastAsia" w:eastAsiaTheme="majorEastAsia" w:cstheme="majorEastAsia"/>
          <w:color w:val="000000"/>
          <w:sz w:val="32"/>
          <w:szCs w:val="32"/>
        </w:rPr>
      </w:pPr>
    </w:p>
    <w:p w14:paraId="3FA56B9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方正小标宋_GBK" w:hAnsi="方正小标宋_GBK" w:eastAsia="方正小标宋_GBK" w:cs="方正小标宋_GBK"/>
          <w:color w:val="000000"/>
          <w:sz w:val="36"/>
          <w:szCs w:val="36"/>
        </w:rPr>
      </w:pPr>
      <w:r>
        <w:rPr>
          <w:rFonts w:hint="eastAsia" w:ascii="方正小标宋_GBK" w:hAnsi="方正小标宋_GBK" w:eastAsia="方正小标宋_GBK" w:cs="方正小标宋_GBK"/>
          <w:color w:val="000000"/>
          <w:sz w:val="36"/>
          <w:szCs w:val="36"/>
        </w:rPr>
        <w:t>青阳县市场监督管理局特种设备事故应急预案</w:t>
      </w:r>
    </w:p>
    <w:p w14:paraId="0F114CE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asciiTheme="majorEastAsia" w:hAnsiTheme="majorEastAsia" w:eastAsiaTheme="majorEastAsia" w:cstheme="majorEastAsia"/>
          <w:color w:val="000000"/>
          <w:sz w:val="32"/>
          <w:szCs w:val="32"/>
        </w:rPr>
      </w:pPr>
      <w:r>
        <w:rPr>
          <w:rFonts w:hint="eastAsia" w:asciiTheme="majorEastAsia" w:hAnsiTheme="majorEastAsia" w:eastAsiaTheme="majorEastAsia" w:cstheme="majorEastAsia"/>
          <w:color w:val="000000"/>
          <w:sz w:val="32"/>
          <w:szCs w:val="32"/>
        </w:rPr>
        <w:t>目   录</w:t>
      </w:r>
    </w:p>
    <w:p w14:paraId="72CAC7D2">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Tahoma" w:hAnsi="Tahoma" w:eastAsia="Tahoma" w:cs="Tahoma"/>
          <w:color w:val="000000"/>
        </w:rPr>
      </w:pPr>
      <w:r>
        <w:rPr>
          <w:rFonts w:hint="eastAsia" w:ascii="宋体" w:hAnsi="宋体" w:eastAsia="宋体" w:cs="宋体"/>
          <w:color w:val="000000"/>
          <w:sz w:val="32"/>
          <w:szCs w:val="32"/>
        </w:rPr>
        <w:t> </w:t>
      </w:r>
    </w:p>
    <w:p w14:paraId="056C1F0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1. 总则</w:t>
      </w:r>
    </w:p>
    <w:p w14:paraId="1563302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1.1 编制目的</w:t>
      </w:r>
    </w:p>
    <w:p w14:paraId="4F25C15D">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1.2 编制依据</w:t>
      </w:r>
    </w:p>
    <w:p w14:paraId="489EF938">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1.3 适用范围</w:t>
      </w:r>
    </w:p>
    <w:p w14:paraId="43155A22">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1.4 工作原则</w:t>
      </w:r>
    </w:p>
    <w:p w14:paraId="7F10A79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2. 特种设备危险源因素</w:t>
      </w:r>
    </w:p>
    <w:p w14:paraId="17D42AD5">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3. 特种设备事故分级</w:t>
      </w:r>
    </w:p>
    <w:p w14:paraId="36D45B9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3.1一般事故</w:t>
      </w:r>
    </w:p>
    <w:p w14:paraId="54BF4245">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3.2较大事故</w:t>
      </w:r>
    </w:p>
    <w:p w14:paraId="696B4555">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3.3重大事故</w:t>
      </w:r>
    </w:p>
    <w:p w14:paraId="16E5994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3.4特别重大事故</w:t>
      </w:r>
    </w:p>
    <w:p w14:paraId="1B76C90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4. 应急指挥体系与职责</w:t>
      </w:r>
    </w:p>
    <w:p w14:paraId="5099B11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4.1 青阳县市场监督管理局特种设备事故应急管理工作领导小组</w:t>
      </w:r>
    </w:p>
    <w:p w14:paraId="02AE73F7">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4.2 管理工作领导小组职责</w:t>
      </w:r>
    </w:p>
    <w:p w14:paraId="354A485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4.3 管理工作领导小组办公室</w:t>
      </w:r>
    </w:p>
    <w:p w14:paraId="1F5CA25B">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4.4 管理工作领导小组办公室职责</w:t>
      </w:r>
    </w:p>
    <w:p w14:paraId="7540C097">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4.5 管理工作领导小组成员职责</w:t>
      </w:r>
    </w:p>
    <w:p w14:paraId="441EC4B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4.6特种设备使用单位</w:t>
      </w:r>
    </w:p>
    <w:p w14:paraId="6A9B7276">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4.7现场应急处置</w:t>
      </w:r>
    </w:p>
    <w:p w14:paraId="242371B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5. 预防预警</w:t>
      </w:r>
    </w:p>
    <w:p w14:paraId="527FE41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5.1 信息监测</w:t>
      </w:r>
    </w:p>
    <w:p w14:paraId="5E16D6A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5.2 风险监测</w:t>
      </w:r>
    </w:p>
    <w:p w14:paraId="3533CC7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5.3 预防措施</w:t>
      </w:r>
    </w:p>
    <w:p w14:paraId="4CF296F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5.4 预警级别确定和发布</w:t>
      </w:r>
    </w:p>
    <w:p w14:paraId="7429DA5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5.5 预警变更解除</w:t>
      </w:r>
    </w:p>
    <w:p w14:paraId="0FE7EDA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6. 应急响应</w:t>
      </w:r>
    </w:p>
    <w:p w14:paraId="20C199D5">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6.1 信息报告</w:t>
      </w:r>
    </w:p>
    <w:p w14:paraId="5F488DE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6.2 应急处置</w:t>
      </w:r>
    </w:p>
    <w:p w14:paraId="737633E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6.3 响应行动</w:t>
      </w:r>
    </w:p>
    <w:p w14:paraId="48CDA1CB">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6.4 响应保障</w:t>
      </w:r>
    </w:p>
    <w:p w14:paraId="5DD5962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6.5安全防护</w:t>
      </w:r>
    </w:p>
    <w:p w14:paraId="490D1396">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6.6 响应终止</w:t>
      </w:r>
    </w:p>
    <w:p w14:paraId="5D38B12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7. 善后处理</w:t>
      </w:r>
    </w:p>
    <w:p w14:paraId="6EC06BFD">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7.1善后处理</w:t>
      </w:r>
    </w:p>
    <w:p w14:paraId="58F952D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7.2社会救助</w:t>
      </w:r>
    </w:p>
    <w:p w14:paraId="3209E981">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7.3保险理赔</w:t>
      </w:r>
    </w:p>
    <w:p w14:paraId="30F7935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7.4总结评估</w:t>
      </w:r>
    </w:p>
    <w:p w14:paraId="4207C8D8">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8.应急保障</w:t>
      </w:r>
    </w:p>
    <w:p w14:paraId="123443A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8.1装备保障</w:t>
      </w:r>
    </w:p>
    <w:p w14:paraId="740A2C86">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8.2资金保障</w:t>
      </w:r>
    </w:p>
    <w:p w14:paraId="7BFE30D5">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8.3技术保障</w:t>
      </w:r>
    </w:p>
    <w:p w14:paraId="7DC3FD95">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8.4社会动员</w:t>
      </w:r>
    </w:p>
    <w:p w14:paraId="7042491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9.监督管理</w:t>
      </w:r>
    </w:p>
    <w:p w14:paraId="32A91866">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9.1宣传、培训与演练</w:t>
      </w:r>
    </w:p>
    <w:p w14:paraId="2E21959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9.2监督检查</w:t>
      </w:r>
    </w:p>
    <w:p w14:paraId="2D8D803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10. 附件</w:t>
      </w:r>
    </w:p>
    <w:p w14:paraId="7C9BC5AD">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10.1预案管理与更新</w:t>
      </w:r>
    </w:p>
    <w:p w14:paraId="17417D1D">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10.2预案制定与实施</w:t>
      </w:r>
    </w:p>
    <w:p w14:paraId="761B8F4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 </w:t>
      </w:r>
    </w:p>
    <w:p w14:paraId="2E39597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 </w:t>
      </w:r>
    </w:p>
    <w:p w14:paraId="10E8123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 </w:t>
      </w:r>
    </w:p>
    <w:p w14:paraId="70D33AF7">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 </w:t>
      </w:r>
    </w:p>
    <w:p w14:paraId="1CAEF94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p>
    <w:p w14:paraId="747BBC3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p>
    <w:p w14:paraId="22090C37">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p>
    <w:p w14:paraId="1E8104A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p>
    <w:p w14:paraId="6B92DCAB">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 </w:t>
      </w:r>
    </w:p>
    <w:p w14:paraId="432BCE86">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 </w:t>
      </w:r>
    </w:p>
    <w:p w14:paraId="352C7EF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 </w:t>
      </w:r>
    </w:p>
    <w:p w14:paraId="52FC1B48">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28"/>
          <w:szCs w:val="28"/>
        </w:rPr>
      </w:pPr>
      <w:r>
        <w:rPr>
          <w:rFonts w:hint="eastAsia" w:ascii="仿宋" w:hAnsi="仿宋" w:eastAsia="仿宋" w:cs="仿宋"/>
          <w:color w:val="000000"/>
          <w:sz w:val="28"/>
          <w:szCs w:val="28"/>
        </w:rPr>
        <w:t> </w:t>
      </w:r>
    </w:p>
    <w:p w14:paraId="2B8BCCF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 </w:t>
      </w:r>
    </w:p>
    <w:p w14:paraId="08B8D21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hint="eastAsia" w:ascii="仿宋" w:hAnsi="仿宋" w:eastAsia="仿宋" w:cs="仿宋"/>
          <w:color w:val="000000"/>
          <w:sz w:val="28"/>
          <w:szCs w:val="28"/>
        </w:rPr>
      </w:pPr>
    </w:p>
    <w:p w14:paraId="2DCB8D37">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hint="eastAsia" w:ascii="仿宋" w:hAnsi="仿宋" w:eastAsia="仿宋" w:cs="仿宋"/>
          <w:color w:val="000000"/>
          <w:sz w:val="28"/>
          <w:szCs w:val="28"/>
        </w:rPr>
      </w:pPr>
    </w:p>
    <w:p w14:paraId="68D223C6">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hint="eastAsia" w:ascii="仿宋" w:hAnsi="仿宋" w:eastAsia="仿宋" w:cs="仿宋"/>
          <w:color w:val="000000"/>
          <w:sz w:val="28"/>
          <w:szCs w:val="28"/>
        </w:rPr>
      </w:pPr>
    </w:p>
    <w:p w14:paraId="7B99FA3D">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textAlignment w:val="auto"/>
        <w:rPr>
          <w:rFonts w:ascii="仿宋" w:hAnsi="仿宋" w:eastAsia="仿宋" w:cs="仿宋"/>
          <w:color w:val="000000"/>
          <w:sz w:val="28"/>
          <w:szCs w:val="28"/>
        </w:rPr>
      </w:pPr>
      <w:r>
        <w:rPr>
          <w:rFonts w:hint="eastAsia" w:ascii="仿宋" w:hAnsi="仿宋" w:eastAsia="仿宋" w:cs="仿宋"/>
          <w:color w:val="000000"/>
          <w:sz w:val="28"/>
          <w:szCs w:val="28"/>
        </w:rPr>
        <w:t> </w:t>
      </w:r>
    </w:p>
    <w:p w14:paraId="2846FCC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1.总则</w:t>
      </w:r>
    </w:p>
    <w:p w14:paraId="7DAD340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1.1 编制目的</w:t>
      </w:r>
    </w:p>
    <w:p w14:paraId="5DF2368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ascii="仿宋" w:hAnsi="仿宋" w:eastAsia="仿宋" w:cs="仿宋"/>
          <w:color w:val="000000"/>
          <w:sz w:val="32"/>
          <w:szCs w:val="32"/>
        </w:rPr>
      </w:pPr>
      <w:r>
        <w:rPr>
          <w:rFonts w:hint="eastAsia" w:ascii="仿宋" w:hAnsi="仿宋" w:eastAsia="仿宋" w:cs="仿宋"/>
          <w:color w:val="000000"/>
          <w:sz w:val="32"/>
          <w:szCs w:val="32"/>
        </w:rPr>
        <w:t>为提高青阳县市场监督管理局应对特种设备事故的能力，以人为本，科学、高效、有序的组织实施全市特种设备事故应急工作，防范系统性风险，有效预防控制和消除突发性特种设备事故及其危害，防止事故的蔓延扩大及次生衍生事故发生，最大限度地减少事故造成的人员伤亡和财产损失，维护社会稳定，特制定本应急预案。</w:t>
      </w:r>
    </w:p>
    <w:p w14:paraId="70E7F17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1.2 编制依据</w:t>
      </w:r>
    </w:p>
    <w:p w14:paraId="31CE0C46">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704"/>
        <w:textAlignment w:val="auto"/>
        <w:rPr>
          <w:rFonts w:ascii="仿宋" w:hAnsi="仿宋" w:eastAsia="仿宋" w:cs="仿宋"/>
          <w:color w:val="000000"/>
          <w:sz w:val="32"/>
          <w:szCs w:val="32"/>
        </w:rPr>
      </w:pPr>
      <w:r>
        <w:rPr>
          <w:rFonts w:hint="eastAsia" w:ascii="仿宋" w:hAnsi="仿宋" w:eastAsia="仿宋" w:cs="仿宋"/>
          <w:color w:val="000000"/>
          <w:sz w:val="32"/>
          <w:szCs w:val="32"/>
        </w:rPr>
        <w:t>根据《中华人民共和国突发事件应对法》《中华人民共和国安全生产法》《中华人民共和国特种设备安全法》《特种设备安全监察条例》（国务院第549号令）《生产安全事故报告和调查处理条例》（国务院第493号令）《国务院关于特大安全事故行政责任追究的规定》</w:t>
      </w:r>
      <w:r>
        <w:rPr>
          <w:rFonts w:hint="eastAsia" w:ascii="仿宋" w:hAnsi="仿宋" w:eastAsia="仿宋" w:cs="仿宋"/>
          <w:sz w:val="32"/>
          <w:szCs w:val="32"/>
          <w:shd w:val="clear" w:color="auto" w:fill="FFFFFF"/>
        </w:rPr>
        <w:t>《特种设备事故报告和调查处理规定》</w:t>
      </w:r>
      <w:r>
        <w:rPr>
          <w:rFonts w:hint="eastAsia" w:ascii="仿宋" w:hAnsi="仿宋" w:eastAsia="仿宋" w:cs="仿宋"/>
          <w:color w:val="000000"/>
          <w:sz w:val="32"/>
          <w:szCs w:val="32"/>
        </w:rPr>
        <w:t>《特种设备事故应急预案编制导则》（GB /T33942-2017)《安徽省安全生产事故应急预案》、《安徽省市场监管突发事件应急管理办法（试行）》《安徽省市场监管局特种设备事故应急预案（暂行）》《池州市市场监督管理局特种设备事故应急预案》（池市监办〔2020〕120号）以及《青阳县突发事件总体应急预案》的规定要求。结合我县实际，修订完善原《青阳县市场监督管理局特种设备事故应急预案》（以下简称《预案》）。</w:t>
      </w:r>
    </w:p>
    <w:p w14:paraId="4EBEB59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1.3 适用范围</w:t>
      </w:r>
    </w:p>
    <w:p w14:paraId="458F3A8D">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1.3.1 本预案适用于我县范围内特种设备制造、安装、改造、修理、使用（含移动式压力容器、气瓶充装）、检验检测活动中发生的特种设备事故。</w:t>
      </w:r>
    </w:p>
    <w:p w14:paraId="1B9A85F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1.3.2 特种设备是指对人身和财产安全有较大危险性的锅炉、压力容器(含气瓶)、压力管道、电梯、起重机械、客运索道、大型游乐设施、场(厂)内专用机动车辆，以及法律、行政法规规定适用本预案的其他特种设备。</w:t>
      </w:r>
    </w:p>
    <w:p w14:paraId="521A90B7">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1.4 工作原则</w:t>
      </w:r>
    </w:p>
    <w:p w14:paraId="0A21D7DB">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1.4.1本预案的制定是从事故预防的角度、事故发生后损失控制的角度出发，坚持“安全第一、预防为主”的方针，并遵循统一领导、分级管理、单位自救为主、社会救援相结合的原则，力求职责明确、规范有序、反应灵敏、运转高效。</w:t>
      </w:r>
    </w:p>
    <w:p w14:paraId="2CAE16D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1.4.2本预案是处理本市行政区域内发生的特种设备事故应急的组织和工作程序的规定。</w:t>
      </w:r>
    </w:p>
    <w:p w14:paraId="587C51A7">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1.4.3特种设备事故属于安全生产事故，同时还应遵循有关安全生产事故的应急管理规定。</w:t>
      </w:r>
    </w:p>
    <w:p w14:paraId="0291D017">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2.特种设备危险源因素</w:t>
      </w:r>
    </w:p>
    <w:p w14:paraId="4CC194F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2.1造成特种设备事故的主要危险因素有：锅炉爆炸；压力容器（包括各类气瓶、汽车罐车、高压氧舱）爆炸和盛装有易燃易爆、有毒有害介质的泄漏；压力管道爆炸、失稳和易燃易爆、有毒有害介质的泄漏；起重机械倾覆、失效、机械故障；电梯冲顶、坠落；客运索道机械故障、钢索失效；大型游乐设施机械故障、结构失稳等。这些危险因素可能造成爆炸、火灾、窒息、中毒、灼伤、烫伤、高空坠落、重物坠落、失稳倾翻、挤压、打击等原因引起的人员伤亡和财产损失。</w:t>
      </w:r>
    </w:p>
    <w:p w14:paraId="4BC194B2">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3.特种设备事故分级</w:t>
      </w:r>
    </w:p>
    <w:p w14:paraId="410B3CD5">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根据特种设备安全事故造成的危害性、紧急程度和发展态势，分为一般事故(Ⅳ级)、较大事故(Ⅲ级)、重大事故(Ⅱ级)、特别重大事故(Ⅰ级)四级，颜色依次为蓝色、黄色、橙色、红色。</w:t>
      </w:r>
    </w:p>
    <w:p w14:paraId="6EFCA05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3.1 一般事故(Ⅳ级)</w:t>
      </w:r>
    </w:p>
    <w:p w14:paraId="54A3AD75">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①特种设备安全事故造成3人以下死亡，或者10人以下重伤，或者1万元以上1000万元以下直接经济损失的;②压力容器、压力管道有毒介质泄漏，造成500人以上1万人以下转移的;③电梯轿厢滞留人员2小时以上的;④起重机械主要受力结构件折断或者起升机构坠落的;⑤客运索道高空滞留人员3.5小时以上12小时以下的;⑥大型游乐设施高空滞留人员1小时以上12小时以下的。</w:t>
      </w:r>
    </w:p>
    <w:p w14:paraId="373B6D51">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3.2 较大事故(Ⅲ级)</w:t>
      </w:r>
    </w:p>
    <w:p w14:paraId="486F9D1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①特种设备安全事故造成3人以上10人以下死亡，或者10人以上50人以下重伤，或者1000万元以上5000万元以下直接经济损失的;②锅炉、压力容器、压力管道爆炸的;③压力容器、压力管道有毒介质泄漏，造成1万人以上5万人以下转移的;④起重机械整体倾覆的;⑤客运索道、大型游乐设施高空滞留人员12小时以上的。</w:t>
      </w:r>
    </w:p>
    <w:p w14:paraId="1362695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3.3 重大事故(Ⅱ级)</w:t>
      </w:r>
    </w:p>
    <w:p w14:paraId="1391A68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①特种设备安全事故造成10人以上30人以下死亡，或者50人以上100人以下重伤，或者5000万元以上1亿元以下直接经济损失的;②600兆瓦以上锅炉因安全故障中断运行240小时以上的;③压力容器、压力管道有毒介质泄漏，造成5万人以上15万人以下转移的;④客运索道、大型游乐设施高空滞留100人以上并且时间在24小时以上48小时以下的。</w:t>
      </w:r>
    </w:p>
    <w:p w14:paraId="2648B66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3.4 特别重大事故(Ⅰ级)</w:t>
      </w:r>
    </w:p>
    <w:p w14:paraId="10275FF2">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①特种设备事故造成30人以上死亡，或者100人以上重伤(包括急性工业中毒，下同)，或者1亿元以上直接经济损失的;②600兆瓦以上锅炉爆炸的;③压力容器、压力管道有毒介质泄漏，造成15万人以上转移的;④客运索道、大型游乐设施高空滞留100人以上并且时间在48小时以上的。</w:t>
      </w:r>
    </w:p>
    <w:p w14:paraId="64E3251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本预案有关数量表述中“以上”含本数，“以下”不含本数。</w:t>
      </w:r>
    </w:p>
    <w:p w14:paraId="243D176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4.应急指挥体系与职责</w:t>
      </w:r>
    </w:p>
    <w:p w14:paraId="726A8327">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4.1 青阳县市场监督管理局特种设备事故应急管理工作领导小组</w:t>
      </w:r>
    </w:p>
    <w:p w14:paraId="4D887256">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4.1.1 建立青阳县市场监督管理局特种设备事故应急管理工作领导小组（以下简称管理工作领导小组），在上级市场监管局和地方政府的组织领导下；统一指挥、组织、协调、处置全市特种设备事故应急管理工作。</w:t>
      </w:r>
    </w:p>
    <w:p w14:paraId="08E80A18">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4.1.2青阳县特种设备事故应急管理工作领导小组由县局局长任指挥长，分管领导任副指挥长，县局特种设备安全监察局、综合行政执法中队、办公室、政策法规科、人事教育科、各市场监督管理所主要负责人为成员。</w:t>
      </w:r>
    </w:p>
    <w:p w14:paraId="7F46CBE1">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4.2 管理工作领导小组职责</w:t>
      </w:r>
    </w:p>
    <w:p w14:paraId="35CA3FB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组织制订特种设备事故应急救援预案；负责人员、资源配备，应急队伍的调动；确定现场指挥人员；落实事故状态下设立的应急小组等内部机构的工作职责及各级人员的职责；成立特种设备一般事故调查组；批准本预案的启动与终止；接受政府的指令和调动。</w:t>
      </w:r>
    </w:p>
    <w:p w14:paraId="5C611DA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4.3 管理工作领导小组办公室</w:t>
      </w:r>
    </w:p>
    <w:p w14:paraId="4E4BD04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30"/>
        <w:textAlignment w:val="auto"/>
        <w:rPr>
          <w:rFonts w:ascii="仿宋" w:hAnsi="仿宋" w:eastAsia="仿宋" w:cs="仿宋"/>
          <w:color w:val="000000"/>
          <w:sz w:val="32"/>
          <w:szCs w:val="32"/>
        </w:rPr>
      </w:pPr>
      <w:r>
        <w:rPr>
          <w:rFonts w:hint="eastAsia" w:ascii="仿宋" w:hAnsi="仿宋" w:eastAsia="仿宋" w:cs="仿宋"/>
          <w:color w:val="000000"/>
          <w:sz w:val="32"/>
          <w:szCs w:val="32"/>
        </w:rPr>
        <w:t>管理工作领导小组下设办公室，负责管理工作领导小组日常事务。办公室设在特种设备安全监察局。</w:t>
      </w:r>
    </w:p>
    <w:p w14:paraId="28B0F791">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4.4 管理工作领导小组办公室职责</w:t>
      </w:r>
    </w:p>
    <w:p w14:paraId="499FB83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555"/>
        <w:textAlignment w:val="auto"/>
        <w:rPr>
          <w:rFonts w:ascii="仿宋" w:hAnsi="仿宋" w:eastAsia="仿宋" w:cs="仿宋"/>
          <w:color w:val="000000"/>
          <w:sz w:val="32"/>
          <w:szCs w:val="32"/>
        </w:rPr>
      </w:pPr>
      <w:r>
        <w:rPr>
          <w:rFonts w:hint="eastAsia" w:ascii="仿宋" w:hAnsi="仿宋" w:eastAsia="仿宋" w:cs="仿宋"/>
          <w:color w:val="000000"/>
          <w:sz w:val="32"/>
          <w:szCs w:val="32"/>
        </w:rPr>
        <w:t>负责特种设备事故应急救援的日常工作，制定、更新特种设备事故应急预案及演练工作；督促重点特种设备使用单位应急救援预案的制定与演练；负责应急救援物资的日常管理与保养；事故发生时在管理工作领导小组的指挥下负责事故的应急响应，事故现场联络和对外联系等工作，组织事故现场应急救援措施的实施，救援工作的安排及协调；负责特种设备事故信息的上报工作；组织事故调查组开展青阳县范围内特种设备一般事故的调查处理工作；协助特种设备重特大事故的调查分析；对青阳县特种设备事故进行统计分析，收集有关事故资料，建立事故数据库，研究提出事故预防措施；建立特种设备事故处理专家组，参与政府组织安全事故调查及安全生产分析会。</w:t>
      </w:r>
    </w:p>
    <w:p w14:paraId="1AACF9A1">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4.5 管理工作领导小组成员职责</w:t>
      </w:r>
    </w:p>
    <w:p w14:paraId="3CE183F2">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4.5.1特种设备安全监察局：负责接受特种设备事故报告，提出应急处置建议，并承担管理工作领导小组办公室日常工作。</w:t>
      </w:r>
    </w:p>
    <w:p w14:paraId="2926E99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4.5.2综合行政执法中队：按照特种设备事故处理相关法律法规规定协助事故调查处理，开展行政执法。</w:t>
      </w:r>
    </w:p>
    <w:p w14:paraId="0763E54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4.5.3办公室：负责特种设备事故应急管理工作的宣传；为事故应急及调查处理工作用车辆、物资、人员调配提供保障。负责对特种设备事故微信、微博等互联网媒体信息舆情监测，配合办公室做好舆情控制。</w:t>
      </w:r>
    </w:p>
    <w:p w14:paraId="7F4FC5A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4.5.4政策法规科：负责提供特种设备事故调查处理工作的法律法规依据，协助事故调查处理。</w:t>
      </w:r>
    </w:p>
    <w:p w14:paraId="32626316">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4.5.5人事教育科：参与监督事故应急工作、事故调查处理工作，调查处理失职、渎职等行为。</w:t>
      </w:r>
    </w:p>
    <w:p w14:paraId="64CFD33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4.5.6</w:t>
      </w:r>
      <w:r>
        <w:rPr>
          <w:rFonts w:hint="eastAsia" w:ascii="仿宋" w:hAnsi="仿宋" w:eastAsia="仿宋" w:cs="仿宋"/>
          <w:sz w:val="32"/>
          <w:szCs w:val="32"/>
        </w:rPr>
        <w:t>各市场监管所：参与协助辖区内特种设备安全事故应急处置、配合调查处理及善后协调工作。</w:t>
      </w:r>
    </w:p>
    <w:p w14:paraId="1DE82F96">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4.6  特种设备使用单位</w:t>
      </w:r>
    </w:p>
    <w:p w14:paraId="7672650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使用单位是特种设备使用安全的责任主体，应建立专、兼职救援队伍，做好应急物资储备，完善应急预案和现场处置措施，加强从业人员应急培训，组织开展演练。</w:t>
      </w:r>
    </w:p>
    <w:p w14:paraId="481C2715">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使用单位应做好事故的先期处置工作，及时报告事故情况及已采取的处置措施，按照市局应急管理工作领导小组的要求，提供应急处置相关资料，配合实施事故救援及后期相关工作。 </w:t>
      </w:r>
    </w:p>
    <w:p w14:paraId="25AD000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4.7现场应急处置</w:t>
      </w:r>
    </w:p>
    <w:p w14:paraId="4FB4BAA2">
      <w:pPr>
        <w:pStyle w:val="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shd w:val="clear" w:color="auto" w:fill="FFFFFF"/>
        </w:rPr>
        <w:t>特种设备事故发生后，县局在县委、县政府的领导下，根据应急响应的级别和应急预案的规定，成立现场应急处置小组，具体负责、协调现场应急救援工作。</w:t>
      </w:r>
    </w:p>
    <w:p w14:paraId="095323B2">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sz w:val="32"/>
          <w:szCs w:val="32"/>
          <w:shd w:val="clear" w:color="auto" w:fill="FFFFFF"/>
        </w:rPr>
      </w:pPr>
      <w:r>
        <w:rPr>
          <w:rFonts w:hint="eastAsia" w:ascii="仿宋" w:hAnsi="仿宋" w:eastAsia="仿宋" w:cs="仿宋"/>
          <w:sz w:val="32"/>
          <w:szCs w:val="32"/>
          <w:shd w:val="clear" w:color="auto" w:fill="FFFFFF"/>
        </w:rPr>
        <w:t>主要职责：负责现场应急处置、救援保障和善后处理等工作，组织、协调参与应急救援的队伍和人员，及时向县政府及市局应急指挥中心报告事态发展及应急处置情况。</w:t>
      </w:r>
    </w:p>
    <w:p w14:paraId="32BEF10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5.预防预警</w:t>
      </w:r>
    </w:p>
    <w:p w14:paraId="717BBAF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5.1信息监测</w:t>
      </w:r>
    </w:p>
    <w:p w14:paraId="1EDB340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指挥中心办公室负责全县市场监管系统特种设备安全事故信息的接收、报告、初步处理和统计分析工作。完善应急管理体系，进行分类排查、消除辖区内特种设备事故隐患。加强对存在严重事故隐患的特种设备、易造成群死群伤的特种设备、发生事故可能造成严重社会影响的特种设备实行重点监控。</w:t>
      </w:r>
    </w:p>
    <w:p w14:paraId="4065FA0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5.2 风险监测</w:t>
      </w:r>
    </w:p>
    <w:p w14:paraId="2B832D5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依据《中华人民共和国特种设备安全法》相关法规及安全技术规范要求，加强市场跟踪监测和风险分析研判，提高市场监管的针对性和预见性。根据安徽省特种设备安全风险研判、预警指南，及时将查找出并确认的风险点清单，录入风险点管理信息系统。使用单位要做好特种设备风险监测，及时报送风险情况，为管控特种设备安全风险提供基础信息。特种设备检验检测技术机构要发挥技术保障作用，为风险研判提供技术支持。通过分析研究，确定隐患的蓝色、黄色、橙色、红色四个等级的风险点，加强特种设备巡查跟踪，根据具体条件，确定相应的预警级别，提出预测意见，对可能引发事故的异常情况，及时上报市局应急管理工作领导小组。市局应急管理工作领导小组接到预警信息后，要立即予以研判，根据不同的预警级别及时发布预警信息，并做好相应处置工作，及时向上级和有关部门报告预警信息。</w:t>
      </w:r>
    </w:p>
    <w:p w14:paraId="64DD550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5.3 预防措施</w:t>
      </w:r>
    </w:p>
    <w:p w14:paraId="6D89D50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1）强化企业主体责任落实。特种设备使用单位应建立完善特种设备安全管理制度和岗位安全责任制度，设立专兼职机构或者设专、兼职人员，做好特种设备安全工作，适时分析特种设备安全状况，制定、完善事故应急预案，按期申报并保证特种设备定期检验合格，特种设备作业人员须持证上岗，及时整治特种设备隐患。</w:t>
      </w:r>
    </w:p>
    <w:p w14:paraId="71DE097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2）强化特种设备分级防范。县市场监督管理局要根据风险研判结果，制定、完善特种设备风险防范措施，并严格组织落实，实现风险可控。一是强化学校、幼儿园以及医院、车站、客运码头、商场、体育场馆、展览馆、公园等公众聚集场所特种设备的安全风险管控；二是强化特殊时段、重大活动时期特种设备的安全风险管控；三是突出高风险重点特种设备的安全风险管控；四是进一步完善特种设备隐患排查治理体系建设，对发现的隐患制定治理方案，做到责任、措施、资金、时限、预案“五落实”，防止发生特种设备群死群伤事故。</w:t>
      </w:r>
    </w:p>
    <w:p w14:paraId="6FA4ECA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5.4 预警级别确定和发布</w:t>
      </w:r>
    </w:p>
    <w:p w14:paraId="771F966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5.4.1预警分级</w:t>
      </w:r>
    </w:p>
    <w:p w14:paraId="18E01336">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按照事故发生的紧急程度、发展态势和可能造成的社会危害程度，事故的预警级别由低到高分为Ⅳ级、Ⅲ级、Ⅱ级和Ⅰ级，分别用蓝色、黄色、橙色和红色标示。</w:t>
      </w:r>
    </w:p>
    <w:p w14:paraId="25888AA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Ⅳ级预警（蓝色预警）：可能发生或引发特种设备一般事故的；或事故已经发生，可能进一步扩大影响范围，造成公共危害的。</w:t>
      </w:r>
    </w:p>
    <w:p w14:paraId="2F0945E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III级预警（黄色预警）：情况比较紧急，可能发生或引发特种设备较大事故的；或事故已经发生，可能进一步扩大影响范围，造成较大危害的。</w:t>
      </w:r>
    </w:p>
    <w:p w14:paraId="3B6D01BB">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II级预警（橙色预警）：情况紧急，可能发生或引发特种设备重大事故的；或事故已经发生，可能进一步扩大影响范围，造成重大危害的。</w:t>
      </w:r>
    </w:p>
    <w:p w14:paraId="2F47BED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I级预警（红色预警）：情况危急，可能发生或引发特种设备特别重大事故的；或事故已经发生，可能进一步扩大影响范围，造成特别重大危害的。</w:t>
      </w:r>
    </w:p>
    <w:p w14:paraId="44D5B8F1">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5.4.2预警发布</w:t>
      </w:r>
    </w:p>
    <w:p w14:paraId="2D67C278">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预警信息要采取有效措施向可能受影响人群发布，通过广播、电视、报刊、通信、信息网络、手机、警报器、宣传车、大喇叭或组织人员逐户通知等方式进行，对老、幼、病、残、孕等特殊人群以及学校等特殊场所和警报盲区应当采取有针对性的公告方式。</w:t>
      </w:r>
    </w:p>
    <w:p w14:paraId="66B0F6F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预警发布的内容包括：事件类别、预警级别、预警起始时间、警示事项、发布机关、发布时间等。</w:t>
      </w:r>
    </w:p>
    <w:p w14:paraId="7A0E902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预警公告原则上：四级预警信息应由县市场监督管理部门报请本级人民政府批准后发布；三级预警信息应由市级市场监督管理部门报请本级人民政府批准后发布；二级以上预警信息应由省局应急管理工作领导小组向省委、省政府和省安全生产应急指挥部做出报告并经批准后，向全省或者可能发生地发布预警公告。</w:t>
      </w:r>
    </w:p>
    <w:p w14:paraId="5F189D5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5.5 预警变更解除</w:t>
      </w:r>
    </w:p>
    <w:p w14:paraId="099A249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预警发布机构应密切关注事件进展情况，根据事态的发展，按照有关规定适时调整预警级别并发布。</w:t>
      </w:r>
    </w:p>
    <w:p w14:paraId="7F5535FB">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有事实证明不可能发生突发事件或者危险已经解除的，应当</w:t>
      </w:r>
    </w:p>
    <w:p w14:paraId="39B40468">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textAlignment w:val="auto"/>
        <w:rPr>
          <w:rFonts w:ascii="仿宋" w:hAnsi="仿宋" w:eastAsia="仿宋" w:cs="仿宋"/>
          <w:color w:val="000000"/>
          <w:sz w:val="32"/>
          <w:szCs w:val="32"/>
        </w:rPr>
      </w:pPr>
      <w:r>
        <w:rPr>
          <w:rFonts w:hint="eastAsia" w:ascii="仿宋" w:hAnsi="仿宋" w:eastAsia="仿宋" w:cs="仿宋"/>
          <w:color w:val="000000"/>
          <w:sz w:val="32"/>
          <w:szCs w:val="32"/>
        </w:rPr>
        <w:t>宣布解除警报，终止预警，并解除已经采取的有关措施。  </w:t>
      </w:r>
    </w:p>
    <w:p w14:paraId="6DA47AD2">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6.应急响应</w:t>
      </w:r>
    </w:p>
    <w:p w14:paraId="083F96A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6.1 信息报告</w:t>
      </w:r>
    </w:p>
    <w:p w14:paraId="7CE483D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发生特种设备事故后，事故现场有关人员应当立即向事故发生单位负责人报告；事故发生单位的负责人接到报告后，应当于1小时内向事故发生地的县级以上市场监督管理部门和有关部门报告。情况紧急时，事故现场有关人员可以直接向事故发生地的县以上市场监督管理部门报告。</w:t>
      </w:r>
      <w:r>
        <w:rPr>
          <w:rFonts w:hint="eastAsia" w:ascii="仿宋" w:hAnsi="仿宋" w:eastAsia="仿宋" w:cs="仿宋"/>
          <w:sz w:val="32"/>
          <w:szCs w:val="32"/>
        </w:rPr>
        <w:t>县市场监管局在接到事故报告后，</w:t>
      </w:r>
      <w:r>
        <w:rPr>
          <w:rFonts w:hint="eastAsia" w:ascii="仿宋" w:hAnsi="仿宋" w:eastAsia="仿宋" w:cs="仿宋"/>
          <w:color w:val="000000"/>
          <w:sz w:val="32"/>
          <w:szCs w:val="32"/>
        </w:rPr>
        <w:t xml:space="preserve">应当尽快核实有关情况，依照《特种设备安全监察条例》的规定，立即向本级人民政府报告，并在2小时内报告市市场监督管理局。必要时，可以越级上报事故情况。对于一般以上事故，县市场监管局应及时通报县应急管理、环保等部门。 </w:t>
      </w:r>
    </w:p>
    <w:p w14:paraId="375BF2CB">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sz w:val="32"/>
          <w:szCs w:val="32"/>
        </w:rPr>
      </w:pPr>
      <w:r>
        <w:rPr>
          <w:rFonts w:hint="eastAsia" w:ascii="仿宋" w:hAnsi="仿宋" w:eastAsia="仿宋" w:cs="仿宋"/>
          <w:color w:val="000000"/>
          <w:sz w:val="32"/>
          <w:szCs w:val="32"/>
        </w:rPr>
        <w:t>对事故发生地与事故发生单位所在地不在同一行政区域的，县市场监管局应当及时通知事故发生单位所在地的市场监管部门。</w:t>
      </w:r>
    </w:p>
    <w:p w14:paraId="6841CD2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60"/>
        <w:jc w:val="both"/>
        <w:textAlignment w:val="auto"/>
        <w:rPr>
          <w:rFonts w:ascii="仿宋" w:hAnsi="仿宋" w:eastAsia="仿宋" w:cs="仿宋"/>
          <w:color w:val="000000"/>
          <w:sz w:val="32"/>
          <w:szCs w:val="32"/>
        </w:rPr>
      </w:pPr>
      <w:r>
        <w:rPr>
          <w:rFonts w:hint="eastAsia" w:ascii="仿宋" w:hAnsi="仿宋" w:eastAsia="仿宋" w:cs="仿宋"/>
          <w:color w:val="000000"/>
          <w:sz w:val="32"/>
          <w:szCs w:val="32"/>
        </w:rPr>
        <w:t>报告事故应当包括以下内容：（1）事故发生的时间、地点、单位概况以及特种设备种类；（2）事故发生初步情况，包括事故简要经过、现场破坏情况、已经造成或者可能造成的伤亡和涉险人数、初步估计的直接经济损失、初步确定的事故等级、初步判断的事故原因；（3）已经采取的措施；（4）报告人姓名、联系电话；（5）其他有必要报告的情况。</w:t>
      </w:r>
    </w:p>
    <w:p w14:paraId="5602279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60"/>
        <w:jc w:val="both"/>
        <w:textAlignment w:val="auto"/>
        <w:rPr>
          <w:rFonts w:ascii="仿宋" w:hAnsi="仿宋" w:eastAsia="仿宋" w:cs="仿宋"/>
          <w:sz w:val="32"/>
          <w:szCs w:val="32"/>
        </w:rPr>
      </w:pPr>
      <w:r>
        <w:rPr>
          <w:rFonts w:hint="eastAsia" w:ascii="仿宋" w:hAnsi="仿宋" w:eastAsia="仿宋" w:cs="仿宋"/>
          <w:sz w:val="32"/>
          <w:szCs w:val="32"/>
        </w:rPr>
        <w:t>如果尚未完全掌握情况，可在第一时间口头（电话）或书面简要报告初步情况，随后书面跟踪报送事态发展、应急处置、社会舆论、网上舆情和原因分析等详细情况。</w:t>
      </w:r>
    </w:p>
    <w:p w14:paraId="01DF29C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6.2 应急处置</w:t>
      </w:r>
    </w:p>
    <w:p w14:paraId="108011B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60"/>
        <w:jc w:val="both"/>
        <w:textAlignment w:val="auto"/>
        <w:rPr>
          <w:rFonts w:ascii="仿宋" w:hAnsi="仿宋" w:eastAsia="仿宋" w:cs="仿宋"/>
          <w:sz w:val="32"/>
          <w:szCs w:val="32"/>
        </w:rPr>
      </w:pPr>
      <w:r>
        <w:rPr>
          <w:rFonts w:hint="eastAsia" w:ascii="仿宋" w:hAnsi="仿宋" w:eastAsia="仿宋" w:cs="仿宋"/>
          <w:b/>
          <w:bCs/>
          <w:sz w:val="32"/>
          <w:szCs w:val="32"/>
        </w:rPr>
        <w:t>事故发生后，应采取下列一项或者多项应急措施：</w:t>
      </w:r>
    </w:p>
    <w:p w14:paraId="228DDFA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6.2.1 事故单位自救</w:t>
      </w:r>
    </w:p>
    <w:p w14:paraId="20EB07B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color w:val="000000"/>
          <w:sz w:val="32"/>
          <w:szCs w:val="32"/>
        </w:rPr>
        <w:t>特种设备安全事故发生单位是第一时间处置事故的主体，事故发生后应迅速组织开展自救互救，</w:t>
      </w:r>
      <w:r>
        <w:rPr>
          <w:rFonts w:hint="eastAsia" w:ascii="仿宋" w:hAnsi="仿宋" w:eastAsia="仿宋" w:cs="仿宋"/>
          <w:sz w:val="32"/>
          <w:szCs w:val="32"/>
        </w:rPr>
        <w:t>防止事故蔓延扩大；保护事故现场；拨打报警电话，</w:t>
      </w:r>
      <w:r>
        <w:rPr>
          <w:rFonts w:hint="eastAsia" w:ascii="仿宋" w:hAnsi="仿宋" w:eastAsia="仿宋" w:cs="仿宋"/>
          <w:color w:val="000000"/>
          <w:sz w:val="32"/>
          <w:szCs w:val="32"/>
        </w:rPr>
        <w:t xml:space="preserve">并充分利用社会救援力量开展抢险救援工作，及时将事故情况报告当地人民政府。 </w:t>
      </w:r>
    </w:p>
    <w:p w14:paraId="6CE8D278">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6.2.2 抢救疏散人员</w:t>
      </w:r>
    </w:p>
    <w:p w14:paraId="0D311D5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及时有序地展开受害人员的现场抢救或者安全转移，尽最大可能降低人员伤亡、减少事故所造成的财产损失；当发生易燃、易爆、有毒介质泄漏时，做好组织人员向上风向迎风转移疏散和清场检查等工作，配合有关部门做好疏散过程中的医疗、卫生保障和救助。</w:t>
      </w:r>
    </w:p>
    <w:p w14:paraId="299FC2A7">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6.2.3设立现场抢险救援工作区域</w:t>
      </w:r>
    </w:p>
    <w:p w14:paraId="77AEFD1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结合事故的类别、规模和危害程度、天气条件（特别是风向、气温）等因素，协同有关部门和单位科学划定现场抢险救援工作区域。现场抢险救援工作区域一般设立四类，即危险区域、缓冲区域、疏散区域和安全区域。当发生易燃、易爆、有毒介质压力容器、压力管道爆炸或泄漏时，应立即消除危险区、缓冲区、疏散区内的明火，切断电源，关闭手机，并协调公安、交通等部门实行交通管制，封锁交通道口。区域内设置警戒线和警示标志，禁止车辆通行，禁止一切无关人员进入，并设专人监护。</w:t>
      </w:r>
    </w:p>
    <w:p w14:paraId="17A23FA6">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6.2.4 排除险情，防止事故扩大</w:t>
      </w:r>
    </w:p>
    <w:p w14:paraId="7068C426">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根据特种设备事故特点，协调组织专业技术机构迅速展开必要的技术检验、检测工作，确认危险物质的类型和特性，制定抢险救援的技术方案，并采取特定的安全技术措施，及时有效地控制事故的扩大，消除事故危害和影响，防止发生次生灾害。</w:t>
      </w:r>
    </w:p>
    <w:p w14:paraId="335A3DF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6.2.5泄漏处置和紧急停用设备</w:t>
      </w:r>
    </w:p>
    <w:p w14:paraId="1B281D2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对泄漏设备（如液氯、液氨、二氧化硫储罐、气瓶等），在专业技术人员指导下进行处置。</w:t>
      </w:r>
    </w:p>
    <w:p w14:paraId="196C755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6.2.6排查事故原因</w:t>
      </w:r>
    </w:p>
    <w:p w14:paraId="37F405A2">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组织有关专业技术人员初步排查事故原因，对事故设备检验检测并进行安全评估，排查可能存在的其他危害。</w:t>
      </w:r>
    </w:p>
    <w:p w14:paraId="6347485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6.2.7 社会动员</w:t>
      </w:r>
    </w:p>
    <w:p w14:paraId="5446E12D">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协助事故发生地政府（经开区管委会）在应急抢险救援过程中，组织动员、调动当地有关人员、物资、设备、器材以及征用场地等方面的工作事项，尽可能为救援工作开展提供便利条件。</w:t>
      </w:r>
    </w:p>
    <w:p w14:paraId="1CC4B127">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6.2.8 涉外事宜</w:t>
      </w:r>
    </w:p>
    <w:p w14:paraId="07B8A10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应急救援中涉及港澳台和外籍人员救护、接待、境外媒体采访等有关涉外事提交县涉外部门按照有关规定处理。</w:t>
      </w:r>
    </w:p>
    <w:p w14:paraId="5459F16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6.3 响应行动</w:t>
      </w:r>
    </w:p>
    <w:p w14:paraId="7BDC623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在县委、县政府领导下，县局指挥中心根据事故的性质、类别、危害程度、范围和可控情况，开展以下工作：</w:t>
      </w:r>
    </w:p>
    <w:p w14:paraId="5C29D67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sz w:val="32"/>
          <w:szCs w:val="32"/>
        </w:rPr>
      </w:pPr>
      <w:r>
        <w:rPr>
          <w:rFonts w:hint="eastAsia" w:ascii="仿宋" w:hAnsi="仿宋" w:eastAsia="仿宋" w:cs="仿宋"/>
          <w:sz w:val="32"/>
          <w:szCs w:val="32"/>
        </w:rPr>
        <w:t>（1）启动预案，成立特种设备事故现场应急处置小组，设立综合组、技术组、舆情控制组、善后协调组，开展应急处理工作。</w:t>
      </w:r>
    </w:p>
    <w:p w14:paraId="2BA1A6A2">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综合组：由办公室、政策法规科、综合行政执法中队、特种设备安全监察局、事故发生地市场监管所及事故发生单位组成。主要任务：负责事故现场各组之间，各有关部门之间以及上级领导的联系工作；负责指挥现场应急工作的开展；负责联系和协调抢险救援、医疗救治、治安警戒、交通管制、应急通信等工作；与参加抢险救援部门和单位的现场负责人研究现场救援方案，制定具体救援措施；协助专业救援队伍开展抢险救援现场作业，对事故现场人员进行搜救、疏散，对伤员进行紧急处理等工作。</w:t>
      </w:r>
    </w:p>
    <w:p w14:paraId="35A94F57">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技术组：由特种设备安全监察局、检验检测机构、专家组人员组成。主要任务：参与制定事故应急救援方案和应急处理措施，指导现场抢险救援工作；负责对事故现场设备安全进行监测，为事故现场设备安全状况提供技术支持；参与配合事故调查分析，并执行有关预防措施。</w:t>
      </w:r>
    </w:p>
    <w:p w14:paraId="365FB27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舆情控制组：由办公室、特种设备安全监察局和事故发生地市场监管所人员组成。主要任务：负责及时了解实情动态和救援情况、新闻媒体监测、编写情况快讯和工作报告；协助县委、县政府宣传部门开展事故宣传报道、舆情控制工作。</w:t>
      </w:r>
    </w:p>
    <w:p w14:paraId="5AD3CFD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 xml:space="preserve">善后协调组：由事发地市场监管所、人事教育科、特种设备安全监察局、综合行政执法中队组成。主要任务：协助事发地人民政府做好事故中伤亡人员的善后处理，及财产损失核定与保险理赔等工作；配合事故调查组做好事故调查。 </w:t>
      </w:r>
    </w:p>
    <w:p w14:paraId="2975F6CD">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sz w:val="32"/>
          <w:szCs w:val="32"/>
        </w:rPr>
        <w:t>（2）根据需要做好应急协调等工作，协调有关部门提供应急队伍、应急物资、检验检测技术等支持。</w:t>
      </w:r>
    </w:p>
    <w:p w14:paraId="7FEE7F4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textAlignment w:val="auto"/>
        <w:rPr>
          <w:rFonts w:ascii="仿宋" w:hAnsi="仿宋" w:eastAsia="仿宋" w:cs="仿宋"/>
          <w:sz w:val="32"/>
          <w:szCs w:val="32"/>
        </w:rPr>
      </w:pPr>
      <w:r>
        <w:rPr>
          <w:rFonts w:hint="eastAsia" w:ascii="仿宋" w:hAnsi="仿宋" w:eastAsia="仿宋" w:cs="仿宋"/>
          <w:sz w:val="32"/>
          <w:szCs w:val="32"/>
        </w:rPr>
        <w:t>（3）传达落实县委、县政府领导同志指示批示精神，及时向市市场监管局报告相关情况。</w:t>
      </w:r>
    </w:p>
    <w:p w14:paraId="37830E38">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jc w:val="both"/>
        <w:textAlignment w:val="auto"/>
        <w:rPr>
          <w:rFonts w:ascii="仿宋" w:hAnsi="仿宋" w:eastAsia="仿宋" w:cs="仿宋"/>
          <w:sz w:val="32"/>
          <w:szCs w:val="32"/>
        </w:rPr>
      </w:pPr>
      <w:r>
        <w:rPr>
          <w:rFonts w:hint="eastAsia" w:ascii="仿宋" w:hAnsi="仿宋" w:eastAsia="仿宋" w:cs="仿宋"/>
          <w:color w:val="000000"/>
          <w:sz w:val="32"/>
          <w:szCs w:val="32"/>
        </w:rPr>
        <w:t>特种设备安全事故发生单位和救援力量无法有效应对处置时，县局应向县政府和市局报告请求增加救援力量。</w:t>
      </w:r>
    </w:p>
    <w:p w14:paraId="52C217F6">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60"/>
        <w:jc w:val="both"/>
        <w:textAlignment w:val="auto"/>
        <w:rPr>
          <w:rFonts w:ascii="仿宋" w:hAnsi="仿宋" w:eastAsia="仿宋" w:cs="仿宋"/>
          <w:sz w:val="32"/>
          <w:szCs w:val="32"/>
        </w:rPr>
      </w:pPr>
      <w:r>
        <w:rPr>
          <w:rFonts w:hint="eastAsia" w:ascii="仿宋" w:hAnsi="仿宋" w:eastAsia="仿宋" w:cs="仿宋"/>
          <w:sz w:val="32"/>
          <w:szCs w:val="32"/>
        </w:rPr>
        <w:t>6.4  响应保障</w:t>
      </w:r>
    </w:p>
    <w:p w14:paraId="3BB3D16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60"/>
        <w:jc w:val="both"/>
        <w:textAlignment w:val="auto"/>
        <w:rPr>
          <w:rFonts w:ascii="仿宋" w:hAnsi="仿宋" w:eastAsia="仿宋" w:cs="仿宋"/>
          <w:sz w:val="32"/>
          <w:szCs w:val="32"/>
        </w:rPr>
      </w:pPr>
      <w:r>
        <w:rPr>
          <w:rFonts w:hint="eastAsia" w:ascii="仿宋" w:hAnsi="仿宋" w:eastAsia="仿宋" w:cs="仿宋"/>
          <w:sz w:val="32"/>
          <w:szCs w:val="32"/>
        </w:rPr>
        <w:t>指挥中心成员单位要加强应急管理工作，强化人员值班值守，保持通讯24小时畅通，确保应急车辆和人员按时到位。接到事故报告后，指挥中心办公室立即报告指挥中心指挥长，通知各成员单位主要负责人，30分钟内参与应急救援的相关人员和应急车辆必须集结到位。</w:t>
      </w:r>
    </w:p>
    <w:p w14:paraId="4559FBC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6.5 安全防护</w:t>
      </w:r>
    </w:p>
    <w:p w14:paraId="0481CE8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特种设备安全事故应急处置时，参加应急处置人员配备必要的安全防护装备和安全设施、设备。事故现场处理在专业人员指导下进行。根据事故发生情况和应急救援需要，特种设备安全事故应急指挥机构科学确定事故周边疏散范围，并及时组织人员疏散。</w:t>
      </w:r>
    </w:p>
    <w:p w14:paraId="499FDC7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6.6 响应终止</w:t>
      </w:r>
    </w:p>
    <w:p w14:paraId="3221BB5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当特种设备安全事故得到控制，造成的危害或不良影响已消除或得到了有效控制，经分析评估认为可解除应急响应的，应当及时终止响应。具备下列条件时，可宣布终止应急响应，转入正常工作：</w:t>
      </w:r>
    </w:p>
    <w:p w14:paraId="38DEAA3E">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（1）死亡和失踪人员已经查清。</w:t>
      </w:r>
    </w:p>
    <w:p w14:paraId="70E4B37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（2）事故危害基本得以控制。</w:t>
      </w:r>
    </w:p>
    <w:p w14:paraId="54AF3218">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（3）次生事故因素基本消除。</w:t>
      </w:r>
    </w:p>
    <w:p w14:paraId="0080751B">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（4）受伤人员基本得到救治。</w:t>
      </w:r>
    </w:p>
    <w:p w14:paraId="61C0184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（5）紧急疏散人员基本恢复正常生活秩序。</w:t>
      </w:r>
    </w:p>
    <w:p w14:paraId="10F9D306">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7.善后工作</w:t>
      </w:r>
    </w:p>
    <w:p w14:paraId="7614FAD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7.1 善后处理</w:t>
      </w:r>
    </w:p>
    <w:p w14:paraId="74EEE36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（1）在应急抢险救援过程中需要紧急调用物资器材、设备仪器、抢险队伍和场地等，所发生费用由事故单位负责，事故单位无力承担时，由当地政府协调解决。</w:t>
      </w:r>
    </w:p>
    <w:p w14:paraId="3BBF4C61">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（2）发生特种设备事故后，必须由有资格的单位对特种设备进行全面的检修，并经检验合格后方可重新投入使用。对严重损毁、无维修价值的，应当予以报废。</w:t>
      </w:r>
    </w:p>
    <w:p w14:paraId="75F8EED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（3）特种设备事故中，涉及到毒性介质泄漏或者建筑物倒塌损坏的，应经环保部门和住建部门检查并提出意见后，方可进行下一步修复工作。</w:t>
      </w:r>
    </w:p>
    <w:p w14:paraId="3687E546">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（4）对伤亡人员和家属做好安抚、抚恤、理赔等善后处理和社会稳定工作。</w:t>
      </w:r>
    </w:p>
    <w:p w14:paraId="437A477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（5）事故救援结束后，应当尽快恢复受影响群众的正常生活和生产活动。</w:t>
      </w:r>
    </w:p>
    <w:p w14:paraId="4DECEBF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7.2 社会救助</w:t>
      </w:r>
    </w:p>
    <w:p w14:paraId="08D6BDCB">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特种设备事故发生后，社会团体、个人或者有关机构捐赠资金和物资的管理与监督，由民政等部门按国家法律法规的规定执行，严禁侵占、挪用。</w:t>
      </w:r>
    </w:p>
    <w:p w14:paraId="56876D21">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7.3 保险理赔</w:t>
      </w:r>
    </w:p>
    <w:p w14:paraId="2EE3DBE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受委托的保险经纪机构督促有关保险机构及时做好相关单位和个人损失的理赔工作。</w:t>
      </w:r>
    </w:p>
    <w:p w14:paraId="06A8F51D">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7.4 总结评估</w:t>
      </w:r>
    </w:p>
    <w:p w14:paraId="7EBC52B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应急处置工作结束后，各部门、单位应开展应急处置评估工作，总结和吸取应急处置经验教训，提出改进应急工作的建议。</w:t>
      </w:r>
    </w:p>
    <w:p w14:paraId="174AEDA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8.应急保障</w:t>
      </w:r>
    </w:p>
    <w:p w14:paraId="207FA9A9">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8.1 装备保障</w:t>
      </w:r>
    </w:p>
    <w:p w14:paraId="7BC3892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县市场监督管理局针对可能发生的特种设备安全事故，为参与事故救援队伍配备相应的救援工具、检测仪器、车辆等抢险救援装备。</w:t>
      </w:r>
    </w:p>
    <w:p w14:paraId="27A0AA0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8.2 资金保障</w:t>
      </w:r>
    </w:p>
    <w:p w14:paraId="27314A4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县市场监督管理局统筹安排保障应急救援工作开展所需资金。</w:t>
      </w:r>
    </w:p>
    <w:p w14:paraId="0B9EDC0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8.3 技术保障</w:t>
      </w:r>
    </w:p>
    <w:p w14:paraId="299FA45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县市场监督管理局建立特种设备应急救援专家组，积极开展特种设备应急救援技术和方法研究，制订具体的特种设备安全事故预防和应急处置等安全技术规范。</w:t>
      </w:r>
    </w:p>
    <w:p w14:paraId="7F74832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8.4 社会动员</w:t>
      </w:r>
    </w:p>
    <w:p w14:paraId="50FE1F1B">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根据需要，动员有关人员，调动有关物资、设备、器材，占用必要场地参与应急抢险救援，相关单位和个人给予支持配合。</w:t>
      </w:r>
    </w:p>
    <w:p w14:paraId="49F72A0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9.监督管理</w:t>
      </w:r>
    </w:p>
    <w:p w14:paraId="724CCCBA">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9.1 宣传、培训与演练</w:t>
      </w:r>
    </w:p>
    <w:p w14:paraId="6CF7286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县市场监督管理局负责开展特种设备安全事故预防、避险、避灾、自救、互救等知识的宣传教育，组织开展相关培训，定期进行演练，提高应对处置能力。</w:t>
      </w:r>
    </w:p>
    <w:p w14:paraId="6E0DD68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9.2 监督检查</w:t>
      </w:r>
    </w:p>
    <w:p w14:paraId="1591D7DF">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县市场监管局负责对预案实施情况进行监督检查。</w:t>
      </w:r>
    </w:p>
    <w:p w14:paraId="040436E1">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10.附 则</w:t>
      </w:r>
    </w:p>
    <w:p w14:paraId="21F0589D">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10.1预案管理与更新</w:t>
      </w:r>
    </w:p>
    <w:p w14:paraId="4FFF171B">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县市场监管局根据情况变化，对应急预案进行修订和更新。</w:t>
      </w:r>
    </w:p>
    <w:p w14:paraId="4F2F496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10.2 预案制定与实施</w:t>
      </w:r>
      <w:bookmarkStart w:id="0" w:name="_GoBack"/>
      <w:bookmarkEnd w:id="0"/>
    </w:p>
    <w:p w14:paraId="30391B31">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textAlignment w:val="auto"/>
        <w:rPr>
          <w:rFonts w:ascii="仿宋" w:hAnsi="仿宋" w:eastAsia="仿宋" w:cs="仿宋"/>
          <w:color w:val="000000"/>
          <w:sz w:val="32"/>
          <w:szCs w:val="32"/>
        </w:rPr>
      </w:pPr>
      <w:r>
        <w:rPr>
          <w:rFonts w:hint="eastAsia" w:ascii="仿宋" w:hAnsi="仿宋" w:eastAsia="仿宋" w:cs="仿宋"/>
          <w:color w:val="000000"/>
          <w:sz w:val="32"/>
          <w:szCs w:val="32"/>
        </w:rPr>
        <w:t>本预案自发布之日起施行。</w:t>
      </w:r>
    </w:p>
    <w:p w14:paraId="4BEC8D23">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textAlignment w:val="auto"/>
        <w:rPr>
          <w:rFonts w:ascii="仿宋" w:hAnsi="仿宋" w:eastAsia="仿宋" w:cs="仿宋"/>
          <w:color w:val="000000"/>
          <w:sz w:val="28"/>
          <w:szCs w:val="28"/>
        </w:rPr>
      </w:pPr>
    </w:p>
    <w:p w14:paraId="1125C43C">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textAlignment w:val="auto"/>
        <w:rPr>
          <w:rFonts w:ascii="仿宋" w:hAnsi="仿宋" w:eastAsia="仿宋" w:cs="仿宋"/>
          <w:sz w:val="28"/>
          <w:szCs w:val="28"/>
        </w:rPr>
      </w:pPr>
      <w:r>
        <w:rPr>
          <w:rFonts w:hint="eastAsia" w:ascii="仿宋" w:hAnsi="仿宋" w:eastAsia="仿宋" w:cs="仿宋"/>
          <w:color w:val="000000"/>
          <w:sz w:val="28"/>
          <w:szCs w:val="28"/>
        </w:rPr>
        <w:t>附件：</w:t>
      </w:r>
      <w:r>
        <w:rPr>
          <w:rFonts w:hint="eastAsia" w:ascii="仿宋" w:hAnsi="仿宋" w:eastAsia="仿宋" w:cs="仿宋"/>
          <w:sz w:val="28"/>
          <w:szCs w:val="28"/>
        </w:rPr>
        <w:t>特种设备事故应急流程图</w:t>
      </w:r>
    </w:p>
    <w:p w14:paraId="41334EA4">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560" w:firstLineChars="200"/>
        <w:textAlignment w:val="auto"/>
        <w:rPr>
          <w:rFonts w:ascii="仿宋" w:hAnsi="仿宋" w:eastAsia="仿宋" w:cs="仿宋"/>
          <w:color w:val="000000"/>
          <w:sz w:val="28"/>
          <w:szCs w:val="28"/>
        </w:rPr>
        <w:sectPr>
          <w:pgSz w:w="11906" w:h="16838"/>
          <w:pgMar w:top="1440" w:right="1800" w:bottom="1440" w:left="1800" w:header="851" w:footer="992" w:gutter="0"/>
          <w:cols w:space="425" w:num="1"/>
          <w:docGrid w:type="lines" w:linePitch="312" w:charSpace="0"/>
        </w:sectPr>
      </w:pPr>
    </w:p>
    <w:tbl>
      <w:tblPr>
        <w:tblStyle w:val="5"/>
        <w:tblW w:w="13540" w:type="dxa"/>
        <w:tblInd w:w="93" w:type="dxa"/>
        <w:tblLayout w:type="fixed"/>
        <w:tblCellMar>
          <w:top w:w="0" w:type="dxa"/>
          <w:left w:w="108" w:type="dxa"/>
          <w:bottom w:w="0" w:type="dxa"/>
          <w:right w:w="108" w:type="dxa"/>
        </w:tblCellMar>
      </w:tblPr>
      <w:tblGrid>
        <w:gridCol w:w="990"/>
        <w:gridCol w:w="990"/>
        <w:gridCol w:w="3420"/>
        <w:gridCol w:w="420"/>
        <w:gridCol w:w="1302"/>
        <w:gridCol w:w="1778"/>
        <w:gridCol w:w="1177"/>
        <w:gridCol w:w="780"/>
        <w:gridCol w:w="1140"/>
        <w:gridCol w:w="1543"/>
      </w:tblGrid>
      <w:tr w14:paraId="6D568738">
        <w:tblPrEx>
          <w:tblCellMar>
            <w:top w:w="0" w:type="dxa"/>
            <w:left w:w="108" w:type="dxa"/>
            <w:bottom w:w="0" w:type="dxa"/>
            <w:right w:w="108" w:type="dxa"/>
          </w:tblCellMar>
        </w:tblPrEx>
        <w:trPr>
          <w:trHeight w:val="510" w:hRule="atLeast"/>
        </w:trPr>
        <w:tc>
          <w:tcPr>
            <w:tcW w:w="13540" w:type="dxa"/>
            <w:gridSpan w:val="10"/>
            <w:tcBorders>
              <w:tl2br w:val="nil"/>
              <w:tr2bl w:val="nil"/>
            </w:tcBorders>
            <w:noWrap/>
            <w:vAlign w:val="center"/>
          </w:tcPr>
          <w:p w14:paraId="6D2CB1C5">
            <w:pPr>
              <w:keepNext w:val="0"/>
              <w:keepLines w:val="0"/>
              <w:pageBreakBefore w:val="0"/>
              <w:kinsoku/>
              <w:wordWrap/>
              <w:overflowPunct/>
              <w:topLinePunct w:val="0"/>
              <w:autoSpaceDE/>
              <w:autoSpaceDN/>
              <w:bidi w:val="0"/>
              <w:adjustRightInd/>
              <w:snapToGrid/>
              <w:spacing w:line="240" w:lineRule="auto"/>
              <w:ind w:firstLine="560" w:firstLineChars="200"/>
              <w:textAlignment w:val="auto"/>
              <w:outlineLvl w:val="0"/>
              <w:rPr>
                <w:b/>
                <w:bCs/>
                <w:kern w:val="0"/>
                <w:sz w:val="40"/>
                <w:szCs w:val="40"/>
              </w:rPr>
            </w:pPr>
            <w:r>
              <w:rPr>
                <w:rFonts w:hint="eastAsia" w:ascii="仿宋" w:hAnsi="仿宋" w:eastAsia="仿宋" w:cs="仿宋"/>
                <w:kern w:val="0"/>
                <w:sz w:val="28"/>
                <w:szCs w:val="28"/>
              </w:rPr>
              <w:t>附件</w:t>
            </w:r>
            <w:r>
              <w:rPr>
                <w:rFonts w:hint="eastAsia" w:eastAsia="黑体"/>
                <w:kern w:val="0"/>
                <w:sz w:val="32"/>
                <w:szCs w:val="32"/>
              </w:rPr>
              <w:t xml:space="preserve">                      </w:t>
            </w:r>
            <w:r>
              <w:rPr>
                <w:rFonts w:hint="eastAsia" w:ascii="仿宋_GB2312" w:hAnsi="宋体" w:eastAsia="仿宋_GB2312" w:cs="仿宋_GB2312"/>
                <w:b/>
                <w:bCs/>
                <w:sz w:val="32"/>
                <w:szCs w:val="32"/>
              </w:rPr>
              <w:t>特种设备事故应急流程图</w:t>
            </w:r>
          </w:p>
        </w:tc>
      </w:tr>
      <w:tr w14:paraId="1740B960">
        <w:tblPrEx>
          <w:tblCellMar>
            <w:top w:w="0" w:type="dxa"/>
            <w:left w:w="108" w:type="dxa"/>
            <w:bottom w:w="0" w:type="dxa"/>
            <w:right w:w="108" w:type="dxa"/>
          </w:tblCellMar>
        </w:tblPrEx>
        <w:trPr>
          <w:trHeight w:val="90" w:hRule="exact"/>
        </w:trPr>
        <w:tc>
          <w:tcPr>
            <w:tcW w:w="990" w:type="dxa"/>
            <w:tcBorders>
              <w:tl2br w:val="nil"/>
              <w:tr2bl w:val="nil"/>
            </w:tcBorders>
            <w:noWrap/>
            <w:vAlign w:val="center"/>
          </w:tcPr>
          <w:p w14:paraId="0A6E26A3">
            <w:pPr>
              <w:keepNext w:val="0"/>
              <w:keepLines w:val="0"/>
              <w:pageBreakBefore w:val="0"/>
              <w:widowControl/>
              <w:kinsoku/>
              <w:wordWrap/>
              <w:overflowPunct/>
              <w:topLinePunct w:val="0"/>
              <w:autoSpaceDE/>
              <w:autoSpaceDN/>
              <w:bidi w:val="0"/>
              <w:adjustRightInd/>
              <w:snapToGrid/>
              <w:spacing w:line="240" w:lineRule="auto"/>
              <w:jc w:val="center"/>
              <w:textAlignment w:val="auto"/>
              <w:rPr>
                <w:b/>
                <w:bCs/>
                <w:kern w:val="0"/>
                <w:sz w:val="40"/>
                <w:szCs w:val="40"/>
              </w:rPr>
            </w:pPr>
          </w:p>
        </w:tc>
        <w:tc>
          <w:tcPr>
            <w:tcW w:w="990" w:type="dxa"/>
            <w:tcBorders>
              <w:tl2br w:val="nil"/>
              <w:tr2bl w:val="nil"/>
            </w:tcBorders>
            <w:noWrap/>
            <w:vAlign w:val="center"/>
          </w:tcPr>
          <w:p w14:paraId="4E49B7BF">
            <w:pPr>
              <w:keepNext w:val="0"/>
              <w:keepLines w:val="0"/>
              <w:pageBreakBefore w:val="0"/>
              <w:widowControl/>
              <w:kinsoku/>
              <w:wordWrap/>
              <w:overflowPunct/>
              <w:topLinePunct w:val="0"/>
              <w:autoSpaceDE/>
              <w:autoSpaceDN/>
              <w:bidi w:val="0"/>
              <w:adjustRightInd/>
              <w:snapToGrid/>
              <w:spacing w:line="240" w:lineRule="auto"/>
              <w:jc w:val="center"/>
              <w:textAlignment w:val="auto"/>
              <w:rPr>
                <w:b/>
                <w:bCs/>
                <w:kern w:val="0"/>
                <w:sz w:val="40"/>
                <w:szCs w:val="40"/>
              </w:rPr>
            </w:pPr>
          </w:p>
        </w:tc>
        <w:tc>
          <w:tcPr>
            <w:tcW w:w="3420" w:type="dxa"/>
            <w:tcBorders>
              <w:tl2br w:val="nil"/>
              <w:tr2bl w:val="nil"/>
            </w:tcBorders>
            <w:noWrap/>
            <w:vAlign w:val="center"/>
          </w:tcPr>
          <w:p w14:paraId="48AA1C79">
            <w:pPr>
              <w:keepNext w:val="0"/>
              <w:keepLines w:val="0"/>
              <w:pageBreakBefore w:val="0"/>
              <w:widowControl/>
              <w:kinsoku/>
              <w:wordWrap/>
              <w:overflowPunct/>
              <w:topLinePunct w:val="0"/>
              <w:autoSpaceDE/>
              <w:autoSpaceDN/>
              <w:bidi w:val="0"/>
              <w:adjustRightInd/>
              <w:snapToGrid/>
              <w:spacing w:line="240" w:lineRule="auto"/>
              <w:jc w:val="center"/>
              <w:textAlignment w:val="auto"/>
              <w:rPr>
                <w:b/>
                <w:bCs/>
                <w:kern w:val="0"/>
                <w:sz w:val="40"/>
                <w:szCs w:val="40"/>
              </w:rPr>
            </w:pPr>
          </w:p>
        </w:tc>
        <w:tc>
          <w:tcPr>
            <w:tcW w:w="420" w:type="dxa"/>
            <w:tcBorders>
              <w:tl2br w:val="nil"/>
              <w:tr2bl w:val="nil"/>
            </w:tcBorders>
            <w:noWrap/>
            <w:vAlign w:val="center"/>
          </w:tcPr>
          <w:p w14:paraId="6DECDE50">
            <w:pPr>
              <w:keepNext w:val="0"/>
              <w:keepLines w:val="0"/>
              <w:pageBreakBefore w:val="0"/>
              <w:widowControl/>
              <w:kinsoku/>
              <w:wordWrap/>
              <w:overflowPunct/>
              <w:topLinePunct w:val="0"/>
              <w:autoSpaceDE/>
              <w:autoSpaceDN/>
              <w:bidi w:val="0"/>
              <w:adjustRightInd/>
              <w:snapToGrid/>
              <w:spacing w:line="240" w:lineRule="auto"/>
              <w:jc w:val="center"/>
              <w:textAlignment w:val="auto"/>
              <w:rPr>
                <w:b/>
                <w:bCs/>
                <w:kern w:val="0"/>
                <w:sz w:val="40"/>
                <w:szCs w:val="40"/>
              </w:rPr>
            </w:pPr>
          </w:p>
        </w:tc>
        <w:tc>
          <w:tcPr>
            <w:tcW w:w="1302" w:type="dxa"/>
            <w:tcBorders>
              <w:tl2br w:val="nil"/>
              <w:tr2bl w:val="nil"/>
            </w:tcBorders>
            <w:noWrap/>
            <w:vAlign w:val="center"/>
          </w:tcPr>
          <w:p w14:paraId="7E3EF814">
            <w:pPr>
              <w:keepNext w:val="0"/>
              <w:keepLines w:val="0"/>
              <w:pageBreakBefore w:val="0"/>
              <w:widowControl/>
              <w:kinsoku/>
              <w:wordWrap/>
              <w:overflowPunct/>
              <w:topLinePunct w:val="0"/>
              <w:autoSpaceDE/>
              <w:autoSpaceDN/>
              <w:bidi w:val="0"/>
              <w:adjustRightInd/>
              <w:snapToGrid/>
              <w:spacing w:line="240" w:lineRule="auto"/>
              <w:jc w:val="center"/>
              <w:textAlignment w:val="auto"/>
              <w:rPr>
                <w:b/>
                <w:bCs/>
                <w:kern w:val="0"/>
                <w:sz w:val="40"/>
                <w:szCs w:val="40"/>
              </w:rPr>
            </w:pPr>
          </w:p>
        </w:tc>
        <w:tc>
          <w:tcPr>
            <w:tcW w:w="1778" w:type="dxa"/>
            <w:tcBorders>
              <w:bottom w:val="single" w:color="auto" w:sz="4" w:space="0"/>
              <w:tl2br w:val="nil"/>
              <w:tr2bl w:val="nil"/>
            </w:tcBorders>
            <w:noWrap/>
            <w:vAlign w:val="center"/>
          </w:tcPr>
          <w:p w14:paraId="74FDB21A">
            <w:pPr>
              <w:keepNext w:val="0"/>
              <w:keepLines w:val="0"/>
              <w:pageBreakBefore w:val="0"/>
              <w:widowControl/>
              <w:kinsoku/>
              <w:wordWrap/>
              <w:overflowPunct/>
              <w:topLinePunct w:val="0"/>
              <w:autoSpaceDE/>
              <w:autoSpaceDN/>
              <w:bidi w:val="0"/>
              <w:adjustRightInd/>
              <w:snapToGrid/>
              <w:spacing w:line="240" w:lineRule="auto"/>
              <w:jc w:val="center"/>
              <w:textAlignment w:val="auto"/>
              <w:rPr>
                <w:b/>
                <w:bCs/>
                <w:kern w:val="0"/>
                <w:sz w:val="40"/>
                <w:szCs w:val="40"/>
              </w:rPr>
            </w:pPr>
          </w:p>
        </w:tc>
        <w:tc>
          <w:tcPr>
            <w:tcW w:w="1177" w:type="dxa"/>
            <w:tcBorders>
              <w:bottom w:val="single" w:color="auto" w:sz="4" w:space="0"/>
              <w:tl2br w:val="nil"/>
              <w:tr2bl w:val="nil"/>
            </w:tcBorders>
            <w:noWrap/>
            <w:vAlign w:val="center"/>
          </w:tcPr>
          <w:p w14:paraId="09C9D255">
            <w:pPr>
              <w:keepNext w:val="0"/>
              <w:keepLines w:val="0"/>
              <w:pageBreakBefore w:val="0"/>
              <w:widowControl/>
              <w:kinsoku/>
              <w:wordWrap/>
              <w:overflowPunct/>
              <w:topLinePunct w:val="0"/>
              <w:autoSpaceDE/>
              <w:autoSpaceDN/>
              <w:bidi w:val="0"/>
              <w:adjustRightInd/>
              <w:snapToGrid/>
              <w:spacing w:line="240" w:lineRule="auto"/>
              <w:jc w:val="center"/>
              <w:textAlignment w:val="auto"/>
              <w:rPr>
                <w:b/>
                <w:bCs/>
                <w:kern w:val="0"/>
                <w:sz w:val="40"/>
                <w:szCs w:val="40"/>
              </w:rPr>
            </w:pPr>
          </w:p>
        </w:tc>
        <w:tc>
          <w:tcPr>
            <w:tcW w:w="780" w:type="dxa"/>
            <w:tcBorders>
              <w:tl2br w:val="nil"/>
              <w:tr2bl w:val="nil"/>
            </w:tcBorders>
            <w:noWrap/>
            <w:vAlign w:val="center"/>
          </w:tcPr>
          <w:p w14:paraId="7C442616">
            <w:pPr>
              <w:keepNext w:val="0"/>
              <w:keepLines w:val="0"/>
              <w:pageBreakBefore w:val="0"/>
              <w:widowControl/>
              <w:kinsoku/>
              <w:wordWrap/>
              <w:overflowPunct/>
              <w:topLinePunct w:val="0"/>
              <w:autoSpaceDE/>
              <w:autoSpaceDN/>
              <w:bidi w:val="0"/>
              <w:adjustRightInd/>
              <w:snapToGrid/>
              <w:spacing w:line="240" w:lineRule="auto"/>
              <w:jc w:val="center"/>
              <w:textAlignment w:val="auto"/>
              <w:rPr>
                <w:b/>
                <w:bCs/>
                <w:kern w:val="0"/>
                <w:sz w:val="40"/>
                <w:szCs w:val="40"/>
              </w:rPr>
            </w:pPr>
          </w:p>
        </w:tc>
        <w:tc>
          <w:tcPr>
            <w:tcW w:w="1140" w:type="dxa"/>
            <w:tcBorders>
              <w:tl2br w:val="nil"/>
              <w:tr2bl w:val="nil"/>
            </w:tcBorders>
            <w:noWrap/>
            <w:vAlign w:val="center"/>
          </w:tcPr>
          <w:p w14:paraId="314899C0">
            <w:pPr>
              <w:keepNext w:val="0"/>
              <w:keepLines w:val="0"/>
              <w:pageBreakBefore w:val="0"/>
              <w:widowControl/>
              <w:kinsoku/>
              <w:wordWrap/>
              <w:overflowPunct/>
              <w:topLinePunct w:val="0"/>
              <w:autoSpaceDE/>
              <w:autoSpaceDN/>
              <w:bidi w:val="0"/>
              <w:adjustRightInd/>
              <w:snapToGrid/>
              <w:spacing w:line="240" w:lineRule="auto"/>
              <w:jc w:val="center"/>
              <w:textAlignment w:val="auto"/>
              <w:rPr>
                <w:b/>
                <w:bCs/>
                <w:kern w:val="0"/>
                <w:sz w:val="40"/>
                <w:szCs w:val="40"/>
              </w:rPr>
            </w:pPr>
          </w:p>
        </w:tc>
        <w:tc>
          <w:tcPr>
            <w:tcW w:w="1543" w:type="dxa"/>
            <w:tcBorders>
              <w:tl2br w:val="nil"/>
              <w:tr2bl w:val="nil"/>
            </w:tcBorders>
            <w:noWrap/>
            <w:vAlign w:val="center"/>
          </w:tcPr>
          <w:p w14:paraId="33712FE7">
            <w:pPr>
              <w:keepNext w:val="0"/>
              <w:keepLines w:val="0"/>
              <w:pageBreakBefore w:val="0"/>
              <w:widowControl/>
              <w:kinsoku/>
              <w:wordWrap/>
              <w:overflowPunct/>
              <w:topLinePunct w:val="0"/>
              <w:autoSpaceDE/>
              <w:autoSpaceDN/>
              <w:bidi w:val="0"/>
              <w:adjustRightInd/>
              <w:snapToGrid/>
              <w:spacing w:line="240" w:lineRule="auto"/>
              <w:jc w:val="center"/>
              <w:textAlignment w:val="auto"/>
              <w:rPr>
                <w:b/>
                <w:bCs/>
                <w:kern w:val="0"/>
                <w:sz w:val="40"/>
                <w:szCs w:val="40"/>
              </w:rPr>
            </w:pPr>
          </w:p>
        </w:tc>
      </w:tr>
      <w:tr w14:paraId="5A1DEE0C">
        <w:tblPrEx>
          <w:tblCellMar>
            <w:top w:w="0" w:type="dxa"/>
            <w:left w:w="108" w:type="dxa"/>
            <w:bottom w:w="0" w:type="dxa"/>
            <w:right w:w="108" w:type="dxa"/>
          </w:tblCellMar>
        </w:tblPrEx>
        <w:trPr>
          <w:trHeight w:val="755" w:hRule="atLeast"/>
        </w:trPr>
        <w:tc>
          <w:tcPr>
            <w:tcW w:w="990" w:type="dxa"/>
            <w:tcBorders>
              <w:tl2br w:val="nil"/>
              <w:tr2bl w:val="nil"/>
            </w:tcBorders>
            <w:noWrap/>
            <w:vAlign w:val="center"/>
          </w:tcPr>
          <w:p w14:paraId="3FE3E9AF">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990" w:type="dxa"/>
            <w:tcBorders>
              <w:tl2br w:val="nil"/>
              <w:tr2bl w:val="nil"/>
            </w:tcBorders>
            <w:noWrap/>
            <w:vAlign w:val="center"/>
          </w:tcPr>
          <w:p w14:paraId="7AB5AD6E">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3420" w:type="dxa"/>
            <w:tcBorders>
              <w:tl2br w:val="nil"/>
              <w:tr2bl w:val="nil"/>
            </w:tcBorders>
            <w:noWrap/>
            <w:vAlign w:val="center"/>
          </w:tcPr>
          <w:p w14:paraId="59E5EBAB">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tl2br w:val="nil"/>
              <w:tr2bl w:val="nil"/>
            </w:tcBorders>
            <w:noWrap/>
            <w:vAlign w:val="center"/>
          </w:tcPr>
          <w:p w14:paraId="219E0ECE">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right w:val="single" w:color="auto" w:sz="4" w:space="0"/>
              <w:tl2br w:val="nil"/>
              <w:tr2bl w:val="nil"/>
            </w:tcBorders>
            <w:noWrap/>
            <w:vAlign w:val="center"/>
          </w:tcPr>
          <w:p w14:paraId="5B000E3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955" w:type="dxa"/>
            <w:gridSpan w:val="2"/>
            <w:tcBorders>
              <w:top w:val="single" w:color="auto" w:sz="4" w:space="0"/>
              <w:left w:val="single" w:color="auto" w:sz="4" w:space="0"/>
              <w:bottom w:val="single" w:color="auto" w:sz="4" w:space="0"/>
              <w:right w:val="single" w:color="auto" w:sz="4" w:space="0"/>
            </w:tcBorders>
            <w:vAlign w:val="center"/>
          </w:tcPr>
          <w:p w14:paraId="72F459C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eastAsia="宋体"/>
                <w:kern w:val="0"/>
                <w:sz w:val="24"/>
              </w:rPr>
            </w:pPr>
            <w:r>
              <w:rPr>
                <w:kern w:val="0"/>
                <w:sz w:val="24"/>
              </w:rPr>
              <w:t>市场监管所</w:t>
            </w:r>
          </w:p>
          <w:p w14:paraId="5F6EB363">
            <w:pPr>
              <w:keepNext w:val="0"/>
              <w:keepLines w:val="0"/>
              <w:pageBreakBefore w:val="0"/>
              <w:widowControl/>
              <w:kinsoku/>
              <w:wordWrap/>
              <w:overflowPunct/>
              <w:topLinePunct w:val="0"/>
              <w:autoSpaceDE/>
              <w:autoSpaceDN/>
              <w:bidi w:val="0"/>
              <w:adjustRightInd/>
              <w:snapToGrid/>
              <w:spacing w:line="240" w:lineRule="auto"/>
              <w:jc w:val="center"/>
              <w:textAlignment w:val="auto"/>
              <w:rPr>
                <w:kern w:val="0"/>
                <w:sz w:val="24"/>
              </w:rPr>
            </w:pPr>
            <w:r>
              <w:rPr>
                <w:kern w:val="0"/>
                <w:sz w:val="24"/>
              </w:rPr>
              <w:t>接到特种设备事故报告</w:t>
            </w:r>
          </w:p>
        </w:tc>
        <w:tc>
          <w:tcPr>
            <w:tcW w:w="780" w:type="dxa"/>
            <w:tcBorders>
              <w:left w:val="single" w:color="auto" w:sz="4" w:space="0"/>
              <w:tl2br w:val="nil"/>
              <w:tr2bl w:val="nil"/>
            </w:tcBorders>
            <w:noWrap/>
            <w:vAlign w:val="center"/>
          </w:tcPr>
          <w:p w14:paraId="0014A8D1">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140" w:type="dxa"/>
            <w:tcBorders>
              <w:tl2br w:val="nil"/>
              <w:tr2bl w:val="nil"/>
            </w:tcBorders>
            <w:noWrap/>
            <w:vAlign w:val="center"/>
          </w:tcPr>
          <w:p w14:paraId="401390D0">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543" w:type="dxa"/>
            <w:tcBorders>
              <w:tl2br w:val="nil"/>
              <w:tr2bl w:val="nil"/>
            </w:tcBorders>
            <w:noWrap/>
            <w:vAlign w:val="center"/>
          </w:tcPr>
          <w:p w14:paraId="44F1CB2E">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23DE996E">
        <w:tblPrEx>
          <w:tblCellMar>
            <w:top w:w="0" w:type="dxa"/>
            <w:left w:w="108" w:type="dxa"/>
            <w:bottom w:w="0" w:type="dxa"/>
            <w:right w:w="108" w:type="dxa"/>
          </w:tblCellMar>
        </w:tblPrEx>
        <w:trPr>
          <w:trHeight w:val="260" w:hRule="exact"/>
        </w:trPr>
        <w:tc>
          <w:tcPr>
            <w:tcW w:w="990" w:type="dxa"/>
            <w:tcBorders>
              <w:tl2br w:val="nil"/>
              <w:tr2bl w:val="nil"/>
            </w:tcBorders>
            <w:noWrap/>
            <w:vAlign w:val="center"/>
          </w:tcPr>
          <w:p w14:paraId="3FFA408D">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990" w:type="dxa"/>
            <w:tcBorders>
              <w:tl2br w:val="nil"/>
              <w:tr2bl w:val="nil"/>
            </w:tcBorders>
            <w:noWrap/>
            <w:vAlign w:val="center"/>
          </w:tcPr>
          <w:p w14:paraId="00492AA2">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3420" w:type="dxa"/>
            <w:tcBorders>
              <w:bottom w:val="single" w:color="auto" w:sz="4" w:space="0"/>
              <w:tl2br w:val="nil"/>
              <w:tr2bl w:val="nil"/>
            </w:tcBorders>
            <w:noWrap/>
            <w:vAlign w:val="center"/>
          </w:tcPr>
          <w:p w14:paraId="4D7D85CD">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bottom w:val="single" w:color="auto" w:sz="4" w:space="0"/>
              <w:tl2br w:val="nil"/>
              <w:tr2bl w:val="nil"/>
            </w:tcBorders>
            <w:noWrap/>
            <w:vAlign w:val="center"/>
          </w:tcPr>
          <w:p w14:paraId="0D53706D">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bottom w:val="single" w:color="auto" w:sz="4" w:space="0"/>
              <w:tl2br w:val="nil"/>
              <w:tr2bl w:val="nil"/>
            </w:tcBorders>
            <w:noWrap/>
            <w:vAlign w:val="center"/>
          </w:tcPr>
          <w:p w14:paraId="59B1BE34">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778" w:type="dxa"/>
            <w:tcBorders>
              <w:top w:val="single" w:color="auto" w:sz="4" w:space="0"/>
              <w:bottom w:val="single" w:color="auto" w:sz="4" w:space="0"/>
              <w:right w:val="nil"/>
            </w:tcBorders>
            <w:noWrap/>
            <w:vAlign w:val="center"/>
          </w:tcPr>
          <w:p w14:paraId="28FDF022">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1177" w:type="dxa"/>
            <w:tcBorders>
              <w:top w:val="single" w:color="auto" w:sz="4" w:space="0"/>
              <w:left w:val="nil"/>
              <w:tl2br w:val="nil"/>
              <w:tr2bl w:val="nil"/>
            </w:tcBorders>
            <w:noWrap/>
            <w:vAlign w:val="center"/>
          </w:tcPr>
          <w:p w14:paraId="15BB08B6">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sz w:val="24"/>
              </w:rPr>
              <mc:AlternateContent>
                <mc:Choice Requires="wps">
                  <w:drawing>
                    <wp:anchor distT="0" distB="0" distL="114300" distR="114300" simplePos="0" relativeHeight="251661312" behindDoc="0" locked="0" layoutInCell="1" allowOverlap="1">
                      <wp:simplePos x="0" y="0"/>
                      <wp:positionH relativeFrom="column">
                        <wp:posOffset>-64135</wp:posOffset>
                      </wp:positionH>
                      <wp:positionV relativeFrom="paragraph">
                        <wp:posOffset>16510</wp:posOffset>
                      </wp:positionV>
                      <wp:extent cx="635" cy="361950"/>
                      <wp:effectExtent l="48895" t="0" r="64770" b="0"/>
                      <wp:wrapNone/>
                      <wp:docPr id="13" name="直接连接符 13"/>
                      <wp:cNvGraphicFramePr/>
                      <a:graphic xmlns:a="http://schemas.openxmlformats.org/drawingml/2006/main">
                        <a:graphicData uri="http://schemas.microsoft.com/office/word/2010/wordprocessingShape">
                          <wps:wsp>
                            <wps:cNvCnPr/>
                            <wps:spPr>
                              <a:xfrm>
                                <a:off x="0" y="0"/>
                                <a:ext cx="635" cy="361950"/>
                              </a:xfrm>
                              <a:prstGeom prst="line">
                                <a:avLst/>
                              </a:prstGeom>
                              <a:ln w="9525" cap="flat" cmpd="sng">
                                <a:solidFill>
                                  <a:srgbClr val="000000"/>
                                </a:solidFill>
                                <a:prstDash val="solid"/>
                                <a:headEnd type="none" w="med" len="med"/>
                                <a:tailEnd type="arrow" w="med" len="med"/>
                              </a:ln>
                            </wps:spPr>
                            <wps:bodyPr/>
                          </wps:wsp>
                        </a:graphicData>
                      </a:graphic>
                    </wp:anchor>
                  </w:drawing>
                </mc:Choice>
                <mc:Fallback>
                  <w:pict>
                    <v:line id="_x0000_s1026" o:spid="_x0000_s1026" o:spt="20" style="position:absolute;left:0pt;margin-left:-5.05pt;margin-top:1.3pt;height:28.5pt;width:0.05pt;z-index:251661312;mso-width-relative:page;mso-height-relative:page;" filled="f" stroked="t" coordsize="21600,21600" o:gfxdata="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rt5PI1wAAAAgBAAAPAAAAAAAAAAEAIAAAACIAAABkcnMvZG93bnJldi54bWxQSwEC&#10;FAAUAAAACACHTuJAroP/P/UBAADcAwAADgAAAAAAAAABACAAAAAmAQAAZHJzL2Uyb0RvYy54bWxQ&#10;SwUGAAAAAAYABgBZAQAAjQUAAAAA&#10;">
                      <v:fill on="f" focussize="0,0"/>
                      <v:stroke color="#000000" joinstyle="round" endarrow="open"/>
                      <v:imagedata o:title=""/>
                      <o:lock v:ext="edit" aspectratio="f"/>
                    </v:line>
                  </w:pict>
                </mc:Fallback>
              </mc:AlternateContent>
            </w:r>
          </w:p>
        </w:tc>
        <w:tc>
          <w:tcPr>
            <w:tcW w:w="780" w:type="dxa"/>
            <w:tcBorders>
              <w:tl2br w:val="nil"/>
              <w:tr2bl w:val="nil"/>
            </w:tcBorders>
            <w:noWrap/>
            <w:vAlign w:val="center"/>
          </w:tcPr>
          <w:p w14:paraId="6E2CC9A2">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140" w:type="dxa"/>
            <w:tcBorders>
              <w:tl2br w:val="nil"/>
              <w:tr2bl w:val="nil"/>
            </w:tcBorders>
            <w:noWrap/>
            <w:vAlign w:val="center"/>
          </w:tcPr>
          <w:p w14:paraId="331497FB">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543" w:type="dxa"/>
            <w:tcBorders>
              <w:tl2br w:val="nil"/>
              <w:tr2bl w:val="nil"/>
            </w:tcBorders>
            <w:noWrap/>
            <w:vAlign w:val="center"/>
          </w:tcPr>
          <w:p w14:paraId="3E43BE52">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30E2F065">
        <w:tblPrEx>
          <w:tblCellMar>
            <w:top w:w="0" w:type="dxa"/>
            <w:left w:w="108" w:type="dxa"/>
            <w:bottom w:w="0" w:type="dxa"/>
            <w:right w:w="108" w:type="dxa"/>
          </w:tblCellMar>
        </w:tblPrEx>
        <w:trPr>
          <w:trHeight w:val="320" w:hRule="exact"/>
        </w:trPr>
        <w:tc>
          <w:tcPr>
            <w:tcW w:w="990" w:type="dxa"/>
            <w:tcBorders>
              <w:tl2br w:val="nil"/>
              <w:tr2bl w:val="nil"/>
            </w:tcBorders>
            <w:noWrap/>
            <w:vAlign w:val="center"/>
          </w:tcPr>
          <w:p w14:paraId="3BF807D9">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990" w:type="dxa"/>
            <w:tcBorders>
              <w:bottom w:val="single" w:color="auto" w:sz="4" w:space="0"/>
              <w:tl2br w:val="nil"/>
              <w:tr2bl w:val="nil"/>
            </w:tcBorders>
            <w:noWrap/>
            <w:vAlign w:val="center"/>
          </w:tcPr>
          <w:p w14:paraId="691B0A12">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3420" w:type="dxa"/>
            <w:tcBorders>
              <w:top w:val="single" w:color="auto" w:sz="4" w:space="0"/>
              <w:bottom w:val="single" w:color="auto" w:sz="4" w:space="0"/>
            </w:tcBorders>
            <w:noWrap/>
            <w:vAlign w:val="center"/>
          </w:tcPr>
          <w:p w14:paraId="0033B1F1">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sz w:val="24"/>
              </w:rPr>
              <mc:AlternateContent>
                <mc:Choice Requires="wps">
                  <w:drawing>
                    <wp:anchor distT="0" distB="0" distL="114300" distR="114300" simplePos="0" relativeHeight="251662336" behindDoc="0" locked="0" layoutInCell="1" allowOverlap="1">
                      <wp:simplePos x="0" y="0"/>
                      <wp:positionH relativeFrom="column">
                        <wp:posOffset>-60960</wp:posOffset>
                      </wp:positionH>
                      <wp:positionV relativeFrom="paragraph">
                        <wp:posOffset>3810</wp:posOffset>
                      </wp:positionV>
                      <wp:extent cx="635" cy="209550"/>
                      <wp:effectExtent l="48895" t="0" r="64770" b="0"/>
                      <wp:wrapNone/>
                      <wp:docPr id="12" name="直接连接符 12"/>
                      <wp:cNvGraphicFramePr/>
                      <a:graphic xmlns:a="http://schemas.openxmlformats.org/drawingml/2006/main">
                        <a:graphicData uri="http://schemas.microsoft.com/office/word/2010/wordprocessingShape">
                          <wps:wsp>
                            <wps:cNvCnPr/>
                            <wps:spPr>
                              <a:xfrm>
                                <a:off x="0" y="0"/>
                                <a:ext cx="635" cy="209550"/>
                              </a:xfrm>
                              <a:prstGeom prst="line">
                                <a:avLst/>
                              </a:prstGeom>
                              <a:ln w="9525" cap="flat" cmpd="sng">
                                <a:solidFill>
                                  <a:srgbClr val="000000"/>
                                </a:solidFill>
                                <a:prstDash val="solid"/>
                                <a:headEnd type="none" w="med" len="med"/>
                                <a:tailEnd type="arrow" w="med" len="med"/>
                              </a:ln>
                            </wps:spPr>
                            <wps:bodyPr/>
                          </wps:wsp>
                        </a:graphicData>
                      </a:graphic>
                    </wp:anchor>
                  </w:drawing>
                </mc:Choice>
                <mc:Fallback>
                  <w:pict>
                    <v:line id="_x0000_s1026" o:spid="_x0000_s1026" o:spt="20" style="position:absolute;left:0pt;margin-left:-4.8pt;margin-top:0.3pt;height:16.5pt;width:0.05pt;z-index:251662336;mso-width-relative:page;mso-height-relative:page;" filled="f" stroked="t" coordsize="21600,21600" o:gfxdata="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4Qaq01wAAAAUBAAAPAAAAAAAAAAEAIAAAACIAAABkcnMvZG93bnJldi54bWxQSwEC&#10;FAAUAAAACACHTuJAoVGg8PUBAADcAwAADgAAAAAAAAABACAAAAAmAQAAZHJzL2Uyb0RvYy54bWxQ&#10;SwUGAAAAAAYABgBZAQAAjQUAAAAA&#10;">
                      <v:fill on="f" focussize="0,0"/>
                      <v:stroke color="#000000" joinstyle="round" endarrow="open"/>
                      <v:imagedata o:title=""/>
                      <o:lock v:ext="edit" aspectratio="f"/>
                    </v:line>
                  </w:pict>
                </mc:Fallback>
              </mc:AlternateContent>
            </w:r>
          </w:p>
        </w:tc>
        <w:tc>
          <w:tcPr>
            <w:tcW w:w="420" w:type="dxa"/>
            <w:tcBorders>
              <w:top w:val="single" w:color="auto" w:sz="4" w:space="0"/>
            </w:tcBorders>
            <w:noWrap/>
            <w:vAlign w:val="center"/>
          </w:tcPr>
          <w:p w14:paraId="12B8E9B8">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top w:val="single" w:color="auto" w:sz="4" w:space="0"/>
            </w:tcBorders>
            <w:noWrap/>
            <w:vAlign w:val="center"/>
          </w:tcPr>
          <w:p w14:paraId="3D1030C1">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778" w:type="dxa"/>
            <w:tcBorders>
              <w:top w:val="single" w:color="auto" w:sz="4" w:space="0"/>
              <w:bottom w:val="single" w:color="auto" w:sz="4" w:space="0"/>
            </w:tcBorders>
            <w:noWrap/>
            <w:vAlign w:val="center"/>
          </w:tcPr>
          <w:p w14:paraId="3E392244">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177" w:type="dxa"/>
            <w:tcBorders>
              <w:bottom w:val="single" w:color="auto" w:sz="4" w:space="0"/>
              <w:tl2br w:val="nil"/>
              <w:tr2bl w:val="nil"/>
            </w:tcBorders>
            <w:noWrap/>
            <w:vAlign w:val="center"/>
          </w:tcPr>
          <w:p w14:paraId="414E8B4D">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780" w:type="dxa"/>
            <w:tcBorders>
              <w:tl2br w:val="nil"/>
              <w:tr2bl w:val="nil"/>
            </w:tcBorders>
            <w:noWrap/>
            <w:vAlign w:val="center"/>
          </w:tcPr>
          <w:p w14:paraId="258CBA10">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140" w:type="dxa"/>
            <w:tcBorders>
              <w:bottom w:val="single" w:color="000000" w:sz="4" w:space="0"/>
              <w:tl2br w:val="nil"/>
              <w:tr2bl w:val="nil"/>
            </w:tcBorders>
            <w:noWrap/>
            <w:vAlign w:val="center"/>
          </w:tcPr>
          <w:p w14:paraId="31924A2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543" w:type="dxa"/>
            <w:tcBorders>
              <w:bottom w:val="single" w:color="000000" w:sz="4" w:space="0"/>
              <w:tl2br w:val="nil"/>
              <w:tr2bl w:val="nil"/>
            </w:tcBorders>
            <w:noWrap/>
            <w:vAlign w:val="center"/>
          </w:tcPr>
          <w:p w14:paraId="78EE5D60">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417AC2D0">
        <w:tblPrEx>
          <w:tblCellMar>
            <w:top w:w="0" w:type="dxa"/>
            <w:left w:w="108" w:type="dxa"/>
            <w:bottom w:w="0" w:type="dxa"/>
            <w:right w:w="108" w:type="dxa"/>
          </w:tblCellMar>
        </w:tblPrEx>
        <w:trPr>
          <w:trHeight w:val="197" w:hRule="exact"/>
        </w:trPr>
        <w:tc>
          <w:tcPr>
            <w:tcW w:w="990" w:type="dxa"/>
            <w:tcBorders>
              <w:right w:val="single" w:color="auto" w:sz="4" w:space="0"/>
              <w:tl2br w:val="nil"/>
              <w:tr2bl w:val="nil"/>
            </w:tcBorders>
            <w:noWrap/>
            <w:vAlign w:val="center"/>
          </w:tcPr>
          <w:p w14:paraId="3869FD5C">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restart"/>
            <w:tcBorders>
              <w:top w:val="single" w:color="auto" w:sz="4" w:space="0"/>
              <w:left w:val="single" w:color="auto" w:sz="4" w:space="0"/>
              <w:bottom w:val="single" w:color="auto" w:sz="4" w:space="0"/>
              <w:right w:val="single" w:color="auto" w:sz="4" w:space="0"/>
            </w:tcBorders>
            <w:vAlign w:val="center"/>
          </w:tcPr>
          <w:p w14:paraId="126CD8B8">
            <w:pPr>
              <w:keepNext w:val="0"/>
              <w:keepLines w:val="0"/>
              <w:pageBreakBefore w:val="0"/>
              <w:widowControl/>
              <w:kinsoku/>
              <w:wordWrap/>
              <w:overflowPunct/>
              <w:topLinePunct w:val="0"/>
              <w:autoSpaceDE/>
              <w:autoSpaceDN/>
              <w:bidi w:val="0"/>
              <w:adjustRightInd/>
              <w:snapToGrid/>
              <w:spacing w:line="240" w:lineRule="auto"/>
              <w:jc w:val="center"/>
              <w:textAlignment w:val="auto"/>
              <w:rPr>
                <w:kern w:val="0"/>
                <w:sz w:val="24"/>
              </w:rPr>
            </w:pPr>
            <w:r>
              <w:rPr>
                <w:kern w:val="0"/>
                <w:sz w:val="24"/>
              </w:rPr>
              <w:t>报告所在地乡（镇</w:t>
            </w:r>
            <w:r>
              <w:rPr>
                <w:rFonts w:hint="eastAsia"/>
                <w:kern w:val="0"/>
                <w:sz w:val="24"/>
              </w:rPr>
              <w:t>、开发区</w:t>
            </w:r>
            <w:r>
              <w:rPr>
                <w:kern w:val="0"/>
                <w:sz w:val="24"/>
              </w:rPr>
              <w:t>）</w:t>
            </w:r>
            <w:r>
              <w:rPr>
                <w:rFonts w:hint="eastAsia"/>
                <w:kern w:val="0"/>
                <w:sz w:val="24"/>
              </w:rPr>
              <w:t>政府</w:t>
            </w:r>
          </w:p>
        </w:tc>
        <w:tc>
          <w:tcPr>
            <w:tcW w:w="420" w:type="dxa"/>
            <w:tcBorders>
              <w:left w:val="single" w:color="auto" w:sz="4" w:space="0"/>
              <w:tl2br w:val="nil"/>
              <w:tr2bl w:val="nil"/>
            </w:tcBorders>
            <w:noWrap/>
            <w:vAlign w:val="center"/>
          </w:tcPr>
          <w:p w14:paraId="20D7F80A">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right w:val="single" w:color="auto" w:sz="4" w:space="0"/>
              <w:tl2br w:val="nil"/>
              <w:tr2bl w:val="nil"/>
            </w:tcBorders>
            <w:noWrap/>
            <w:vAlign w:val="center"/>
          </w:tcPr>
          <w:p w14:paraId="78AED592">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955" w:type="dxa"/>
            <w:gridSpan w:val="2"/>
            <w:vMerge w:val="restart"/>
            <w:tcBorders>
              <w:top w:val="single" w:color="auto" w:sz="4" w:space="0"/>
              <w:left w:val="single" w:color="auto" w:sz="4" w:space="0"/>
              <w:bottom w:val="single" w:color="auto" w:sz="4" w:space="0"/>
              <w:right w:val="single" w:color="auto" w:sz="4" w:space="0"/>
            </w:tcBorders>
            <w:noWrap/>
            <w:vAlign w:val="center"/>
          </w:tcPr>
          <w:p w14:paraId="4528D384">
            <w:pPr>
              <w:keepNext w:val="0"/>
              <w:keepLines w:val="0"/>
              <w:pageBreakBefore w:val="0"/>
              <w:widowControl/>
              <w:kinsoku/>
              <w:wordWrap/>
              <w:overflowPunct/>
              <w:topLinePunct w:val="0"/>
              <w:autoSpaceDE/>
              <w:autoSpaceDN/>
              <w:bidi w:val="0"/>
              <w:adjustRightInd/>
              <w:snapToGrid/>
              <w:spacing w:line="240" w:lineRule="auto"/>
              <w:jc w:val="center"/>
              <w:textAlignment w:val="auto"/>
              <w:rPr>
                <w:kern w:val="0"/>
                <w:sz w:val="24"/>
              </w:rPr>
            </w:pPr>
            <w:r>
              <w:rPr>
                <w:kern w:val="0"/>
                <w:sz w:val="24"/>
              </w:rPr>
              <w:t>报告县市场监管局</w:t>
            </w:r>
          </w:p>
        </w:tc>
        <w:tc>
          <w:tcPr>
            <w:tcW w:w="780" w:type="dxa"/>
            <w:tcBorders>
              <w:left w:val="single" w:color="auto" w:sz="4" w:space="0"/>
              <w:right w:val="single" w:color="000000" w:sz="4" w:space="0"/>
              <w:tl2br w:val="nil"/>
              <w:tr2bl w:val="nil"/>
            </w:tcBorders>
            <w:noWrap/>
            <w:vAlign w:val="center"/>
          </w:tcPr>
          <w:p w14:paraId="5C0B98D5">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2683" w:type="dxa"/>
            <w:gridSpan w:val="2"/>
            <w:vMerge w:val="restart"/>
            <w:tcBorders>
              <w:top w:val="single" w:color="000000" w:sz="4" w:space="0"/>
              <w:left w:val="single" w:color="000000" w:sz="4" w:space="0"/>
              <w:bottom w:val="single" w:color="000000" w:sz="4" w:space="0"/>
              <w:right w:val="single" w:color="000000" w:sz="4" w:space="0"/>
            </w:tcBorders>
            <w:noWrap/>
            <w:vAlign w:val="center"/>
          </w:tcPr>
          <w:p w14:paraId="24FE5C40">
            <w:pPr>
              <w:keepNext w:val="0"/>
              <w:keepLines w:val="0"/>
              <w:pageBreakBefore w:val="0"/>
              <w:widowControl/>
              <w:kinsoku/>
              <w:wordWrap/>
              <w:overflowPunct/>
              <w:topLinePunct w:val="0"/>
              <w:autoSpaceDE/>
              <w:autoSpaceDN/>
              <w:bidi w:val="0"/>
              <w:adjustRightInd/>
              <w:snapToGrid/>
              <w:spacing w:line="240" w:lineRule="auto"/>
              <w:textAlignment w:val="auto"/>
              <w:rPr>
                <w:kern w:val="0"/>
                <w:sz w:val="24"/>
              </w:rPr>
            </w:pPr>
            <w:r>
              <w:rPr>
                <w:kern w:val="0"/>
                <w:sz w:val="24"/>
              </w:rPr>
              <w:t>报告县政府</w:t>
            </w:r>
            <w:r>
              <w:rPr>
                <w:rFonts w:hint="eastAsia"/>
                <w:kern w:val="0"/>
                <w:sz w:val="24"/>
              </w:rPr>
              <w:t>、</w:t>
            </w:r>
            <w:r>
              <w:rPr>
                <w:kern w:val="0"/>
                <w:sz w:val="24"/>
              </w:rPr>
              <w:t>市</w:t>
            </w:r>
            <w:r>
              <w:rPr>
                <w:rFonts w:hint="eastAsia"/>
                <w:kern w:val="0"/>
                <w:sz w:val="24"/>
              </w:rPr>
              <w:t>市场监管</w:t>
            </w:r>
            <w:r>
              <w:rPr>
                <w:kern w:val="0"/>
                <w:sz w:val="24"/>
              </w:rPr>
              <w:t>局</w:t>
            </w:r>
          </w:p>
          <w:p w14:paraId="6AED2CEB">
            <w:pPr>
              <w:keepNext w:val="0"/>
              <w:keepLines w:val="0"/>
              <w:pageBreakBefore w:val="0"/>
              <w:widowControl/>
              <w:kinsoku/>
              <w:wordWrap/>
              <w:overflowPunct/>
              <w:topLinePunct w:val="0"/>
              <w:autoSpaceDE/>
              <w:autoSpaceDN/>
              <w:bidi w:val="0"/>
              <w:adjustRightInd/>
              <w:snapToGrid/>
              <w:spacing w:line="240" w:lineRule="auto"/>
              <w:textAlignment w:val="auto"/>
              <w:rPr>
                <w:kern w:val="0"/>
                <w:sz w:val="24"/>
              </w:rPr>
            </w:pPr>
            <w:r>
              <w:rPr>
                <w:rFonts w:hint="eastAsia"/>
                <w:kern w:val="0"/>
                <w:sz w:val="24"/>
              </w:rPr>
              <w:t>通报县安委办</w:t>
            </w:r>
          </w:p>
        </w:tc>
      </w:tr>
      <w:tr w14:paraId="06861FBD">
        <w:tblPrEx>
          <w:tblCellMar>
            <w:top w:w="0" w:type="dxa"/>
            <w:left w:w="108" w:type="dxa"/>
            <w:bottom w:w="0" w:type="dxa"/>
            <w:right w:w="108" w:type="dxa"/>
          </w:tblCellMar>
        </w:tblPrEx>
        <w:trPr>
          <w:trHeight w:val="227" w:hRule="exact"/>
        </w:trPr>
        <w:tc>
          <w:tcPr>
            <w:tcW w:w="990" w:type="dxa"/>
            <w:tcBorders>
              <w:right w:val="single" w:color="auto" w:sz="4" w:space="0"/>
              <w:tl2br w:val="nil"/>
              <w:tr2bl w:val="nil"/>
            </w:tcBorders>
            <w:noWrap/>
            <w:vAlign w:val="center"/>
          </w:tcPr>
          <w:p w14:paraId="06C98586">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07880A6D">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left w:val="single" w:color="auto" w:sz="4" w:space="0"/>
              <w:tl2br w:val="nil"/>
              <w:tr2bl w:val="nil"/>
            </w:tcBorders>
            <w:noWrap/>
            <w:vAlign w:val="center"/>
          </w:tcPr>
          <w:p w14:paraId="5CD6938C">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right w:val="single" w:color="auto" w:sz="4" w:space="0"/>
              <w:tl2br w:val="nil"/>
              <w:tr2bl w:val="nil"/>
            </w:tcBorders>
            <w:noWrap/>
            <w:vAlign w:val="center"/>
          </w:tcPr>
          <w:p w14:paraId="2F975D35">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9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46A668C5">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780" w:type="dxa"/>
            <w:tcBorders>
              <w:left w:val="single" w:color="auto" w:sz="4" w:space="0"/>
              <w:right w:val="single" w:color="000000" w:sz="4" w:space="0"/>
              <w:tl2br w:val="nil"/>
              <w:tr2bl w:val="nil"/>
            </w:tcBorders>
            <w:noWrap/>
            <w:vAlign w:val="center"/>
          </w:tcPr>
          <w:p w14:paraId="38AA065A">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sz w:val="24"/>
              </w:rPr>
              <mc:AlternateContent>
                <mc:Choice Requires="wps">
                  <w:drawing>
                    <wp:anchor distT="0" distB="0" distL="114300" distR="114300" simplePos="0" relativeHeight="251663360" behindDoc="0" locked="0" layoutInCell="1" allowOverlap="1">
                      <wp:simplePos x="0" y="0"/>
                      <wp:positionH relativeFrom="column">
                        <wp:posOffset>-51435</wp:posOffset>
                      </wp:positionH>
                      <wp:positionV relativeFrom="paragraph">
                        <wp:posOffset>5080</wp:posOffset>
                      </wp:positionV>
                      <wp:extent cx="485775" cy="635"/>
                      <wp:effectExtent l="0" t="48895" r="9525" b="64770"/>
                      <wp:wrapNone/>
                      <wp:docPr id="11" name="直接连接符 11"/>
                      <wp:cNvGraphicFramePr/>
                      <a:graphic xmlns:a="http://schemas.openxmlformats.org/drawingml/2006/main">
                        <a:graphicData uri="http://schemas.microsoft.com/office/word/2010/wordprocessingShape">
                          <wps:wsp>
                            <wps:cNvCnPr/>
                            <wps:spPr>
                              <a:xfrm>
                                <a:off x="0" y="0"/>
                                <a:ext cx="485775" cy="635"/>
                              </a:xfrm>
                              <a:prstGeom prst="line">
                                <a:avLst/>
                              </a:prstGeom>
                              <a:ln w="9525" cap="flat" cmpd="sng">
                                <a:solidFill>
                                  <a:srgbClr val="000000"/>
                                </a:solidFill>
                                <a:prstDash val="solid"/>
                                <a:headEnd type="none" w="med" len="med"/>
                                <a:tailEnd type="arrow" w="med" len="med"/>
                              </a:ln>
                            </wps:spPr>
                            <wps:bodyPr/>
                          </wps:wsp>
                        </a:graphicData>
                      </a:graphic>
                    </wp:anchor>
                  </w:drawing>
                </mc:Choice>
                <mc:Fallback>
                  <w:pict>
                    <v:line id="_x0000_s1026" o:spid="_x0000_s1026" o:spt="20" style="position:absolute;left:0pt;margin-left:-4.05pt;margin-top:0.4pt;height:0.05pt;width:38.25pt;z-index:251663360;mso-width-relative:page;mso-height-relative:page;" filled="f" stroked="t" coordsize="21600,21600" o:gfxdata="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AMEb0dQAAAADAQAADwAAAAAAAAABACAAAAAiAAAAZHJzL2Rvd25yZXYueG1sUEsBAhQAFAAA&#10;AAgAh07iQAOno7XzAQAA3AMAAA4AAAAAAAAAAQAgAAAAIwEAAGRycy9lMm9Eb2MueG1sUEsFBgAA&#10;AAAGAAYAWQEAAIgFAAAAAA==&#10;">
                      <v:fill on="f" focussize="0,0"/>
                      <v:stroke color="#000000" joinstyle="round" endarrow="open"/>
                      <v:imagedata o:title=""/>
                      <o:lock v:ext="edit" aspectratio="f"/>
                    </v:line>
                  </w:pict>
                </mc:Fallback>
              </mc:AlternateContent>
            </w:r>
          </w:p>
        </w:tc>
        <w:tc>
          <w:tcPr>
            <w:tcW w:w="2683" w:type="dxa"/>
            <w:gridSpan w:val="2"/>
            <w:vMerge w:val="continue"/>
            <w:tcBorders>
              <w:top w:val="single" w:color="000000" w:sz="4" w:space="0"/>
              <w:left w:val="single" w:color="000000" w:sz="4" w:space="0"/>
              <w:bottom w:val="single" w:color="000000" w:sz="4" w:space="0"/>
              <w:right w:val="single" w:color="000000" w:sz="4" w:space="0"/>
              <w:tl2br w:val="nil"/>
              <w:tr2bl w:val="nil"/>
            </w:tcBorders>
            <w:vAlign w:val="center"/>
          </w:tcPr>
          <w:p w14:paraId="31925B39">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73A909A3">
        <w:tblPrEx>
          <w:tblCellMar>
            <w:top w:w="0" w:type="dxa"/>
            <w:left w:w="108" w:type="dxa"/>
            <w:bottom w:w="0" w:type="dxa"/>
            <w:right w:w="108" w:type="dxa"/>
          </w:tblCellMar>
        </w:tblPrEx>
        <w:trPr>
          <w:trHeight w:val="392" w:hRule="exact"/>
        </w:trPr>
        <w:tc>
          <w:tcPr>
            <w:tcW w:w="990" w:type="dxa"/>
            <w:tcBorders>
              <w:tl2br w:val="nil"/>
              <w:tr2bl w:val="nil"/>
            </w:tcBorders>
            <w:noWrap/>
            <w:vAlign w:val="center"/>
          </w:tcPr>
          <w:p w14:paraId="1CF60189">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990" w:type="dxa"/>
            <w:tcBorders>
              <w:top w:val="single" w:color="auto" w:sz="4" w:space="0"/>
              <w:tl2br w:val="nil"/>
              <w:tr2bl w:val="nil"/>
            </w:tcBorders>
            <w:noWrap/>
            <w:vAlign w:val="center"/>
          </w:tcPr>
          <w:p w14:paraId="4ED6531B">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3420" w:type="dxa"/>
            <w:tcBorders>
              <w:top w:val="single" w:color="auto" w:sz="4" w:space="0"/>
              <w:tl2br w:val="nil"/>
              <w:tr2bl w:val="nil"/>
            </w:tcBorders>
            <w:noWrap/>
            <w:vAlign w:val="center"/>
          </w:tcPr>
          <w:p w14:paraId="5AFA7769">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tl2br w:val="nil"/>
              <w:tr2bl w:val="nil"/>
            </w:tcBorders>
            <w:noWrap/>
            <w:vAlign w:val="center"/>
          </w:tcPr>
          <w:p w14:paraId="1F6E0E8A">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tl2br w:val="nil"/>
              <w:tr2bl w:val="nil"/>
            </w:tcBorders>
            <w:noWrap/>
            <w:vAlign w:val="center"/>
          </w:tcPr>
          <w:p w14:paraId="0ACBA9AD">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778" w:type="dxa"/>
            <w:tcBorders>
              <w:top w:val="single" w:color="auto" w:sz="4" w:space="0"/>
              <w:bottom w:val="single" w:color="auto" w:sz="4" w:space="0"/>
              <w:tl2br w:val="nil"/>
              <w:tr2bl w:val="nil"/>
            </w:tcBorders>
            <w:noWrap/>
            <w:vAlign w:val="center"/>
          </w:tcPr>
          <w:p w14:paraId="20EB9C48">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1177" w:type="dxa"/>
            <w:tcBorders>
              <w:top w:val="single" w:color="auto" w:sz="4" w:space="0"/>
              <w:bottom w:val="single" w:color="auto" w:sz="4" w:space="0"/>
              <w:tl2br w:val="nil"/>
              <w:tr2bl w:val="nil"/>
            </w:tcBorders>
            <w:noWrap/>
            <w:vAlign w:val="center"/>
          </w:tcPr>
          <w:p w14:paraId="5ECA0DCC">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sz w:val="24"/>
              </w:rPr>
              <mc:AlternateContent>
                <mc:Choice Requires="wps">
                  <w:drawing>
                    <wp:anchor distT="0" distB="0" distL="114300" distR="114300" simplePos="0" relativeHeight="251666432" behindDoc="0" locked="0" layoutInCell="1" allowOverlap="1">
                      <wp:simplePos x="0" y="0"/>
                      <wp:positionH relativeFrom="column">
                        <wp:posOffset>-64135</wp:posOffset>
                      </wp:positionH>
                      <wp:positionV relativeFrom="paragraph">
                        <wp:posOffset>13970</wp:posOffset>
                      </wp:positionV>
                      <wp:extent cx="635" cy="238125"/>
                      <wp:effectExtent l="48895" t="0" r="64770" b="9525"/>
                      <wp:wrapNone/>
                      <wp:docPr id="10" name="直接连接符 10"/>
                      <wp:cNvGraphicFramePr/>
                      <a:graphic xmlns:a="http://schemas.openxmlformats.org/drawingml/2006/main">
                        <a:graphicData uri="http://schemas.microsoft.com/office/word/2010/wordprocessingShape">
                          <wps:wsp>
                            <wps:cNvCnPr/>
                            <wps:spPr>
                              <a:xfrm>
                                <a:off x="0" y="0"/>
                                <a:ext cx="635" cy="238125"/>
                              </a:xfrm>
                              <a:prstGeom prst="line">
                                <a:avLst/>
                              </a:prstGeom>
                              <a:ln w="9525" cap="flat" cmpd="sng">
                                <a:solidFill>
                                  <a:srgbClr val="000000"/>
                                </a:solidFill>
                                <a:prstDash val="solid"/>
                                <a:headEnd type="none" w="med" len="med"/>
                                <a:tailEnd type="arrow" w="med" len="med"/>
                              </a:ln>
                            </wps:spPr>
                            <wps:bodyPr/>
                          </wps:wsp>
                        </a:graphicData>
                      </a:graphic>
                    </wp:anchor>
                  </w:drawing>
                </mc:Choice>
                <mc:Fallback>
                  <w:pict>
                    <v:line id="_x0000_s1026" o:spid="_x0000_s1026" o:spt="20" style="position:absolute;left:0pt;margin-left:-5.05pt;margin-top:1.1pt;height:18.75pt;width:0.05pt;z-index:251666432;mso-width-relative:page;mso-height-relative:page;" filled="f" stroked="t" coordsize="21600,21600" o:gfxdata="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iahzR1wAAAAgBAAAPAAAAAAAAAAEAIAAAACIAAABkcnMvZG93bnJldi54bWxQSwECFAAU&#10;AAAACACHTuJANacrVfIBAADcAwAADgAAAAAAAAABACAAAAAmAQAAZHJzL2Uyb0RvYy54bWxQSwUG&#10;AAAAAAYABgBZAQAAigUAAAAA&#10;">
                      <v:fill on="f" focussize="0,0"/>
                      <v:stroke color="#000000" joinstyle="round" endarrow="open"/>
                      <v:imagedata o:title=""/>
                      <o:lock v:ext="edit" aspectratio="f"/>
                    </v:line>
                  </w:pict>
                </mc:Fallback>
              </mc:AlternateContent>
            </w:r>
            <w:r>
              <w:rPr>
                <w:kern w:val="0"/>
                <w:sz w:val="24"/>
              </w:rPr>
              <w:t>　</w:t>
            </w:r>
          </w:p>
        </w:tc>
        <w:tc>
          <w:tcPr>
            <w:tcW w:w="780" w:type="dxa"/>
            <w:tcBorders>
              <w:right w:val="single" w:color="000000" w:sz="4" w:space="0"/>
              <w:tl2br w:val="nil"/>
              <w:tr2bl w:val="nil"/>
            </w:tcBorders>
            <w:noWrap/>
            <w:vAlign w:val="center"/>
          </w:tcPr>
          <w:p w14:paraId="36F81EBA">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2683" w:type="dxa"/>
            <w:gridSpan w:val="2"/>
            <w:vMerge w:val="continue"/>
            <w:tcBorders>
              <w:top w:val="single" w:color="000000" w:sz="4" w:space="0"/>
              <w:left w:val="single" w:color="000000" w:sz="4" w:space="0"/>
              <w:right w:val="single" w:color="000000" w:sz="4" w:space="0"/>
              <w:tl2br w:val="nil"/>
              <w:tr2bl w:val="nil"/>
            </w:tcBorders>
            <w:noWrap/>
            <w:vAlign w:val="center"/>
          </w:tcPr>
          <w:p w14:paraId="1727AA11">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0212CFF4">
        <w:tblPrEx>
          <w:tblCellMar>
            <w:top w:w="0" w:type="dxa"/>
            <w:left w:w="108" w:type="dxa"/>
            <w:bottom w:w="0" w:type="dxa"/>
            <w:right w:w="108" w:type="dxa"/>
          </w:tblCellMar>
        </w:tblPrEx>
        <w:trPr>
          <w:trHeight w:val="377" w:hRule="exact"/>
        </w:trPr>
        <w:tc>
          <w:tcPr>
            <w:tcW w:w="990" w:type="dxa"/>
            <w:tcBorders>
              <w:tl2br w:val="nil"/>
              <w:tr2bl w:val="nil"/>
            </w:tcBorders>
            <w:noWrap/>
            <w:vAlign w:val="center"/>
          </w:tcPr>
          <w:p w14:paraId="13F56BDC">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tcBorders>
              <w:bottom w:val="single" w:color="auto" w:sz="4" w:space="0"/>
              <w:tl2br w:val="nil"/>
              <w:tr2bl w:val="nil"/>
            </w:tcBorders>
            <w:noWrap/>
            <w:vAlign w:val="center"/>
          </w:tcPr>
          <w:p w14:paraId="07B63D11">
            <w:pPr>
              <w:keepNext w:val="0"/>
              <w:keepLines w:val="0"/>
              <w:pageBreakBefore w:val="0"/>
              <w:widowControl/>
              <w:kinsoku/>
              <w:wordWrap/>
              <w:overflowPunct/>
              <w:topLinePunct w:val="0"/>
              <w:autoSpaceDE/>
              <w:autoSpaceDN/>
              <w:bidi w:val="0"/>
              <w:adjustRightInd/>
              <w:snapToGrid/>
              <w:spacing w:line="240" w:lineRule="auto"/>
              <w:jc w:val="left"/>
              <w:textAlignment w:val="auto"/>
              <w:rPr>
                <w:rFonts w:eastAsia="宋体"/>
                <w:kern w:val="0"/>
                <w:sz w:val="24"/>
              </w:rPr>
            </w:pPr>
            <w:r>
              <w:rPr>
                <w:kern w:val="0"/>
                <w:sz w:val="24"/>
              </w:rPr>
              <w:t>现场处置工作：</w:t>
            </w:r>
          </w:p>
          <w:p w14:paraId="7D9FA17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tl2br w:val="nil"/>
              <w:tr2bl w:val="nil"/>
            </w:tcBorders>
            <w:noWrap/>
            <w:vAlign w:val="center"/>
          </w:tcPr>
          <w:p w14:paraId="3458F315">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right w:val="single" w:color="auto" w:sz="4" w:space="0"/>
              <w:tl2br w:val="nil"/>
              <w:tr2bl w:val="nil"/>
            </w:tcBorders>
            <w:noWrap/>
            <w:vAlign w:val="center"/>
          </w:tcPr>
          <w:p w14:paraId="242D16C6">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955" w:type="dxa"/>
            <w:gridSpan w:val="2"/>
            <w:vMerge w:val="restart"/>
            <w:tcBorders>
              <w:top w:val="single" w:color="auto" w:sz="4" w:space="0"/>
              <w:left w:val="single" w:color="auto" w:sz="4" w:space="0"/>
              <w:bottom w:val="single" w:color="auto" w:sz="4" w:space="0"/>
              <w:right w:val="single" w:color="auto" w:sz="4" w:space="0"/>
            </w:tcBorders>
            <w:noWrap/>
            <w:vAlign w:val="center"/>
          </w:tcPr>
          <w:p w14:paraId="7EE294F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r>
              <w:rPr>
                <w:rFonts w:ascii="Times New Roman" w:hAnsi="Times New Roman" w:eastAsia="宋体" w:cs="Times New Roman"/>
                <w:kern w:val="0"/>
                <w:sz w:val="24"/>
              </w:rPr>
              <w:t>启动事故应急救援预案</w:t>
            </w:r>
          </w:p>
          <w:p w14:paraId="5033F75C">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780" w:type="dxa"/>
            <w:tcBorders>
              <w:left w:val="single" w:color="auto" w:sz="4" w:space="0"/>
              <w:right w:val="single" w:color="000000" w:sz="4" w:space="0"/>
              <w:tl2br w:val="nil"/>
              <w:tr2bl w:val="nil"/>
            </w:tcBorders>
            <w:noWrap/>
            <w:vAlign w:val="center"/>
          </w:tcPr>
          <w:p w14:paraId="5EAF7BFE">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683" w:type="dxa"/>
            <w:gridSpan w:val="2"/>
            <w:vMerge w:val="continue"/>
            <w:tcBorders>
              <w:left w:val="single" w:color="000000" w:sz="4" w:space="0"/>
              <w:right w:val="single" w:color="000000" w:sz="4" w:space="0"/>
              <w:tl2br w:val="nil"/>
              <w:tr2bl w:val="nil"/>
            </w:tcBorders>
            <w:noWrap/>
            <w:vAlign w:val="center"/>
          </w:tcPr>
          <w:p w14:paraId="6FB4EB04">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525F1942">
        <w:tblPrEx>
          <w:tblCellMar>
            <w:top w:w="0" w:type="dxa"/>
            <w:left w:w="108" w:type="dxa"/>
            <w:bottom w:w="0" w:type="dxa"/>
            <w:right w:w="108" w:type="dxa"/>
          </w:tblCellMar>
        </w:tblPrEx>
        <w:trPr>
          <w:trHeight w:val="97" w:hRule="atLeast"/>
        </w:trPr>
        <w:tc>
          <w:tcPr>
            <w:tcW w:w="990" w:type="dxa"/>
            <w:tcBorders>
              <w:right w:val="single" w:color="auto" w:sz="4" w:space="0"/>
              <w:tl2br w:val="nil"/>
              <w:tr2bl w:val="nil"/>
            </w:tcBorders>
            <w:noWrap/>
            <w:vAlign w:val="center"/>
          </w:tcPr>
          <w:p w14:paraId="7C500DAF">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restart"/>
            <w:tcBorders>
              <w:top w:val="single" w:color="auto" w:sz="4" w:space="0"/>
              <w:left w:val="single" w:color="auto" w:sz="4" w:space="0"/>
              <w:bottom w:val="single" w:color="auto" w:sz="4" w:space="0"/>
              <w:right w:val="single" w:color="auto" w:sz="4" w:space="0"/>
            </w:tcBorders>
            <w:vAlign w:val="bottom"/>
          </w:tcPr>
          <w:p w14:paraId="2C20213F">
            <w:pPr>
              <w:keepNext w:val="0"/>
              <w:keepLines w:val="0"/>
              <w:pageBreakBefore w:val="0"/>
              <w:widowControl/>
              <w:kinsoku/>
              <w:wordWrap/>
              <w:overflowPunct/>
              <w:topLinePunct w:val="0"/>
              <w:autoSpaceDE/>
              <w:autoSpaceDN/>
              <w:bidi w:val="0"/>
              <w:adjustRightInd/>
              <w:snapToGrid/>
              <w:spacing w:line="240" w:lineRule="auto"/>
              <w:jc w:val="left"/>
              <w:textAlignment w:val="auto"/>
              <w:rPr>
                <w:rFonts w:eastAsia="宋体"/>
                <w:kern w:val="0"/>
                <w:sz w:val="24"/>
              </w:rPr>
            </w:pPr>
            <w:r>
              <w:rPr>
                <w:kern w:val="0"/>
                <w:sz w:val="24"/>
              </w:rPr>
              <w:t>1、做出初始评估，提出对事故所涉及的特种设备进一步处置方案。</w:t>
            </w:r>
          </w:p>
          <w:p w14:paraId="536CEC80">
            <w:pPr>
              <w:keepNext w:val="0"/>
              <w:keepLines w:val="0"/>
              <w:pageBreakBefore w:val="0"/>
              <w:widowControl/>
              <w:kinsoku/>
              <w:wordWrap/>
              <w:overflowPunct/>
              <w:topLinePunct w:val="0"/>
              <w:autoSpaceDE/>
              <w:autoSpaceDN/>
              <w:bidi w:val="0"/>
              <w:adjustRightInd/>
              <w:snapToGrid/>
              <w:spacing w:line="240" w:lineRule="auto"/>
              <w:jc w:val="left"/>
              <w:textAlignment w:val="auto"/>
              <w:rPr>
                <w:rFonts w:eastAsia="宋体"/>
                <w:kern w:val="0"/>
                <w:sz w:val="24"/>
              </w:rPr>
            </w:pPr>
            <w:r>
              <w:rPr>
                <w:sz w:val="24"/>
              </w:rPr>
              <mc:AlternateContent>
                <mc:Choice Requires="wps">
                  <w:drawing>
                    <wp:anchor distT="0" distB="0" distL="114300" distR="114300" simplePos="0" relativeHeight="251671552" behindDoc="0" locked="0" layoutInCell="1" allowOverlap="1">
                      <wp:simplePos x="0" y="0"/>
                      <wp:positionH relativeFrom="column">
                        <wp:posOffset>2729865</wp:posOffset>
                      </wp:positionH>
                      <wp:positionV relativeFrom="paragraph">
                        <wp:posOffset>431800</wp:posOffset>
                      </wp:positionV>
                      <wp:extent cx="1104900" cy="635"/>
                      <wp:effectExtent l="0" t="48260" r="0" b="65405"/>
                      <wp:wrapNone/>
                      <wp:docPr id="3" name="直接连接符 3"/>
                      <wp:cNvGraphicFramePr/>
                      <a:graphic xmlns:a="http://schemas.openxmlformats.org/drawingml/2006/main">
                        <a:graphicData uri="http://schemas.microsoft.com/office/word/2010/wordprocessingShape">
                          <wps:wsp>
                            <wps:cNvCnPr/>
                            <wps:spPr>
                              <a:xfrm flipH="1">
                                <a:off x="0" y="0"/>
                                <a:ext cx="1104900" cy="635"/>
                              </a:xfrm>
                              <a:prstGeom prst="line">
                                <a:avLst/>
                              </a:prstGeom>
                              <a:ln w="9525" cap="flat" cmpd="sng">
                                <a:solidFill>
                                  <a:srgbClr val="000000"/>
                                </a:solidFill>
                                <a:prstDash val="solid"/>
                                <a:headEnd type="none" w="med" len="med"/>
                                <a:tailEnd type="arrow" w="med" len="med"/>
                              </a:ln>
                            </wps:spPr>
                            <wps:bodyPr/>
                          </wps:wsp>
                        </a:graphicData>
                      </a:graphic>
                    </wp:anchor>
                  </w:drawing>
                </mc:Choice>
                <mc:Fallback>
                  <w:pict>
                    <v:line id="_x0000_s1026" o:spid="_x0000_s1026" o:spt="20" style="position:absolute;left:0pt;flip:x;margin-left:214.95pt;margin-top:34pt;height:0.05pt;width:87pt;z-index:251671552;mso-width-relative:page;mso-height-relative:page;" filled="f" stroked="t" coordsize="21600,21600" o:gfxdata="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Hjgor1wAAAAkBAAAPAAAAAAAAAAEAIAAAACIAAABkcnMvZG93bnJldi54&#10;bWxQSwECFAAUAAAACACHTuJATmOtUPsBAADlAwAADgAAAAAAAAABACAAAAAmAQAAZHJzL2Uyb0Rv&#10;Yy54bWxQSwUGAAAAAAYABgBZAQAAkwUAAAAA&#10;">
                      <v:fill on="f" focussize="0,0"/>
                      <v:stroke color="#000000" joinstyle="round" endarrow="open"/>
                      <v:imagedata o:title=""/>
                      <o:lock v:ext="edit" aspectratio="f"/>
                    </v:line>
                  </w:pict>
                </mc:Fallback>
              </mc:AlternateContent>
            </w:r>
            <w:r>
              <w:rPr>
                <w:kern w:val="0"/>
                <w:sz w:val="24"/>
              </w:rPr>
              <w:t>2、在不影响应急救援的前提下，积极介入对事故现场特种设备及其相关设施的事故状态的保护。</w:t>
            </w:r>
          </w:p>
          <w:p w14:paraId="72B3F6D5">
            <w:pPr>
              <w:keepNext w:val="0"/>
              <w:keepLines w:val="0"/>
              <w:pageBreakBefore w:val="0"/>
              <w:widowControl/>
              <w:kinsoku/>
              <w:wordWrap/>
              <w:overflowPunct/>
              <w:topLinePunct w:val="0"/>
              <w:autoSpaceDE/>
              <w:autoSpaceDN/>
              <w:bidi w:val="0"/>
              <w:adjustRightInd/>
              <w:snapToGrid/>
              <w:spacing w:line="240" w:lineRule="auto"/>
              <w:jc w:val="left"/>
              <w:textAlignment w:val="auto"/>
              <w:rPr>
                <w:rFonts w:eastAsia="宋体"/>
                <w:kern w:val="0"/>
                <w:sz w:val="24"/>
              </w:rPr>
            </w:pPr>
            <w:r>
              <w:rPr>
                <w:kern w:val="0"/>
                <w:sz w:val="24"/>
              </w:rPr>
              <w:t xml:space="preserve">3、展开必要检验、检测，提出抢险救援技术方案，采取有针对性的安全技术措施，防止可能发生的次生灾害。  </w:t>
            </w:r>
          </w:p>
          <w:p w14:paraId="6591A6B6">
            <w:pPr>
              <w:keepNext w:val="0"/>
              <w:keepLines w:val="0"/>
              <w:pageBreakBefore w:val="0"/>
              <w:widowControl/>
              <w:kinsoku/>
              <w:wordWrap/>
              <w:overflowPunct/>
              <w:topLinePunct w:val="0"/>
              <w:autoSpaceDE/>
              <w:autoSpaceDN/>
              <w:bidi w:val="0"/>
              <w:adjustRightInd/>
              <w:snapToGrid/>
              <w:spacing w:line="240" w:lineRule="auto"/>
              <w:jc w:val="left"/>
              <w:textAlignment w:val="auto"/>
              <w:rPr>
                <w:rFonts w:eastAsia="宋体"/>
                <w:kern w:val="0"/>
                <w:sz w:val="24"/>
              </w:rPr>
            </w:pPr>
            <w:r>
              <w:rPr>
                <w:kern w:val="0"/>
                <w:sz w:val="24"/>
              </w:rPr>
              <w:t xml:space="preserve">4、对事故发生场所周围的其他特种设备展开必要检验、检测，尽快确定这些特种设备是否有发生进一步事故的可能。 </w:t>
            </w:r>
          </w:p>
          <w:p w14:paraId="76EB76D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5、搜集和整理涉及的事故特种设备相关资料。</w:t>
            </w:r>
          </w:p>
        </w:tc>
        <w:tc>
          <w:tcPr>
            <w:tcW w:w="420" w:type="dxa"/>
            <w:tcBorders>
              <w:left w:val="single" w:color="auto" w:sz="4" w:space="0"/>
              <w:tl2br w:val="nil"/>
              <w:tr2bl w:val="nil"/>
            </w:tcBorders>
            <w:vAlign w:val="bottom"/>
          </w:tcPr>
          <w:p w14:paraId="33C93BF2">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right w:val="single" w:color="auto" w:sz="4" w:space="0"/>
              <w:tl2br w:val="nil"/>
              <w:tr2bl w:val="nil"/>
            </w:tcBorders>
            <w:noWrap/>
            <w:vAlign w:val="center"/>
          </w:tcPr>
          <w:p w14:paraId="67BA23F6">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955" w:type="dxa"/>
            <w:gridSpan w:val="2"/>
            <w:vMerge w:val="continue"/>
            <w:tcBorders>
              <w:top w:val="single" w:color="auto" w:sz="4" w:space="0"/>
              <w:left w:val="single" w:color="auto" w:sz="4" w:space="0"/>
              <w:bottom w:val="single" w:color="auto" w:sz="4" w:space="0"/>
              <w:right w:val="single" w:color="auto" w:sz="4" w:space="0"/>
              <w:tl2br w:val="nil"/>
              <w:tr2bl w:val="nil"/>
            </w:tcBorders>
            <w:noWrap/>
            <w:vAlign w:val="center"/>
          </w:tcPr>
          <w:p w14:paraId="3C0ACB6F">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780" w:type="dxa"/>
            <w:tcBorders>
              <w:left w:val="single" w:color="auto" w:sz="4" w:space="0"/>
              <w:right w:val="single" w:color="000000" w:sz="4" w:space="0"/>
              <w:tl2br w:val="nil"/>
              <w:tr2bl w:val="nil"/>
            </w:tcBorders>
            <w:noWrap/>
            <w:vAlign w:val="center"/>
          </w:tcPr>
          <w:p w14:paraId="54EB8DC7">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683" w:type="dxa"/>
            <w:gridSpan w:val="2"/>
            <w:vMerge w:val="continue"/>
            <w:tcBorders>
              <w:left w:val="single" w:color="000000" w:sz="4" w:space="0"/>
              <w:right w:val="single" w:color="000000" w:sz="4" w:space="0"/>
              <w:tl2br w:val="nil"/>
              <w:tr2bl w:val="nil"/>
            </w:tcBorders>
            <w:vAlign w:val="center"/>
          </w:tcPr>
          <w:p w14:paraId="12FC8404">
            <w:pPr>
              <w:keepNext w:val="0"/>
              <w:keepLines w:val="0"/>
              <w:pageBreakBefore w:val="0"/>
              <w:widowControl/>
              <w:kinsoku/>
              <w:wordWrap/>
              <w:overflowPunct/>
              <w:topLinePunct w:val="0"/>
              <w:autoSpaceDE/>
              <w:autoSpaceDN/>
              <w:bidi w:val="0"/>
              <w:adjustRightInd/>
              <w:snapToGrid/>
              <w:spacing w:line="240" w:lineRule="auto"/>
              <w:jc w:val="center"/>
              <w:textAlignment w:val="auto"/>
              <w:rPr>
                <w:kern w:val="0"/>
                <w:sz w:val="24"/>
              </w:rPr>
            </w:pPr>
          </w:p>
        </w:tc>
      </w:tr>
      <w:tr w14:paraId="6F403E34">
        <w:tblPrEx>
          <w:tblCellMar>
            <w:top w:w="0" w:type="dxa"/>
            <w:left w:w="108" w:type="dxa"/>
            <w:bottom w:w="0" w:type="dxa"/>
            <w:right w:w="108" w:type="dxa"/>
          </w:tblCellMar>
        </w:tblPrEx>
        <w:trPr>
          <w:trHeight w:val="337" w:hRule="atLeast"/>
        </w:trPr>
        <w:tc>
          <w:tcPr>
            <w:tcW w:w="990" w:type="dxa"/>
            <w:tcBorders>
              <w:right w:val="single" w:color="auto" w:sz="4" w:space="0"/>
              <w:tl2br w:val="nil"/>
              <w:tr2bl w:val="nil"/>
            </w:tcBorders>
            <w:noWrap/>
            <w:vAlign w:val="center"/>
          </w:tcPr>
          <w:p w14:paraId="4A3D9704">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10E2BA3A">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left w:val="single" w:color="auto" w:sz="4" w:space="0"/>
              <w:tl2br w:val="nil"/>
              <w:tr2bl w:val="nil"/>
            </w:tcBorders>
            <w:vAlign w:val="bottom"/>
          </w:tcPr>
          <w:p w14:paraId="522DBD14">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tl2br w:val="nil"/>
              <w:tr2bl w:val="nil"/>
            </w:tcBorders>
            <w:noWrap/>
            <w:vAlign w:val="center"/>
          </w:tcPr>
          <w:p w14:paraId="70DB31BF">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778" w:type="dxa"/>
            <w:tcBorders>
              <w:top w:val="single" w:color="auto" w:sz="4" w:space="0"/>
              <w:tl2br w:val="nil"/>
              <w:tr2bl w:val="nil"/>
            </w:tcBorders>
            <w:noWrap/>
            <w:vAlign w:val="center"/>
          </w:tcPr>
          <w:p w14:paraId="28174BA9">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1177" w:type="dxa"/>
            <w:tcBorders>
              <w:top w:val="single" w:color="auto" w:sz="4" w:space="0"/>
              <w:tl2br w:val="nil"/>
              <w:tr2bl w:val="nil"/>
            </w:tcBorders>
            <w:noWrap/>
            <w:vAlign w:val="center"/>
          </w:tcPr>
          <w:p w14:paraId="13159E74">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sz w:val="24"/>
              </w:rPr>
              <mc:AlternateContent>
                <mc:Choice Requires="wps">
                  <w:drawing>
                    <wp:anchor distT="0" distB="0" distL="114300" distR="114300" simplePos="0" relativeHeight="251665408" behindDoc="0" locked="0" layoutInCell="1" allowOverlap="1">
                      <wp:simplePos x="0" y="0"/>
                      <wp:positionH relativeFrom="column">
                        <wp:posOffset>-64135</wp:posOffset>
                      </wp:positionH>
                      <wp:positionV relativeFrom="paragraph">
                        <wp:posOffset>-6985</wp:posOffset>
                      </wp:positionV>
                      <wp:extent cx="635" cy="371475"/>
                      <wp:effectExtent l="48895" t="0" r="64770" b="9525"/>
                      <wp:wrapNone/>
                      <wp:docPr id="2" name="直接连接符 2"/>
                      <wp:cNvGraphicFramePr/>
                      <a:graphic xmlns:a="http://schemas.openxmlformats.org/drawingml/2006/main">
                        <a:graphicData uri="http://schemas.microsoft.com/office/word/2010/wordprocessingShape">
                          <wps:wsp>
                            <wps:cNvCnPr/>
                            <wps:spPr>
                              <a:xfrm>
                                <a:off x="0" y="0"/>
                                <a:ext cx="635" cy="371475"/>
                              </a:xfrm>
                              <a:prstGeom prst="line">
                                <a:avLst/>
                              </a:prstGeom>
                              <a:ln w="9525" cap="flat" cmpd="sng">
                                <a:solidFill>
                                  <a:srgbClr val="000000"/>
                                </a:solidFill>
                                <a:prstDash val="solid"/>
                                <a:headEnd type="none" w="med" len="med"/>
                                <a:tailEnd type="arrow" w="med" len="med"/>
                              </a:ln>
                            </wps:spPr>
                            <wps:bodyPr/>
                          </wps:wsp>
                        </a:graphicData>
                      </a:graphic>
                    </wp:anchor>
                  </w:drawing>
                </mc:Choice>
                <mc:Fallback>
                  <w:pict>
                    <v:line id="_x0000_s1026" o:spid="_x0000_s1026" o:spt="20" style="position:absolute;left:0pt;margin-left:-5.05pt;margin-top:-0.55pt;height:29.25pt;width:0.05pt;z-index:251665408;mso-width-relative:page;mso-height-relative:page;" filled="f" stroked="t" coordsize="21600,21600" o:gfxdata="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mjTtW1wAAAAkBAAAPAAAAAAAAAAEAIAAAACIAAABkcnMvZG93bnJldi54bWxQSwECFAAU&#10;AAAACACHTuJAG8jvKPIBAADaAwAADgAAAAAAAAABACAAAAAmAQAAZHJzL2Uyb0RvYy54bWxQSwUG&#10;AAAAAAYABgBZAQAAigUAAAAA&#10;">
                      <v:fill on="f" focussize="0,0"/>
                      <v:stroke color="#000000" joinstyle="round" endarrow="open"/>
                      <v:imagedata o:title=""/>
                      <o:lock v:ext="edit" aspectratio="f"/>
                    </v:line>
                  </w:pict>
                </mc:Fallback>
              </mc:AlternateContent>
            </w:r>
          </w:p>
        </w:tc>
        <w:tc>
          <w:tcPr>
            <w:tcW w:w="780" w:type="dxa"/>
            <w:tcBorders>
              <w:right w:val="single" w:color="000000" w:sz="4" w:space="0"/>
              <w:tl2br w:val="nil"/>
              <w:tr2bl w:val="nil"/>
            </w:tcBorders>
            <w:noWrap/>
            <w:vAlign w:val="center"/>
          </w:tcPr>
          <w:p w14:paraId="7E14D3D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683" w:type="dxa"/>
            <w:gridSpan w:val="2"/>
            <w:vMerge w:val="continue"/>
            <w:tcBorders>
              <w:left w:val="single" w:color="000000" w:sz="4" w:space="0"/>
              <w:right w:val="single" w:color="000000" w:sz="4" w:space="0"/>
              <w:tl2br w:val="nil"/>
              <w:tr2bl w:val="nil"/>
            </w:tcBorders>
            <w:vAlign w:val="center"/>
          </w:tcPr>
          <w:p w14:paraId="5854BFC6">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179913F6">
        <w:tblPrEx>
          <w:tblCellMar>
            <w:top w:w="0" w:type="dxa"/>
            <w:left w:w="108" w:type="dxa"/>
            <w:bottom w:w="0" w:type="dxa"/>
            <w:right w:w="108" w:type="dxa"/>
          </w:tblCellMar>
        </w:tblPrEx>
        <w:trPr>
          <w:trHeight w:val="230" w:hRule="exact"/>
        </w:trPr>
        <w:tc>
          <w:tcPr>
            <w:tcW w:w="990" w:type="dxa"/>
            <w:tcBorders>
              <w:right w:val="single" w:color="auto" w:sz="4" w:space="0"/>
              <w:tl2br w:val="nil"/>
              <w:tr2bl w:val="nil"/>
            </w:tcBorders>
            <w:noWrap/>
            <w:vAlign w:val="center"/>
          </w:tcPr>
          <w:p w14:paraId="0E103DB5">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2A6060B5">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left w:val="single" w:color="auto" w:sz="4" w:space="0"/>
              <w:tl2br w:val="nil"/>
              <w:tr2bl w:val="nil"/>
            </w:tcBorders>
            <w:vAlign w:val="bottom"/>
          </w:tcPr>
          <w:p w14:paraId="5D1C07F0">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tl2br w:val="nil"/>
              <w:tr2bl w:val="nil"/>
            </w:tcBorders>
            <w:noWrap/>
            <w:vAlign w:val="center"/>
          </w:tcPr>
          <w:p w14:paraId="590B3C62">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778" w:type="dxa"/>
            <w:tcBorders>
              <w:bottom w:val="single" w:color="auto" w:sz="4" w:space="0"/>
              <w:tl2br w:val="nil"/>
              <w:tr2bl w:val="nil"/>
            </w:tcBorders>
            <w:noWrap/>
            <w:vAlign w:val="center"/>
          </w:tcPr>
          <w:p w14:paraId="4F2BD26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1177" w:type="dxa"/>
            <w:tcBorders>
              <w:bottom w:val="single" w:color="auto" w:sz="4" w:space="0"/>
              <w:tl2br w:val="nil"/>
              <w:tr2bl w:val="nil"/>
            </w:tcBorders>
            <w:noWrap/>
            <w:vAlign w:val="center"/>
          </w:tcPr>
          <w:p w14:paraId="68A85E0C">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780" w:type="dxa"/>
            <w:tcBorders>
              <w:tl2br w:val="nil"/>
              <w:tr2bl w:val="nil"/>
            </w:tcBorders>
            <w:noWrap/>
            <w:vAlign w:val="center"/>
          </w:tcPr>
          <w:p w14:paraId="393C9FE9">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sz w:val="24"/>
              </w:rPr>
              <mc:AlternateContent>
                <mc:Choice Requires="wps">
                  <w:drawing>
                    <wp:anchor distT="0" distB="0" distL="114300" distR="114300" simplePos="0" relativeHeight="251659264" behindDoc="0" locked="0" layoutInCell="1" allowOverlap="1">
                      <wp:simplePos x="0" y="0"/>
                      <wp:positionH relativeFrom="column">
                        <wp:posOffset>424815</wp:posOffset>
                      </wp:positionH>
                      <wp:positionV relativeFrom="paragraph">
                        <wp:posOffset>-635</wp:posOffset>
                      </wp:positionV>
                      <wp:extent cx="1704975" cy="635"/>
                      <wp:effectExtent l="0" t="0" r="0" b="0"/>
                      <wp:wrapNone/>
                      <wp:docPr id="5" name="直接连接符 5"/>
                      <wp:cNvGraphicFramePr/>
                      <a:graphic xmlns:a="http://schemas.openxmlformats.org/drawingml/2006/main">
                        <a:graphicData uri="http://schemas.microsoft.com/office/word/2010/wordprocessingShape">
                          <wps:wsp>
                            <wps:cNvCnPr/>
                            <wps:spPr>
                              <a:xfrm>
                                <a:off x="0" y="0"/>
                                <a:ext cx="1704975" cy="63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33.45pt;margin-top:-0.05pt;height:0.05pt;width:134.25pt;z-index:251659264;mso-width-relative:page;mso-height-relative:page;" filled="f" stroked="t" coordsize="21600,21600" o:gfxdata="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f&#10;Oi8T1AAAAAUBAAAPAAAAAAAAAAEAIAAAACIAAABkcnMvZG93bnJldi54bWxQSwECFAAUAAAACACH&#10;TuJAr4rzlu8BAADaAwAADgAAAAAAAAABACAAAAAjAQAAZHJzL2Uyb0RvYy54bWxQSwUGAAAAAAYA&#10;BgBZAQAAhAUAAAAA&#10;">
                      <v:fill on="f" focussize="0,0"/>
                      <v:stroke color="#000000" joinstyle="round"/>
                      <v:imagedata o:title=""/>
                      <o:lock v:ext="edit" aspectratio="f"/>
                    </v:line>
                  </w:pict>
                </mc:Fallback>
              </mc:AlternateContent>
            </w:r>
          </w:p>
        </w:tc>
        <w:tc>
          <w:tcPr>
            <w:tcW w:w="1140" w:type="dxa"/>
            <w:tcBorders>
              <w:bottom w:val="single" w:color="auto" w:sz="4" w:space="0"/>
              <w:tl2br w:val="nil"/>
              <w:tr2bl w:val="nil"/>
            </w:tcBorders>
            <w:noWrap/>
            <w:vAlign w:val="center"/>
          </w:tcPr>
          <w:p w14:paraId="2C2CF5BD">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543" w:type="dxa"/>
            <w:tcBorders>
              <w:bottom w:val="single" w:color="auto" w:sz="4" w:space="0"/>
              <w:tl2br w:val="nil"/>
              <w:tr2bl w:val="nil"/>
            </w:tcBorders>
            <w:noWrap/>
            <w:vAlign w:val="center"/>
          </w:tcPr>
          <w:p w14:paraId="12A58501">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6AAFAB33">
        <w:tblPrEx>
          <w:tblCellMar>
            <w:top w:w="0" w:type="dxa"/>
            <w:left w:w="108" w:type="dxa"/>
            <w:bottom w:w="0" w:type="dxa"/>
            <w:right w:w="108" w:type="dxa"/>
          </w:tblCellMar>
        </w:tblPrEx>
        <w:trPr>
          <w:trHeight w:val="285" w:hRule="atLeast"/>
        </w:trPr>
        <w:tc>
          <w:tcPr>
            <w:tcW w:w="990" w:type="dxa"/>
            <w:tcBorders>
              <w:right w:val="single" w:color="auto" w:sz="4" w:space="0"/>
              <w:tl2br w:val="nil"/>
              <w:tr2bl w:val="nil"/>
            </w:tcBorders>
            <w:noWrap/>
            <w:vAlign w:val="center"/>
          </w:tcPr>
          <w:p w14:paraId="62B98EB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3FC2783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left w:val="single" w:color="auto" w:sz="4" w:space="0"/>
              <w:tl2br w:val="nil"/>
              <w:tr2bl w:val="nil"/>
            </w:tcBorders>
            <w:vAlign w:val="bottom"/>
          </w:tcPr>
          <w:p w14:paraId="6EDAFD70">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right w:val="single" w:color="auto" w:sz="4" w:space="0"/>
              <w:tl2br w:val="nil"/>
              <w:tr2bl w:val="nil"/>
            </w:tcBorders>
            <w:noWrap/>
            <w:vAlign w:val="center"/>
          </w:tcPr>
          <w:p w14:paraId="703A8737">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955" w:type="dxa"/>
            <w:gridSpan w:val="2"/>
            <w:vMerge w:val="restart"/>
            <w:tcBorders>
              <w:top w:val="single" w:color="auto" w:sz="4" w:space="0"/>
              <w:left w:val="single" w:color="auto" w:sz="4" w:space="0"/>
              <w:bottom w:val="single" w:color="auto" w:sz="4" w:space="0"/>
              <w:right w:val="single" w:color="auto" w:sz="4" w:space="0"/>
            </w:tcBorders>
            <w:vAlign w:val="center"/>
          </w:tcPr>
          <w:p w14:paraId="4C23A759">
            <w:pPr>
              <w:keepNext w:val="0"/>
              <w:keepLines w:val="0"/>
              <w:pageBreakBefore w:val="0"/>
              <w:widowControl/>
              <w:kinsoku/>
              <w:wordWrap/>
              <w:overflowPunct/>
              <w:topLinePunct w:val="0"/>
              <w:autoSpaceDE/>
              <w:autoSpaceDN/>
              <w:bidi w:val="0"/>
              <w:adjustRightInd/>
              <w:snapToGrid/>
              <w:spacing w:line="240" w:lineRule="auto"/>
              <w:jc w:val="center"/>
              <w:textAlignment w:val="auto"/>
              <w:rPr>
                <w:kern w:val="0"/>
                <w:sz w:val="24"/>
              </w:rPr>
            </w:pPr>
            <w:r>
              <w:rPr>
                <w:kern w:val="0"/>
                <w:sz w:val="24"/>
              </w:rPr>
              <w:t>到达事故现场指挥部</w:t>
            </w:r>
          </w:p>
          <w:p w14:paraId="5016320A">
            <w:pPr>
              <w:keepNext w:val="0"/>
              <w:keepLines w:val="0"/>
              <w:pageBreakBefore w:val="0"/>
              <w:widowControl/>
              <w:kinsoku/>
              <w:wordWrap/>
              <w:overflowPunct/>
              <w:topLinePunct w:val="0"/>
              <w:autoSpaceDE/>
              <w:autoSpaceDN/>
              <w:bidi w:val="0"/>
              <w:adjustRightInd/>
              <w:snapToGrid/>
              <w:spacing w:line="240" w:lineRule="auto"/>
              <w:jc w:val="center"/>
              <w:textAlignment w:val="auto"/>
              <w:rPr>
                <w:kern w:val="0"/>
                <w:sz w:val="24"/>
              </w:rPr>
            </w:pPr>
            <w:r>
              <w:rPr>
                <w:kern w:val="0"/>
                <w:sz w:val="24"/>
              </w:rPr>
              <w:t>开展应急救援</w:t>
            </w:r>
          </w:p>
        </w:tc>
        <w:tc>
          <w:tcPr>
            <w:tcW w:w="780" w:type="dxa"/>
            <w:tcBorders>
              <w:left w:val="single" w:color="auto" w:sz="4" w:space="0"/>
              <w:right w:val="single" w:color="auto" w:sz="4" w:space="0"/>
              <w:tl2br w:val="nil"/>
              <w:tr2bl w:val="nil"/>
            </w:tcBorders>
            <w:noWrap/>
            <w:vAlign w:val="center"/>
          </w:tcPr>
          <w:p w14:paraId="5843E9DC">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683" w:type="dxa"/>
            <w:gridSpan w:val="2"/>
            <w:vMerge w:val="restart"/>
            <w:tcBorders>
              <w:top w:val="single" w:color="auto" w:sz="4" w:space="0"/>
              <w:left w:val="single" w:color="auto" w:sz="4" w:space="0"/>
              <w:bottom w:val="single" w:color="auto" w:sz="4" w:space="0"/>
              <w:right w:val="single" w:color="auto" w:sz="4" w:space="0"/>
            </w:tcBorders>
            <w:vAlign w:val="bottom"/>
          </w:tcPr>
          <w:p w14:paraId="11AD01EB">
            <w:pPr>
              <w:keepNext w:val="0"/>
              <w:keepLines w:val="0"/>
              <w:pageBreakBefore w:val="0"/>
              <w:widowControl/>
              <w:kinsoku/>
              <w:wordWrap/>
              <w:overflowPunct/>
              <w:topLinePunct w:val="0"/>
              <w:autoSpaceDE/>
              <w:autoSpaceDN/>
              <w:bidi w:val="0"/>
              <w:adjustRightInd/>
              <w:snapToGrid/>
              <w:spacing w:line="240" w:lineRule="auto"/>
              <w:jc w:val="left"/>
              <w:textAlignment w:val="auto"/>
              <w:rPr>
                <w:rFonts w:eastAsia="宋体"/>
                <w:kern w:val="0"/>
                <w:sz w:val="24"/>
              </w:rPr>
            </w:pPr>
            <w:r>
              <w:rPr>
                <w:kern w:val="0"/>
                <w:sz w:val="24"/>
              </w:rPr>
              <w:t>现场协助工作：</w:t>
            </w:r>
          </w:p>
          <w:p w14:paraId="7A2ECA8E">
            <w:pPr>
              <w:keepNext w:val="0"/>
              <w:keepLines w:val="0"/>
              <w:pageBreakBefore w:val="0"/>
              <w:widowControl/>
              <w:kinsoku/>
              <w:wordWrap/>
              <w:overflowPunct/>
              <w:topLinePunct w:val="0"/>
              <w:autoSpaceDE/>
              <w:autoSpaceDN/>
              <w:bidi w:val="0"/>
              <w:adjustRightInd/>
              <w:snapToGrid/>
              <w:spacing w:line="240" w:lineRule="auto"/>
              <w:jc w:val="left"/>
              <w:textAlignment w:val="auto"/>
              <w:rPr>
                <w:rFonts w:eastAsia="宋体"/>
                <w:kern w:val="0"/>
                <w:sz w:val="24"/>
              </w:rPr>
            </w:pPr>
            <w:r>
              <w:rPr>
                <w:kern w:val="0"/>
                <w:sz w:val="24"/>
              </w:rPr>
              <w:t>1、事故初始评估</w:t>
            </w:r>
          </w:p>
          <w:p w14:paraId="1AFFCBD7">
            <w:pPr>
              <w:keepNext w:val="0"/>
              <w:keepLines w:val="0"/>
              <w:pageBreakBefore w:val="0"/>
              <w:widowControl/>
              <w:kinsoku/>
              <w:wordWrap/>
              <w:overflowPunct/>
              <w:topLinePunct w:val="0"/>
              <w:autoSpaceDE/>
              <w:autoSpaceDN/>
              <w:bidi w:val="0"/>
              <w:adjustRightInd/>
              <w:snapToGrid/>
              <w:spacing w:line="240" w:lineRule="auto"/>
              <w:jc w:val="left"/>
              <w:textAlignment w:val="auto"/>
              <w:rPr>
                <w:rFonts w:eastAsia="宋体"/>
                <w:kern w:val="0"/>
                <w:sz w:val="24"/>
              </w:rPr>
            </w:pPr>
            <w:r>
              <w:rPr>
                <w:kern w:val="0"/>
                <w:sz w:val="24"/>
              </w:rPr>
              <w:t>2、封锁事故现场</w:t>
            </w:r>
          </w:p>
          <w:p w14:paraId="202D61AF">
            <w:pPr>
              <w:keepNext w:val="0"/>
              <w:keepLines w:val="0"/>
              <w:pageBreakBefore w:val="0"/>
              <w:widowControl/>
              <w:kinsoku/>
              <w:wordWrap/>
              <w:overflowPunct/>
              <w:topLinePunct w:val="0"/>
              <w:autoSpaceDE/>
              <w:autoSpaceDN/>
              <w:bidi w:val="0"/>
              <w:adjustRightInd/>
              <w:snapToGrid/>
              <w:spacing w:line="240" w:lineRule="auto"/>
              <w:jc w:val="left"/>
              <w:textAlignment w:val="auto"/>
              <w:rPr>
                <w:rFonts w:eastAsia="宋体"/>
                <w:kern w:val="0"/>
                <w:sz w:val="24"/>
              </w:rPr>
            </w:pPr>
            <w:r>
              <w:rPr>
                <w:kern w:val="0"/>
                <w:sz w:val="24"/>
              </w:rPr>
              <w:t>3、建立现场工作区域</w:t>
            </w:r>
          </w:p>
          <w:p w14:paraId="1B21A18C">
            <w:pPr>
              <w:keepNext w:val="0"/>
              <w:keepLines w:val="0"/>
              <w:pageBreakBefore w:val="0"/>
              <w:widowControl/>
              <w:kinsoku/>
              <w:wordWrap/>
              <w:overflowPunct/>
              <w:topLinePunct w:val="0"/>
              <w:autoSpaceDE/>
              <w:autoSpaceDN/>
              <w:bidi w:val="0"/>
              <w:adjustRightInd/>
              <w:snapToGrid/>
              <w:spacing w:line="240" w:lineRule="auto"/>
              <w:jc w:val="left"/>
              <w:textAlignment w:val="auto"/>
              <w:rPr>
                <w:rFonts w:eastAsia="宋体"/>
                <w:kern w:val="0"/>
                <w:sz w:val="24"/>
              </w:rPr>
            </w:pPr>
            <w:r>
              <w:rPr>
                <w:kern w:val="0"/>
                <w:sz w:val="24"/>
              </w:rPr>
              <w:t>4、抢救受伤人员</w:t>
            </w:r>
          </w:p>
          <w:p w14:paraId="4D434639">
            <w:pPr>
              <w:keepNext w:val="0"/>
              <w:keepLines w:val="0"/>
              <w:pageBreakBefore w:val="0"/>
              <w:widowControl/>
              <w:kinsoku/>
              <w:wordWrap/>
              <w:overflowPunct/>
              <w:topLinePunct w:val="0"/>
              <w:autoSpaceDE/>
              <w:autoSpaceDN/>
              <w:bidi w:val="0"/>
              <w:adjustRightInd/>
              <w:snapToGrid/>
              <w:spacing w:line="240" w:lineRule="auto"/>
              <w:jc w:val="left"/>
              <w:textAlignment w:val="auto"/>
              <w:rPr>
                <w:rFonts w:eastAsia="宋体"/>
                <w:kern w:val="0"/>
                <w:sz w:val="24"/>
              </w:rPr>
            </w:pPr>
            <w:r>
              <w:rPr>
                <w:kern w:val="0"/>
                <w:sz w:val="24"/>
              </w:rPr>
              <w:t>5、设立人员疏散区</w:t>
            </w:r>
          </w:p>
          <w:p w14:paraId="795AA3A7">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sz w:val="24"/>
              </w:rPr>
              <mc:AlternateContent>
                <mc:Choice Requires="wps">
                  <w:drawing>
                    <wp:anchor distT="0" distB="0" distL="114300" distR="114300" simplePos="0" relativeHeight="251660288" behindDoc="0" locked="0" layoutInCell="1" allowOverlap="1">
                      <wp:simplePos x="0" y="0"/>
                      <wp:positionH relativeFrom="column">
                        <wp:posOffset>-60960</wp:posOffset>
                      </wp:positionH>
                      <wp:positionV relativeFrom="paragraph">
                        <wp:posOffset>191770</wp:posOffset>
                      </wp:positionV>
                      <wp:extent cx="1704975" cy="635"/>
                      <wp:effectExtent l="0" t="0" r="0" b="0"/>
                      <wp:wrapNone/>
                      <wp:docPr id="1" name="直接连接符 1"/>
                      <wp:cNvGraphicFramePr/>
                      <a:graphic xmlns:a="http://schemas.openxmlformats.org/drawingml/2006/main">
                        <a:graphicData uri="http://schemas.microsoft.com/office/word/2010/wordprocessingShape">
                          <wps:wsp>
                            <wps:cNvCnPr/>
                            <wps:spPr>
                              <a:xfrm>
                                <a:off x="0" y="0"/>
                                <a:ext cx="1704975" cy="63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4.8pt;margin-top:15.1pt;height:0.05pt;width:134.25pt;z-index:251660288;mso-width-relative:page;mso-height-relative:page;" filled="f" stroked="t" coordsize="21600,21600" o:gfxdata="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L&#10;Wa4E1gAAAAgBAAAPAAAAAAAAAAEAIAAAACIAAABkcnMvZG93bnJldi54bWxQSwECFAAUAAAACACH&#10;TuJAued9UO0BAADaAwAADgAAAAAAAAABACAAAAAlAQAAZHJzL2Uyb0RvYy54bWxQSwUGAAAAAAYA&#10;BgBZAQAAhAUAAAAA&#10;">
                      <v:fill on="f" focussize="0,0"/>
                      <v:stroke color="#000000" joinstyle="round"/>
                      <v:imagedata o:title=""/>
                      <o:lock v:ext="edit" aspectratio="f"/>
                    </v:line>
                  </w:pict>
                </mc:Fallback>
              </mc:AlternateContent>
            </w:r>
            <w:r>
              <w:rPr>
                <w:kern w:val="0"/>
                <w:sz w:val="24"/>
              </w:rPr>
              <w:t>6、清理事故现场</w:t>
            </w:r>
          </w:p>
        </w:tc>
      </w:tr>
      <w:tr w14:paraId="667BEB41">
        <w:tblPrEx>
          <w:tblCellMar>
            <w:top w:w="0" w:type="dxa"/>
            <w:left w:w="108" w:type="dxa"/>
            <w:bottom w:w="0" w:type="dxa"/>
            <w:right w:w="108" w:type="dxa"/>
          </w:tblCellMar>
        </w:tblPrEx>
        <w:trPr>
          <w:trHeight w:val="285" w:hRule="atLeast"/>
        </w:trPr>
        <w:tc>
          <w:tcPr>
            <w:tcW w:w="990" w:type="dxa"/>
            <w:tcBorders>
              <w:right w:val="single" w:color="auto" w:sz="4" w:space="0"/>
              <w:tl2br w:val="nil"/>
              <w:tr2bl w:val="nil"/>
            </w:tcBorders>
            <w:noWrap/>
            <w:vAlign w:val="center"/>
          </w:tcPr>
          <w:p w14:paraId="3699AAAA">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202DEADE">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left w:val="single" w:color="auto" w:sz="4" w:space="0"/>
              <w:tl2br w:val="nil"/>
              <w:tr2bl w:val="nil"/>
            </w:tcBorders>
            <w:vAlign w:val="bottom"/>
          </w:tcPr>
          <w:p w14:paraId="0D019974">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1302" w:type="dxa"/>
            <w:tcBorders>
              <w:right w:val="single" w:color="auto" w:sz="4" w:space="0"/>
              <w:tl2br w:val="nil"/>
              <w:tr2bl w:val="nil"/>
            </w:tcBorders>
            <w:noWrap/>
            <w:vAlign w:val="center"/>
          </w:tcPr>
          <w:p w14:paraId="68CC4EB5">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29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4264F28D">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780" w:type="dxa"/>
            <w:tcBorders>
              <w:left w:val="single" w:color="auto" w:sz="4" w:space="0"/>
              <w:right w:val="single" w:color="auto" w:sz="4" w:space="0"/>
              <w:tl2br w:val="nil"/>
              <w:tr2bl w:val="nil"/>
            </w:tcBorders>
            <w:noWrap/>
            <w:vAlign w:val="center"/>
          </w:tcPr>
          <w:p w14:paraId="1D48D7D0">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683"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5AA3DACD">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6D38258D">
        <w:tblPrEx>
          <w:tblCellMar>
            <w:top w:w="0" w:type="dxa"/>
            <w:left w:w="108" w:type="dxa"/>
            <w:bottom w:w="0" w:type="dxa"/>
            <w:right w:w="108" w:type="dxa"/>
          </w:tblCellMar>
        </w:tblPrEx>
        <w:trPr>
          <w:trHeight w:val="465" w:hRule="atLeast"/>
        </w:trPr>
        <w:tc>
          <w:tcPr>
            <w:tcW w:w="990" w:type="dxa"/>
            <w:tcBorders>
              <w:right w:val="single" w:color="auto" w:sz="4" w:space="0"/>
              <w:tl2br w:val="nil"/>
              <w:tr2bl w:val="nil"/>
            </w:tcBorders>
            <w:noWrap/>
            <w:vAlign w:val="center"/>
          </w:tcPr>
          <w:p w14:paraId="14DB3BDA">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6F83551A">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left w:val="single" w:color="auto" w:sz="4" w:space="0"/>
              <w:tl2br w:val="nil"/>
              <w:tr2bl w:val="nil"/>
            </w:tcBorders>
            <w:vAlign w:val="bottom"/>
          </w:tcPr>
          <w:p w14:paraId="55567F0D">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right w:val="single" w:color="auto" w:sz="4" w:space="0"/>
              <w:tl2br w:val="nil"/>
              <w:tr2bl w:val="nil"/>
            </w:tcBorders>
            <w:noWrap/>
            <w:vAlign w:val="center"/>
          </w:tcPr>
          <w:p w14:paraId="2FE97A12">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9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35985662">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780" w:type="dxa"/>
            <w:tcBorders>
              <w:left w:val="single" w:color="auto" w:sz="4" w:space="0"/>
              <w:right w:val="single" w:color="auto" w:sz="4" w:space="0"/>
              <w:tl2br w:val="nil"/>
              <w:tr2bl w:val="nil"/>
            </w:tcBorders>
            <w:noWrap/>
            <w:vAlign w:val="center"/>
          </w:tcPr>
          <w:p w14:paraId="5BBCF71A">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sz w:val="24"/>
              </w:rPr>
              <mc:AlternateContent>
                <mc:Choice Requires="wps">
                  <w:drawing>
                    <wp:anchor distT="0" distB="0" distL="114300" distR="114300" simplePos="0" relativeHeight="251664384" behindDoc="0" locked="0" layoutInCell="1" allowOverlap="1">
                      <wp:simplePos x="0" y="0"/>
                      <wp:positionH relativeFrom="column">
                        <wp:posOffset>-60960</wp:posOffset>
                      </wp:positionH>
                      <wp:positionV relativeFrom="paragraph">
                        <wp:posOffset>4445</wp:posOffset>
                      </wp:positionV>
                      <wp:extent cx="495300" cy="635"/>
                      <wp:effectExtent l="0" t="48895" r="0" b="64770"/>
                      <wp:wrapNone/>
                      <wp:docPr id="6" name="直接连接符 6"/>
                      <wp:cNvGraphicFramePr/>
                      <a:graphic xmlns:a="http://schemas.openxmlformats.org/drawingml/2006/main">
                        <a:graphicData uri="http://schemas.microsoft.com/office/word/2010/wordprocessingShape">
                          <wps:wsp>
                            <wps:cNvCnPr/>
                            <wps:spPr>
                              <a:xfrm>
                                <a:off x="0" y="0"/>
                                <a:ext cx="495300" cy="635"/>
                              </a:xfrm>
                              <a:prstGeom prst="line">
                                <a:avLst/>
                              </a:prstGeom>
                              <a:ln w="9525" cap="flat" cmpd="sng">
                                <a:solidFill>
                                  <a:srgbClr val="000000"/>
                                </a:solidFill>
                                <a:prstDash val="solid"/>
                                <a:headEnd type="none" w="med" len="med"/>
                                <a:tailEnd type="arrow" w="med" len="med"/>
                              </a:ln>
                            </wps:spPr>
                            <wps:bodyPr/>
                          </wps:wsp>
                        </a:graphicData>
                      </a:graphic>
                    </wp:anchor>
                  </w:drawing>
                </mc:Choice>
                <mc:Fallback>
                  <w:pict>
                    <v:line id="_x0000_s1026" o:spid="_x0000_s1026" o:spt="20" style="position:absolute;left:0pt;margin-left:-4.8pt;margin-top:0.35pt;height:0.05pt;width:39pt;z-index:251664384;mso-width-relative:page;mso-height-relative:page;" filled="f" stroked="t" coordsize="21600,21600" o:gfxdata="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BlEt31AAAAAMBAAAPAAAAAAAAAAEAIAAAACIAAABkcnMvZG93bnJldi54bWxQSwECFAAUAAAA&#10;CACHTuJAMXhLMPIBAADaAwAADgAAAAAAAAABACAAAAAjAQAAZHJzL2Uyb0RvYy54bWxQSwUGAAAA&#10;AAYABgBZAQAAhwUAAAAA&#10;">
                      <v:fill on="f" focussize="0,0"/>
                      <v:stroke color="#000000" joinstyle="round" endarrow="open"/>
                      <v:imagedata o:title=""/>
                      <o:lock v:ext="edit" aspectratio="f"/>
                    </v:line>
                  </w:pict>
                </mc:Fallback>
              </mc:AlternateContent>
            </w:r>
            <w:r>
              <w:rPr>
                <w:kern w:val="0"/>
                <w:sz w:val="24"/>
              </w:rPr>
              <w:t>　</w:t>
            </w:r>
          </w:p>
        </w:tc>
        <w:tc>
          <w:tcPr>
            <w:tcW w:w="2683"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2401F24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3FDC3B46">
        <w:tblPrEx>
          <w:tblCellMar>
            <w:top w:w="0" w:type="dxa"/>
            <w:left w:w="108" w:type="dxa"/>
            <w:bottom w:w="0" w:type="dxa"/>
            <w:right w:w="108" w:type="dxa"/>
          </w:tblCellMar>
        </w:tblPrEx>
        <w:trPr>
          <w:trHeight w:val="285" w:hRule="atLeast"/>
        </w:trPr>
        <w:tc>
          <w:tcPr>
            <w:tcW w:w="990" w:type="dxa"/>
            <w:tcBorders>
              <w:right w:val="single" w:color="auto" w:sz="4" w:space="0"/>
              <w:tl2br w:val="nil"/>
              <w:tr2bl w:val="nil"/>
            </w:tcBorders>
            <w:noWrap/>
            <w:vAlign w:val="center"/>
          </w:tcPr>
          <w:p w14:paraId="20410F1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2483C28E">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left w:val="single" w:color="auto" w:sz="4" w:space="0"/>
              <w:tl2br w:val="nil"/>
              <w:tr2bl w:val="nil"/>
            </w:tcBorders>
            <w:vAlign w:val="bottom"/>
          </w:tcPr>
          <w:p w14:paraId="56B48ED7">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tl2br w:val="nil"/>
              <w:tr2bl w:val="nil"/>
            </w:tcBorders>
            <w:noWrap/>
            <w:vAlign w:val="center"/>
          </w:tcPr>
          <w:p w14:paraId="6F5D2F35">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778" w:type="dxa"/>
            <w:tcBorders>
              <w:top w:val="single" w:color="auto" w:sz="4" w:space="0"/>
              <w:tl2br w:val="nil"/>
              <w:tr2bl w:val="nil"/>
            </w:tcBorders>
            <w:noWrap/>
            <w:vAlign w:val="center"/>
          </w:tcPr>
          <w:p w14:paraId="4494C686">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1177" w:type="dxa"/>
            <w:tcBorders>
              <w:top w:val="single" w:color="auto" w:sz="4" w:space="0"/>
              <w:tl2br w:val="nil"/>
              <w:tr2bl w:val="nil"/>
            </w:tcBorders>
            <w:noWrap/>
            <w:vAlign w:val="center"/>
          </w:tcPr>
          <w:p w14:paraId="58C42A29">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sz w:val="24"/>
              </w:rPr>
              <mc:AlternateContent>
                <mc:Choice Requires="wps">
                  <w:drawing>
                    <wp:anchor distT="0" distB="0" distL="114300" distR="114300" simplePos="0" relativeHeight="251667456" behindDoc="0" locked="0" layoutInCell="1" allowOverlap="1">
                      <wp:simplePos x="0" y="0"/>
                      <wp:positionH relativeFrom="column">
                        <wp:posOffset>-54610</wp:posOffset>
                      </wp:positionH>
                      <wp:positionV relativeFrom="paragraph">
                        <wp:posOffset>0</wp:posOffset>
                      </wp:positionV>
                      <wp:extent cx="635" cy="409575"/>
                      <wp:effectExtent l="48895" t="0" r="64770" b="9525"/>
                      <wp:wrapNone/>
                      <wp:docPr id="9" name="直接连接符 9"/>
                      <wp:cNvGraphicFramePr/>
                      <a:graphic xmlns:a="http://schemas.openxmlformats.org/drawingml/2006/main">
                        <a:graphicData uri="http://schemas.microsoft.com/office/word/2010/wordprocessingShape">
                          <wps:wsp>
                            <wps:cNvCnPr/>
                            <wps:spPr>
                              <a:xfrm>
                                <a:off x="0" y="0"/>
                                <a:ext cx="635" cy="409575"/>
                              </a:xfrm>
                              <a:prstGeom prst="line">
                                <a:avLst/>
                              </a:prstGeom>
                              <a:ln w="9525" cap="flat" cmpd="sng">
                                <a:solidFill>
                                  <a:srgbClr val="000000"/>
                                </a:solidFill>
                                <a:prstDash val="solid"/>
                                <a:headEnd type="none" w="med" len="med"/>
                                <a:tailEnd type="arrow" w="med" len="med"/>
                              </a:ln>
                            </wps:spPr>
                            <wps:bodyPr/>
                          </wps:wsp>
                        </a:graphicData>
                      </a:graphic>
                    </wp:anchor>
                  </w:drawing>
                </mc:Choice>
                <mc:Fallback>
                  <w:pict>
                    <v:line id="_x0000_s1026" o:spid="_x0000_s1026" o:spt="20" style="position:absolute;left:0pt;margin-left:-4.3pt;margin-top:0pt;height:32.25pt;width:0.05pt;z-index:251667456;mso-width-relative:page;mso-height-relative:page;" filled="f" stroked="t" coordsize="21600,21600" o:gfxdata="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p+XAF9YAAAAFAQAADwAAAAAAAAABACAAAAAiAAAAZHJzL2Rvd25yZXYueG1sUEsBAhQAFAAA&#10;AAgAh07iQPKZRvbxAQAA2gMAAA4AAAAAAAAAAQAgAAAAJQEAAGRycy9lMm9Eb2MueG1sUEsFBgAA&#10;AAAGAAYAWQEAAIgFAAAAAA==&#10;">
                      <v:fill on="f" focussize="0,0"/>
                      <v:stroke color="#000000" joinstyle="round" endarrow="open"/>
                      <v:imagedata o:title=""/>
                      <o:lock v:ext="edit" aspectratio="f"/>
                    </v:line>
                  </w:pict>
                </mc:Fallback>
              </mc:AlternateContent>
            </w:r>
          </w:p>
        </w:tc>
        <w:tc>
          <w:tcPr>
            <w:tcW w:w="780" w:type="dxa"/>
            <w:tcBorders>
              <w:right w:val="single" w:color="auto" w:sz="4" w:space="0"/>
              <w:tl2br w:val="nil"/>
              <w:tr2bl w:val="nil"/>
            </w:tcBorders>
            <w:noWrap/>
            <w:vAlign w:val="center"/>
          </w:tcPr>
          <w:p w14:paraId="68133AC7">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683" w:type="dxa"/>
            <w:gridSpan w:val="2"/>
            <w:vMerge w:val="continue"/>
            <w:tcBorders>
              <w:top w:val="single" w:color="auto" w:sz="4" w:space="0"/>
              <w:left w:val="single" w:color="auto" w:sz="4" w:space="0"/>
              <w:right w:val="single" w:color="auto" w:sz="4" w:space="0"/>
              <w:tl2br w:val="nil"/>
              <w:tr2bl w:val="nil"/>
            </w:tcBorders>
            <w:vAlign w:val="center"/>
          </w:tcPr>
          <w:p w14:paraId="7A68B5FC">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274D51D0">
        <w:tblPrEx>
          <w:tblCellMar>
            <w:top w:w="0" w:type="dxa"/>
            <w:left w:w="108" w:type="dxa"/>
            <w:bottom w:w="0" w:type="dxa"/>
            <w:right w:w="108" w:type="dxa"/>
          </w:tblCellMar>
        </w:tblPrEx>
        <w:trPr>
          <w:trHeight w:val="217" w:hRule="atLeast"/>
        </w:trPr>
        <w:tc>
          <w:tcPr>
            <w:tcW w:w="990" w:type="dxa"/>
            <w:tcBorders>
              <w:right w:val="single" w:color="auto" w:sz="4" w:space="0"/>
              <w:tl2br w:val="nil"/>
              <w:tr2bl w:val="nil"/>
            </w:tcBorders>
            <w:noWrap/>
            <w:vAlign w:val="center"/>
          </w:tcPr>
          <w:p w14:paraId="75D7F7BB">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42CD928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left w:val="single" w:color="auto" w:sz="4" w:space="0"/>
              <w:tl2br w:val="nil"/>
              <w:tr2bl w:val="nil"/>
            </w:tcBorders>
            <w:vAlign w:val="bottom"/>
          </w:tcPr>
          <w:p w14:paraId="37435917">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tl2br w:val="nil"/>
              <w:tr2bl w:val="nil"/>
            </w:tcBorders>
            <w:noWrap/>
            <w:vAlign w:val="center"/>
          </w:tcPr>
          <w:p w14:paraId="13953B8B">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778" w:type="dxa"/>
            <w:tcBorders>
              <w:bottom w:val="single" w:color="auto" w:sz="4" w:space="0"/>
              <w:tl2br w:val="nil"/>
              <w:tr2bl w:val="nil"/>
            </w:tcBorders>
            <w:noWrap/>
            <w:vAlign w:val="center"/>
          </w:tcPr>
          <w:p w14:paraId="2647235C">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1177" w:type="dxa"/>
            <w:tcBorders>
              <w:bottom w:val="single" w:color="auto" w:sz="4" w:space="0"/>
              <w:tl2br w:val="nil"/>
              <w:tr2bl w:val="nil"/>
            </w:tcBorders>
            <w:noWrap/>
            <w:vAlign w:val="center"/>
          </w:tcPr>
          <w:p w14:paraId="3AE13C49">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780" w:type="dxa"/>
            <w:tcBorders>
              <w:right w:val="single" w:color="auto" w:sz="4" w:space="0"/>
              <w:tl2br w:val="nil"/>
              <w:tr2bl w:val="nil"/>
            </w:tcBorders>
            <w:noWrap/>
            <w:vAlign w:val="center"/>
          </w:tcPr>
          <w:p w14:paraId="4803EC5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683" w:type="dxa"/>
            <w:gridSpan w:val="2"/>
            <w:vMerge w:val="continue"/>
            <w:tcBorders>
              <w:left w:val="single" w:color="auto" w:sz="4" w:space="0"/>
              <w:right w:val="single" w:color="auto" w:sz="4" w:space="0"/>
              <w:tl2br w:val="nil"/>
              <w:tr2bl w:val="nil"/>
            </w:tcBorders>
            <w:vAlign w:val="center"/>
          </w:tcPr>
          <w:p w14:paraId="7C060ACB">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24DC61E1">
        <w:tblPrEx>
          <w:tblCellMar>
            <w:top w:w="0" w:type="dxa"/>
            <w:left w:w="108" w:type="dxa"/>
            <w:bottom w:w="0" w:type="dxa"/>
            <w:right w:w="108" w:type="dxa"/>
          </w:tblCellMar>
        </w:tblPrEx>
        <w:trPr>
          <w:trHeight w:val="386" w:hRule="atLeast"/>
        </w:trPr>
        <w:tc>
          <w:tcPr>
            <w:tcW w:w="990" w:type="dxa"/>
            <w:tcBorders>
              <w:right w:val="single" w:color="auto" w:sz="4" w:space="0"/>
              <w:tl2br w:val="nil"/>
              <w:tr2bl w:val="nil"/>
            </w:tcBorders>
            <w:noWrap/>
            <w:vAlign w:val="center"/>
          </w:tcPr>
          <w:p w14:paraId="30407540">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3F1C6A4B">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left w:val="single" w:color="auto" w:sz="4" w:space="0"/>
              <w:tl2br w:val="nil"/>
              <w:tr2bl w:val="nil"/>
            </w:tcBorders>
            <w:vAlign w:val="bottom"/>
          </w:tcPr>
          <w:p w14:paraId="5BCAC82C">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right w:val="single" w:color="auto" w:sz="4" w:space="0"/>
              <w:tl2br w:val="nil"/>
              <w:tr2bl w:val="nil"/>
            </w:tcBorders>
            <w:noWrap/>
            <w:vAlign w:val="center"/>
          </w:tcPr>
          <w:p w14:paraId="0CDAD62A">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955" w:type="dxa"/>
            <w:gridSpan w:val="2"/>
            <w:tcBorders>
              <w:top w:val="single" w:color="auto" w:sz="4" w:space="0"/>
              <w:left w:val="single" w:color="auto" w:sz="4" w:space="0"/>
              <w:bottom w:val="single" w:color="auto" w:sz="4" w:space="0"/>
              <w:right w:val="single" w:color="auto" w:sz="4" w:space="0"/>
            </w:tcBorders>
            <w:noWrap/>
            <w:vAlign w:val="center"/>
          </w:tcPr>
          <w:p w14:paraId="0F624C80">
            <w:pPr>
              <w:keepNext w:val="0"/>
              <w:keepLines w:val="0"/>
              <w:pageBreakBefore w:val="0"/>
              <w:widowControl/>
              <w:kinsoku/>
              <w:wordWrap/>
              <w:overflowPunct/>
              <w:topLinePunct w:val="0"/>
              <w:autoSpaceDE/>
              <w:autoSpaceDN/>
              <w:bidi w:val="0"/>
              <w:adjustRightInd/>
              <w:snapToGrid/>
              <w:spacing w:line="240" w:lineRule="auto"/>
              <w:jc w:val="center"/>
              <w:textAlignment w:val="auto"/>
              <w:rPr>
                <w:kern w:val="0"/>
                <w:sz w:val="24"/>
              </w:rPr>
            </w:pPr>
            <w:r>
              <w:rPr>
                <w:kern w:val="0"/>
                <w:sz w:val="24"/>
              </w:rPr>
              <w:t>应急结束</w:t>
            </w:r>
          </w:p>
        </w:tc>
        <w:tc>
          <w:tcPr>
            <w:tcW w:w="780" w:type="dxa"/>
            <w:tcBorders>
              <w:left w:val="single" w:color="auto" w:sz="4" w:space="0"/>
              <w:right w:val="single" w:color="auto" w:sz="4" w:space="0"/>
              <w:tl2br w:val="nil"/>
              <w:tr2bl w:val="nil"/>
            </w:tcBorders>
            <w:noWrap/>
            <w:vAlign w:val="center"/>
          </w:tcPr>
          <w:p w14:paraId="2E21F1F0">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683" w:type="dxa"/>
            <w:gridSpan w:val="2"/>
            <w:vMerge w:val="continue"/>
            <w:tcBorders>
              <w:left w:val="single" w:color="auto" w:sz="4" w:space="0"/>
              <w:right w:val="single" w:color="auto" w:sz="4" w:space="0"/>
              <w:tl2br w:val="nil"/>
              <w:tr2bl w:val="nil"/>
            </w:tcBorders>
            <w:vAlign w:val="center"/>
          </w:tcPr>
          <w:p w14:paraId="38ACC3E0">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74A7DE8D">
        <w:tblPrEx>
          <w:tblCellMar>
            <w:top w:w="0" w:type="dxa"/>
            <w:left w:w="108" w:type="dxa"/>
            <w:bottom w:w="0" w:type="dxa"/>
            <w:right w:w="108" w:type="dxa"/>
          </w:tblCellMar>
        </w:tblPrEx>
        <w:trPr>
          <w:trHeight w:val="275" w:hRule="exact"/>
        </w:trPr>
        <w:tc>
          <w:tcPr>
            <w:tcW w:w="990" w:type="dxa"/>
            <w:tcBorders>
              <w:right w:val="single" w:color="auto" w:sz="4" w:space="0"/>
              <w:tl2br w:val="nil"/>
              <w:tr2bl w:val="nil"/>
            </w:tcBorders>
            <w:noWrap/>
            <w:vAlign w:val="center"/>
          </w:tcPr>
          <w:p w14:paraId="5F95108E">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0DCE6DF7">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left w:val="single" w:color="auto" w:sz="4" w:space="0"/>
              <w:tl2br w:val="nil"/>
              <w:tr2bl w:val="nil"/>
            </w:tcBorders>
            <w:vAlign w:val="bottom"/>
          </w:tcPr>
          <w:p w14:paraId="5F09EB8D">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tl2br w:val="nil"/>
              <w:tr2bl w:val="nil"/>
            </w:tcBorders>
            <w:noWrap/>
            <w:vAlign w:val="center"/>
          </w:tcPr>
          <w:p w14:paraId="22AC4CE1">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778" w:type="dxa"/>
            <w:tcBorders>
              <w:top w:val="single" w:color="auto" w:sz="4" w:space="0"/>
              <w:bottom w:val="single" w:color="auto" w:sz="4" w:space="0"/>
              <w:right w:val="single" w:color="auto" w:sz="4" w:space="0"/>
            </w:tcBorders>
            <w:noWrap/>
            <w:vAlign w:val="center"/>
          </w:tcPr>
          <w:p w14:paraId="2308BCF7">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1177" w:type="dxa"/>
            <w:tcBorders>
              <w:top w:val="single" w:color="auto" w:sz="4" w:space="0"/>
              <w:left w:val="single" w:color="auto" w:sz="4" w:space="0"/>
              <w:bottom w:val="single" w:color="auto" w:sz="4" w:space="0"/>
              <w:tl2br w:val="nil"/>
              <w:tr2bl w:val="nil"/>
            </w:tcBorders>
            <w:noWrap/>
            <w:vAlign w:val="center"/>
          </w:tcPr>
          <w:p w14:paraId="001D62DF">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780" w:type="dxa"/>
            <w:tcBorders>
              <w:bottom w:val="single" w:color="auto" w:sz="4" w:space="0"/>
              <w:tl2br w:val="nil"/>
              <w:tr2bl w:val="nil"/>
            </w:tcBorders>
            <w:noWrap/>
            <w:vAlign w:val="center"/>
          </w:tcPr>
          <w:p w14:paraId="127BB7DF">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1140" w:type="dxa"/>
            <w:tcBorders>
              <w:tl2br w:val="nil"/>
              <w:tr2bl w:val="nil"/>
            </w:tcBorders>
            <w:vAlign w:val="bottom"/>
          </w:tcPr>
          <w:p w14:paraId="76E3D17B">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543" w:type="dxa"/>
            <w:tcBorders>
              <w:tl2br w:val="nil"/>
              <w:tr2bl w:val="nil"/>
            </w:tcBorders>
            <w:vAlign w:val="bottom"/>
          </w:tcPr>
          <w:p w14:paraId="14A9ED7B">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1D24D8FD">
        <w:tblPrEx>
          <w:tblCellMar>
            <w:top w:w="0" w:type="dxa"/>
            <w:left w:w="108" w:type="dxa"/>
            <w:bottom w:w="0" w:type="dxa"/>
            <w:right w:w="108" w:type="dxa"/>
          </w:tblCellMar>
        </w:tblPrEx>
        <w:trPr>
          <w:trHeight w:val="285" w:hRule="atLeast"/>
        </w:trPr>
        <w:tc>
          <w:tcPr>
            <w:tcW w:w="990" w:type="dxa"/>
            <w:tcBorders>
              <w:right w:val="single" w:color="auto" w:sz="4" w:space="0"/>
              <w:tl2br w:val="nil"/>
              <w:tr2bl w:val="nil"/>
            </w:tcBorders>
            <w:noWrap/>
            <w:vAlign w:val="center"/>
          </w:tcPr>
          <w:p w14:paraId="5DF5158C">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7334C927">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left w:val="single" w:color="auto" w:sz="4" w:space="0"/>
              <w:tl2br w:val="nil"/>
              <w:tr2bl w:val="nil"/>
            </w:tcBorders>
            <w:vAlign w:val="bottom"/>
          </w:tcPr>
          <w:p w14:paraId="6AF3F635">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bottom w:val="single" w:color="auto" w:sz="4" w:space="0"/>
              <w:tl2br w:val="nil"/>
              <w:tr2bl w:val="nil"/>
            </w:tcBorders>
            <w:noWrap/>
            <w:vAlign w:val="center"/>
          </w:tcPr>
          <w:p w14:paraId="6844C18B">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1778" w:type="dxa"/>
            <w:tcBorders>
              <w:top w:val="single" w:color="auto" w:sz="4" w:space="0"/>
              <w:bottom w:val="single" w:color="auto" w:sz="4" w:space="0"/>
            </w:tcBorders>
            <w:noWrap/>
            <w:vAlign w:val="center"/>
          </w:tcPr>
          <w:p w14:paraId="59A44E39">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sz w:val="24"/>
              </w:rPr>
              <mc:AlternateContent>
                <mc:Choice Requires="wps">
                  <w:drawing>
                    <wp:anchor distT="0" distB="0" distL="114300" distR="114300" simplePos="0" relativeHeight="251668480" behindDoc="0" locked="0" layoutInCell="1" allowOverlap="1">
                      <wp:simplePos x="0" y="0"/>
                      <wp:positionH relativeFrom="column">
                        <wp:posOffset>-68580</wp:posOffset>
                      </wp:positionH>
                      <wp:positionV relativeFrom="paragraph">
                        <wp:posOffset>0</wp:posOffset>
                      </wp:positionV>
                      <wp:extent cx="635" cy="190500"/>
                      <wp:effectExtent l="48895" t="0" r="64770" b="0"/>
                      <wp:wrapNone/>
                      <wp:docPr id="4" name="直接连接符 4"/>
                      <wp:cNvGraphicFramePr/>
                      <a:graphic xmlns:a="http://schemas.openxmlformats.org/drawingml/2006/main">
                        <a:graphicData uri="http://schemas.microsoft.com/office/word/2010/wordprocessingShape">
                          <wps:wsp>
                            <wps:cNvCnPr/>
                            <wps:spPr>
                              <a:xfrm>
                                <a:off x="0" y="0"/>
                                <a:ext cx="635" cy="190500"/>
                              </a:xfrm>
                              <a:prstGeom prst="line">
                                <a:avLst/>
                              </a:prstGeom>
                              <a:ln w="9525" cap="flat" cmpd="sng">
                                <a:solidFill>
                                  <a:srgbClr val="000000"/>
                                </a:solidFill>
                                <a:prstDash val="solid"/>
                                <a:headEnd type="none" w="med" len="med"/>
                                <a:tailEnd type="arrow" w="med" len="med"/>
                              </a:ln>
                            </wps:spPr>
                            <wps:bodyPr/>
                          </wps:wsp>
                        </a:graphicData>
                      </a:graphic>
                    </wp:anchor>
                  </w:drawing>
                </mc:Choice>
                <mc:Fallback>
                  <w:pict>
                    <v:line id="_x0000_s1026" o:spid="_x0000_s1026" o:spt="20" style="position:absolute;left:0pt;margin-left:-5.4pt;margin-top:0pt;height:15pt;width:0.05pt;z-index:251668480;mso-width-relative:page;mso-height-relative:page;" filled="f" stroked="t" coordsize="21600,21600" o:gfxdata="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Ykh+WNYAAAAHAQAADwAAAAAAAAABACAAAAAiAAAAZHJzL2Rvd25yZXYueG1sUEsBAhQA&#10;FAAAAAgAh07iQHdMecj0AQAA2gMAAA4AAAAAAAAAAQAgAAAAJQEAAGRycy9lMm9Eb2MueG1sUEsF&#10;BgAAAAAGAAYAWQEAAIsFAAAAAA==&#10;">
                      <v:fill on="f" focussize="0,0"/>
                      <v:stroke color="#000000" joinstyle="round" endarrow="open"/>
                      <v:imagedata o:title=""/>
                      <o:lock v:ext="edit" aspectratio="f"/>
                    </v:line>
                  </w:pict>
                </mc:Fallback>
              </mc:AlternateContent>
            </w:r>
          </w:p>
        </w:tc>
        <w:tc>
          <w:tcPr>
            <w:tcW w:w="1177" w:type="dxa"/>
            <w:tcBorders>
              <w:top w:val="single" w:color="auto" w:sz="4" w:space="0"/>
            </w:tcBorders>
            <w:noWrap/>
            <w:vAlign w:val="center"/>
          </w:tcPr>
          <w:p w14:paraId="3F5EA25E">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780" w:type="dxa"/>
            <w:tcBorders>
              <w:top w:val="single" w:color="auto" w:sz="4" w:space="0"/>
              <w:bottom w:val="single" w:color="auto" w:sz="4" w:space="0"/>
            </w:tcBorders>
            <w:noWrap/>
            <w:vAlign w:val="center"/>
          </w:tcPr>
          <w:p w14:paraId="723AE0B8">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sz w:val="24"/>
              </w:rPr>
              <mc:AlternateContent>
                <mc:Choice Requires="wps">
                  <w:drawing>
                    <wp:anchor distT="0" distB="0" distL="114300" distR="114300" simplePos="0" relativeHeight="251669504" behindDoc="0" locked="0" layoutInCell="1" allowOverlap="1">
                      <wp:simplePos x="0" y="0"/>
                      <wp:positionH relativeFrom="column">
                        <wp:posOffset>415290</wp:posOffset>
                      </wp:positionH>
                      <wp:positionV relativeFrom="paragraph">
                        <wp:posOffset>9525</wp:posOffset>
                      </wp:positionV>
                      <wp:extent cx="635" cy="190500"/>
                      <wp:effectExtent l="48895" t="0" r="64770" b="0"/>
                      <wp:wrapNone/>
                      <wp:docPr id="8" name="直接连接符 8"/>
                      <wp:cNvGraphicFramePr/>
                      <a:graphic xmlns:a="http://schemas.openxmlformats.org/drawingml/2006/main">
                        <a:graphicData uri="http://schemas.microsoft.com/office/word/2010/wordprocessingShape">
                          <wps:wsp>
                            <wps:cNvCnPr/>
                            <wps:spPr>
                              <a:xfrm>
                                <a:off x="0" y="0"/>
                                <a:ext cx="635" cy="190500"/>
                              </a:xfrm>
                              <a:prstGeom prst="line">
                                <a:avLst/>
                              </a:prstGeom>
                              <a:ln w="9525" cap="flat" cmpd="sng">
                                <a:solidFill>
                                  <a:srgbClr val="000000"/>
                                </a:solidFill>
                                <a:prstDash val="solid"/>
                                <a:headEnd type="none" w="med" len="med"/>
                                <a:tailEnd type="arrow" w="med" len="med"/>
                              </a:ln>
                            </wps:spPr>
                            <wps:bodyPr/>
                          </wps:wsp>
                        </a:graphicData>
                      </a:graphic>
                    </wp:anchor>
                  </w:drawing>
                </mc:Choice>
                <mc:Fallback>
                  <w:pict>
                    <v:line id="_x0000_s1026" o:spid="_x0000_s1026" o:spt="20" style="position:absolute;left:0pt;margin-left:32.7pt;margin-top:0.75pt;height:15pt;width:0.05pt;z-index:251669504;mso-width-relative:page;mso-height-relative:page;" filled="f" stroked="t" coordsize="21600,21600" o:gfxdata="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QfPts1QAAAAYBAAAPAAAAAAAAAAEAIAAAACIAAABkcnMvZG93bnJldi54bWxQSwECFAAU&#10;AAAACACHTuJADP2aWPQBAADaAwAADgAAAAAAAAABACAAAAAkAQAAZHJzL2Uyb0RvYy54bWxQSwUG&#10;AAAAAAYABgBZAQAAigUAAAAA&#10;">
                      <v:fill on="f" focussize="0,0"/>
                      <v:stroke color="#000000" joinstyle="round" endarrow="open"/>
                      <v:imagedata o:title=""/>
                      <o:lock v:ext="edit" aspectratio="f"/>
                    </v:line>
                  </w:pict>
                </mc:Fallback>
              </mc:AlternateContent>
            </w:r>
            <w:r>
              <w:rPr>
                <w:kern w:val="0"/>
                <w:sz w:val="24"/>
              </w:rPr>
              <w:t>　</w:t>
            </w:r>
          </w:p>
        </w:tc>
        <w:tc>
          <w:tcPr>
            <w:tcW w:w="1140" w:type="dxa"/>
            <w:tcBorders>
              <w:bottom w:val="single" w:color="auto" w:sz="4" w:space="0"/>
              <w:tl2br w:val="nil"/>
              <w:tr2bl w:val="nil"/>
            </w:tcBorders>
            <w:noWrap/>
            <w:vAlign w:val="center"/>
          </w:tcPr>
          <w:p w14:paraId="54F38D04">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543" w:type="dxa"/>
            <w:tcBorders>
              <w:tl2br w:val="nil"/>
              <w:tr2bl w:val="nil"/>
            </w:tcBorders>
            <w:noWrap/>
            <w:vAlign w:val="center"/>
          </w:tcPr>
          <w:p w14:paraId="2DFA8360">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29C94C8A">
        <w:tblPrEx>
          <w:tblCellMar>
            <w:top w:w="0" w:type="dxa"/>
            <w:left w:w="108" w:type="dxa"/>
            <w:bottom w:w="0" w:type="dxa"/>
            <w:right w:w="108" w:type="dxa"/>
          </w:tblCellMar>
        </w:tblPrEx>
        <w:trPr>
          <w:trHeight w:val="340" w:hRule="exact"/>
        </w:trPr>
        <w:tc>
          <w:tcPr>
            <w:tcW w:w="990" w:type="dxa"/>
            <w:tcBorders>
              <w:right w:val="single" w:color="auto" w:sz="4" w:space="0"/>
              <w:tl2br w:val="nil"/>
              <w:tr2bl w:val="nil"/>
            </w:tcBorders>
            <w:noWrap/>
            <w:vAlign w:val="center"/>
          </w:tcPr>
          <w:p w14:paraId="7CFE1B08">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7B9FF9C1">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left w:val="single" w:color="auto" w:sz="4" w:space="0"/>
              <w:right w:val="single" w:color="auto" w:sz="4" w:space="0"/>
              <w:tl2br w:val="nil"/>
              <w:tr2bl w:val="nil"/>
            </w:tcBorders>
            <w:vAlign w:val="bottom"/>
          </w:tcPr>
          <w:p w14:paraId="2A0011EB">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3080" w:type="dxa"/>
            <w:gridSpan w:val="2"/>
            <w:tcBorders>
              <w:top w:val="single" w:color="auto" w:sz="4" w:space="0"/>
              <w:left w:val="single" w:color="auto" w:sz="4" w:space="0"/>
              <w:bottom w:val="single" w:color="auto" w:sz="4" w:space="0"/>
              <w:right w:val="single" w:color="auto" w:sz="4" w:space="0"/>
            </w:tcBorders>
            <w:noWrap/>
            <w:vAlign w:val="center"/>
          </w:tcPr>
          <w:p w14:paraId="744B0D42">
            <w:pPr>
              <w:keepNext w:val="0"/>
              <w:keepLines w:val="0"/>
              <w:pageBreakBefore w:val="0"/>
              <w:widowControl/>
              <w:kinsoku/>
              <w:wordWrap/>
              <w:overflowPunct/>
              <w:topLinePunct w:val="0"/>
              <w:autoSpaceDE/>
              <w:autoSpaceDN/>
              <w:bidi w:val="0"/>
              <w:adjustRightInd/>
              <w:snapToGrid/>
              <w:spacing w:line="240" w:lineRule="auto"/>
              <w:jc w:val="center"/>
              <w:textAlignment w:val="auto"/>
              <w:rPr>
                <w:kern w:val="0"/>
                <w:sz w:val="24"/>
              </w:rPr>
            </w:pPr>
            <w:r>
              <w:rPr>
                <w:kern w:val="0"/>
                <w:sz w:val="24"/>
              </w:rPr>
              <w:t>应急救援工作总结</w:t>
            </w:r>
          </w:p>
        </w:tc>
        <w:tc>
          <w:tcPr>
            <w:tcW w:w="1177" w:type="dxa"/>
            <w:tcBorders>
              <w:left w:val="single" w:color="auto" w:sz="4" w:space="0"/>
              <w:right w:val="single" w:color="auto" w:sz="4" w:space="0"/>
              <w:tl2br w:val="nil"/>
              <w:tr2bl w:val="nil"/>
            </w:tcBorders>
            <w:noWrap/>
            <w:vAlign w:val="center"/>
          </w:tcPr>
          <w:p w14:paraId="0EA327F1">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920" w:type="dxa"/>
            <w:gridSpan w:val="2"/>
            <w:tcBorders>
              <w:top w:val="single" w:color="auto" w:sz="4" w:space="0"/>
              <w:left w:val="single" w:color="auto" w:sz="4" w:space="0"/>
              <w:bottom w:val="single" w:color="auto" w:sz="4" w:space="0"/>
              <w:right w:val="single" w:color="auto" w:sz="4" w:space="0"/>
            </w:tcBorders>
            <w:noWrap/>
            <w:vAlign w:val="center"/>
          </w:tcPr>
          <w:p w14:paraId="258DB4CC">
            <w:pPr>
              <w:keepNext w:val="0"/>
              <w:keepLines w:val="0"/>
              <w:pageBreakBefore w:val="0"/>
              <w:widowControl/>
              <w:kinsoku/>
              <w:wordWrap/>
              <w:overflowPunct/>
              <w:topLinePunct w:val="0"/>
              <w:autoSpaceDE/>
              <w:autoSpaceDN/>
              <w:bidi w:val="0"/>
              <w:adjustRightInd/>
              <w:snapToGrid/>
              <w:spacing w:line="240" w:lineRule="auto"/>
              <w:jc w:val="center"/>
              <w:textAlignment w:val="auto"/>
              <w:rPr>
                <w:kern w:val="0"/>
                <w:sz w:val="24"/>
              </w:rPr>
            </w:pPr>
            <w:r>
              <w:rPr>
                <w:kern w:val="0"/>
                <w:sz w:val="24"/>
              </w:rPr>
              <w:t>配合事故调查</w:t>
            </w:r>
          </w:p>
        </w:tc>
        <w:tc>
          <w:tcPr>
            <w:tcW w:w="1543" w:type="dxa"/>
            <w:tcBorders>
              <w:left w:val="single" w:color="auto" w:sz="4" w:space="0"/>
              <w:tl2br w:val="nil"/>
              <w:tr2bl w:val="nil"/>
            </w:tcBorders>
            <w:noWrap/>
            <w:vAlign w:val="center"/>
          </w:tcPr>
          <w:p w14:paraId="2B1961EB">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7A16AF95">
        <w:tblPrEx>
          <w:tblCellMar>
            <w:top w:w="0" w:type="dxa"/>
            <w:left w:w="108" w:type="dxa"/>
            <w:bottom w:w="0" w:type="dxa"/>
            <w:right w:w="108" w:type="dxa"/>
          </w:tblCellMar>
        </w:tblPrEx>
        <w:trPr>
          <w:trHeight w:val="285" w:hRule="atLeast"/>
        </w:trPr>
        <w:tc>
          <w:tcPr>
            <w:tcW w:w="990" w:type="dxa"/>
            <w:tcBorders>
              <w:right w:val="single" w:color="auto" w:sz="4" w:space="0"/>
              <w:tl2br w:val="nil"/>
              <w:tr2bl w:val="nil"/>
            </w:tcBorders>
            <w:noWrap/>
            <w:vAlign w:val="center"/>
          </w:tcPr>
          <w:p w14:paraId="382ABFE6">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51B34388">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left w:val="single" w:color="auto" w:sz="4" w:space="0"/>
              <w:tl2br w:val="nil"/>
              <w:tr2bl w:val="nil"/>
            </w:tcBorders>
            <w:vAlign w:val="bottom"/>
          </w:tcPr>
          <w:p w14:paraId="25F013E9">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right w:val="single" w:color="auto" w:sz="4" w:space="0"/>
              <w:tl2br w:val="nil"/>
              <w:tr2bl w:val="nil"/>
            </w:tcBorders>
            <w:noWrap/>
            <w:vAlign w:val="center"/>
          </w:tcPr>
          <w:p w14:paraId="5293D90B">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2955" w:type="dxa"/>
            <w:gridSpan w:val="2"/>
            <w:tcBorders>
              <w:left w:val="single" w:color="auto" w:sz="4" w:space="0"/>
              <w:bottom w:val="single" w:color="auto" w:sz="4" w:space="0"/>
            </w:tcBorders>
            <w:noWrap/>
            <w:vAlign w:val="center"/>
          </w:tcPr>
          <w:p w14:paraId="2623591A">
            <w:pPr>
              <w:keepNext w:val="0"/>
              <w:keepLines w:val="0"/>
              <w:pageBreakBefore w:val="0"/>
              <w:widowControl/>
              <w:kinsoku/>
              <w:wordWrap/>
              <w:overflowPunct/>
              <w:topLinePunct w:val="0"/>
              <w:autoSpaceDE/>
              <w:autoSpaceDN/>
              <w:bidi w:val="0"/>
              <w:adjustRightInd/>
              <w:snapToGrid/>
              <w:spacing w:line="240" w:lineRule="auto"/>
              <w:jc w:val="center"/>
              <w:textAlignment w:val="auto"/>
              <w:rPr>
                <w:kern w:val="0"/>
                <w:sz w:val="24"/>
              </w:rPr>
            </w:pPr>
          </w:p>
        </w:tc>
        <w:tc>
          <w:tcPr>
            <w:tcW w:w="780" w:type="dxa"/>
            <w:tcBorders>
              <w:top w:val="single" w:color="auto" w:sz="4" w:space="0"/>
              <w:bottom w:val="single" w:color="auto" w:sz="4" w:space="0"/>
              <w:right w:val="single" w:color="auto" w:sz="4" w:space="0"/>
            </w:tcBorders>
            <w:noWrap/>
            <w:vAlign w:val="center"/>
          </w:tcPr>
          <w:p w14:paraId="4C0849C8">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1140" w:type="dxa"/>
            <w:tcBorders>
              <w:top w:val="single" w:color="auto" w:sz="4" w:space="0"/>
              <w:left w:val="single" w:color="auto" w:sz="4" w:space="0"/>
              <w:tl2br w:val="nil"/>
              <w:tr2bl w:val="nil"/>
            </w:tcBorders>
            <w:noWrap/>
            <w:vAlign w:val="center"/>
          </w:tcPr>
          <w:p w14:paraId="7E97139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543" w:type="dxa"/>
            <w:tcBorders>
              <w:tl2br w:val="nil"/>
              <w:tr2bl w:val="nil"/>
            </w:tcBorders>
            <w:noWrap/>
            <w:vAlign w:val="center"/>
          </w:tcPr>
          <w:p w14:paraId="760DEA02">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32A3DB98">
        <w:tblPrEx>
          <w:tblCellMar>
            <w:top w:w="0" w:type="dxa"/>
            <w:left w:w="108" w:type="dxa"/>
            <w:bottom w:w="0" w:type="dxa"/>
            <w:right w:w="108" w:type="dxa"/>
          </w:tblCellMar>
        </w:tblPrEx>
        <w:trPr>
          <w:trHeight w:val="90" w:hRule="atLeast"/>
        </w:trPr>
        <w:tc>
          <w:tcPr>
            <w:tcW w:w="990" w:type="dxa"/>
            <w:tcBorders>
              <w:right w:val="single" w:color="auto" w:sz="4" w:space="0"/>
              <w:tl2br w:val="nil"/>
              <w:tr2bl w:val="nil"/>
            </w:tcBorders>
            <w:noWrap/>
            <w:vAlign w:val="center"/>
          </w:tcPr>
          <w:p w14:paraId="6A2C572F">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4D2E681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left w:val="single" w:color="auto" w:sz="4" w:space="0"/>
              <w:tl2br w:val="nil"/>
              <w:tr2bl w:val="nil"/>
            </w:tcBorders>
            <w:vAlign w:val="bottom"/>
          </w:tcPr>
          <w:p w14:paraId="18E41909">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tl2br w:val="nil"/>
              <w:tr2bl w:val="nil"/>
            </w:tcBorders>
            <w:noWrap/>
            <w:vAlign w:val="center"/>
          </w:tcPr>
          <w:p w14:paraId="2C46EE01">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778" w:type="dxa"/>
            <w:tcBorders>
              <w:top w:val="single" w:color="auto" w:sz="4" w:space="0"/>
              <w:bottom w:val="single" w:color="auto" w:sz="4" w:space="0"/>
              <w:tl2br w:val="nil"/>
              <w:tr2bl w:val="nil"/>
            </w:tcBorders>
            <w:noWrap/>
            <w:vAlign w:val="center"/>
          </w:tcPr>
          <w:p w14:paraId="030238A0">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kern w:val="0"/>
                <w:sz w:val="24"/>
              </w:rPr>
              <w:t>　</w:t>
            </w:r>
          </w:p>
        </w:tc>
        <w:tc>
          <w:tcPr>
            <w:tcW w:w="1177" w:type="dxa"/>
            <w:tcBorders>
              <w:top w:val="single" w:color="auto" w:sz="4" w:space="0"/>
              <w:bottom w:val="single" w:color="auto" w:sz="4" w:space="0"/>
              <w:tl2br w:val="nil"/>
              <w:tr2bl w:val="nil"/>
            </w:tcBorders>
            <w:noWrap/>
            <w:vAlign w:val="center"/>
          </w:tcPr>
          <w:p w14:paraId="05FBD8DE">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r>
              <w:rPr>
                <w:sz w:val="24"/>
              </w:rPr>
              <mc:AlternateContent>
                <mc:Choice Requires="wps">
                  <w:drawing>
                    <wp:anchor distT="0" distB="0" distL="114300" distR="114300" simplePos="0" relativeHeight="251670528" behindDoc="0" locked="0" layoutInCell="1" allowOverlap="1">
                      <wp:simplePos x="0" y="0"/>
                      <wp:positionH relativeFrom="column">
                        <wp:posOffset>-64135</wp:posOffset>
                      </wp:positionH>
                      <wp:positionV relativeFrom="paragraph">
                        <wp:posOffset>10795</wp:posOffset>
                      </wp:positionV>
                      <wp:extent cx="635" cy="256540"/>
                      <wp:effectExtent l="48895" t="0" r="64770" b="10160"/>
                      <wp:wrapNone/>
                      <wp:docPr id="7" name="直接连接符 7"/>
                      <wp:cNvGraphicFramePr/>
                      <a:graphic xmlns:a="http://schemas.openxmlformats.org/drawingml/2006/main">
                        <a:graphicData uri="http://schemas.microsoft.com/office/word/2010/wordprocessingShape">
                          <wps:wsp>
                            <wps:cNvCnPr/>
                            <wps:spPr>
                              <a:xfrm>
                                <a:off x="0" y="0"/>
                                <a:ext cx="635" cy="256540"/>
                              </a:xfrm>
                              <a:prstGeom prst="line">
                                <a:avLst/>
                              </a:prstGeom>
                              <a:ln w="9525" cap="flat" cmpd="sng">
                                <a:solidFill>
                                  <a:srgbClr val="000000"/>
                                </a:solidFill>
                                <a:prstDash val="solid"/>
                                <a:headEnd type="none" w="med" len="med"/>
                                <a:tailEnd type="arrow" w="med" len="med"/>
                              </a:ln>
                            </wps:spPr>
                            <wps:bodyPr/>
                          </wps:wsp>
                        </a:graphicData>
                      </a:graphic>
                    </wp:anchor>
                  </w:drawing>
                </mc:Choice>
                <mc:Fallback>
                  <w:pict>
                    <v:line id="_x0000_s1026" o:spid="_x0000_s1026" o:spt="20" style="position:absolute;left:0pt;margin-left:-5.05pt;margin-top:0.85pt;height:20.2pt;width:0.05pt;z-index:251670528;mso-width-relative:page;mso-height-relative:page;" filled="f" stroked="t" coordsize="21600,21600" o:gfxdata="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c88U4NYAAAAIAQAADwAAAAAAAAABACAAAAAiAAAAZHJzL2Rvd25yZXYueG1sUEsBAhQA&#10;FAAAAAgAh07iQLFu1YH0AQAA2gMAAA4AAAAAAAAAAQAgAAAAJQEAAGRycy9lMm9Eb2MueG1sUEsF&#10;BgAAAAAGAAYAWQEAAIsFAAAAAA==&#10;">
                      <v:fill on="f" focussize="0,0"/>
                      <v:stroke color="#000000" joinstyle="round" endarrow="open"/>
                      <v:imagedata o:title=""/>
                      <o:lock v:ext="edit" aspectratio="f"/>
                    </v:line>
                  </w:pict>
                </mc:Fallback>
              </mc:AlternateContent>
            </w:r>
            <w:r>
              <w:rPr>
                <w:kern w:val="0"/>
                <w:sz w:val="24"/>
              </w:rPr>
              <w:t>　</w:t>
            </w:r>
          </w:p>
        </w:tc>
        <w:tc>
          <w:tcPr>
            <w:tcW w:w="780" w:type="dxa"/>
            <w:tcBorders>
              <w:top w:val="single" w:color="auto" w:sz="4" w:space="0"/>
              <w:tl2br w:val="nil"/>
              <w:tr2bl w:val="nil"/>
            </w:tcBorders>
            <w:noWrap/>
            <w:vAlign w:val="center"/>
          </w:tcPr>
          <w:p w14:paraId="7A570D2B">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140" w:type="dxa"/>
            <w:tcBorders>
              <w:tl2br w:val="nil"/>
              <w:tr2bl w:val="nil"/>
            </w:tcBorders>
            <w:noWrap/>
            <w:vAlign w:val="center"/>
          </w:tcPr>
          <w:p w14:paraId="18E8226B">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543" w:type="dxa"/>
            <w:tcBorders>
              <w:tl2br w:val="nil"/>
              <w:tr2bl w:val="nil"/>
            </w:tcBorders>
            <w:noWrap/>
            <w:vAlign w:val="center"/>
          </w:tcPr>
          <w:p w14:paraId="4215DC6E">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r w14:paraId="5B8547A0">
        <w:tblPrEx>
          <w:tblCellMar>
            <w:top w:w="0" w:type="dxa"/>
            <w:left w:w="108" w:type="dxa"/>
            <w:bottom w:w="0" w:type="dxa"/>
            <w:right w:w="108" w:type="dxa"/>
          </w:tblCellMar>
        </w:tblPrEx>
        <w:trPr>
          <w:trHeight w:val="579" w:hRule="exact"/>
        </w:trPr>
        <w:tc>
          <w:tcPr>
            <w:tcW w:w="990" w:type="dxa"/>
            <w:tcBorders>
              <w:right w:val="single" w:color="auto" w:sz="4" w:space="0"/>
              <w:tl2br w:val="nil"/>
              <w:tr2bl w:val="nil"/>
            </w:tcBorders>
            <w:noWrap/>
            <w:vAlign w:val="center"/>
          </w:tcPr>
          <w:p w14:paraId="10F96AC1">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410"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537AAA00">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420" w:type="dxa"/>
            <w:tcBorders>
              <w:left w:val="single" w:color="auto" w:sz="4" w:space="0"/>
              <w:tl2br w:val="nil"/>
              <w:tr2bl w:val="nil"/>
            </w:tcBorders>
            <w:vAlign w:val="bottom"/>
          </w:tcPr>
          <w:p w14:paraId="5FF79B91">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302" w:type="dxa"/>
            <w:tcBorders>
              <w:right w:val="single" w:color="auto" w:sz="4" w:space="0"/>
              <w:tl2br w:val="nil"/>
              <w:tr2bl w:val="nil"/>
            </w:tcBorders>
            <w:noWrap/>
            <w:vAlign w:val="center"/>
          </w:tcPr>
          <w:p w14:paraId="185FEF12">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2955" w:type="dxa"/>
            <w:gridSpan w:val="2"/>
            <w:tcBorders>
              <w:top w:val="single" w:color="auto" w:sz="4" w:space="0"/>
              <w:left w:val="single" w:color="auto" w:sz="4" w:space="0"/>
              <w:bottom w:val="single" w:color="auto" w:sz="4" w:space="0"/>
              <w:right w:val="single" w:color="auto" w:sz="4" w:space="0"/>
            </w:tcBorders>
            <w:noWrap/>
            <w:vAlign w:val="center"/>
          </w:tcPr>
          <w:p w14:paraId="5F0A91FF">
            <w:pPr>
              <w:keepNext w:val="0"/>
              <w:keepLines w:val="0"/>
              <w:pageBreakBefore w:val="0"/>
              <w:widowControl/>
              <w:kinsoku/>
              <w:wordWrap/>
              <w:overflowPunct/>
              <w:topLinePunct w:val="0"/>
              <w:autoSpaceDE/>
              <w:autoSpaceDN/>
              <w:bidi w:val="0"/>
              <w:adjustRightInd/>
              <w:snapToGrid/>
              <w:spacing w:line="240" w:lineRule="auto"/>
              <w:jc w:val="center"/>
              <w:textAlignment w:val="auto"/>
              <w:rPr>
                <w:kern w:val="0"/>
                <w:sz w:val="24"/>
              </w:rPr>
            </w:pPr>
            <w:r>
              <w:rPr>
                <w:kern w:val="0"/>
                <w:sz w:val="24"/>
              </w:rPr>
              <w:t>修订完善事故应急救援预案</w:t>
            </w:r>
          </w:p>
        </w:tc>
        <w:tc>
          <w:tcPr>
            <w:tcW w:w="780" w:type="dxa"/>
            <w:tcBorders>
              <w:left w:val="single" w:color="auto" w:sz="4" w:space="0"/>
              <w:tl2br w:val="nil"/>
              <w:tr2bl w:val="nil"/>
            </w:tcBorders>
            <w:noWrap/>
            <w:vAlign w:val="center"/>
          </w:tcPr>
          <w:p w14:paraId="621F96F0">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140" w:type="dxa"/>
            <w:tcBorders>
              <w:tl2br w:val="nil"/>
              <w:tr2bl w:val="nil"/>
            </w:tcBorders>
            <w:noWrap/>
            <w:vAlign w:val="center"/>
          </w:tcPr>
          <w:p w14:paraId="00014FF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c>
          <w:tcPr>
            <w:tcW w:w="1543" w:type="dxa"/>
            <w:tcBorders>
              <w:tl2br w:val="nil"/>
              <w:tr2bl w:val="nil"/>
            </w:tcBorders>
            <w:noWrap/>
            <w:vAlign w:val="center"/>
          </w:tcPr>
          <w:p w14:paraId="4C0FF0F3">
            <w:pPr>
              <w:keepNext w:val="0"/>
              <w:keepLines w:val="0"/>
              <w:pageBreakBefore w:val="0"/>
              <w:widowControl/>
              <w:kinsoku/>
              <w:wordWrap/>
              <w:overflowPunct/>
              <w:topLinePunct w:val="0"/>
              <w:autoSpaceDE/>
              <w:autoSpaceDN/>
              <w:bidi w:val="0"/>
              <w:adjustRightInd/>
              <w:snapToGrid/>
              <w:spacing w:line="240" w:lineRule="auto"/>
              <w:jc w:val="left"/>
              <w:textAlignment w:val="auto"/>
              <w:rPr>
                <w:kern w:val="0"/>
                <w:sz w:val="24"/>
              </w:rPr>
            </w:pPr>
          </w:p>
        </w:tc>
      </w:tr>
    </w:tbl>
    <w:p w14:paraId="71A20FB5">
      <w:pPr>
        <w:pStyle w:val="4"/>
        <w:keepNext w:val="0"/>
        <w:keepLines w:val="0"/>
        <w:pageBreakBefore w:val="0"/>
        <w:widowControl/>
        <w:kinsoku/>
        <w:wordWrap/>
        <w:overflowPunct/>
        <w:topLinePunct w:val="0"/>
        <w:autoSpaceDE/>
        <w:autoSpaceDN/>
        <w:bidi w:val="0"/>
        <w:adjustRightInd/>
        <w:snapToGrid/>
        <w:spacing w:beforeAutospacing="0" w:afterAutospacing="0" w:line="400" w:lineRule="exact"/>
        <w:ind w:firstLine="560" w:firstLineChars="200"/>
        <w:textAlignment w:val="auto"/>
        <w:rPr>
          <w:rFonts w:ascii="仿宋" w:hAnsi="仿宋" w:eastAsia="仿宋" w:cs="仿宋"/>
          <w:color w:val="000000"/>
          <w:sz w:val="28"/>
          <w:szCs w:val="28"/>
        </w:rPr>
        <w:sectPr>
          <w:pgSz w:w="16838" w:h="11906" w:orient="landscape"/>
          <w:pgMar w:top="1349" w:right="1213" w:bottom="1406" w:left="1270" w:header="851" w:footer="992" w:gutter="0"/>
          <w:cols w:space="425" w:num="1"/>
          <w:docGrid w:type="lines" w:linePitch="312" w:charSpace="0"/>
        </w:sectPr>
      </w:pPr>
    </w:p>
    <w:p w14:paraId="2D34DA30">
      <w:pPr>
        <w:pStyle w:val="4"/>
        <w:keepNext w:val="0"/>
        <w:keepLines w:val="0"/>
        <w:pageBreakBefore w:val="0"/>
        <w:widowControl/>
        <w:kinsoku/>
        <w:wordWrap/>
        <w:overflowPunct/>
        <w:topLinePunct w:val="0"/>
        <w:autoSpaceDE/>
        <w:autoSpaceDN/>
        <w:bidi w:val="0"/>
        <w:adjustRightInd/>
        <w:snapToGrid/>
        <w:spacing w:beforeAutospacing="0" w:afterAutospacing="0" w:line="600" w:lineRule="exact"/>
        <w:ind w:firstLine="560" w:firstLineChars="200"/>
        <w:textAlignment w:val="auto"/>
        <w:rPr>
          <w:rFonts w:ascii="仿宋" w:hAnsi="仿宋" w:eastAsia="仿宋" w:cs="仿宋"/>
          <w:color w:val="000000"/>
          <w:sz w:val="28"/>
          <w:szCs w:val="28"/>
        </w:rPr>
      </w:pPr>
    </w:p>
    <w:p w14:paraId="529B4501">
      <w:pPr>
        <w:keepNext w:val="0"/>
        <w:keepLines w:val="0"/>
        <w:pageBreakBefore w:val="0"/>
        <w:kinsoku/>
        <w:wordWrap/>
        <w:overflowPunct/>
        <w:topLinePunct w:val="0"/>
        <w:autoSpaceDE/>
        <w:autoSpaceDN/>
        <w:bidi w:val="0"/>
        <w:adjustRightInd/>
        <w:snapToGrid/>
        <w:spacing w:line="600" w:lineRule="exact"/>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yOWUzOThiZTBhMmFmN2U3YmE4OGZmY2I2YzgwZjkifQ=="/>
  </w:docVars>
  <w:rsids>
    <w:rsidRoot w:val="202B4B5D"/>
    <w:rsid w:val="00093D9B"/>
    <w:rsid w:val="00206856"/>
    <w:rsid w:val="004E32D8"/>
    <w:rsid w:val="04FE6156"/>
    <w:rsid w:val="0CC314CC"/>
    <w:rsid w:val="13EE54D8"/>
    <w:rsid w:val="1AB764EA"/>
    <w:rsid w:val="202B4B5D"/>
    <w:rsid w:val="23572175"/>
    <w:rsid w:val="2D9F174A"/>
    <w:rsid w:val="2FC82F97"/>
    <w:rsid w:val="33D258B6"/>
    <w:rsid w:val="33F91161"/>
    <w:rsid w:val="387650F2"/>
    <w:rsid w:val="39DA2830"/>
    <w:rsid w:val="48DF5AEA"/>
    <w:rsid w:val="49467A0E"/>
    <w:rsid w:val="4B3A0D95"/>
    <w:rsid w:val="4C0819D4"/>
    <w:rsid w:val="52BB6C5F"/>
    <w:rsid w:val="599F26EE"/>
    <w:rsid w:val="5A1D3C25"/>
    <w:rsid w:val="68676B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rFonts w:cs="Times New Roman"/>
      <w:kern w:val="0"/>
      <w:sz w:val="24"/>
    </w:rPr>
  </w:style>
  <w:style w:type="character" w:styleId="7">
    <w:name w:val="page number"/>
    <w:basedOn w:val="6"/>
    <w:qFormat/>
    <w:uiPriority w:val="9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9162</Words>
  <Characters>9541</Characters>
  <Lines>72</Lines>
  <Paragraphs>20</Paragraphs>
  <TotalTime>8</TotalTime>
  <ScaleCrop>false</ScaleCrop>
  <LinksUpToDate>false</LinksUpToDate>
  <CharactersWithSpaces>9728</CharactersWithSpaces>
  <Application>WPS Office_12.1.0.17468_F1E327BC-269C-435d-A152-05C5408002CA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2023-03-17T07:38:00Z</dcterms:created>
  <dc:creator>程贤钿</dc:creator>
  <cp:lastModifiedBy>梅玖</cp:lastModifiedBy>
  <cp:lastPrinted>2023-03-03T07:17:00Z</cp:lastPrinted>
  <dcterms:modified xsi:type="dcterms:W3CDTF">2024-07-19T08:40:00Z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2052-12.1.0.17468</vt:lpwstr>
  </property>
  <property fmtid="{D5CDD505-2E9C-101B-9397-08002B2CF9AE}" pid="3" name="ICV">
    <vt:lpwstr>67E7337DDF5940A7B3DAABAB614C3A75</vt:lpwstr>
  </property>
</Properties>
</file>