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7"/>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spacing w:before="8"/>
        <w:rPr>
          <w:rFonts w:ascii="Times New Roman"/>
          <w:sz w:val="21"/>
        </w:rPr>
      </w:pPr>
    </w:p>
    <w:p>
      <w:pPr>
        <w:pStyle w:val="3"/>
        <w:spacing w:before="54"/>
        <w:ind w:left="311" w:right="510"/>
        <w:jc w:val="center"/>
      </w:pPr>
      <w:r>
        <w:rPr>
          <w:w w:val="95"/>
        </w:rPr>
        <w:t>财绩〔2022〕67</w:t>
      </w:r>
      <w:r>
        <w:rPr>
          <w:spacing w:val="14"/>
        </w:rPr>
        <w:t xml:space="preserve"> </w:t>
      </w:r>
      <w:r>
        <w:rPr>
          <w:spacing w:val="-12"/>
          <w:w w:val="95"/>
        </w:rPr>
        <w:t>号</w:t>
      </w:r>
    </w:p>
    <w:p>
      <w:pPr>
        <w:pStyle w:val="3"/>
      </w:pPr>
    </w:p>
    <w:p>
      <w:pPr>
        <w:pStyle w:val="3"/>
      </w:pPr>
    </w:p>
    <w:p>
      <w:pPr>
        <w:pStyle w:val="3"/>
        <w:spacing w:before="7"/>
        <w:rPr>
          <w:sz w:val="25"/>
        </w:rPr>
      </w:pPr>
    </w:p>
    <w:p>
      <w:pPr>
        <w:pStyle w:val="2"/>
        <w:spacing w:line="254" w:lineRule="auto"/>
        <w:ind w:firstLine="0"/>
        <w:jc w:val="center"/>
      </w:pPr>
      <w:r>
        <w:rPr>
          <w:spacing w:val="-2"/>
        </w:rPr>
        <w:t>青阳县财政局关于印发《青阳县县级项目支出绩效单位自评操作规程》的通知</w:t>
      </w:r>
    </w:p>
    <w:p>
      <w:pPr>
        <w:pStyle w:val="3"/>
        <w:spacing w:before="1"/>
        <w:rPr>
          <w:sz w:val="51"/>
        </w:rPr>
      </w:pPr>
    </w:p>
    <w:p>
      <w:pPr>
        <w:pStyle w:val="3"/>
        <w:ind w:left="119"/>
      </w:pPr>
      <w:r>
        <w:rPr>
          <w:w w:val="95"/>
        </w:rPr>
        <w:t>县直各部门（单位</w:t>
      </w:r>
      <w:r>
        <w:rPr>
          <w:spacing w:val="-161"/>
          <w:w w:val="95"/>
        </w:rPr>
        <w:t>）</w:t>
      </w:r>
      <w:r>
        <w:rPr>
          <w:w w:val="95"/>
        </w:rPr>
        <w:t>、各乡镇人民政府（开发区</w:t>
      </w:r>
      <w:r>
        <w:rPr>
          <w:spacing w:val="-5"/>
          <w:w w:val="95"/>
        </w:rPr>
        <w:t>）:</w:t>
      </w:r>
    </w:p>
    <w:p>
      <w:pPr>
        <w:pStyle w:val="3"/>
        <w:spacing w:before="149" w:line="328" w:lineRule="auto"/>
        <w:ind w:left="119" w:right="305" w:firstLine="640"/>
        <w:jc w:val="both"/>
      </w:pPr>
      <w:r>
        <w:rPr>
          <w:w w:val="99"/>
        </w:rPr>
        <w:t>为规范县级项目支出绩效评价管理，进一步压实责任，</w:t>
      </w:r>
      <w:r>
        <w:rPr>
          <w:spacing w:val="1"/>
          <w:w w:val="99"/>
        </w:rPr>
        <w:t>提高评价质量，根据《中共安徽省委</w:t>
      </w:r>
      <w:r>
        <w:rPr>
          <w:spacing w:val="70"/>
        </w:rPr>
        <w:t xml:space="preserve"> </w:t>
      </w:r>
      <w:r>
        <w:rPr>
          <w:spacing w:val="1"/>
          <w:w w:val="99"/>
        </w:rPr>
        <w:t>安徽省人民政府关于</w:t>
      </w:r>
      <w:r>
        <w:rPr>
          <w:spacing w:val="-9"/>
          <w:w w:val="99"/>
        </w:rPr>
        <w:t>全面实施预算绩效管理的实施意见》</w:t>
      </w:r>
      <w:r>
        <w:rPr>
          <w:spacing w:val="2"/>
          <w:w w:val="99"/>
        </w:rPr>
        <w:t>（</w:t>
      </w:r>
      <w:r>
        <w:rPr>
          <w:spacing w:val="3"/>
          <w:w w:val="99"/>
        </w:rPr>
        <w:t>皖发〔</w:t>
      </w:r>
      <w:r>
        <w:rPr>
          <w:spacing w:val="-1"/>
          <w:w w:val="99"/>
        </w:rPr>
        <w:t>2</w:t>
      </w:r>
      <w:r>
        <w:rPr>
          <w:spacing w:val="1"/>
          <w:w w:val="99"/>
        </w:rPr>
        <w:t>0</w:t>
      </w:r>
      <w:r>
        <w:rPr>
          <w:spacing w:val="-1"/>
          <w:w w:val="99"/>
        </w:rPr>
        <w:t>1</w:t>
      </w:r>
      <w:r>
        <w:rPr>
          <w:spacing w:val="3"/>
          <w:w w:val="99"/>
        </w:rPr>
        <w:t>9</w:t>
      </w:r>
      <w:r>
        <w:rPr>
          <w:spacing w:val="5"/>
          <w:w w:val="99"/>
        </w:rPr>
        <w:t>〕</w:t>
      </w:r>
      <w:r>
        <w:rPr>
          <w:spacing w:val="-1"/>
          <w:w w:val="99"/>
        </w:rPr>
        <w:t>1</w:t>
      </w:r>
      <w:r>
        <w:rPr>
          <w:w w:val="99"/>
        </w:rPr>
        <w:t>1</w:t>
      </w:r>
      <w:r>
        <w:rPr>
          <w:spacing w:val="-75"/>
        </w:rPr>
        <w:t xml:space="preserve"> </w:t>
      </w:r>
      <w:r>
        <w:rPr>
          <w:spacing w:val="2"/>
          <w:w w:val="99"/>
        </w:rPr>
        <w:t>号</w:t>
      </w:r>
      <w:r>
        <w:rPr>
          <w:w w:val="99"/>
        </w:rPr>
        <w:t>）</w:t>
      </w:r>
      <w:r>
        <w:rPr>
          <w:spacing w:val="-5"/>
          <w:w w:val="99"/>
        </w:rPr>
        <w:t>和《青阳县部门预算绩效管理暂行办法》</w:t>
      </w:r>
      <w:r>
        <w:rPr>
          <w:spacing w:val="7"/>
          <w:w w:val="99"/>
        </w:rPr>
        <w:t>（</w:t>
      </w:r>
      <w:r>
        <w:rPr>
          <w:spacing w:val="6"/>
          <w:w w:val="99"/>
        </w:rPr>
        <w:t>青政办〔</w:t>
      </w:r>
      <w:r>
        <w:rPr>
          <w:spacing w:val="-1"/>
          <w:w w:val="99"/>
        </w:rPr>
        <w:t>2</w:t>
      </w:r>
      <w:r>
        <w:rPr>
          <w:spacing w:val="1"/>
          <w:w w:val="99"/>
        </w:rPr>
        <w:t>0</w:t>
      </w:r>
      <w:r>
        <w:rPr>
          <w:spacing w:val="-1"/>
          <w:w w:val="99"/>
        </w:rPr>
        <w:t>2</w:t>
      </w:r>
      <w:r>
        <w:rPr>
          <w:spacing w:val="7"/>
          <w:w w:val="99"/>
        </w:rPr>
        <w:t>0</w:t>
      </w:r>
      <w:r>
        <w:rPr>
          <w:w w:val="99"/>
        </w:rPr>
        <w:t xml:space="preserve">〕 </w:t>
      </w:r>
      <w:r>
        <w:rPr>
          <w:spacing w:val="-1"/>
          <w:w w:val="99"/>
        </w:rPr>
        <w:t>2</w:t>
      </w:r>
      <w:r>
        <w:rPr>
          <w:w w:val="99"/>
        </w:rPr>
        <w:t>3</w:t>
      </w:r>
      <w:r>
        <w:rPr>
          <w:spacing w:val="-78"/>
        </w:rPr>
        <w:t xml:space="preserve"> </w:t>
      </w:r>
      <w:r>
        <w:rPr>
          <w:w w:val="99"/>
        </w:rPr>
        <w:t>号</w:t>
      </w:r>
      <w:r>
        <w:rPr>
          <w:spacing w:val="-31"/>
          <w:w w:val="99"/>
        </w:rPr>
        <w:t>）</w:t>
      </w:r>
      <w:r>
        <w:rPr>
          <w:spacing w:val="-7"/>
          <w:w w:val="99"/>
        </w:rPr>
        <w:t>等有关规定，我们研究制定了《青阳县县级项目支出</w:t>
      </w:r>
      <w:r>
        <w:rPr>
          <w:spacing w:val="-13"/>
          <w:w w:val="99"/>
        </w:rPr>
        <w:t>绩效单位自评操作规程》。现印发给你们，请遵照执行。</w:t>
      </w:r>
    </w:p>
    <w:p>
      <w:pPr>
        <w:pStyle w:val="3"/>
        <w:rPr>
          <w:sz w:val="20"/>
        </w:rPr>
      </w:pPr>
    </w:p>
    <w:p>
      <w:pPr>
        <w:pStyle w:val="3"/>
        <w:rPr>
          <w:sz w:val="20"/>
        </w:rPr>
      </w:pPr>
    </w:p>
    <w:p>
      <w:pPr>
        <w:pStyle w:val="3"/>
        <w:rPr>
          <w:rFonts w:hint="eastAsia"/>
          <w:sz w:val="20"/>
          <w:lang w:val="en-US" w:eastAsia="zh-CN"/>
        </w:rPr>
      </w:pPr>
      <w:r>
        <w:rPr>
          <w:rFonts w:hint="eastAsia"/>
          <w:sz w:val="20"/>
          <w:lang w:val="en-US" w:eastAsia="zh-CN"/>
        </w:rPr>
        <w:t xml:space="preserve">                                                                </w:t>
      </w:r>
    </w:p>
    <w:p>
      <w:pPr>
        <w:pStyle w:val="3"/>
        <w:spacing w:before="149" w:line="328" w:lineRule="auto"/>
        <w:ind w:left="119" w:right="305" w:firstLine="6000" w:firstLineChars="1887"/>
        <w:jc w:val="both"/>
        <w:rPr>
          <w:rFonts w:hint="eastAsia"/>
          <w:spacing w:val="1"/>
          <w:w w:val="99"/>
          <w:lang w:val="en-US" w:eastAsia="zh-CN"/>
        </w:rPr>
      </w:pPr>
      <w:r>
        <w:rPr>
          <w:rFonts w:hint="eastAsia"/>
          <w:spacing w:val="1"/>
          <w:w w:val="99"/>
          <w:lang w:val="en-US" w:eastAsia="zh-CN"/>
        </w:rPr>
        <w:t>青阳财政局</w:t>
      </w:r>
    </w:p>
    <w:p>
      <w:pPr>
        <w:pStyle w:val="3"/>
        <w:spacing w:before="149" w:line="328" w:lineRule="auto"/>
        <w:ind w:left="119" w:right="305" w:firstLine="6000" w:firstLineChars="1887"/>
        <w:jc w:val="both"/>
        <w:rPr>
          <w:rFonts w:hint="default"/>
          <w:spacing w:val="1"/>
          <w:w w:val="99"/>
          <w:lang w:val="en-US" w:eastAsia="zh-CN"/>
        </w:rPr>
      </w:pPr>
      <w:r>
        <w:rPr>
          <w:rFonts w:hint="eastAsia"/>
          <w:spacing w:val="1"/>
          <w:w w:val="99"/>
          <w:lang w:val="en-US" w:eastAsia="zh-CN"/>
        </w:rPr>
        <w:t>2022年5月9日</w:t>
      </w:r>
    </w:p>
    <w:p>
      <w:pPr>
        <w:pStyle w:val="3"/>
        <w:spacing w:before="149" w:line="328" w:lineRule="auto"/>
        <w:ind w:left="119" w:right="305" w:firstLine="640"/>
        <w:jc w:val="both"/>
        <w:rPr>
          <w:spacing w:val="1"/>
          <w:w w:val="99"/>
        </w:rPr>
      </w:pPr>
      <w:bookmarkStart w:id="0" w:name="_GoBack"/>
      <w:bookmarkEnd w:id="0"/>
    </w:p>
    <w:p>
      <w:pPr>
        <w:pStyle w:val="3"/>
        <w:rPr>
          <w:sz w:val="20"/>
        </w:rPr>
      </w:pPr>
    </w:p>
    <w:p>
      <w:pPr>
        <w:pStyle w:val="3"/>
        <w:rPr>
          <w:sz w:val="20"/>
        </w:rPr>
      </w:pPr>
    </w:p>
    <w:p>
      <w:pPr>
        <w:pStyle w:val="3"/>
        <w:rPr>
          <w:sz w:val="20"/>
        </w:rPr>
      </w:pPr>
    </w:p>
    <w:p>
      <w:pPr>
        <w:pStyle w:val="3"/>
        <w:spacing w:before="7"/>
        <w:rPr>
          <w:sz w:val="28"/>
        </w:rPr>
      </w:pPr>
    </w:p>
    <w:p>
      <w:pPr>
        <w:pStyle w:val="3"/>
        <w:spacing w:before="55"/>
        <w:ind w:left="119"/>
      </w:pPr>
      <w:r>
        <w:rPr>
          <w:w w:val="95"/>
        </w:rPr>
        <w:t>抄送：池州市财</w:t>
      </w:r>
      <w:r>
        <w:rPr>
          <w:spacing w:val="-5"/>
          <w:w w:val="95"/>
        </w:rPr>
        <w:t>政局</w:t>
      </w:r>
    </w:p>
    <w:p>
      <w:pPr>
        <w:spacing w:after="0"/>
        <w:sectPr>
          <w:type w:val="continuous"/>
          <w:pgSz w:w="11910" w:h="16840"/>
          <w:pgMar w:top="1920" w:right="1480" w:bottom="280" w:left="1680" w:header="720" w:footer="720" w:gutter="0"/>
          <w:cols w:space="720" w:num="1"/>
        </w:sectPr>
      </w:pPr>
    </w:p>
    <w:p>
      <w:pPr>
        <w:pStyle w:val="2"/>
        <w:spacing w:before="28" w:line="280" w:lineRule="auto"/>
        <w:ind w:left="3393" w:right="1173"/>
      </w:pPr>
      <w:r>
        <w:rPr>
          <w:spacing w:val="-2"/>
        </w:rPr>
        <w:t>青阳县县级项目支出绩效单位自评</w:t>
      </w:r>
      <w:r>
        <w:rPr>
          <w:spacing w:val="-4"/>
        </w:rPr>
        <w:t>操作规程</w:t>
      </w:r>
    </w:p>
    <w:p>
      <w:pPr>
        <w:pStyle w:val="3"/>
        <w:rPr>
          <w:sz w:val="56"/>
        </w:rPr>
      </w:pPr>
    </w:p>
    <w:p>
      <w:pPr>
        <w:pStyle w:val="3"/>
        <w:spacing w:before="1"/>
        <w:ind w:left="3232"/>
        <w:jc w:val="both"/>
      </w:pPr>
      <w:r>
        <w:t>第一章</w:t>
      </w:r>
      <w:r>
        <w:rPr>
          <w:spacing w:val="71"/>
          <w:w w:val="150"/>
        </w:rPr>
        <w:t xml:space="preserve"> </w:t>
      </w:r>
      <w:r>
        <w:rPr>
          <w:spacing w:val="-4"/>
        </w:rPr>
        <w:t>总 则</w:t>
      </w:r>
    </w:p>
    <w:p>
      <w:pPr>
        <w:pStyle w:val="3"/>
        <w:spacing w:before="170" w:line="338" w:lineRule="auto"/>
        <w:ind w:left="119" w:right="317" w:firstLine="640"/>
        <w:jc w:val="both"/>
      </w:pPr>
      <w:r>
        <w:t>第一条 为规范县级项目支出绩效单位自评管理，提高单位自评科学化规范化水平，根据《中共安徽省委 安徽省</w:t>
      </w:r>
      <w:r>
        <w:rPr>
          <w:spacing w:val="19"/>
          <w:w w:val="95"/>
        </w:rPr>
        <w:t>人民政府关于全面实施预算绩效管</w:t>
      </w:r>
      <w:r>
        <w:rPr>
          <w:spacing w:val="20"/>
          <w:w w:val="95"/>
        </w:rPr>
        <w:t>理的实</w:t>
      </w:r>
      <w:r>
        <w:rPr>
          <w:spacing w:val="19"/>
          <w:w w:val="95"/>
        </w:rPr>
        <w:t>施意见</w:t>
      </w:r>
      <w:r>
        <w:rPr>
          <w:spacing w:val="-139"/>
          <w:w w:val="95"/>
        </w:rPr>
        <w:t>》</w:t>
      </w:r>
      <w:r>
        <w:rPr>
          <w:spacing w:val="19"/>
          <w:w w:val="95"/>
        </w:rPr>
        <w:t>（</w:t>
      </w:r>
      <w:r>
        <w:rPr>
          <w:spacing w:val="6"/>
          <w:w w:val="95"/>
        </w:rPr>
        <w:t>皖发</w:t>
      </w:r>
    </w:p>
    <w:p>
      <w:pPr>
        <w:pStyle w:val="3"/>
        <w:spacing w:before="6" w:line="340" w:lineRule="auto"/>
        <w:ind w:left="119" w:right="317"/>
        <w:jc w:val="both"/>
      </w:pPr>
      <w:r>
        <w:rPr>
          <w:w w:val="95"/>
        </w:rPr>
        <w:t>〔2019</w:t>
      </w:r>
      <w:r>
        <w:rPr>
          <w:spacing w:val="-63"/>
          <w:w w:val="95"/>
        </w:rPr>
        <w:t>〕</w:t>
      </w:r>
      <w:r>
        <w:rPr>
          <w:w w:val="95"/>
        </w:rPr>
        <w:t>11</w:t>
      </w:r>
      <w:r>
        <w:rPr>
          <w:spacing w:val="39"/>
        </w:rPr>
        <w:t xml:space="preserve"> </w:t>
      </w:r>
      <w:r>
        <w:rPr>
          <w:w w:val="95"/>
        </w:rPr>
        <w:t>号</w:t>
      </w:r>
      <w:r>
        <w:rPr>
          <w:spacing w:val="-63"/>
          <w:w w:val="95"/>
        </w:rPr>
        <w:t>）和</w:t>
      </w:r>
      <w:r>
        <w:rPr>
          <w:w w:val="95"/>
        </w:rPr>
        <w:t>《青阳县部门预算绩效管理暂行办法</w:t>
      </w:r>
      <w:r>
        <w:rPr>
          <w:spacing w:val="-223"/>
          <w:w w:val="95"/>
        </w:rPr>
        <w:t>》</w:t>
      </w:r>
      <w:r>
        <w:rPr>
          <w:w w:val="95"/>
        </w:rPr>
        <w:t>（青</w:t>
      </w:r>
      <w:r>
        <w:t>政办〔2020〕23</w:t>
      </w:r>
      <w:r>
        <w:rPr>
          <w:spacing w:val="-19"/>
        </w:rPr>
        <w:t xml:space="preserve"> 号</w:t>
      </w:r>
      <w:r>
        <w:t>）等有关规定，制定本规程。</w:t>
      </w:r>
    </w:p>
    <w:p>
      <w:pPr>
        <w:pStyle w:val="3"/>
        <w:spacing w:line="340" w:lineRule="auto"/>
        <w:ind w:left="119" w:right="315" w:firstLine="640"/>
        <w:jc w:val="both"/>
      </w:pPr>
      <w:r>
        <w:rPr>
          <w:spacing w:val="10"/>
          <w:w w:val="99"/>
        </w:rPr>
        <w:t>第二条</w:t>
      </w:r>
      <w:r>
        <w:rPr>
          <w:spacing w:val="21"/>
        </w:rPr>
        <w:t xml:space="preserve">  </w:t>
      </w:r>
      <w:r>
        <w:rPr>
          <w:spacing w:val="11"/>
          <w:w w:val="99"/>
        </w:rPr>
        <w:t>单位自评是指县级预算部门组织部门本级和所属单位对预算批复的项目绩效目标完成情况进行自我评价。</w:t>
      </w:r>
    </w:p>
    <w:p>
      <w:pPr>
        <w:pStyle w:val="3"/>
        <w:spacing w:line="340" w:lineRule="auto"/>
        <w:ind w:left="119" w:right="315" w:firstLine="640"/>
        <w:jc w:val="both"/>
      </w:pPr>
      <w:r>
        <w:rPr>
          <w:spacing w:val="8"/>
        </w:rPr>
        <w:t>第三条 单</w:t>
      </w:r>
      <w:r>
        <w:rPr>
          <w:spacing w:val="14"/>
        </w:rPr>
        <w:t>位</w:t>
      </w:r>
      <w:r>
        <w:rPr>
          <w:spacing w:val="12"/>
        </w:rPr>
        <w:t>自</w:t>
      </w:r>
      <w:r>
        <w:rPr>
          <w:spacing w:val="14"/>
        </w:rPr>
        <w:t>评的对象</w:t>
      </w:r>
      <w:r>
        <w:rPr>
          <w:spacing w:val="12"/>
        </w:rPr>
        <w:t>包</w:t>
      </w:r>
      <w:r>
        <w:rPr>
          <w:spacing w:val="14"/>
        </w:rPr>
        <w:t>括纳入政</w:t>
      </w:r>
      <w:r>
        <w:rPr>
          <w:spacing w:val="12"/>
        </w:rPr>
        <w:t>府</w:t>
      </w:r>
      <w:r>
        <w:rPr>
          <w:spacing w:val="14"/>
        </w:rPr>
        <w:t>预算管理</w:t>
      </w:r>
      <w:r>
        <w:rPr>
          <w:spacing w:val="12"/>
        </w:rPr>
        <w:t>的</w:t>
      </w:r>
      <w:r>
        <w:t>所</w:t>
      </w:r>
      <w:r>
        <w:rPr>
          <w:spacing w:val="-2"/>
        </w:rPr>
        <w:t>有项目支出。</w:t>
      </w:r>
    </w:p>
    <w:p>
      <w:pPr>
        <w:pStyle w:val="3"/>
        <w:spacing w:line="338" w:lineRule="auto"/>
        <w:ind w:left="119" w:right="295" w:firstLine="640"/>
        <w:jc w:val="both"/>
      </w:pPr>
      <w:r>
        <w:t>第四条 单位自评由项目单位自主实施，即“谁支出、</w:t>
      </w:r>
      <w:r>
        <w:rPr>
          <w:spacing w:val="-2"/>
        </w:rPr>
        <w:t>谁自</w:t>
      </w:r>
      <w:r>
        <w:rPr>
          <w:spacing w:val="-78"/>
        </w:rPr>
        <w:t>评”</w:t>
      </w:r>
      <w:r>
        <w:rPr>
          <w:spacing w:val="-2"/>
        </w:rPr>
        <w:t>。单位自评结果应依法依规公开，并自觉接受社会</w:t>
      </w:r>
      <w:r>
        <w:rPr>
          <w:spacing w:val="-4"/>
        </w:rPr>
        <w:t>监督。</w:t>
      </w:r>
    </w:p>
    <w:p>
      <w:pPr>
        <w:pStyle w:val="3"/>
        <w:spacing w:before="6"/>
        <w:rPr>
          <w:sz w:val="44"/>
        </w:rPr>
      </w:pPr>
    </w:p>
    <w:p>
      <w:pPr>
        <w:pStyle w:val="3"/>
        <w:ind w:left="2512"/>
        <w:jc w:val="both"/>
      </w:pPr>
      <w:r>
        <w:t>第二章</w:t>
      </w:r>
      <w:r>
        <w:rPr>
          <w:spacing w:val="56"/>
          <w:w w:val="150"/>
        </w:rPr>
        <w:t xml:space="preserve"> </w:t>
      </w:r>
      <w:r>
        <w:t>自评内容和方</w:t>
      </w:r>
      <w:r>
        <w:rPr>
          <w:spacing w:val="-10"/>
        </w:rPr>
        <w:t>法</w:t>
      </w:r>
    </w:p>
    <w:p>
      <w:pPr>
        <w:pStyle w:val="3"/>
        <w:spacing w:before="171" w:line="338" w:lineRule="auto"/>
        <w:ind w:left="119" w:right="295" w:firstLine="640"/>
        <w:jc w:val="both"/>
      </w:pPr>
      <w:r>
        <w:t>第五条 单位自评的内容主要包括项目总体绩效目标、</w:t>
      </w:r>
      <w:r>
        <w:rPr>
          <w:spacing w:val="-2"/>
        </w:rPr>
        <w:t>各项绩效指标完成情况以及预算执行情况。对未完成绩效目标或偏离绩效目标较大的项目要分析并说明原因，研究提出改进措施。</w:t>
      </w:r>
    </w:p>
    <w:p>
      <w:pPr>
        <w:spacing w:after="0" w:line="338" w:lineRule="auto"/>
        <w:jc w:val="both"/>
        <w:sectPr>
          <w:pgSz w:w="11910" w:h="16840"/>
          <w:pgMar w:top="1480" w:right="1480" w:bottom="280" w:left="1680" w:header="720" w:footer="720" w:gutter="0"/>
          <w:cols w:space="720" w:num="1"/>
        </w:sectPr>
      </w:pPr>
    </w:p>
    <w:p>
      <w:pPr>
        <w:pStyle w:val="3"/>
        <w:spacing w:before="25" w:line="340" w:lineRule="auto"/>
        <w:ind w:left="119" w:right="159" w:firstLine="640"/>
        <w:jc w:val="both"/>
      </w:pPr>
      <w:r>
        <w:rPr>
          <w:spacing w:val="49"/>
        </w:rPr>
        <w:t>第六条 单</w:t>
      </w:r>
      <w:r>
        <w:rPr>
          <w:spacing w:val="14"/>
        </w:rPr>
        <w:t>位</w:t>
      </w:r>
      <w:r>
        <w:rPr>
          <w:spacing w:val="12"/>
        </w:rPr>
        <w:t>自</w:t>
      </w:r>
      <w:r>
        <w:rPr>
          <w:spacing w:val="14"/>
        </w:rPr>
        <w:t>评指标是</w:t>
      </w:r>
      <w:r>
        <w:rPr>
          <w:spacing w:val="12"/>
        </w:rPr>
        <w:t>指</w:t>
      </w:r>
      <w:r>
        <w:rPr>
          <w:spacing w:val="14"/>
        </w:rPr>
        <w:t>预算批复</w:t>
      </w:r>
      <w:r>
        <w:rPr>
          <w:spacing w:val="12"/>
        </w:rPr>
        <w:t>时</w:t>
      </w:r>
      <w:r>
        <w:rPr>
          <w:spacing w:val="14"/>
        </w:rPr>
        <w:t>确定的绩</w:t>
      </w:r>
      <w:r>
        <w:rPr>
          <w:spacing w:val="12"/>
        </w:rPr>
        <w:t>效</w:t>
      </w:r>
      <w:r>
        <w:t>指</w:t>
      </w:r>
      <w:r>
        <w:rPr>
          <w:spacing w:val="-2"/>
        </w:rPr>
        <w:t>标，包括项目的产出数量、质量、时效、成本，以及经济效</w:t>
      </w:r>
      <w:r>
        <w:rPr>
          <w:w w:val="95"/>
        </w:rPr>
        <w:t>益、社会效益、生态效益、可持续影响、服务对象满意度</w:t>
      </w:r>
      <w:r>
        <w:rPr>
          <w:spacing w:val="-5"/>
          <w:w w:val="95"/>
        </w:rPr>
        <w:t>等。</w:t>
      </w:r>
    </w:p>
    <w:p>
      <w:pPr>
        <w:pStyle w:val="3"/>
        <w:spacing w:line="340" w:lineRule="auto"/>
        <w:ind w:left="119" w:right="313" w:firstLine="640"/>
        <w:jc w:val="both"/>
      </w:pPr>
      <w:r>
        <w:rPr>
          <w:spacing w:val="13"/>
          <w:w w:val="99"/>
        </w:rPr>
        <w:t>单位自评指标的权重，由各单位根据项目实际情况确</w:t>
      </w:r>
      <w:r>
        <w:rPr>
          <w:spacing w:val="3"/>
          <w:w w:val="99"/>
        </w:rPr>
        <w:t>定。原则上预算执行率和一级指标权重统一设置为:预算执行率</w:t>
      </w:r>
      <w:r>
        <w:rPr>
          <w:spacing w:val="-78"/>
        </w:rPr>
        <w:t xml:space="preserve"> </w:t>
      </w:r>
      <w:r>
        <w:rPr>
          <w:spacing w:val="-1"/>
          <w:w w:val="99"/>
        </w:rPr>
        <w:t>1</w:t>
      </w:r>
      <w:r>
        <w:rPr>
          <w:spacing w:val="1"/>
          <w:w w:val="99"/>
        </w:rPr>
        <w:t>0</w:t>
      </w:r>
      <w:r>
        <w:rPr>
          <w:spacing w:val="-6"/>
          <w:w w:val="99"/>
        </w:rPr>
        <w:t>%、产出指标</w:t>
      </w:r>
      <w:r>
        <w:rPr>
          <w:spacing w:val="-79"/>
        </w:rPr>
        <w:t xml:space="preserve"> </w:t>
      </w:r>
      <w:r>
        <w:rPr>
          <w:spacing w:val="-1"/>
          <w:w w:val="99"/>
        </w:rPr>
        <w:t>5</w:t>
      </w:r>
      <w:r>
        <w:rPr>
          <w:spacing w:val="1"/>
          <w:w w:val="99"/>
        </w:rPr>
        <w:t>0</w:t>
      </w:r>
      <w:r>
        <w:rPr>
          <w:spacing w:val="-6"/>
          <w:w w:val="99"/>
        </w:rPr>
        <w:t>%、效益指标</w:t>
      </w:r>
      <w:r>
        <w:rPr>
          <w:spacing w:val="-79"/>
        </w:rPr>
        <w:t xml:space="preserve"> </w:t>
      </w:r>
      <w:r>
        <w:rPr>
          <w:spacing w:val="-1"/>
          <w:w w:val="99"/>
        </w:rPr>
        <w:t>3</w:t>
      </w:r>
      <w:r>
        <w:rPr>
          <w:spacing w:val="1"/>
          <w:w w:val="99"/>
        </w:rPr>
        <w:t>0</w:t>
      </w:r>
      <w:r>
        <w:rPr>
          <w:spacing w:val="-4"/>
          <w:w w:val="99"/>
        </w:rPr>
        <w:t>%、服务对象满意度指标</w:t>
      </w:r>
      <w:r>
        <w:rPr>
          <w:spacing w:val="-79"/>
        </w:rPr>
        <w:t xml:space="preserve"> </w:t>
      </w:r>
      <w:r>
        <w:rPr>
          <w:spacing w:val="-1"/>
          <w:w w:val="99"/>
        </w:rPr>
        <w:t>1</w:t>
      </w:r>
      <w:r>
        <w:rPr>
          <w:spacing w:val="1"/>
          <w:w w:val="99"/>
        </w:rPr>
        <w:t>0%。如有特殊情况，一级指标权重可做适当调整。二、</w:t>
      </w:r>
      <w:r>
        <w:rPr>
          <w:spacing w:val="-1"/>
          <w:w w:val="99"/>
        </w:rPr>
        <w:t>三级指标应当根据指标重要程度、项目实施阶段等因素综合</w:t>
      </w:r>
      <w:r>
        <w:rPr>
          <w:w w:val="99"/>
        </w:rPr>
        <w:t>确定，准确反映项目的产出和效益。</w:t>
      </w:r>
    </w:p>
    <w:p>
      <w:pPr>
        <w:pStyle w:val="3"/>
        <w:spacing w:line="397" w:lineRule="exact"/>
        <w:ind w:left="760"/>
        <w:jc w:val="both"/>
      </w:pPr>
      <w:r>
        <w:rPr>
          <w:spacing w:val="35"/>
        </w:rPr>
        <w:t>第七条 单</w:t>
      </w:r>
      <w:r>
        <w:rPr>
          <w:spacing w:val="14"/>
        </w:rPr>
        <w:t>位</w:t>
      </w:r>
      <w:r>
        <w:rPr>
          <w:spacing w:val="12"/>
        </w:rPr>
        <w:t>自</w:t>
      </w:r>
      <w:r>
        <w:rPr>
          <w:spacing w:val="14"/>
        </w:rPr>
        <w:t>评采用定</w:t>
      </w:r>
      <w:r>
        <w:rPr>
          <w:spacing w:val="12"/>
        </w:rPr>
        <w:t>量</w:t>
      </w:r>
      <w:r>
        <w:rPr>
          <w:spacing w:val="14"/>
        </w:rPr>
        <w:t>与定性评</w:t>
      </w:r>
      <w:r>
        <w:rPr>
          <w:spacing w:val="12"/>
        </w:rPr>
        <w:t>价</w:t>
      </w:r>
      <w:r>
        <w:rPr>
          <w:spacing w:val="14"/>
        </w:rPr>
        <w:t>相结合的</w:t>
      </w:r>
      <w:r>
        <w:rPr>
          <w:spacing w:val="1"/>
        </w:rPr>
        <w:t>比较</w:t>
      </w:r>
    </w:p>
    <w:p>
      <w:pPr>
        <w:pStyle w:val="3"/>
        <w:spacing w:before="165"/>
        <w:ind w:left="119"/>
      </w:pPr>
      <w:r>
        <w:rPr>
          <w:w w:val="95"/>
        </w:rPr>
        <w:t>法，总分由各项指标得分汇总形成</w:t>
      </w:r>
      <w:r>
        <w:rPr>
          <w:spacing w:val="-10"/>
          <w:w w:val="95"/>
        </w:rPr>
        <w:t>。</w:t>
      </w:r>
    </w:p>
    <w:p>
      <w:pPr>
        <w:pStyle w:val="3"/>
        <w:spacing w:before="170" w:line="338" w:lineRule="auto"/>
        <w:ind w:left="119" w:right="303" w:firstLine="640"/>
        <w:jc w:val="both"/>
      </w:pPr>
      <w:r>
        <w:rPr>
          <w:w w:val="99"/>
        </w:rPr>
        <w:t>定量指标得分按照以下方法评定：与年初指标值相比，</w:t>
      </w:r>
      <w:r>
        <w:rPr>
          <w:spacing w:val="-2"/>
          <w:w w:val="99"/>
        </w:rPr>
        <w:t>完成指标值的，记该指标所赋全部分值；对完成值高于指标值较多的，要分析原因，如果是由于年初指标值设定明显偏</w:t>
      </w:r>
      <w:r>
        <w:rPr>
          <w:w w:val="99"/>
        </w:rPr>
        <w:t>低造成的，要按照偏离度适度调减分值；未完成指标值的，按照完成值与指标值的比例记分。</w:t>
      </w:r>
    </w:p>
    <w:p>
      <w:pPr>
        <w:pStyle w:val="3"/>
        <w:spacing w:before="9" w:line="338" w:lineRule="auto"/>
        <w:ind w:left="119" w:right="317" w:firstLine="640"/>
        <w:jc w:val="both"/>
      </w:pPr>
      <w:r>
        <w:rPr>
          <w:spacing w:val="-1"/>
          <w:w w:val="99"/>
        </w:rPr>
        <w:t>定性指标得分按照以下方法评定：根据指标完成情况分</w:t>
      </w:r>
      <w:r>
        <w:rPr>
          <w:spacing w:val="-2"/>
          <w:w w:val="99"/>
        </w:rPr>
        <w:t xml:space="preserve">为达成年度指标、部分达成年度指标并具有一定效果、未达成年度指标且效果较差三档，分别按照该指标对应分值区间 </w:t>
      </w:r>
      <w:r>
        <w:rPr>
          <w:spacing w:val="-1"/>
          <w:w w:val="99"/>
        </w:rPr>
        <w:t>1</w:t>
      </w:r>
      <w:r>
        <w:rPr>
          <w:spacing w:val="1"/>
          <w:w w:val="99"/>
        </w:rPr>
        <w:t>0</w:t>
      </w:r>
      <w:r>
        <w:rPr>
          <w:spacing w:val="-1"/>
          <w:w w:val="99"/>
        </w:rPr>
        <w:t>0</w:t>
      </w:r>
      <w:r>
        <w:rPr>
          <w:spacing w:val="1"/>
          <w:w w:val="99"/>
        </w:rPr>
        <w:t>%-</w:t>
      </w:r>
      <w:r>
        <w:rPr>
          <w:spacing w:val="-1"/>
          <w:w w:val="99"/>
        </w:rPr>
        <w:t>8</w:t>
      </w:r>
      <w:r>
        <w:rPr>
          <w:spacing w:val="1"/>
          <w:w w:val="99"/>
        </w:rPr>
        <w:t>0</w:t>
      </w:r>
      <w:r>
        <w:rPr>
          <w:spacing w:val="-1"/>
          <w:w w:val="99"/>
        </w:rPr>
        <w:t>%</w:t>
      </w:r>
      <w:r>
        <w:rPr>
          <w:w w:val="99"/>
        </w:rPr>
        <w:t>（</w:t>
      </w:r>
      <w:r>
        <w:rPr>
          <w:spacing w:val="2"/>
          <w:w w:val="99"/>
        </w:rPr>
        <w:t>含</w:t>
      </w:r>
      <w:r>
        <w:rPr>
          <w:spacing w:val="-159"/>
          <w:w w:val="99"/>
        </w:rPr>
        <w:t>）</w:t>
      </w:r>
      <w:r>
        <w:rPr>
          <w:w w:val="99"/>
        </w:rPr>
        <w:t>、</w:t>
      </w:r>
      <w:r>
        <w:rPr>
          <w:spacing w:val="-1"/>
          <w:w w:val="99"/>
        </w:rPr>
        <w:t>8</w:t>
      </w:r>
      <w:r>
        <w:rPr>
          <w:spacing w:val="1"/>
          <w:w w:val="99"/>
        </w:rPr>
        <w:t>0</w:t>
      </w:r>
      <w:r>
        <w:rPr>
          <w:w w:val="99"/>
        </w:rPr>
        <w:t>%-</w:t>
      </w:r>
      <w:r>
        <w:rPr>
          <w:spacing w:val="1"/>
          <w:w w:val="99"/>
        </w:rPr>
        <w:t>6</w:t>
      </w:r>
      <w:r>
        <w:rPr>
          <w:spacing w:val="-1"/>
          <w:w w:val="99"/>
        </w:rPr>
        <w:t>0</w:t>
      </w:r>
      <w:r>
        <w:rPr>
          <w:spacing w:val="2"/>
          <w:w w:val="99"/>
        </w:rPr>
        <w:t>%</w:t>
      </w:r>
      <w:r>
        <w:rPr>
          <w:w w:val="99"/>
        </w:rPr>
        <w:t>（含</w:t>
      </w:r>
      <w:r>
        <w:rPr>
          <w:spacing w:val="-159"/>
          <w:w w:val="99"/>
        </w:rPr>
        <w:t>）</w:t>
      </w:r>
      <w:r>
        <w:rPr>
          <w:w w:val="99"/>
        </w:rPr>
        <w:t>、</w:t>
      </w:r>
      <w:r>
        <w:rPr>
          <w:spacing w:val="-1"/>
          <w:w w:val="99"/>
        </w:rPr>
        <w:t>6</w:t>
      </w:r>
      <w:r>
        <w:rPr>
          <w:spacing w:val="1"/>
          <w:w w:val="99"/>
        </w:rPr>
        <w:t>0</w:t>
      </w:r>
      <w:r>
        <w:rPr>
          <w:w w:val="99"/>
        </w:rPr>
        <w:t>%-</w:t>
      </w:r>
      <w:r>
        <w:rPr>
          <w:spacing w:val="1"/>
          <w:w w:val="99"/>
        </w:rPr>
        <w:t>0</w:t>
      </w:r>
      <w:r>
        <w:rPr>
          <w:w w:val="99"/>
        </w:rPr>
        <w:t>%合理确定分值。</w:t>
      </w:r>
    </w:p>
    <w:p>
      <w:pPr>
        <w:pStyle w:val="3"/>
        <w:spacing w:before="8" w:line="338" w:lineRule="auto"/>
        <w:ind w:left="119" w:right="156" w:firstLine="640"/>
        <w:jc w:val="both"/>
      </w:pPr>
      <w:r>
        <w:t>第八条 单位自评结果采取评分和评级相结合的方式，</w:t>
      </w:r>
      <w:r>
        <w:rPr>
          <w:spacing w:val="-2"/>
        </w:rPr>
        <w:t xml:space="preserve">具体分值和等级可根据不同评价内容设定。总分一般设置为 </w:t>
      </w:r>
      <w:r>
        <w:rPr>
          <w:w w:val="95"/>
        </w:rPr>
        <w:t>100</w:t>
      </w:r>
      <w:r>
        <w:rPr>
          <w:spacing w:val="-18"/>
          <w:w w:val="95"/>
        </w:rPr>
        <w:t xml:space="preserve"> 分，等级一般</w:t>
      </w:r>
      <w:r>
        <w:rPr>
          <w:w w:val="95"/>
        </w:rPr>
        <w:t>划分为四档：90（含）-100</w:t>
      </w:r>
      <w:r>
        <w:rPr>
          <w:spacing w:val="-24"/>
          <w:w w:val="95"/>
        </w:rPr>
        <w:t xml:space="preserve"> 分为优、</w:t>
      </w:r>
      <w:r>
        <w:rPr>
          <w:w w:val="95"/>
        </w:rPr>
        <w:t>80（含）</w:t>
      </w:r>
    </w:p>
    <w:p>
      <w:pPr>
        <w:pStyle w:val="3"/>
        <w:spacing w:before="6"/>
        <w:ind w:left="119"/>
        <w:jc w:val="both"/>
      </w:pPr>
      <w:r>
        <w:rPr>
          <w:w w:val="95"/>
        </w:rPr>
        <w:t>-90</w:t>
      </w:r>
      <w:r>
        <w:rPr>
          <w:spacing w:val="13"/>
        </w:rPr>
        <w:t xml:space="preserve"> </w:t>
      </w:r>
      <w:r>
        <w:rPr>
          <w:w w:val="95"/>
        </w:rPr>
        <w:t>分为良、60（含）-80</w:t>
      </w:r>
      <w:r>
        <w:rPr>
          <w:spacing w:val="14"/>
        </w:rPr>
        <w:t xml:space="preserve"> </w:t>
      </w:r>
      <w:r>
        <w:rPr>
          <w:w w:val="95"/>
        </w:rPr>
        <w:t>分为中、60</w:t>
      </w:r>
      <w:r>
        <w:rPr>
          <w:spacing w:val="14"/>
        </w:rPr>
        <w:t xml:space="preserve"> </w:t>
      </w:r>
      <w:r>
        <w:rPr>
          <w:w w:val="95"/>
        </w:rPr>
        <w:t>分以下为</w:t>
      </w:r>
      <w:r>
        <w:rPr>
          <w:spacing w:val="-5"/>
          <w:w w:val="95"/>
        </w:rPr>
        <w:t>差。</w:t>
      </w:r>
    </w:p>
    <w:p>
      <w:pPr>
        <w:spacing w:after="0"/>
        <w:jc w:val="both"/>
        <w:sectPr>
          <w:pgSz w:w="11910" w:h="16840"/>
          <w:pgMar w:top="1540" w:right="1480" w:bottom="280" w:left="1680" w:header="720" w:footer="720" w:gutter="0"/>
          <w:cols w:space="720" w:num="1"/>
        </w:sectPr>
      </w:pPr>
    </w:p>
    <w:p>
      <w:pPr>
        <w:pStyle w:val="3"/>
        <w:spacing w:before="5"/>
        <w:rPr>
          <w:sz w:val="13"/>
        </w:rPr>
      </w:pPr>
    </w:p>
    <w:p>
      <w:pPr>
        <w:pStyle w:val="3"/>
        <w:spacing w:before="55"/>
        <w:ind w:left="2673"/>
        <w:jc w:val="both"/>
      </w:pPr>
      <w:r>
        <w:t>第三章</w:t>
      </w:r>
      <w:r>
        <w:rPr>
          <w:spacing w:val="59"/>
          <w:w w:val="150"/>
        </w:rPr>
        <w:t xml:space="preserve"> </w:t>
      </w:r>
      <w:r>
        <w:t>自评组织</w:t>
      </w:r>
      <w:r>
        <w:rPr>
          <w:spacing w:val="-5"/>
        </w:rPr>
        <w:t>实施</w:t>
      </w:r>
    </w:p>
    <w:p>
      <w:pPr>
        <w:pStyle w:val="3"/>
        <w:spacing w:before="170" w:line="338" w:lineRule="auto"/>
        <w:ind w:left="119" w:right="315" w:firstLine="640"/>
        <w:jc w:val="both"/>
      </w:pPr>
      <w:r>
        <w:rPr>
          <w:spacing w:val="10"/>
          <w:w w:val="99"/>
        </w:rPr>
        <w:t>第九条</w:t>
      </w:r>
      <w:r>
        <w:rPr>
          <w:spacing w:val="21"/>
        </w:rPr>
        <w:t xml:space="preserve">  </w:t>
      </w:r>
      <w:r>
        <w:rPr>
          <w:spacing w:val="11"/>
          <w:w w:val="99"/>
        </w:rPr>
        <w:t>各部门负责组织部门本级和所属单位开展自</w:t>
      </w:r>
      <w:r>
        <w:rPr>
          <w:spacing w:val="-2"/>
          <w:w w:val="99"/>
        </w:rPr>
        <w:t>评工作，汇总自评结果，加强自评结果审核和应用。部门本</w:t>
      </w:r>
      <w:r>
        <w:rPr>
          <w:spacing w:val="-1"/>
          <w:w w:val="99"/>
        </w:rPr>
        <w:t>级和所属单位按照要求具体负责自评工作，对自评结果的真</w:t>
      </w:r>
      <w:r>
        <w:rPr>
          <w:w w:val="99"/>
        </w:rPr>
        <w:t>实性和准确性负责，自评中发现的问题要及时进行整改。</w:t>
      </w:r>
    </w:p>
    <w:p>
      <w:pPr>
        <w:pStyle w:val="3"/>
        <w:spacing w:before="6"/>
        <w:ind w:left="760"/>
        <w:jc w:val="both"/>
      </w:pPr>
      <w:r>
        <w:t>第十条</w:t>
      </w:r>
      <w:r>
        <w:rPr>
          <w:spacing w:val="34"/>
          <w:w w:val="150"/>
        </w:rPr>
        <w:t xml:space="preserve"> </w:t>
      </w:r>
      <w:r>
        <w:t>县级预算部门按以下程序开展绩效自</w:t>
      </w:r>
      <w:r>
        <w:rPr>
          <w:spacing w:val="-10"/>
        </w:rPr>
        <w:t>评</w:t>
      </w:r>
    </w:p>
    <w:p>
      <w:pPr>
        <w:pStyle w:val="3"/>
        <w:spacing w:before="171" w:line="340" w:lineRule="auto"/>
        <w:ind w:left="119" w:right="320" w:firstLine="640"/>
      </w:pPr>
      <w:r>
        <w:rPr>
          <w:w w:val="99"/>
        </w:rPr>
        <w:t>（</w:t>
      </w:r>
      <w:r>
        <w:rPr>
          <w:spacing w:val="2"/>
          <w:w w:val="99"/>
        </w:rPr>
        <w:t>一</w:t>
      </w:r>
      <w:r>
        <w:rPr>
          <w:spacing w:val="-5"/>
          <w:w w:val="99"/>
        </w:rPr>
        <w:t>）</w:t>
      </w:r>
      <w:r>
        <w:rPr>
          <w:spacing w:val="-2"/>
          <w:w w:val="99"/>
        </w:rPr>
        <w:t>部署绩效自评。年度预算执行完成后，县级预算</w:t>
      </w:r>
      <w:r>
        <w:rPr>
          <w:w w:val="99"/>
        </w:rPr>
        <w:t>部门应当部署部门本级及所属单位开展自评。</w:t>
      </w:r>
    </w:p>
    <w:p>
      <w:pPr>
        <w:pStyle w:val="3"/>
        <w:spacing w:line="340" w:lineRule="auto"/>
        <w:ind w:left="119" w:right="159" w:firstLine="640"/>
        <w:jc w:val="both"/>
      </w:pPr>
      <w:r>
        <w:rPr>
          <w:spacing w:val="-2"/>
        </w:rPr>
        <w:t>（二）实施绩效自评。部门本级和所属单位参考《青阳</w:t>
      </w:r>
      <w:r>
        <w:rPr>
          <w:spacing w:val="18"/>
        </w:rPr>
        <w:t>县财政局关于印发&lt;青阳县预算绩</w:t>
      </w:r>
      <w:r>
        <w:rPr>
          <w:spacing w:val="19"/>
        </w:rPr>
        <w:t>效评价共性指标体系</w:t>
      </w:r>
      <w:r>
        <w:t>框</w:t>
      </w:r>
      <w:r>
        <w:rPr>
          <w:spacing w:val="12"/>
          <w:w w:val="95"/>
        </w:rPr>
        <w:t>架&gt;、&lt;青阳县分行业分领域绩效指标和标准体</w:t>
      </w:r>
      <w:r>
        <w:rPr>
          <w:spacing w:val="6"/>
          <w:w w:val="95"/>
        </w:rPr>
        <w:t>系&gt;</w:t>
      </w:r>
      <w:r>
        <w:rPr>
          <w:spacing w:val="12"/>
          <w:w w:val="95"/>
        </w:rPr>
        <w:t>的通</w:t>
      </w:r>
      <w:r>
        <w:rPr>
          <w:spacing w:val="6"/>
          <w:w w:val="95"/>
        </w:rPr>
        <w:t>知》</w:t>
      </w:r>
    </w:p>
    <w:p>
      <w:pPr>
        <w:pStyle w:val="3"/>
        <w:spacing w:line="340" w:lineRule="auto"/>
        <w:ind w:left="119" w:right="223"/>
        <w:jc w:val="both"/>
      </w:pPr>
      <w:r>
        <w:t>（财绩〔2022〕41 号</w:t>
      </w:r>
      <w:r>
        <w:rPr>
          <w:spacing w:val="-156"/>
        </w:rPr>
        <w:t>）</w:t>
      </w:r>
      <w:r>
        <w:t>，设置指标权重，全面开展自评，形</w:t>
      </w:r>
      <w:r>
        <w:rPr>
          <w:w w:val="95"/>
        </w:rPr>
        <w:t>成《项目支出绩效自评</w:t>
      </w:r>
      <w:r>
        <w:rPr>
          <w:spacing w:val="-81"/>
          <w:w w:val="95"/>
        </w:rPr>
        <w:t>表》</w:t>
      </w:r>
      <w:r>
        <w:rPr>
          <w:w w:val="95"/>
        </w:rPr>
        <w:t>（详见附件</w:t>
      </w:r>
      <w:r>
        <w:rPr>
          <w:spacing w:val="53"/>
        </w:rPr>
        <w:t xml:space="preserve">  </w:t>
      </w:r>
      <w:r>
        <w:rPr>
          <w:w w:val="95"/>
        </w:rPr>
        <w:t>1）报县级预算部</w:t>
      </w:r>
      <w:r>
        <w:rPr>
          <w:spacing w:val="-5"/>
          <w:w w:val="95"/>
        </w:rPr>
        <w:t>门。</w:t>
      </w:r>
    </w:p>
    <w:p>
      <w:pPr>
        <w:pStyle w:val="3"/>
        <w:spacing w:line="338" w:lineRule="auto"/>
        <w:ind w:left="119" w:right="317" w:firstLine="640"/>
      </w:pPr>
      <w:r>
        <w:rPr>
          <w:w w:val="99"/>
        </w:rPr>
        <w:t>（</w:t>
      </w:r>
      <w:r>
        <w:rPr>
          <w:spacing w:val="2"/>
          <w:w w:val="99"/>
        </w:rPr>
        <w:t>三</w:t>
      </w:r>
      <w:r>
        <w:rPr>
          <w:spacing w:val="-7"/>
          <w:w w:val="99"/>
        </w:rPr>
        <w:t>）</w:t>
      </w:r>
      <w:r>
        <w:rPr>
          <w:spacing w:val="-1"/>
          <w:w w:val="99"/>
        </w:rPr>
        <w:t>审核汇总自评结果。县级预算部门对项目自评情</w:t>
      </w:r>
      <w:r>
        <w:rPr>
          <w:w w:val="99"/>
        </w:rPr>
        <w:t>况进行梳理、审核、汇总，并提出结果应用建议。</w:t>
      </w:r>
    </w:p>
    <w:p>
      <w:pPr>
        <w:pStyle w:val="3"/>
        <w:spacing w:line="340" w:lineRule="auto"/>
        <w:ind w:left="119" w:right="317" w:firstLine="640"/>
        <w:jc w:val="both"/>
      </w:pPr>
      <w:r>
        <w:rPr>
          <w:w w:val="99"/>
        </w:rPr>
        <w:t>（</w:t>
      </w:r>
      <w:r>
        <w:rPr>
          <w:spacing w:val="2"/>
          <w:w w:val="99"/>
        </w:rPr>
        <w:t>四</w:t>
      </w:r>
      <w:r>
        <w:rPr>
          <w:spacing w:val="-7"/>
          <w:w w:val="99"/>
        </w:rPr>
        <w:t>）</w:t>
      </w:r>
      <w:r>
        <w:rPr>
          <w:spacing w:val="-1"/>
          <w:w w:val="99"/>
        </w:rPr>
        <w:t>报送自评结果。县级预算部门对本部门及所属单</w:t>
      </w:r>
      <w:r>
        <w:rPr>
          <w:spacing w:val="-2"/>
          <w:w w:val="99"/>
        </w:rPr>
        <w:t>位自评工作开展情况、自评结果、发现的主要问题及改进措</w:t>
      </w:r>
      <w:r>
        <w:rPr>
          <w:spacing w:val="-12"/>
          <w:w w:val="99"/>
        </w:rPr>
        <w:t>施等，归纳梳理分析，形成《部门整体支出绩效自评表</w:t>
      </w:r>
      <w:r>
        <w:rPr>
          <w:spacing w:val="-202"/>
          <w:w w:val="99"/>
        </w:rPr>
        <w:t>》</w:t>
      </w:r>
      <w:r>
        <w:rPr>
          <w:w w:val="99"/>
        </w:rPr>
        <w:t>（详见附件</w:t>
      </w:r>
      <w:r>
        <w:rPr>
          <w:spacing w:val="-81"/>
        </w:rPr>
        <w:t xml:space="preserve"> </w:t>
      </w:r>
      <w:r>
        <w:rPr>
          <w:spacing w:val="1"/>
          <w:w w:val="99"/>
        </w:rPr>
        <w:t>2</w:t>
      </w:r>
      <w:r>
        <w:rPr>
          <w:spacing w:val="-31"/>
          <w:w w:val="99"/>
        </w:rPr>
        <w:t>）</w:t>
      </w:r>
      <w:r>
        <w:rPr>
          <w:spacing w:val="-4"/>
          <w:w w:val="99"/>
        </w:rPr>
        <w:t>和《部门整体支出绩效自评报告</w:t>
      </w:r>
      <w:r>
        <w:rPr>
          <w:spacing w:val="-190"/>
          <w:w w:val="99"/>
        </w:rPr>
        <w:t>》</w:t>
      </w:r>
      <w:r>
        <w:rPr>
          <w:w w:val="99"/>
        </w:rPr>
        <w:t>（参考格式见附件</w:t>
      </w:r>
      <w:r>
        <w:rPr>
          <w:spacing w:val="-79"/>
        </w:rPr>
        <w:t xml:space="preserve"> </w:t>
      </w:r>
      <w:r>
        <w:rPr>
          <w:spacing w:val="-2"/>
          <w:w w:val="99"/>
        </w:rPr>
        <w:t>3</w:t>
      </w:r>
      <w:r>
        <w:rPr>
          <w:spacing w:val="-159"/>
          <w:w w:val="99"/>
        </w:rPr>
        <w:t>）</w:t>
      </w:r>
      <w:r>
        <w:rPr>
          <w:w w:val="99"/>
        </w:rPr>
        <w:t>，与《项目支出绩效自评表》一同报送县财政局。</w:t>
      </w:r>
    </w:p>
    <w:p>
      <w:pPr>
        <w:pStyle w:val="3"/>
        <w:spacing w:before="6"/>
        <w:rPr>
          <w:sz w:val="43"/>
        </w:rPr>
      </w:pPr>
    </w:p>
    <w:p>
      <w:pPr>
        <w:pStyle w:val="3"/>
        <w:ind w:left="311" w:right="508"/>
        <w:jc w:val="center"/>
      </w:pPr>
      <w:r>
        <w:t>第四章</w:t>
      </w:r>
      <w:r>
        <w:rPr>
          <w:spacing w:val="51"/>
          <w:w w:val="150"/>
        </w:rPr>
        <w:t xml:space="preserve"> </w:t>
      </w:r>
      <w:r>
        <w:t>自评结果应用与</w:t>
      </w:r>
      <w:r>
        <w:rPr>
          <w:spacing w:val="-5"/>
        </w:rPr>
        <w:t>公开</w:t>
      </w:r>
    </w:p>
    <w:p>
      <w:pPr>
        <w:pStyle w:val="3"/>
        <w:spacing w:before="171"/>
        <w:ind w:left="760"/>
        <w:jc w:val="both"/>
      </w:pPr>
      <w:r>
        <w:rPr>
          <w:spacing w:val="30"/>
        </w:rPr>
        <w:t>第十一条 各</w:t>
      </w:r>
      <w:r>
        <w:rPr>
          <w:spacing w:val="14"/>
        </w:rPr>
        <w:t>预</w:t>
      </w:r>
      <w:r>
        <w:rPr>
          <w:spacing w:val="12"/>
        </w:rPr>
        <w:t>算</w:t>
      </w:r>
      <w:r>
        <w:rPr>
          <w:spacing w:val="14"/>
        </w:rPr>
        <w:t>项目绩效</w:t>
      </w:r>
      <w:r>
        <w:rPr>
          <w:spacing w:val="12"/>
        </w:rPr>
        <w:t>自</w:t>
      </w:r>
      <w:r>
        <w:rPr>
          <w:spacing w:val="14"/>
        </w:rPr>
        <w:t>评结果</w:t>
      </w:r>
      <w:r>
        <w:rPr>
          <w:spacing w:val="12"/>
        </w:rPr>
        <w:t>主</w:t>
      </w:r>
      <w:r>
        <w:rPr>
          <w:spacing w:val="14"/>
        </w:rPr>
        <w:t>要通过项</w:t>
      </w:r>
      <w:r>
        <w:rPr>
          <w:spacing w:val="1"/>
        </w:rPr>
        <w:t>目支</w:t>
      </w:r>
    </w:p>
    <w:p>
      <w:pPr>
        <w:spacing w:after="0"/>
        <w:jc w:val="both"/>
        <w:sectPr>
          <w:pgSz w:w="11910" w:h="16840"/>
          <w:pgMar w:top="1920" w:right="1480" w:bottom="280" w:left="1680" w:header="720" w:footer="720" w:gutter="0"/>
          <w:cols w:space="720" w:num="1"/>
        </w:sectPr>
      </w:pPr>
    </w:p>
    <w:p>
      <w:pPr>
        <w:pStyle w:val="3"/>
        <w:spacing w:before="25" w:line="338" w:lineRule="auto"/>
        <w:ind w:left="119" w:right="317"/>
        <w:jc w:val="both"/>
      </w:pPr>
      <w:r>
        <w:rPr>
          <w:spacing w:val="-2"/>
          <w:w w:val="99"/>
        </w:rPr>
        <w:t>出绩效自评表的形式反映，县直预算部门及所属单位预算项目绩效自评情况主要通过《部门整体支出绩效自评报告》的</w:t>
      </w:r>
      <w:r>
        <w:rPr>
          <w:spacing w:val="-4"/>
          <w:w w:val="99"/>
        </w:rPr>
        <w:t>形式反应，应做到内容完整、权重合理、数据真实、结果客</w:t>
      </w:r>
      <w:r>
        <w:rPr>
          <w:spacing w:val="-1"/>
          <w:w w:val="99"/>
        </w:rPr>
        <w:t>观，并依法自觉接受审计监督。</w:t>
      </w:r>
    </w:p>
    <w:p>
      <w:pPr>
        <w:pStyle w:val="3"/>
        <w:spacing w:before="9" w:line="340" w:lineRule="auto"/>
        <w:ind w:left="119" w:right="295" w:firstLine="640"/>
        <w:jc w:val="both"/>
      </w:pPr>
      <w:r>
        <w:t>第十二条 县级预算部门应切实加强自评结果的整理、</w:t>
      </w:r>
      <w:r>
        <w:rPr>
          <w:spacing w:val="-2"/>
        </w:rPr>
        <w:t>分析。将自评结果作为编制预算、完善政策和改进管理的重要依据。对预算执行率偏低、自评结果较差的项目，要单独说明原因，提出整改措施，并在预算编制、分配资金时从严从紧安排，持续优化部门支出结构。</w:t>
      </w:r>
    </w:p>
    <w:p>
      <w:pPr>
        <w:pStyle w:val="3"/>
        <w:spacing w:line="340" w:lineRule="auto"/>
        <w:ind w:left="119" w:right="315" w:firstLine="640"/>
        <w:jc w:val="both"/>
      </w:pPr>
      <w:r>
        <w:rPr>
          <w:spacing w:val="10"/>
          <w:w w:val="99"/>
        </w:rPr>
        <w:t>第十三条</w:t>
      </w:r>
      <w:r>
        <w:rPr>
          <w:spacing w:val="21"/>
        </w:rPr>
        <w:t xml:space="preserve">  </w:t>
      </w:r>
      <w:r>
        <w:rPr>
          <w:spacing w:val="11"/>
          <w:w w:val="99"/>
        </w:rPr>
        <w:t>县级预算部门应当按照要求将单位自评结</w:t>
      </w:r>
      <w:r>
        <w:rPr>
          <w:spacing w:val="-2"/>
          <w:w w:val="99"/>
        </w:rPr>
        <w:t>果编入本部门决算，报送县人民代表大会常务委员会，并依</w:t>
      </w:r>
      <w:r>
        <w:rPr>
          <w:w w:val="99"/>
        </w:rPr>
        <w:t>法予以公开。</w:t>
      </w:r>
    </w:p>
    <w:p>
      <w:pPr>
        <w:pStyle w:val="3"/>
        <w:spacing w:before="11"/>
        <w:rPr>
          <w:sz w:val="43"/>
        </w:rPr>
      </w:pPr>
    </w:p>
    <w:p>
      <w:pPr>
        <w:pStyle w:val="3"/>
        <w:ind w:left="3153"/>
        <w:jc w:val="both"/>
      </w:pPr>
      <w:r>
        <w:t>第五章</w:t>
      </w:r>
      <w:r>
        <w:rPr>
          <w:spacing w:val="73"/>
          <w:w w:val="150"/>
        </w:rPr>
        <w:t xml:space="preserve"> </w:t>
      </w:r>
      <w:r>
        <w:t>附</w:t>
      </w:r>
      <w:r>
        <w:rPr>
          <w:spacing w:val="76"/>
          <w:w w:val="150"/>
        </w:rPr>
        <w:t xml:space="preserve"> </w:t>
      </w:r>
      <w:r>
        <w:rPr>
          <w:spacing w:val="-10"/>
        </w:rPr>
        <w:t>则</w:t>
      </w:r>
    </w:p>
    <w:p>
      <w:pPr>
        <w:pStyle w:val="3"/>
        <w:spacing w:before="171" w:line="338" w:lineRule="auto"/>
        <w:ind w:left="119" w:right="317" w:firstLine="640"/>
        <w:jc w:val="both"/>
      </w:pPr>
      <w:r>
        <w:rPr>
          <w:spacing w:val="1"/>
          <w:w w:val="99"/>
        </w:rPr>
        <w:t>第十四条</w:t>
      </w:r>
      <w:r>
        <w:t xml:space="preserve">  </w:t>
      </w:r>
      <w:r>
        <w:rPr>
          <w:spacing w:val="-2"/>
          <w:w w:val="99"/>
        </w:rPr>
        <w:t>各部门可根据本暂行办法，结合实际制定本部门具体绩效目标管理办法和实施细则，报财政局备案；各</w:t>
      </w:r>
      <w:r>
        <w:rPr>
          <w:w w:val="99"/>
        </w:rPr>
        <w:t>乡镇人民政府请参照本办法结合实际情况执行。</w:t>
      </w:r>
    </w:p>
    <w:p>
      <w:pPr>
        <w:pStyle w:val="3"/>
        <w:spacing w:before="6" w:line="338" w:lineRule="auto"/>
        <w:ind w:left="760" w:right="2059"/>
        <w:jc w:val="both"/>
      </w:pPr>
      <w:r>
        <w:t>第十五条 本办法由县财政局负责</w:t>
      </w:r>
      <w:r>
        <w:rPr>
          <w:spacing w:val="-41"/>
        </w:rPr>
        <w:t>解释。。</w:t>
      </w:r>
      <w:r>
        <w:t>第十六</w:t>
      </w:r>
      <w:r>
        <w:rPr>
          <w:spacing w:val="19"/>
        </w:rPr>
        <w:t>条 本办</w:t>
      </w:r>
      <w:r>
        <w:t>法自印发之日起施行。</w:t>
      </w:r>
    </w:p>
    <w:p>
      <w:pPr>
        <w:pStyle w:val="3"/>
        <w:spacing w:before="7"/>
        <w:rPr>
          <w:sz w:val="45"/>
        </w:rPr>
      </w:pPr>
    </w:p>
    <w:p>
      <w:pPr>
        <w:pStyle w:val="3"/>
        <w:ind w:left="760"/>
      </w:pPr>
      <w:r>
        <w:t>附件</w:t>
      </w:r>
      <w:r>
        <w:rPr>
          <w:spacing w:val="52"/>
          <w:w w:val="150"/>
        </w:rPr>
        <w:t xml:space="preserve"> </w:t>
      </w:r>
      <w:r>
        <w:t>1.项目支出绩效自</w:t>
      </w:r>
      <w:r>
        <w:rPr>
          <w:spacing w:val="-5"/>
        </w:rPr>
        <w:t>评表</w:t>
      </w:r>
    </w:p>
    <w:p>
      <w:pPr>
        <w:pStyle w:val="7"/>
        <w:numPr>
          <w:ilvl w:val="0"/>
          <w:numId w:val="1"/>
        </w:numPr>
        <w:tabs>
          <w:tab w:val="left" w:pos="2040"/>
        </w:tabs>
        <w:spacing w:before="168" w:after="0" w:line="240" w:lineRule="auto"/>
        <w:ind w:left="2039" w:right="0" w:hanging="320"/>
        <w:jc w:val="left"/>
        <w:rPr>
          <w:sz w:val="32"/>
        </w:rPr>
      </w:pPr>
      <w:r>
        <w:rPr>
          <w:w w:val="95"/>
          <w:sz w:val="32"/>
        </w:rPr>
        <w:t>部门整体支出绩效自评</w:t>
      </w:r>
      <w:r>
        <w:rPr>
          <w:spacing w:val="-10"/>
          <w:w w:val="95"/>
          <w:sz w:val="32"/>
        </w:rPr>
        <w:t>表</w:t>
      </w:r>
    </w:p>
    <w:p>
      <w:pPr>
        <w:pStyle w:val="7"/>
        <w:numPr>
          <w:ilvl w:val="0"/>
          <w:numId w:val="1"/>
        </w:numPr>
        <w:tabs>
          <w:tab w:val="left" w:pos="2040"/>
        </w:tabs>
        <w:spacing w:before="171" w:after="0" w:line="240" w:lineRule="auto"/>
        <w:ind w:left="2039" w:right="0" w:hanging="320"/>
        <w:jc w:val="left"/>
        <w:rPr>
          <w:sz w:val="32"/>
        </w:rPr>
      </w:pPr>
      <w:r>
        <w:rPr>
          <w:w w:val="95"/>
          <w:sz w:val="32"/>
        </w:rPr>
        <w:t>部门整体支出绩效自评</w:t>
      </w:r>
      <w:r>
        <w:rPr>
          <w:spacing w:val="-5"/>
          <w:w w:val="95"/>
          <w:sz w:val="32"/>
        </w:rPr>
        <w:t>报告</w:t>
      </w:r>
    </w:p>
    <w:p>
      <w:pPr>
        <w:spacing w:after="0" w:line="240" w:lineRule="auto"/>
        <w:jc w:val="left"/>
        <w:rPr>
          <w:sz w:val="32"/>
        </w:rPr>
        <w:sectPr>
          <w:pgSz w:w="11910" w:h="16840"/>
          <w:pgMar w:top="1540" w:right="1480" w:bottom="280" w:left="1680" w:header="720" w:footer="720" w:gutter="0"/>
          <w:cols w:space="720" w:num="1"/>
        </w:sectPr>
      </w:pPr>
    </w:p>
    <w:p>
      <w:pPr>
        <w:pStyle w:val="3"/>
        <w:spacing w:before="7"/>
        <w:rPr>
          <w:sz w:val="15"/>
        </w:rPr>
      </w:pPr>
    </w:p>
    <w:sectPr>
      <w:pgSz w:w="11910" w:h="16840"/>
      <w:pgMar w:top="1920" w:right="1480" w:bottom="280" w:left="16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ADCABA"/>
    <w:multiLevelType w:val="multilevel"/>
    <w:tmpl w:val="59ADCABA"/>
    <w:lvl w:ilvl="0" w:tentative="0">
      <w:start w:val="2"/>
      <w:numFmt w:val="decimal"/>
      <w:lvlText w:val="%1."/>
      <w:lvlJc w:val="left"/>
      <w:pPr>
        <w:ind w:left="2039" w:hanging="320"/>
        <w:jc w:val="left"/>
      </w:pPr>
      <w:rPr>
        <w:rFonts w:hint="default" w:ascii="宋体" w:hAnsi="宋体" w:eastAsia="宋体" w:cs="宋体"/>
        <w:b w:val="0"/>
        <w:bCs w:val="0"/>
        <w:i w:val="0"/>
        <w:iCs w:val="0"/>
        <w:spacing w:val="-1"/>
        <w:w w:val="99"/>
        <w:sz w:val="30"/>
        <w:szCs w:val="30"/>
        <w:lang w:val="en-US" w:eastAsia="zh-CN" w:bidi="ar-SA"/>
      </w:rPr>
    </w:lvl>
    <w:lvl w:ilvl="1" w:tentative="0">
      <w:start w:val="0"/>
      <w:numFmt w:val="bullet"/>
      <w:lvlText w:val="•"/>
      <w:lvlJc w:val="left"/>
      <w:pPr>
        <w:ind w:left="2710" w:hanging="320"/>
      </w:pPr>
      <w:rPr>
        <w:rFonts w:hint="default"/>
        <w:lang w:val="en-US" w:eastAsia="zh-CN" w:bidi="ar-SA"/>
      </w:rPr>
    </w:lvl>
    <w:lvl w:ilvl="2" w:tentative="0">
      <w:start w:val="0"/>
      <w:numFmt w:val="bullet"/>
      <w:lvlText w:val="•"/>
      <w:lvlJc w:val="left"/>
      <w:pPr>
        <w:ind w:left="3381" w:hanging="320"/>
      </w:pPr>
      <w:rPr>
        <w:rFonts w:hint="default"/>
        <w:lang w:val="en-US" w:eastAsia="zh-CN" w:bidi="ar-SA"/>
      </w:rPr>
    </w:lvl>
    <w:lvl w:ilvl="3" w:tentative="0">
      <w:start w:val="0"/>
      <w:numFmt w:val="bullet"/>
      <w:lvlText w:val="•"/>
      <w:lvlJc w:val="left"/>
      <w:pPr>
        <w:ind w:left="4051" w:hanging="320"/>
      </w:pPr>
      <w:rPr>
        <w:rFonts w:hint="default"/>
        <w:lang w:val="en-US" w:eastAsia="zh-CN" w:bidi="ar-SA"/>
      </w:rPr>
    </w:lvl>
    <w:lvl w:ilvl="4" w:tentative="0">
      <w:start w:val="0"/>
      <w:numFmt w:val="bullet"/>
      <w:lvlText w:val="•"/>
      <w:lvlJc w:val="left"/>
      <w:pPr>
        <w:ind w:left="4722" w:hanging="320"/>
      </w:pPr>
      <w:rPr>
        <w:rFonts w:hint="default"/>
        <w:lang w:val="en-US" w:eastAsia="zh-CN" w:bidi="ar-SA"/>
      </w:rPr>
    </w:lvl>
    <w:lvl w:ilvl="5" w:tentative="0">
      <w:start w:val="0"/>
      <w:numFmt w:val="bullet"/>
      <w:lvlText w:val="•"/>
      <w:lvlJc w:val="left"/>
      <w:pPr>
        <w:ind w:left="5392" w:hanging="320"/>
      </w:pPr>
      <w:rPr>
        <w:rFonts w:hint="default"/>
        <w:lang w:val="en-US" w:eastAsia="zh-CN" w:bidi="ar-SA"/>
      </w:rPr>
    </w:lvl>
    <w:lvl w:ilvl="6" w:tentative="0">
      <w:start w:val="0"/>
      <w:numFmt w:val="bullet"/>
      <w:lvlText w:val="•"/>
      <w:lvlJc w:val="left"/>
      <w:pPr>
        <w:ind w:left="6063" w:hanging="320"/>
      </w:pPr>
      <w:rPr>
        <w:rFonts w:hint="default"/>
        <w:lang w:val="en-US" w:eastAsia="zh-CN" w:bidi="ar-SA"/>
      </w:rPr>
    </w:lvl>
    <w:lvl w:ilvl="7" w:tentative="0">
      <w:start w:val="0"/>
      <w:numFmt w:val="bullet"/>
      <w:lvlText w:val="•"/>
      <w:lvlJc w:val="left"/>
      <w:pPr>
        <w:ind w:left="6733" w:hanging="320"/>
      </w:pPr>
      <w:rPr>
        <w:rFonts w:hint="default"/>
        <w:lang w:val="en-US" w:eastAsia="zh-CN" w:bidi="ar-SA"/>
      </w:rPr>
    </w:lvl>
    <w:lvl w:ilvl="8" w:tentative="0">
      <w:start w:val="0"/>
      <w:numFmt w:val="bullet"/>
      <w:lvlText w:val="•"/>
      <w:lvlJc w:val="left"/>
      <w:pPr>
        <w:ind w:left="7404" w:hanging="320"/>
      </w:pPr>
      <w:rPr>
        <w:rFonts w:hint="default"/>
        <w:lang w:val="en-US" w:eastAsia="zh-CN"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docVars>
    <w:docVar w:name="commondata" w:val="eyJoZGlkIjoiN2I3ZTU2YWNkZDkzYzMzNTE3NDg3OGE1YjEyODRiNTMifQ=="/>
  </w:docVars>
  <w:rsids>
    <w:rsidRoot w:val="00000000"/>
    <w:rsid w:val="01CC6982"/>
    <w:rsid w:val="072A23D5"/>
    <w:rsid w:val="11942B45"/>
    <w:rsid w:val="1C673348"/>
    <w:rsid w:val="27CA50D6"/>
    <w:rsid w:val="62D028A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spacing w:before="1"/>
      <w:ind w:left="311" w:right="513" w:hanging="2422"/>
      <w:outlineLvl w:val="1"/>
    </w:pPr>
    <w:rPr>
      <w:rFonts w:ascii="宋体" w:hAnsi="宋体" w:eastAsia="宋体" w:cs="宋体"/>
      <w:sz w:val="44"/>
      <w:szCs w:val="44"/>
      <w:lang w:val="en-US" w:eastAsia="zh-CN" w:bidi="ar-SA"/>
    </w:rPr>
  </w:style>
  <w:style w:type="character" w:default="1" w:styleId="5">
    <w:name w:val="Default Paragraph Font"/>
    <w:semiHidden/>
    <w:unhideWhenUsed/>
    <w:uiPriority w:val="1"/>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lang w:val="en-US" w:eastAsia="zh-CN" w:bidi="ar-SA"/>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spacing w:before="168"/>
      <w:ind w:left="2039" w:hanging="320"/>
    </w:pPr>
    <w:rPr>
      <w:rFonts w:ascii="宋体" w:hAnsi="宋体" w:eastAsia="宋体" w:cs="宋体"/>
      <w:lang w:val="en-US" w:eastAsia="zh-CN" w:bidi="ar-SA"/>
    </w:rPr>
  </w:style>
  <w:style w:type="paragraph" w:customStyle="1" w:styleId="8">
    <w:name w:val="Table Paragraph"/>
    <w:basedOn w:val="1"/>
    <w:qFormat/>
    <w:uiPriority w:val="1"/>
    <w:rPr>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2061</Words>
  <Characters>2125</Characters>
  <TotalTime>3</TotalTime>
  <ScaleCrop>false</ScaleCrop>
  <LinksUpToDate>false</LinksUpToDate>
  <CharactersWithSpaces>2177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2023-04-19T00:30:00Z</dcterms:created>
  <dc:creator>gyb1</dc:creator>
  <cp:lastModifiedBy>樱桃小丸子</cp:lastModifiedBy>
  <dcterms:modified xsi:type="dcterms:W3CDTF">2023-04-19T00:43:46Z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2022-07-06T00:00:00Z</vt:filetime>
  </property>
  <property fmtid="{D5CDD505-2E9C-101B-9397-08002B2CF9AE}" pid="3" name="Creator">
    <vt:lpwstr>WPS Office Professional</vt:lpwstr>
  </property>
  <property fmtid="{D5CDD505-2E9C-101B-9397-08002B2CF9AE}" pid="4" name="LastSaved">
    <vt:filetime>2023-04-19T00:00:00Z</vt:filetime>
  </property>
  <property fmtid="{D5CDD505-2E9C-101B-9397-08002B2CF9AE}" pid="5" name="KSOProductBuildVer">
    <vt:lpwstr>2052-11.1.0.14036</vt:lpwstr>
  </property>
  <property fmtid="{D5CDD505-2E9C-101B-9397-08002B2CF9AE}" pid="6" name="ICV">
    <vt:lpwstr>092413FB851845E6B87261B450BDB80D_13</vt:lpwstr>
  </property>
</Properties>
</file>