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7"/>
        <w:ind w:left="0" w:firstLine="0"/>
        <w:rPr>
          <w:rFonts w:ascii="Times New Roman"/>
          <w:sz w:val="20"/>
        </w:rPr>
      </w:pPr>
    </w:p>
    <w:p>
      <w:pPr>
        <w:spacing w:line="240" w:lineRule="auto"/>
        <w:ind w:left="133" w:right="0" w:firstLine="0"/>
        <w:jc w:val="left"/>
        <w:rPr>
          <w:rFonts w:ascii="Times New Roman"/>
          <w:sz w:val="20"/>
        </w:rPr>
      </w:pPr>
      <w:r>
        <w:rPr>
          <w:rFonts w:ascii="Times New Roman"/>
          <w:spacing w:val="120"/>
          <w:position w:val="3"/>
          <w:sz w:val="20"/>
        </w:rPr>
        <w:t xml:space="preserve"> </w:t>
      </w:r>
    </w:p>
    <w:p>
      <w:pPr>
        <w:pStyle w:val="3"/>
        <w:ind w:left="0" w:firstLine="0"/>
        <w:rPr>
          <w:rFonts w:ascii="Times New Roman"/>
          <w:sz w:val="20"/>
        </w:rPr>
      </w:pPr>
    </w:p>
    <w:p>
      <w:pPr>
        <w:pStyle w:val="3"/>
        <w:ind w:left="0" w:firstLine="0"/>
        <w:rPr>
          <w:rFonts w:ascii="Times New Roman"/>
          <w:sz w:val="20"/>
        </w:rPr>
      </w:pPr>
    </w:p>
    <w:p>
      <w:pPr>
        <w:pStyle w:val="3"/>
        <w:ind w:left="0" w:firstLine="0"/>
        <w:rPr>
          <w:rFonts w:ascii="Times New Roman"/>
          <w:sz w:val="20"/>
        </w:rPr>
      </w:pPr>
    </w:p>
    <w:p>
      <w:pPr>
        <w:pStyle w:val="3"/>
        <w:ind w:left="0" w:firstLine="0"/>
        <w:rPr>
          <w:rFonts w:ascii="Times New Roman"/>
          <w:sz w:val="24"/>
        </w:rPr>
      </w:pPr>
    </w:p>
    <w:p>
      <w:pPr>
        <w:pStyle w:val="3"/>
        <w:spacing w:before="54"/>
        <w:ind w:left="311" w:right="510" w:firstLine="0"/>
        <w:jc w:val="center"/>
      </w:pPr>
      <w:r>
        <w:rPr>
          <w:w w:val="95"/>
        </w:rPr>
        <w:t>财绩〔2022〕66</w:t>
      </w:r>
      <w:r>
        <w:rPr>
          <w:spacing w:val="14"/>
        </w:rPr>
        <w:t xml:space="preserve"> </w:t>
      </w:r>
      <w:r>
        <w:rPr>
          <w:spacing w:val="-12"/>
          <w:w w:val="95"/>
        </w:rPr>
        <w:t>号</w:t>
      </w:r>
    </w:p>
    <w:p>
      <w:pPr>
        <w:pStyle w:val="3"/>
        <w:ind w:left="0" w:firstLine="0"/>
      </w:pPr>
    </w:p>
    <w:p>
      <w:pPr>
        <w:pStyle w:val="3"/>
        <w:ind w:left="0" w:firstLine="0"/>
      </w:pPr>
    </w:p>
    <w:p>
      <w:pPr>
        <w:pStyle w:val="3"/>
        <w:spacing w:before="3"/>
        <w:ind w:left="0" w:firstLine="0"/>
        <w:rPr>
          <w:sz w:val="33"/>
        </w:rPr>
      </w:pPr>
    </w:p>
    <w:p>
      <w:pPr>
        <w:pStyle w:val="2"/>
        <w:spacing w:line="254" w:lineRule="auto"/>
        <w:ind w:firstLine="0"/>
        <w:jc w:val="center"/>
      </w:pPr>
      <w:r>
        <w:rPr>
          <w:spacing w:val="-2"/>
        </w:rPr>
        <w:t>青阳县财政局关于印发《青阳县县级项目支出绩效财政评价和部门评价操作规程》</w:t>
      </w:r>
      <w:bookmarkStart w:id="0" w:name="_GoBack"/>
      <w:bookmarkEnd w:id="0"/>
      <w:r>
        <w:rPr>
          <w:spacing w:val="-4"/>
        </w:rPr>
        <w:t>的通知</w:t>
      </w:r>
    </w:p>
    <w:p>
      <w:pPr>
        <w:pStyle w:val="3"/>
        <w:ind w:left="0" w:firstLine="0"/>
        <w:rPr>
          <w:sz w:val="50"/>
        </w:rPr>
      </w:pPr>
    </w:p>
    <w:p>
      <w:pPr>
        <w:pStyle w:val="3"/>
        <w:spacing w:before="1"/>
        <w:ind w:firstLine="0"/>
      </w:pPr>
      <w:r>
        <w:rPr>
          <w:w w:val="95"/>
        </w:rPr>
        <w:t>县直各部门（单位</w:t>
      </w:r>
      <w:r>
        <w:rPr>
          <w:spacing w:val="-161"/>
          <w:w w:val="95"/>
        </w:rPr>
        <w:t>）</w:t>
      </w:r>
      <w:r>
        <w:rPr>
          <w:w w:val="95"/>
        </w:rPr>
        <w:t>、各乡镇人民政府（开发区</w:t>
      </w:r>
      <w:r>
        <w:rPr>
          <w:spacing w:val="-5"/>
          <w:w w:val="95"/>
        </w:rPr>
        <w:t>）:</w:t>
      </w:r>
    </w:p>
    <w:p>
      <w:pPr>
        <w:pStyle w:val="3"/>
        <w:spacing w:before="2"/>
        <w:ind w:left="0" w:firstLine="0"/>
        <w:rPr>
          <w:sz w:val="24"/>
        </w:rPr>
      </w:pPr>
    </w:p>
    <w:p>
      <w:pPr>
        <w:pStyle w:val="3"/>
        <w:spacing w:line="316" w:lineRule="auto"/>
        <w:ind w:left="141" w:right="156"/>
      </w:pPr>
      <w:r>
        <w:rPr>
          <w:spacing w:val="-3"/>
          <w:w w:val="99"/>
        </w:rPr>
        <w:t>为完善绩效评价制度，规范本地区绩效评价管理，不断</w:t>
      </w:r>
      <w:r>
        <w:rPr>
          <w:spacing w:val="-4"/>
          <w:w w:val="99"/>
        </w:rPr>
        <w:t>提高绩效评价质量，根据《中共安徽省委</w:t>
      </w:r>
      <w:r>
        <w:rPr>
          <w:spacing w:val="-1"/>
        </w:rPr>
        <w:t xml:space="preserve">  </w:t>
      </w:r>
      <w:r>
        <w:rPr>
          <w:w w:val="99"/>
        </w:rPr>
        <w:t>安徽省人民政府</w:t>
      </w:r>
      <w:r>
        <w:rPr>
          <w:spacing w:val="-5"/>
          <w:w w:val="99"/>
        </w:rPr>
        <w:t>关于全面实施预算绩效管理的实施意见》</w:t>
      </w:r>
      <w:r>
        <w:rPr>
          <w:spacing w:val="7"/>
          <w:w w:val="99"/>
        </w:rPr>
        <w:t>（</w:t>
      </w:r>
      <w:r>
        <w:rPr>
          <w:spacing w:val="5"/>
          <w:w w:val="99"/>
        </w:rPr>
        <w:t>皖发〔</w:t>
      </w:r>
      <w:r>
        <w:rPr>
          <w:spacing w:val="-1"/>
          <w:w w:val="99"/>
        </w:rPr>
        <w:t>2</w:t>
      </w:r>
      <w:r>
        <w:rPr>
          <w:spacing w:val="1"/>
          <w:w w:val="99"/>
        </w:rPr>
        <w:t>0</w:t>
      </w:r>
      <w:r>
        <w:rPr>
          <w:spacing w:val="-1"/>
          <w:w w:val="99"/>
        </w:rPr>
        <w:t>1</w:t>
      </w:r>
      <w:r>
        <w:rPr>
          <w:spacing w:val="7"/>
          <w:w w:val="99"/>
        </w:rPr>
        <w:t>9</w:t>
      </w:r>
      <w:r>
        <w:rPr>
          <w:spacing w:val="5"/>
          <w:w w:val="99"/>
        </w:rPr>
        <w:t>〕</w:t>
      </w:r>
      <w:r>
        <w:rPr>
          <w:spacing w:val="1"/>
          <w:w w:val="99"/>
        </w:rPr>
        <w:t>1</w:t>
      </w:r>
      <w:r>
        <w:rPr>
          <w:w w:val="99"/>
        </w:rPr>
        <w:t>1号</w:t>
      </w:r>
      <w:r>
        <w:rPr>
          <w:spacing w:val="-89"/>
          <w:w w:val="99"/>
        </w:rPr>
        <w:t>）</w:t>
      </w:r>
      <w:r>
        <w:rPr>
          <w:spacing w:val="-10"/>
          <w:w w:val="99"/>
        </w:rPr>
        <w:t>和《青阳县部门预算绩效管理暂行办法</w:t>
      </w:r>
      <w:r>
        <w:rPr>
          <w:spacing w:val="-247"/>
          <w:w w:val="99"/>
        </w:rPr>
        <w:t>》</w:t>
      </w:r>
      <w:r>
        <w:rPr>
          <w:w w:val="99"/>
        </w:rPr>
        <w:t>（</w:t>
      </w:r>
      <w:r>
        <w:rPr>
          <w:spacing w:val="-23"/>
          <w:w w:val="99"/>
        </w:rPr>
        <w:t>青政办〔</w:t>
      </w:r>
      <w:r>
        <w:rPr>
          <w:spacing w:val="-1"/>
          <w:w w:val="99"/>
        </w:rPr>
        <w:t>2</w:t>
      </w:r>
      <w:r>
        <w:rPr>
          <w:spacing w:val="1"/>
          <w:w w:val="99"/>
        </w:rPr>
        <w:t>0</w:t>
      </w:r>
      <w:r>
        <w:rPr>
          <w:spacing w:val="-1"/>
          <w:w w:val="99"/>
        </w:rPr>
        <w:t>2</w:t>
      </w:r>
      <w:r>
        <w:rPr>
          <w:spacing w:val="5"/>
          <w:w w:val="99"/>
        </w:rPr>
        <w:t>0</w:t>
      </w:r>
      <w:r>
        <w:rPr>
          <w:w w:val="99"/>
        </w:rPr>
        <w:t xml:space="preserve">〕 </w:t>
      </w:r>
      <w:r>
        <w:rPr>
          <w:spacing w:val="-1"/>
          <w:w w:val="99"/>
        </w:rPr>
        <w:t>2</w:t>
      </w:r>
      <w:r>
        <w:rPr>
          <w:w w:val="99"/>
        </w:rPr>
        <w:t>3</w:t>
      </w:r>
      <w:r>
        <w:rPr>
          <w:spacing w:val="-80"/>
        </w:rPr>
        <w:t xml:space="preserve"> </w:t>
      </w:r>
      <w:r>
        <w:rPr>
          <w:spacing w:val="2"/>
          <w:w w:val="99"/>
        </w:rPr>
        <w:t>号</w:t>
      </w:r>
      <w:r>
        <w:rPr>
          <w:spacing w:val="-39"/>
          <w:w w:val="99"/>
        </w:rPr>
        <w:t>）</w:t>
      </w:r>
      <w:r>
        <w:rPr>
          <w:spacing w:val="-8"/>
          <w:w w:val="99"/>
        </w:rPr>
        <w:t>等有关规定，我们研究制定了《青阳县县级项目支出</w:t>
      </w:r>
      <w:r>
        <w:rPr>
          <w:spacing w:val="-6"/>
          <w:w w:val="99"/>
        </w:rPr>
        <w:t>绩效财政评价和部门评价操作规程》。现印发给你们，请遵</w:t>
      </w:r>
      <w:r>
        <w:rPr>
          <w:spacing w:val="-2"/>
          <w:w w:val="99"/>
        </w:rPr>
        <w:t>照执行。</w:t>
      </w:r>
    </w:p>
    <w:p>
      <w:pPr>
        <w:pStyle w:val="3"/>
        <w:ind w:left="0" w:firstLine="0"/>
        <w:rPr>
          <w:sz w:val="20"/>
        </w:rPr>
      </w:pPr>
    </w:p>
    <w:p>
      <w:pPr>
        <w:pStyle w:val="3"/>
        <w:spacing w:before="3"/>
        <w:ind w:left="0" w:firstLine="0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10" w:h="16840"/>
          <w:pgMar w:top="1920" w:right="1480" w:bottom="280" w:left="1680" w:header="720" w:footer="720" w:gutter="0"/>
          <w:cols w:space="720" w:num="1"/>
        </w:sectPr>
      </w:pPr>
    </w:p>
    <w:p>
      <w:pPr>
        <w:pStyle w:val="3"/>
        <w:ind w:left="0" w:firstLine="0"/>
      </w:pPr>
    </w:p>
    <w:p>
      <w:pPr>
        <w:pStyle w:val="3"/>
        <w:ind w:left="0" w:firstLine="0"/>
      </w:pPr>
    </w:p>
    <w:p>
      <w:pPr>
        <w:pStyle w:val="3"/>
        <w:spacing w:before="11"/>
        <w:ind w:left="0" w:firstLine="0"/>
        <w:rPr>
          <w:sz w:val="25"/>
        </w:rPr>
      </w:pPr>
    </w:p>
    <w:p>
      <w:pPr>
        <w:pStyle w:val="3"/>
        <w:ind w:firstLine="0"/>
      </w:pPr>
      <w:r>
        <w:rPr>
          <w:w w:val="95"/>
        </w:rPr>
        <w:t>抄送：池州市财</w:t>
      </w:r>
      <w:r>
        <w:rPr>
          <w:spacing w:val="-5"/>
          <w:w w:val="95"/>
        </w:rPr>
        <w:t>政局</w:t>
      </w:r>
    </w:p>
    <w:p>
      <w:pPr>
        <w:pStyle w:val="3"/>
        <w:spacing w:before="54" w:line="316" w:lineRule="auto"/>
        <w:ind w:right="1344" w:firstLine="326"/>
      </w:pPr>
      <w:r>
        <w:br w:type="column"/>
      </w:r>
      <w:r>
        <w:rPr>
          <w:spacing w:val="-2"/>
        </w:rPr>
        <w:t>青阳县财政局 2022</w:t>
      </w:r>
      <w:r>
        <w:rPr>
          <w:spacing w:val="-54"/>
        </w:rPr>
        <w:t xml:space="preserve"> 年 </w:t>
      </w:r>
      <w:r>
        <w:rPr>
          <w:spacing w:val="-2"/>
        </w:rPr>
        <w:t>5</w:t>
      </w:r>
      <w:r>
        <w:rPr>
          <w:spacing w:val="-55"/>
        </w:rPr>
        <w:t xml:space="preserve"> 月 </w:t>
      </w:r>
      <w:r>
        <w:rPr>
          <w:spacing w:val="-2"/>
        </w:rPr>
        <w:t>10</w:t>
      </w:r>
      <w:r>
        <w:rPr>
          <w:spacing w:val="-40"/>
        </w:rPr>
        <w:t xml:space="preserve"> 日</w:t>
      </w:r>
    </w:p>
    <w:p>
      <w:pPr>
        <w:spacing w:after="0" w:line="316" w:lineRule="auto"/>
        <w:sectPr>
          <w:type w:val="continuous"/>
          <w:pgSz w:w="11910" w:h="16840"/>
          <w:pgMar w:top="1920" w:right="1480" w:bottom="280" w:left="1680" w:header="720" w:footer="720" w:gutter="0"/>
          <w:cols w:equalWidth="0" w:num="2">
            <w:col w:w="3040" w:space="1760"/>
            <w:col w:w="3950"/>
          </w:cols>
        </w:sectPr>
      </w:pPr>
    </w:p>
    <w:p>
      <w:pPr>
        <w:pStyle w:val="2"/>
        <w:spacing w:before="28" w:line="280" w:lineRule="auto"/>
        <w:ind w:left="2291" w:right="1173"/>
      </w:pPr>
      <w:r>
        <w:rPr>
          <w:spacing w:val="-2"/>
        </w:rPr>
        <w:t>青阳县县级项目支出绩效财政评价和部门评价操作规程</w:t>
      </w:r>
    </w:p>
    <w:p>
      <w:pPr>
        <w:pStyle w:val="3"/>
        <w:spacing w:before="7"/>
        <w:ind w:left="0" w:firstLine="0"/>
        <w:rPr>
          <w:sz w:val="48"/>
        </w:rPr>
      </w:pPr>
    </w:p>
    <w:p>
      <w:pPr>
        <w:pStyle w:val="3"/>
        <w:ind w:left="3232" w:firstLine="0"/>
        <w:jc w:val="both"/>
      </w:pPr>
      <w:r>
        <w:t>第一章</w:t>
      </w:r>
      <w:r>
        <w:rPr>
          <w:spacing w:val="71"/>
          <w:w w:val="150"/>
        </w:rPr>
        <w:t xml:space="preserve"> </w:t>
      </w:r>
      <w:r>
        <w:rPr>
          <w:spacing w:val="-4"/>
        </w:rPr>
        <w:t>总 则</w:t>
      </w:r>
    </w:p>
    <w:p>
      <w:pPr>
        <w:pStyle w:val="3"/>
        <w:spacing w:before="214" w:line="364" w:lineRule="auto"/>
        <w:ind w:right="317"/>
        <w:jc w:val="both"/>
      </w:pPr>
      <w:r>
        <w:t>第一条 为规范县级项目支出绩效评价行为，提高绩效评价质量，根据《中共安徽省委 安徽省人民政府关于全面</w:t>
      </w:r>
      <w:r>
        <w:rPr>
          <w:w w:val="95"/>
        </w:rPr>
        <w:t>实施预算绩效管理的实施意见</w:t>
      </w:r>
      <w:r>
        <w:rPr>
          <w:spacing w:val="-209"/>
          <w:w w:val="95"/>
        </w:rPr>
        <w:t>》</w:t>
      </w:r>
      <w:r>
        <w:rPr>
          <w:w w:val="95"/>
        </w:rPr>
        <w:t>（皖发〔2019</w:t>
      </w:r>
      <w:r>
        <w:rPr>
          <w:spacing w:val="-51"/>
          <w:w w:val="95"/>
        </w:rPr>
        <w:t>〕</w:t>
      </w:r>
      <w:r>
        <w:rPr>
          <w:w w:val="95"/>
        </w:rPr>
        <w:t>11 号</w:t>
      </w:r>
      <w:r>
        <w:rPr>
          <w:spacing w:val="-51"/>
          <w:w w:val="95"/>
        </w:rPr>
        <w:t>）</w:t>
      </w:r>
      <w:r>
        <w:rPr>
          <w:w w:val="95"/>
        </w:rPr>
        <w:t>和《青</w:t>
      </w:r>
      <w:r>
        <w:rPr>
          <w:spacing w:val="-11"/>
          <w:w w:val="95"/>
        </w:rPr>
        <w:t>阳县部门预算绩效管理暂行办法》</w:t>
      </w:r>
      <w:r>
        <w:rPr>
          <w:w w:val="95"/>
        </w:rPr>
        <w:t>（青政办〔2020〕23</w:t>
      </w:r>
      <w:r>
        <w:rPr>
          <w:spacing w:val="8"/>
          <w:w w:val="150"/>
        </w:rPr>
        <w:t xml:space="preserve"> </w:t>
      </w:r>
      <w:r>
        <w:rPr>
          <w:w w:val="95"/>
        </w:rPr>
        <w:t>号）</w:t>
      </w:r>
      <w:r>
        <w:rPr>
          <w:spacing w:val="-2"/>
        </w:rPr>
        <w:t>等有关规定，制定本规程。</w:t>
      </w:r>
    </w:p>
    <w:p>
      <w:pPr>
        <w:pStyle w:val="3"/>
        <w:spacing w:before="4" w:line="364" w:lineRule="auto"/>
        <w:ind w:right="317"/>
        <w:jc w:val="both"/>
      </w:pPr>
      <w:r>
        <w:rPr>
          <w:spacing w:val="1"/>
          <w:w w:val="99"/>
        </w:rPr>
        <w:t>第二条</w:t>
      </w:r>
      <w:r>
        <w:t xml:space="preserve">  </w:t>
      </w:r>
      <w:r>
        <w:rPr>
          <w:spacing w:val="-2"/>
          <w:w w:val="99"/>
        </w:rPr>
        <w:t>县级项目支出绩效部门评价</w:t>
      </w:r>
      <w:r>
        <w:rPr>
          <w:w w:val="99"/>
        </w:rPr>
        <w:t>（以下简称部门评价</w:t>
      </w:r>
      <w:r>
        <w:rPr>
          <w:spacing w:val="-3"/>
          <w:w w:val="99"/>
        </w:rPr>
        <w:t>）</w:t>
      </w:r>
      <w:r>
        <w:rPr>
          <w:spacing w:val="-2"/>
          <w:w w:val="99"/>
        </w:rPr>
        <w:t>是指预算部门根据相关要求，运用科学、合理的绩效评</w:t>
      </w:r>
      <w:r>
        <w:rPr>
          <w:spacing w:val="-3"/>
          <w:w w:val="99"/>
        </w:rPr>
        <w:t>价指标、评价标准和方法，对本部门的项目组织开展的绩效评价。县级项目支出绩效财政评价</w:t>
      </w:r>
      <w:r>
        <w:rPr>
          <w:spacing w:val="2"/>
          <w:w w:val="99"/>
        </w:rPr>
        <w:t>（</w:t>
      </w:r>
      <w:r>
        <w:rPr>
          <w:w w:val="99"/>
        </w:rPr>
        <w:t>以下简称财政评价</w:t>
      </w:r>
      <w:r>
        <w:rPr>
          <w:spacing w:val="-3"/>
          <w:w w:val="99"/>
        </w:rPr>
        <w:t>）</w:t>
      </w:r>
      <w:r>
        <w:rPr>
          <w:w w:val="99"/>
        </w:rPr>
        <w:t>是指财政部门对预算部门的项目组织开展的绩效评价。</w:t>
      </w:r>
    </w:p>
    <w:p>
      <w:pPr>
        <w:pStyle w:val="3"/>
        <w:spacing w:before="4" w:line="364" w:lineRule="auto"/>
        <w:ind w:right="159"/>
      </w:pPr>
      <w:r>
        <w:rPr>
          <w:spacing w:val="10"/>
          <w:w w:val="99"/>
        </w:rPr>
        <w:t>第三条</w:t>
      </w:r>
      <w:r>
        <w:rPr>
          <w:spacing w:val="19"/>
        </w:rPr>
        <w:t xml:space="preserve">  </w:t>
      </w:r>
      <w:r>
        <w:rPr>
          <w:spacing w:val="11"/>
          <w:w w:val="99"/>
        </w:rPr>
        <w:t>本规程适用范围为县财政局和县级预算部门</w:t>
      </w:r>
      <w:r>
        <w:rPr>
          <w:spacing w:val="-2"/>
          <w:w w:val="99"/>
        </w:rPr>
        <w:t>对一般公共预算、政府性基金预算、国有资本经营预算安排的项目支出绩效评价。对涉及预算资金及相关管理活动，如</w:t>
      </w:r>
      <w:r>
        <w:rPr>
          <w:spacing w:val="-11"/>
          <w:w w:val="99"/>
        </w:rPr>
        <w:t>政府投资基金、政府和社会资本合作</w:t>
      </w:r>
      <w:r>
        <w:rPr>
          <w:w w:val="99"/>
        </w:rPr>
        <w:t>（</w:t>
      </w:r>
      <w:r>
        <w:rPr>
          <w:spacing w:val="-1"/>
          <w:w w:val="99"/>
        </w:rPr>
        <w:t>P</w:t>
      </w:r>
      <w:r>
        <w:rPr>
          <w:spacing w:val="1"/>
          <w:w w:val="99"/>
        </w:rPr>
        <w:t>P</w:t>
      </w:r>
      <w:r>
        <w:rPr>
          <w:w w:val="99"/>
        </w:rPr>
        <w:t>P</w:t>
      </w:r>
      <w:r>
        <w:rPr>
          <w:spacing w:val="-159"/>
          <w:w w:val="99"/>
        </w:rPr>
        <w:t>）</w:t>
      </w:r>
      <w:r>
        <w:rPr>
          <w:spacing w:val="-8"/>
          <w:w w:val="99"/>
        </w:rPr>
        <w:t>、政府购买服务、</w:t>
      </w:r>
      <w:r>
        <w:rPr>
          <w:spacing w:val="-2"/>
          <w:w w:val="99"/>
        </w:rPr>
        <w:t>政府债务项目等绩效评价，可参照本规程执行。</w:t>
      </w:r>
    </w:p>
    <w:p>
      <w:pPr>
        <w:pStyle w:val="3"/>
        <w:spacing w:before="4"/>
        <w:ind w:left="760" w:firstLine="0"/>
      </w:pPr>
      <w:r>
        <w:t>第四条</w:t>
      </w:r>
      <w:r>
        <w:rPr>
          <w:spacing w:val="41"/>
          <w:w w:val="150"/>
        </w:rPr>
        <w:t xml:space="preserve"> </w:t>
      </w:r>
      <w:r>
        <w:t>绩效评价应当遵循以下基本原</w:t>
      </w:r>
      <w:r>
        <w:rPr>
          <w:spacing w:val="-10"/>
        </w:rPr>
        <w:t>则</w:t>
      </w:r>
    </w:p>
    <w:p>
      <w:pPr>
        <w:pStyle w:val="3"/>
        <w:spacing w:before="214" w:line="364" w:lineRule="auto"/>
        <w:ind w:right="303"/>
      </w:pPr>
      <w:r>
        <w:rPr>
          <w:w w:val="99"/>
        </w:rPr>
        <w:t>（</w:t>
      </w:r>
      <w:r>
        <w:rPr>
          <w:spacing w:val="2"/>
          <w:w w:val="99"/>
        </w:rPr>
        <w:t>一</w:t>
      </w:r>
      <w:r>
        <w:rPr>
          <w:w w:val="99"/>
        </w:rPr>
        <w:t>）科学公正。绩效评价应当运用科学合理的方法，按照规范的程序，对项目绩效进行客观、公正的反映。</w:t>
      </w:r>
    </w:p>
    <w:p>
      <w:pPr>
        <w:spacing w:after="0" w:line="364" w:lineRule="auto"/>
        <w:sectPr>
          <w:pgSz w:w="11910" w:h="16840"/>
          <w:pgMar w:top="1480" w:right="1480" w:bottom="280" w:left="1680" w:header="720" w:footer="720" w:gutter="0"/>
          <w:cols w:space="720" w:num="1"/>
        </w:sectPr>
      </w:pPr>
    </w:p>
    <w:p>
      <w:pPr>
        <w:pStyle w:val="3"/>
        <w:spacing w:before="29" w:line="364" w:lineRule="auto"/>
        <w:ind w:right="319"/>
        <w:jc w:val="both"/>
      </w:pPr>
      <w:r>
        <w:rPr>
          <w:w w:val="99"/>
        </w:rPr>
        <w:t>（</w:t>
      </w:r>
      <w:r>
        <w:rPr>
          <w:spacing w:val="2"/>
          <w:w w:val="99"/>
        </w:rPr>
        <w:t>二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统筹兼顾。部门评价和财政评价应职责明确，各</w:t>
      </w:r>
      <w:r>
        <w:rPr>
          <w:spacing w:val="-3"/>
          <w:w w:val="99"/>
        </w:rPr>
        <w:t>有侧重，相互衔接。部门评价和财政评价应在单位自评的基</w:t>
      </w:r>
      <w:r>
        <w:rPr>
          <w:spacing w:val="-1"/>
          <w:w w:val="99"/>
        </w:rPr>
        <w:t>础上开展，必要时可委托第三方机构实施。</w:t>
      </w:r>
    </w:p>
    <w:p>
      <w:pPr>
        <w:pStyle w:val="3"/>
        <w:spacing w:before="3" w:line="364" w:lineRule="auto"/>
        <w:ind w:right="305"/>
        <w:jc w:val="both"/>
      </w:pPr>
      <w:r>
        <w:rPr>
          <w:w w:val="99"/>
        </w:rPr>
        <w:t>（</w:t>
      </w:r>
      <w:r>
        <w:rPr>
          <w:spacing w:val="2"/>
          <w:w w:val="99"/>
        </w:rPr>
        <w:t>三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激励约束。绩效评价结果应与预算安排、政策调</w:t>
      </w:r>
      <w:r>
        <w:rPr>
          <w:w w:val="99"/>
        </w:rPr>
        <w:t>整、改进管理实质性挂钩，体现奖优罚劣和激励相容导向，有效要安排、低效要压减、无效要问责。</w:t>
      </w:r>
    </w:p>
    <w:p>
      <w:pPr>
        <w:pStyle w:val="3"/>
        <w:spacing w:before="2" w:line="364" w:lineRule="auto"/>
        <w:ind w:right="320"/>
      </w:pPr>
      <w:r>
        <w:rPr>
          <w:w w:val="99"/>
        </w:rPr>
        <w:t>（</w:t>
      </w:r>
      <w:r>
        <w:rPr>
          <w:spacing w:val="2"/>
          <w:w w:val="99"/>
        </w:rPr>
        <w:t>四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公开透明。绩效评价结果应依法依规公开，并自</w:t>
      </w:r>
      <w:r>
        <w:rPr>
          <w:w w:val="99"/>
        </w:rPr>
        <w:t>觉接受社会监督。</w:t>
      </w:r>
    </w:p>
    <w:p>
      <w:pPr>
        <w:pStyle w:val="3"/>
        <w:spacing w:before="2" w:line="364" w:lineRule="auto"/>
        <w:ind w:right="315"/>
        <w:jc w:val="both"/>
      </w:pPr>
      <w:r>
        <w:rPr>
          <w:spacing w:val="10"/>
          <w:w w:val="99"/>
        </w:rPr>
        <w:t>第五条</w:t>
      </w:r>
      <w:r>
        <w:rPr>
          <w:spacing w:val="21"/>
        </w:rPr>
        <w:t xml:space="preserve">  </w:t>
      </w:r>
      <w:r>
        <w:rPr>
          <w:spacing w:val="11"/>
          <w:w w:val="99"/>
        </w:rPr>
        <w:t>县财政局负责拟定绩效评价制度办法和操作</w:t>
      </w:r>
      <w:r>
        <w:rPr>
          <w:spacing w:val="-1"/>
          <w:w w:val="99"/>
        </w:rPr>
        <w:t>规程，指导县级预算部门开展绩效评价工作，督促部门充分</w:t>
      </w:r>
      <w:r>
        <w:rPr>
          <w:spacing w:val="-2"/>
          <w:w w:val="99"/>
        </w:rPr>
        <w:t>应用评价结果；根据需要组织实施财政评价，加强评价结果</w:t>
      </w:r>
      <w:r>
        <w:rPr>
          <w:w w:val="99"/>
        </w:rPr>
        <w:t>反馈和应用。</w:t>
      </w:r>
    </w:p>
    <w:p>
      <w:pPr>
        <w:pStyle w:val="3"/>
        <w:spacing w:before="3" w:line="364" w:lineRule="auto"/>
        <w:ind w:right="320"/>
        <w:jc w:val="both"/>
      </w:pPr>
      <w:r>
        <w:rPr>
          <w:spacing w:val="-1"/>
          <w:w w:val="99"/>
        </w:rPr>
        <w:t>县级预算部门负责制定本部门绩效评价工作规程，组织</w:t>
      </w:r>
      <w:r>
        <w:rPr>
          <w:spacing w:val="-3"/>
          <w:w w:val="99"/>
        </w:rPr>
        <w:t>实施部门评价工作，加强评价结果反馈和应用。积极配合财</w:t>
      </w:r>
      <w:r>
        <w:rPr>
          <w:w w:val="99"/>
        </w:rPr>
        <w:t>政评价工作，落实评价整改意见。</w:t>
      </w:r>
    </w:p>
    <w:p>
      <w:pPr>
        <w:pStyle w:val="3"/>
        <w:spacing w:before="2" w:line="364" w:lineRule="auto"/>
        <w:ind w:right="315"/>
        <w:jc w:val="both"/>
      </w:pPr>
      <w:r>
        <w:t>第六条 财政和部门评价一般应包括前期准备、组织实</w:t>
      </w:r>
      <w:r>
        <w:rPr>
          <w:spacing w:val="-2"/>
        </w:rPr>
        <w:t>施、完成报告、档案归集等环节和程序。</w:t>
      </w:r>
    </w:p>
    <w:p>
      <w:pPr>
        <w:pStyle w:val="3"/>
        <w:ind w:left="0" w:firstLine="0"/>
      </w:pPr>
    </w:p>
    <w:p>
      <w:pPr>
        <w:pStyle w:val="3"/>
        <w:spacing w:before="216"/>
        <w:ind w:left="2992" w:firstLine="0"/>
        <w:jc w:val="both"/>
      </w:pPr>
      <w:r>
        <w:t>第二章</w:t>
      </w:r>
      <w:r>
        <w:rPr>
          <w:spacing w:val="63"/>
          <w:w w:val="150"/>
        </w:rPr>
        <w:t xml:space="preserve"> </w:t>
      </w:r>
      <w:r>
        <w:t>前期准</w:t>
      </w:r>
      <w:r>
        <w:rPr>
          <w:spacing w:val="-10"/>
        </w:rPr>
        <w:t>备</w:t>
      </w:r>
    </w:p>
    <w:p>
      <w:pPr>
        <w:pStyle w:val="3"/>
        <w:spacing w:before="214" w:line="364" w:lineRule="auto"/>
        <w:ind w:right="319"/>
        <w:jc w:val="both"/>
      </w:pPr>
      <w:r>
        <w:rPr>
          <w:spacing w:val="1"/>
          <w:w w:val="99"/>
        </w:rPr>
        <w:t>第七条</w:t>
      </w:r>
      <w:r>
        <w:t xml:space="preserve">  </w:t>
      </w:r>
      <w:r>
        <w:rPr>
          <w:spacing w:val="-2"/>
          <w:w w:val="99"/>
        </w:rPr>
        <w:t>确定绩效评价对象和范围。县财政局和县级预算部门结合预算绩效管理工作，制定年度评价工作计划，确</w:t>
      </w:r>
      <w:r>
        <w:rPr>
          <w:w w:val="99"/>
        </w:rPr>
        <w:t>定评价对象和范围。</w:t>
      </w:r>
    </w:p>
    <w:p>
      <w:pPr>
        <w:spacing w:after="0" w:line="364" w:lineRule="auto"/>
        <w:jc w:val="both"/>
        <w:sectPr>
          <w:pgSz w:w="11910" w:h="16840"/>
          <w:pgMar w:top="1500" w:right="1480" w:bottom="280" w:left="1680" w:header="720" w:footer="720" w:gutter="0"/>
          <w:cols w:space="720" w:num="1"/>
        </w:sectPr>
      </w:pPr>
    </w:p>
    <w:p>
      <w:pPr>
        <w:pStyle w:val="3"/>
        <w:spacing w:before="29" w:line="364" w:lineRule="auto"/>
        <w:ind w:right="319"/>
        <w:jc w:val="both"/>
      </w:pPr>
      <w:r>
        <w:rPr>
          <w:spacing w:val="-2"/>
          <w:w w:val="99"/>
        </w:rPr>
        <w:t>部门评价对象主要是指包含民生工程、直达资金、乡村</w:t>
      </w:r>
      <w:r>
        <w:rPr>
          <w:spacing w:val="-3"/>
          <w:w w:val="99"/>
        </w:rPr>
        <w:t>振兴、债券资金等由本级财政资金安排的政府投资项目。实</w:t>
      </w:r>
      <w:r>
        <w:rPr>
          <w:spacing w:val="-1"/>
          <w:w w:val="99"/>
        </w:rPr>
        <w:t>现部门评价重点项目全覆盖。</w:t>
      </w:r>
    </w:p>
    <w:p>
      <w:pPr>
        <w:pStyle w:val="3"/>
        <w:spacing w:before="3" w:line="364" w:lineRule="auto"/>
        <w:ind w:right="317"/>
        <w:jc w:val="both"/>
      </w:pPr>
      <w:r>
        <w:rPr>
          <w:spacing w:val="-1"/>
          <w:w w:val="99"/>
        </w:rPr>
        <w:t>财政评价对象应优先选择贯彻落实党中央、国务院重大</w:t>
      </w:r>
      <w:r>
        <w:rPr>
          <w:spacing w:val="-2"/>
          <w:w w:val="99"/>
        </w:rPr>
        <w:t>方针政策和决策部署，县委县政府重点安排的项目，以及覆</w:t>
      </w:r>
      <w:r>
        <w:rPr>
          <w:spacing w:val="-3"/>
          <w:w w:val="99"/>
        </w:rPr>
        <w:t>盖面广、影响力大、社会关注度高、实施期长的项目。对重</w:t>
      </w:r>
      <w:r>
        <w:rPr>
          <w:spacing w:val="-1"/>
          <w:w w:val="99"/>
        </w:rPr>
        <w:t>点项目应周期性组织开展绩效评价。</w:t>
      </w:r>
    </w:p>
    <w:p>
      <w:pPr>
        <w:pStyle w:val="3"/>
        <w:spacing w:before="3" w:line="364" w:lineRule="auto"/>
        <w:ind w:right="317"/>
        <w:jc w:val="both"/>
      </w:pPr>
      <w:r>
        <w:rPr>
          <w:spacing w:val="1"/>
          <w:w w:val="99"/>
        </w:rPr>
        <w:t>第八条</w:t>
      </w:r>
      <w:r>
        <w:t xml:space="preserve">  </w:t>
      </w:r>
      <w:r>
        <w:rPr>
          <w:spacing w:val="-3"/>
          <w:w w:val="99"/>
        </w:rPr>
        <w:t>成立评价工作组。县财政局和县级预算部门可自行组织开展评价，也可根据需要委托第三方机构或相关领</w:t>
      </w:r>
      <w:r>
        <w:rPr>
          <w:spacing w:val="-4"/>
          <w:w w:val="99"/>
        </w:rPr>
        <w:t>域专家</w:t>
      </w:r>
      <w:r>
        <w:rPr>
          <w:w w:val="99"/>
        </w:rPr>
        <w:t>（</w:t>
      </w:r>
      <w:r>
        <w:rPr>
          <w:spacing w:val="-1"/>
          <w:w w:val="99"/>
        </w:rPr>
        <w:t>以下简称第三方，主要是指与资金使用单位没有直</w:t>
      </w:r>
      <w:r>
        <w:rPr>
          <w:w w:val="99"/>
        </w:rPr>
        <w:t>接利益关系的单位和个人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实施。工作组人员数量、专业结</w:t>
      </w:r>
      <w:r>
        <w:rPr>
          <w:w w:val="99"/>
        </w:rPr>
        <w:t>构及业务能力应满足评价工作需要，并保证成员稳定。</w:t>
      </w:r>
    </w:p>
    <w:p>
      <w:pPr>
        <w:pStyle w:val="3"/>
        <w:spacing w:before="4" w:line="364" w:lineRule="auto"/>
        <w:ind w:right="317"/>
        <w:jc w:val="both"/>
      </w:pPr>
      <w:r>
        <w:rPr>
          <w:spacing w:val="-1"/>
          <w:w w:val="99"/>
        </w:rPr>
        <w:t>部门委托第三方开展绩效评价的，要体现委托人与项目</w:t>
      </w:r>
      <w:r>
        <w:rPr>
          <w:spacing w:val="-2"/>
          <w:w w:val="99"/>
        </w:rPr>
        <w:t>实施主体相分离的原则，一般由主管财务的机构委托，确保</w:t>
      </w:r>
      <w:r>
        <w:rPr>
          <w:w w:val="99"/>
        </w:rPr>
        <w:t>绩效评价的独立、客观、公正。</w:t>
      </w:r>
    </w:p>
    <w:p>
      <w:pPr>
        <w:pStyle w:val="3"/>
        <w:spacing w:before="2" w:line="364" w:lineRule="auto"/>
        <w:ind w:right="295"/>
        <w:jc w:val="both"/>
      </w:pPr>
      <w:r>
        <w:rPr>
          <w:spacing w:val="1"/>
          <w:w w:val="99"/>
        </w:rPr>
        <w:t>第九条</w:t>
      </w:r>
      <w:r>
        <w:t xml:space="preserve">  </w:t>
      </w:r>
      <w:r>
        <w:rPr>
          <w:w w:val="99"/>
        </w:rPr>
        <w:t>开展评价前调研。评价工作组通过信息采集、</w:t>
      </w:r>
      <w:r>
        <w:rPr>
          <w:spacing w:val="-2"/>
          <w:w w:val="99"/>
        </w:rPr>
        <w:t>工作座谈、现场调研等方式，了解被评价项目及相关单位业</w:t>
      </w:r>
      <w:r>
        <w:rPr>
          <w:spacing w:val="-4"/>
          <w:w w:val="99"/>
        </w:rPr>
        <w:t>务情况，收集相关数据资料，全面了解项目立项、绩效目标</w:t>
      </w:r>
      <w:r>
        <w:rPr>
          <w:spacing w:val="-1"/>
          <w:w w:val="99"/>
        </w:rPr>
        <w:t>设置、预算安排、实施内容、组织管理、绩效自评等情况，</w:t>
      </w:r>
      <w:r>
        <w:rPr>
          <w:w w:val="99"/>
        </w:rPr>
        <w:t>为编制评价工作方案奠定基础。</w:t>
      </w:r>
    </w:p>
    <w:p>
      <w:pPr>
        <w:pStyle w:val="3"/>
        <w:spacing w:before="4" w:line="364" w:lineRule="auto"/>
        <w:ind w:right="156"/>
        <w:jc w:val="both"/>
      </w:pPr>
      <w:r>
        <w:t>第十</w:t>
      </w:r>
      <w:r>
        <w:rPr>
          <w:spacing w:val="5"/>
        </w:rPr>
        <w:t>条 设计绩效</w:t>
      </w:r>
      <w:r>
        <w:t>评价指标体系。评价工作组应与项目</w:t>
      </w:r>
      <w:r>
        <w:rPr>
          <w:w w:val="95"/>
        </w:rPr>
        <w:t>相关单位充分沟通，考虑完整性、重要性、相关性、可比性</w:t>
      </w:r>
      <w:r>
        <w:rPr>
          <w:spacing w:val="-10"/>
          <w:w w:val="95"/>
        </w:rPr>
        <w:t>、</w:t>
      </w:r>
    </w:p>
    <w:p>
      <w:pPr>
        <w:spacing w:after="0" w:line="364" w:lineRule="auto"/>
        <w:jc w:val="both"/>
        <w:sectPr>
          <w:pgSz w:w="11910" w:h="16840"/>
          <w:pgMar w:top="1500" w:right="1480" w:bottom="280" w:left="1680" w:header="720" w:footer="720" w:gutter="0"/>
          <w:cols w:space="720" w:num="1"/>
        </w:sectPr>
      </w:pPr>
    </w:p>
    <w:p>
      <w:pPr>
        <w:pStyle w:val="3"/>
        <w:spacing w:before="29" w:line="364" w:lineRule="auto"/>
        <w:ind w:right="305" w:firstLine="0"/>
        <w:jc w:val="both"/>
      </w:pPr>
      <w:r>
        <w:rPr>
          <w:w w:val="99"/>
        </w:rPr>
        <w:t>可行性、经济性和有效性等因素，科学设置绩效评价指标，</w:t>
      </w:r>
      <w:r>
        <w:rPr>
          <w:spacing w:val="-2"/>
          <w:w w:val="99"/>
        </w:rPr>
        <w:t>合理分配指标权重，明确评价标准，充分体现和客观反映项</w:t>
      </w:r>
      <w:r>
        <w:rPr>
          <w:spacing w:val="-10"/>
          <w:w w:val="99"/>
        </w:rPr>
        <w:t>目绩效状况</w:t>
      </w:r>
      <w:r>
        <w:rPr>
          <w:w w:val="99"/>
        </w:rPr>
        <w:t>（指标体系框架见附件</w:t>
      </w:r>
      <w:r>
        <w:rPr>
          <w:spacing w:val="-79"/>
        </w:rPr>
        <w:t xml:space="preserve"> </w:t>
      </w:r>
      <w:r>
        <w:rPr>
          <w:spacing w:val="-2"/>
          <w:w w:val="99"/>
        </w:rPr>
        <w:t>1</w:t>
      </w:r>
      <w:r>
        <w:rPr>
          <w:spacing w:val="-159"/>
          <w:w w:val="99"/>
        </w:rPr>
        <w:t>）</w:t>
      </w:r>
      <w:r>
        <w:rPr>
          <w:spacing w:val="-6"/>
          <w:w w:val="99"/>
        </w:rPr>
        <w:t>。如被评价项目上级业</w:t>
      </w:r>
      <w:r>
        <w:rPr>
          <w:spacing w:val="-3"/>
          <w:w w:val="99"/>
        </w:rPr>
        <w:t>务主管部门已下发相关绩效评价指标体系，评价应遵照上级</w:t>
      </w:r>
      <w:r>
        <w:rPr>
          <w:spacing w:val="-1"/>
          <w:w w:val="99"/>
        </w:rPr>
        <w:t>业务主管部门规定执行。</w:t>
      </w:r>
    </w:p>
    <w:p>
      <w:pPr>
        <w:pStyle w:val="3"/>
        <w:spacing w:before="4" w:line="364" w:lineRule="auto"/>
        <w:ind w:right="317"/>
      </w:pPr>
      <w:r>
        <w:rPr>
          <w:w w:val="99"/>
        </w:rPr>
        <w:t>（</w:t>
      </w:r>
      <w:r>
        <w:rPr>
          <w:spacing w:val="2"/>
          <w:w w:val="99"/>
        </w:rPr>
        <w:t>一</w:t>
      </w:r>
      <w:r>
        <w:rPr>
          <w:spacing w:val="-7"/>
          <w:w w:val="99"/>
        </w:rPr>
        <w:t>）</w:t>
      </w:r>
      <w:r>
        <w:rPr>
          <w:spacing w:val="-1"/>
          <w:w w:val="99"/>
        </w:rPr>
        <w:t>设置绩效评价指标。绩效评价指标的确定应当符</w:t>
      </w:r>
      <w:r>
        <w:rPr>
          <w:w w:val="99"/>
        </w:rPr>
        <w:t>合以下要求</w:t>
      </w:r>
    </w:p>
    <w:p>
      <w:pPr>
        <w:pStyle w:val="7"/>
        <w:numPr>
          <w:ilvl w:val="0"/>
          <w:numId w:val="1"/>
        </w:numPr>
        <w:tabs>
          <w:tab w:val="left" w:pos="1080"/>
        </w:tabs>
        <w:spacing w:before="2" w:after="0" w:line="364" w:lineRule="auto"/>
        <w:ind w:left="119" w:right="320" w:firstLine="640"/>
        <w:jc w:val="left"/>
        <w:rPr>
          <w:sz w:val="32"/>
        </w:rPr>
      </w:pPr>
      <w:r>
        <w:rPr>
          <w:spacing w:val="-2"/>
          <w:w w:val="99"/>
          <w:sz w:val="32"/>
        </w:rPr>
        <w:t>与评价对象密切相关，能够全面反映项目决策、项目</w:t>
      </w:r>
      <w:r>
        <w:rPr>
          <w:w w:val="99"/>
          <w:sz w:val="32"/>
        </w:rPr>
        <w:t>和资金管理、产出和效益。</w:t>
      </w:r>
    </w:p>
    <w:p>
      <w:pPr>
        <w:pStyle w:val="7"/>
        <w:numPr>
          <w:ilvl w:val="0"/>
          <w:numId w:val="1"/>
        </w:numPr>
        <w:tabs>
          <w:tab w:val="left" w:pos="1080"/>
        </w:tabs>
        <w:spacing w:before="1" w:after="0" w:line="364" w:lineRule="auto"/>
        <w:ind w:left="119" w:right="320" w:firstLine="640"/>
        <w:jc w:val="left"/>
        <w:rPr>
          <w:sz w:val="32"/>
        </w:rPr>
      </w:pPr>
      <w:r>
        <w:rPr>
          <w:spacing w:val="-2"/>
          <w:w w:val="99"/>
          <w:sz w:val="32"/>
        </w:rPr>
        <w:t>优先选取最具代表性、最能反映产出和效益的核心指</w:t>
      </w:r>
      <w:r>
        <w:rPr>
          <w:w w:val="99"/>
          <w:sz w:val="32"/>
        </w:rPr>
        <w:t>标，精简实用。</w:t>
      </w:r>
    </w:p>
    <w:p>
      <w:pPr>
        <w:pStyle w:val="7"/>
        <w:numPr>
          <w:ilvl w:val="0"/>
          <w:numId w:val="1"/>
        </w:numPr>
        <w:tabs>
          <w:tab w:val="left" w:pos="1080"/>
        </w:tabs>
        <w:spacing w:before="2" w:after="0" w:line="364" w:lineRule="auto"/>
        <w:ind w:left="119" w:right="320" w:firstLine="640"/>
        <w:jc w:val="left"/>
        <w:rPr>
          <w:sz w:val="32"/>
        </w:rPr>
      </w:pPr>
      <w:r>
        <w:rPr>
          <w:spacing w:val="-3"/>
          <w:w w:val="99"/>
          <w:sz w:val="32"/>
        </w:rPr>
        <w:t>指标内涵应当明确、具体、可衡量，数据及佐证材料</w:t>
      </w:r>
      <w:r>
        <w:rPr>
          <w:spacing w:val="-1"/>
          <w:w w:val="99"/>
          <w:sz w:val="32"/>
        </w:rPr>
        <w:t>应当可采集、可获得。</w:t>
      </w:r>
    </w:p>
    <w:p>
      <w:pPr>
        <w:pStyle w:val="7"/>
        <w:numPr>
          <w:ilvl w:val="0"/>
          <w:numId w:val="1"/>
        </w:numPr>
        <w:tabs>
          <w:tab w:val="left" w:pos="1080"/>
        </w:tabs>
        <w:spacing w:before="2" w:after="0" w:line="364" w:lineRule="auto"/>
        <w:ind w:left="119" w:right="317" w:firstLine="640"/>
        <w:jc w:val="left"/>
        <w:rPr>
          <w:sz w:val="32"/>
        </w:rPr>
      </w:pPr>
      <w:r>
        <w:rPr>
          <w:spacing w:val="-1"/>
          <w:w w:val="99"/>
          <w:sz w:val="32"/>
        </w:rPr>
        <w:t>同类项目绩效评价指标和标准应具有一致性，便于评</w:t>
      </w:r>
      <w:r>
        <w:rPr>
          <w:w w:val="99"/>
          <w:sz w:val="32"/>
        </w:rPr>
        <w:t>价结果相互比较。</w:t>
      </w:r>
    </w:p>
    <w:p>
      <w:pPr>
        <w:pStyle w:val="3"/>
        <w:spacing w:before="1" w:line="364" w:lineRule="auto"/>
        <w:ind w:right="317"/>
        <w:jc w:val="both"/>
      </w:pPr>
      <w:r>
        <w:rPr>
          <w:w w:val="99"/>
        </w:rPr>
        <w:t>（</w:t>
      </w:r>
      <w:r>
        <w:rPr>
          <w:spacing w:val="2"/>
          <w:w w:val="99"/>
        </w:rPr>
        <w:t>二</w:t>
      </w:r>
      <w:r>
        <w:rPr>
          <w:spacing w:val="-7"/>
          <w:w w:val="99"/>
        </w:rPr>
        <w:t>）</w:t>
      </w:r>
      <w:r>
        <w:rPr>
          <w:spacing w:val="-1"/>
          <w:w w:val="99"/>
        </w:rPr>
        <w:t>确定绩效评价标准。绩效评价标准通常包括计划</w:t>
      </w:r>
      <w:r>
        <w:rPr>
          <w:spacing w:val="-3"/>
          <w:w w:val="99"/>
        </w:rPr>
        <w:t>标准、行业标准和历史标准等，用于对绩效指标完成情况进</w:t>
      </w:r>
      <w:r>
        <w:rPr>
          <w:spacing w:val="-1"/>
          <w:w w:val="99"/>
        </w:rPr>
        <w:t>行比较。</w:t>
      </w:r>
    </w:p>
    <w:p>
      <w:pPr>
        <w:pStyle w:val="7"/>
        <w:numPr>
          <w:ilvl w:val="0"/>
          <w:numId w:val="2"/>
        </w:numPr>
        <w:tabs>
          <w:tab w:val="left" w:pos="1080"/>
        </w:tabs>
        <w:spacing w:before="3" w:after="0" w:line="364" w:lineRule="auto"/>
        <w:ind w:left="119" w:right="320" w:firstLine="640"/>
        <w:jc w:val="left"/>
        <w:rPr>
          <w:sz w:val="32"/>
        </w:rPr>
      </w:pPr>
      <w:r>
        <w:rPr>
          <w:spacing w:val="-3"/>
          <w:w w:val="99"/>
          <w:sz w:val="32"/>
        </w:rPr>
        <w:t>计划标准。指以预先制定的目标、计划、预算、定额</w:t>
      </w:r>
      <w:r>
        <w:rPr>
          <w:spacing w:val="-1"/>
          <w:w w:val="99"/>
          <w:sz w:val="32"/>
        </w:rPr>
        <w:t>等作为评价标准。</w:t>
      </w:r>
    </w:p>
    <w:p>
      <w:pPr>
        <w:pStyle w:val="7"/>
        <w:numPr>
          <w:ilvl w:val="0"/>
          <w:numId w:val="2"/>
        </w:numPr>
        <w:tabs>
          <w:tab w:val="left" w:pos="1080"/>
        </w:tabs>
        <w:spacing w:before="1" w:after="0" w:line="364" w:lineRule="auto"/>
        <w:ind w:left="119" w:right="318" w:firstLine="640"/>
        <w:jc w:val="left"/>
        <w:rPr>
          <w:sz w:val="32"/>
        </w:rPr>
      </w:pPr>
      <w:r>
        <w:rPr>
          <w:spacing w:val="-3"/>
          <w:w w:val="99"/>
          <w:sz w:val="32"/>
        </w:rPr>
        <w:t>行业标准。指参照国家公布的行业指标数据制定的评</w:t>
      </w:r>
      <w:r>
        <w:rPr>
          <w:spacing w:val="-1"/>
          <w:w w:val="99"/>
          <w:sz w:val="32"/>
        </w:rPr>
        <w:t>价标准。</w:t>
      </w:r>
    </w:p>
    <w:p>
      <w:pPr>
        <w:spacing w:after="0" w:line="364" w:lineRule="auto"/>
        <w:jc w:val="left"/>
        <w:rPr>
          <w:sz w:val="32"/>
        </w:rPr>
        <w:sectPr>
          <w:pgSz w:w="11910" w:h="16840"/>
          <w:pgMar w:top="1500" w:right="1480" w:bottom="280" w:left="1680" w:header="720" w:footer="720" w:gutter="0"/>
          <w:cols w:space="720" w:num="1"/>
        </w:sectPr>
      </w:pPr>
    </w:p>
    <w:p>
      <w:pPr>
        <w:pStyle w:val="7"/>
        <w:numPr>
          <w:ilvl w:val="0"/>
          <w:numId w:val="2"/>
        </w:numPr>
        <w:tabs>
          <w:tab w:val="left" w:pos="1080"/>
        </w:tabs>
        <w:spacing w:before="29" w:after="0" w:line="364" w:lineRule="auto"/>
        <w:ind w:left="119" w:right="317" w:firstLine="640"/>
        <w:jc w:val="both"/>
        <w:rPr>
          <w:sz w:val="32"/>
        </w:rPr>
      </w:pPr>
      <w:r>
        <w:rPr>
          <w:spacing w:val="-3"/>
          <w:w w:val="99"/>
          <w:sz w:val="32"/>
        </w:rPr>
        <w:t>历史标准。指参照历史数据制定的评价标准，为体现绩效改进的原则，在可实现的条件下应当确定相对较高的评</w:t>
      </w:r>
      <w:r>
        <w:rPr>
          <w:spacing w:val="-1"/>
          <w:w w:val="99"/>
          <w:sz w:val="32"/>
        </w:rPr>
        <w:t>价标准。</w:t>
      </w:r>
    </w:p>
    <w:p>
      <w:pPr>
        <w:pStyle w:val="7"/>
        <w:numPr>
          <w:ilvl w:val="0"/>
          <w:numId w:val="2"/>
        </w:numPr>
        <w:tabs>
          <w:tab w:val="left" w:pos="1080"/>
        </w:tabs>
        <w:spacing w:before="3" w:after="0" w:line="240" w:lineRule="auto"/>
        <w:ind w:left="1079" w:right="0" w:hanging="320"/>
        <w:jc w:val="left"/>
        <w:rPr>
          <w:sz w:val="32"/>
        </w:rPr>
      </w:pPr>
      <w:r>
        <w:rPr>
          <w:w w:val="95"/>
          <w:sz w:val="32"/>
        </w:rPr>
        <w:t>财政部门和预算部门确认或认可的其他标准</w:t>
      </w:r>
      <w:r>
        <w:rPr>
          <w:spacing w:val="-10"/>
          <w:w w:val="95"/>
          <w:sz w:val="32"/>
        </w:rPr>
        <w:t>。</w:t>
      </w:r>
    </w:p>
    <w:p>
      <w:pPr>
        <w:pStyle w:val="3"/>
        <w:spacing w:before="214" w:line="364" w:lineRule="auto"/>
        <w:ind w:right="315"/>
        <w:jc w:val="both"/>
      </w:pPr>
      <w:r>
        <w:rPr>
          <w:w w:val="99"/>
        </w:rPr>
        <w:t>（</w:t>
      </w:r>
      <w:r>
        <w:rPr>
          <w:spacing w:val="2"/>
          <w:w w:val="99"/>
        </w:rPr>
        <w:t>三</w:t>
      </w:r>
      <w:r>
        <w:rPr>
          <w:spacing w:val="-7"/>
          <w:w w:val="99"/>
        </w:rPr>
        <w:t>）</w:t>
      </w:r>
      <w:r>
        <w:rPr>
          <w:spacing w:val="-1"/>
          <w:w w:val="99"/>
        </w:rPr>
        <w:t>确定指标权重。评价指标的权重根据各项指标在</w:t>
      </w:r>
      <w:r>
        <w:rPr>
          <w:spacing w:val="-2"/>
          <w:w w:val="99"/>
        </w:rPr>
        <w:t>评价体系中的重要程度确定，应当突出结果导向，原则上产</w:t>
      </w:r>
      <w:r>
        <w:rPr>
          <w:spacing w:val="1"/>
          <w:w w:val="99"/>
        </w:rPr>
        <w:t>出、效益指标权重不低于</w:t>
      </w:r>
      <w:r>
        <w:rPr>
          <w:spacing w:val="-81"/>
        </w:rPr>
        <w:t xml:space="preserve"> </w:t>
      </w:r>
      <w:r>
        <w:rPr>
          <w:spacing w:val="-1"/>
          <w:w w:val="99"/>
        </w:rPr>
        <w:t>6</w:t>
      </w:r>
      <w:r>
        <w:rPr>
          <w:spacing w:val="1"/>
          <w:w w:val="99"/>
        </w:rPr>
        <w:t>0%。同一评价对象处于不同实施</w:t>
      </w:r>
      <w:r>
        <w:rPr>
          <w:spacing w:val="-4"/>
          <w:w w:val="99"/>
        </w:rPr>
        <w:t>阶段时，指标权重应体现差异性，其中，实施期间的评价更</w:t>
      </w:r>
      <w:r>
        <w:rPr>
          <w:spacing w:val="-3"/>
          <w:w w:val="99"/>
        </w:rPr>
        <w:t>加注重决策、过程和产出，实施期结束后的评价更加注重产</w:t>
      </w:r>
      <w:r>
        <w:rPr>
          <w:spacing w:val="-1"/>
          <w:w w:val="99"/>
        </w:rPr>
        <w:t>出和效益。</w:t>
      </w:r>
    </w:p>
    <w:p>
      <w:pPr>
        <w:pStyle w:val="3"/>
        <w:spacing w:before="4" w:line="364" w:lineRule="auto"/>
        <w:ind w:right="317"/>
        <w:jc w:val="both"/>
      </w:pPr>
      <w:r>
        <w:rPr>
          <w:spacing w:val="1"/>
          <w:w w:val="99"/>
        </w:rPr>
        <w:t>第十一条</w:t>
      </w:r>
      <w:r>
        <w:rPr>
          <w:spacing w:val="1"/>
        </w:rPr>
        <w:t xml:space="preserve">  </w:t>
      </w:r>
      <w:r>
        <w:rPr>
          <w:spacing w:val="-3"/>
          <w:w w:val="99"/>
        </w:rPr>
        <w:t>确定绩效评价方法。绩效评价方法主要包括成本效益分析法、比较法、因素分析法、最低成本法、公众</w:t>
      </w:r>
      <w:r>
        <w:rPr>
          <w:spacing w:val="-4"/>
          <w:w w:val="99"/>
        </w:rPr>
        <w:t>评判法、标杆管理法等。根据评价对象的具体情况，可采用</w:t>
      </w:r>
      <w:r>
        <w:rPr>
          <w:spacing w:val="-1"/>
          <w:w w:val="99"/>
        </w:rPr>
        <w:t>一种或多种方法。</w:t>
      </w:r>
    </w:p>
    <w:p>
      <w:pPr>
        <w:pStyle w:val="3"/>
        <w:spacing w:before="4" w:line="364" w:lineRule="auto"/>
        <w:ind w:right="317"/>
        <w:jc w:val="both"/>
      </w:pPr>
      <w:r>
        <w:rPr>
          <w:spacing w:val="1"/>
          <w:w w:val="99"/>
        </w:rPr>
        <w:t>第十二条</w:t>
      </w:r>
      <w:r>
        <w:rPr>
          <w:spacing w:val="1"/>
        </w:rPr>
        <w:t xml:space="preserve">  </w:t>
      </w:r>
      <w:r>
        <w:rPr>
          <w:spacing w:val="-3"/>
          <w:w w:val="99"/>
        </w:rPr>
        <w:t>确定评价资料清单。评价工作组应根据评价</w:t>
      </w:r>
      <w:r>
        <w:rPr>
          <w:spacing w:val="-4"/>
          <w:w w:val="99"/>
        </w:rPr>
        <w:t>工作需要，确定由被评价部门和单位提供的资料清单及其他</w:t>
      </w:r>
      <w:r>
        <w:rPr>
          <w:spacing w:val="-1"/>
          <w:w w:val="99"/>
        </w:rPr>
        <w:t>需要配合的事项。</w:t>
      </w:r>
    </w:p>
    <w:p>
      <w:pPr>
        <w:pStyle w:val="3"/>
        <w:spacing w:before="2" w:line="364" w:lineRule="auto"/>
        <w:ind w:right="315"/>
        <w:jc w:val="both"/>
      </w:pPr>
      <w:r>
        <w:rPr>
          <w:spacing w:val="1"/>
          <w:w w:val="99"/>
        </w:rPr>
        <w:t>第十三条</w:t>
      </w:r>
      <w:r>
        <w:rPr>
          <w:spacing w:val="1"/>
        </w:rPr>
        <w:t xml:space="preserve">  </w:t>
      </w:r>
      <w:r>
        <w:rPr>
          <w:spacing w:val="-2"/>
          <w:w w:val="99"/>
        </w:rPr>
        <w:t>制定绩效评价工作方案。评价工作组在前期</w:t>
      </w:r>
      <w:r>
        <w:rPr>
          <w:spacing w:val="-3"/>
          <w:w w:val="99"/>
        </w:rPr>
        <w:t>工作基础上，研究制定评价工作方案。评价工作方案应符合可行、全面和简捷高效原则，评价内容、方法、步骤和时间</w:t>
      </w:r>
      <w:r>
        <w:rPr>
          <w:spacing w:val="-1"/>
          <w:w w:val="99"/>
        </w:rPr>
        <w:t>节点安排科学合理，具有可操作性。</w:t>
      </w:r>
    </w:p>
    <w:p>
      <w:pPr>
        <w:pStyle w:val="3"/>
        <w:spacing w:before="3"/>
        <w:ind w:left="760" w:firstLine="0"/>
        <w:jc w:val="both"/>
      </w:pPr>
      <w:r>
        <w:rPr>
          <w:w w:val="95"/>
        </w:rPr>
        <w:t>评价工作方案（参考格式见附件</w:t>
      </w:r>
      <w:r>
        <w:rPr>
          <w:spacing w:val="62"/>
          <w:w w:val="150"/>
        </w:rPr>
        <w:t xml:space="preserve"> </w:t>
      </w:r>
      <w:r>
        <w:rPr>
          <w:w w:val="95"/>
        </w:rPr>
        <w:t>2）主要包括以下内</w:t>
      </w:r>
      <w:r>
        <w:rPr>
          <w:spacing w:val="-5"/>
          <w:w w:val="95"/>
        </w:rPr>
        <w:t>容：</w:t>
      </w:r>
    </w:p>
    <w:p>
      <w:pPr>
        <w:spacing w:after="0"/>
        <w:jc w:val="both"/>
        <w:sectPr>
          <w:pgSz w:w="11910" w:h="16840"/>
          <w:pgMar w:top="1500" w:right="1480" w:bottom="280" w:left="1680" w:header="720" w:footer="720" w:gutter="0"/>
          <w:cols w:space="720" w:num="1"/>
        </w:sectPr>
      </w:pPr>
    </w:p>
    <w:p>
      <w:pPr>
        <w:pStyle w:val="3"/>
        <w:spacing w:before="29" w:line="364" w:lineRule="auto"/>
        <w:ind w:right="156"/>
      </w:pPr>
      <w:r>
        <w:rPr>
          <w:w w:val="99"/>
        </w:rPr>
        <w:t>（</w:t>
      </w:r>
      <w:r>
        <w:rPr>
          <w:spacing w:val="2"/>
          <w:w w:val="99"/>
        </w:rPr>
        <w:t>一</w:t>
      </w:r>
      <w:r>
        <w:rPr>
          <w:spacing w:val="-60"/>
          <w:w w:val="99"/>
        </w:rPr>
        <w:t>）</w:t>
      </w:r>
      <w:r>
        <w:rPr>
          <w:spacing w:val="-11"/>
          <w:w w:val="99"/>
        </w:rPr>
        <w:t>项目概况：包括项目立项背景、依据和决策情况，</w:t>
      </w:r>
      <w:r>
        <w:rPr>
          <w:spacing w:val="-5"/>
          <w:w w:val="99"/>
        </w:rPr>
        <w:t>项目预算、资金投入和使用情况，项目内容、管理及实施情</w:t>
      </w:r>
      <w:r>
        <w:rPr>
          <w:spacing w:val="-2"/>
          <w:w w:val="99"/>
        </w:rPr>
        <w:t>况，项目总体目标和阶段性目标等。</w:t>
      </w:r>
    </w:p>
    <w:p>
      <w:pPr>
        <w:pStyle w:val="3"/>
        <w:spacing w:before="3" w:line="364" w:lineRule="auto"/>
        <w:ind w:right="303"/>
      </w:pPr>
      <w:r>
        <w:rPr>
          <w:w w:val="99"/>
        </w:rPr>
        <w:t>（</w:t>
      </w:r>
      <w:r>
        <w:rPr>
          <w:spacing w:val="2"/>
          <w:w w:val="99"/>
        </w:rPr>
        <w:t>二</w:t>
      </w:r>
      <w:r>
        <w:rPr>
          <w:w w:val="99"/>
        </w:rPr>
        <w:t>）评价思路：评价目的和依据、评价对象和范围、评价方法选择等。</w:t>
      </w:r>
    </w:p>
    <w:p>
      <w:pPr>
        <w:pStyle w:val="3"/>
        <w:spacing w:before="1" w:line="364" w:lineRule="auto"/>
        <w:ind w:right="303"/>
      </w:pPr>
      <w:r>
        <w:rPr>
          <w:w w:val="99"/>
        </w:rPr>
        <w:t>（</w:t>
      </w:r>
      <w:r>
        <w:rPr>
          <w:spacing w:val="2"/>
          <w:w w:val="99"/>
        </w:rPr>
        <w:t>三</w:t>
      </w:r>
      <w:r>
        <w:rPr>
          <w:w w:val="99"/>
        </w:rPr>
        <w:t>）评价指标体系：指标体系设计思路、指标体系、各指标定义、评分标准和评分细则。</w:t>
      </w:r>
    </w:p>
    <w:p>
      <w:pPr>
        <w:pStyle w:val="3"/>
        <w:spacing w:before="2" w:line="364" w:lineRule="auto"/>
        <w:ind w:right="320"/>
      </w:pPr>
      <w:r>
        <w:rPr>
          <w:w w:val="99"/>
        </w:rPr>
        <w:t>（</w:t>
      </w:r>
      <w:r>
        <w:rPr>
          <w:spacing w:val="2"/>
          <w:w w:val="99"/>
        </w:rPr>
        <w:t>四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组织实施：评价工作组人员及分工、评价时间及</w:t>
      </w:r>
      <w:r>
        <w:rPr>
          <w:w w:val="99"/>
        </w:rPr>
        <w:t>工作进程安排、质量控制措施。</w:t>
      </w:r>
    </w:p>
    <w:p>
      <w:pPr>
        <w:pStyle w:val="3"/>
        <w:spacing w:before="1"/>
        <w:ind w:left="760" w:firstLine="0"/>
      </w:pPr>
      <w:r>
        <w:rPr>
          <w:w w:val="95"/>
        </w:rPr>
        <w:t>（五）资料清单</w:t>
      </w:r>
      <w:r>
        <w:rPr>
          <w:spacing w:val="-10"/>
          <w:w w:val="95"/>
        </w:rPr>
        <w:t>。</w:t>
      </w:r>
    </w:p>
    <w:p>
      <w:pPr>
        <w:pStyle w:val="3"/>
        <w:spacing w:before="214"/>
        <w:ind w:left="760" w:firstLine="0"/>
      </w:pPr>
      <w:r>
        <w:rPr>
          <w:w w:val="95"/>
        </w:rPr>
        <w:t>（六）其他需要说明的问题</w:t>
      </w:r>
      <w:r>
        <w:rPr>
          <w:spacing w:val="-10"/>
          <w:w w:val="95"/>
        </w:rPr>
        <w:t>。</w:t>
      </w:r>
    </w:p>
    <w:p>
      <w:pPr>
        <w:pStyle w:val="3"/>
        <w:spacing w:before="214" w:line="364" w:lineRule="auto"/>
        <w:ind w:right="315"/>
        <w:jc w:val="both"/>
      </w:pPr>
      <w:r>
        <w:rPr>
          <w:spacing w:val="1"/>
          <w:w w:val="99"/>
        </w:rPr>
        <w:t>第十四条</w:t>
      </w:r>
      <w:r>
        <w:rPr>
          <w:spacing w:val="1"/>
        </w:rPr>
        <w:t xml:space="preserve">  </w:t>
      </w:r>
      <w:r>
        <w:rPr>
          <w:spacing w:val="-2"/>
          <w:w w:val="99"/>
        </w:rPr>
        <w:t>绩效评价工作方案审核论证。县直预算部门</w:t>
      </w:r>
      <w:r>
        <w:rPr>
          <w:spacing w:val="-1"/>
          <w:w w:val="99"/>
        </w:rPr>
        <w:t>和县财政局应对财政</w:t>
      </w:r>
      <w:r>
        <w:rPr>
          <w:w w:val="99"/>
        </w:rPr>
        <w:t>（</w:t>
      </w:r>
      <w:r>
        <w:rPr>
          <w:spacing w:val="1"/>
          <w:w w:val="99"/>
        </w:rPr>
        <w:t>部门</w:t>
      </w:r>
      <w:r>
        <w:rPr>
          <w:spacing w:val="-7"/>
          <w:w w:val="99"/>
        </w:rPr>
        <w:t>）</w:t>
      </w:r>
      <w:r>
        <w:rPr>
          <w:w w:val="99"/>
        </w:rPr>
        <w:t>绩效评价工作方案进行审核论证，确认是否可行。</w:t>
      </w:r>
    </w:p>
    <w:p>
      <w:pPr>
        <w:pStyle w:val="3"/>
        <w:ind w:left="0" w:firstLine="0"/>
      </w:pPr>
    </w:p>
    <w:p>
      <w:pPr>
        <w:pStyle w:val="3"/>
        <w:spacing w:before="217"/>
        <w:ind w:left="2992" w:firstLine="0"/>
        <w:jc w:val="both"/>
      </w:pPr>
      <w:r>
        <w:t>第三章</w:t>
      </w:r>
      <w:r>
        <w:rPr>
          <w:spacing w:val="63"/>
          <w:w w:val="150"/>
        </w:rPr>
        <w:t xml:space="preserve"> </w:t>
      </w:r>
      <w:r>
        <w:t>组织实</w:t>
      </w:r>
      <w:r>
        <w:rPr>
          <w:spacing w:val="-10"/>
        </w:rPr>
        <w:t>施</w:t>
      </w:r>
    </w:p>
    <w:p>
      <w:pPr>
        <w:pStyle w:val="3"/>
        <w:spacing w:before="214" w:line="364" w:lineRule="auto"/>
        <w:ind w:right="317"/>
        <w:jc w:val="both"/>
      </w:pPr>
      <w:r>
        <w:rPr>
          <w:w w:val="99"/>
        </w:rPr>
        <w:t>第十五条</w:t>
      </w:r>
      <w:r>
        <w:rPr>
          <w:spacing w:val="2"/>
        </w:rPr>
        <w:t xml:space="preserve">  </w:t>
      </w:r>
      <w:r>
        <w:rPr>
          <w:spacing w:val="-3"/>
          <w:w w:val="99"/>
        </w:rPr>
        <w:t>下达绩效评价通知。县财政局和县级预算部门制定绩效评价通知，明确评价对象、内容、时间安排、需</w:t>
      </w:r>
      <w:r>
        <w:rPr>
          <w:spacing w:val="-2"/>
          <w:w w:val="99"/>
        </w:rPr>
        <w:t>被评价部门</w:t>
      </w:r>
      <w:r>
        <w:rPr>
          <w:w w:val="99"/>
        </w:rPr>
        <w:t>（</w:t>
      </w:r>
      <w:r>
        <w:rPr>
          <w:spacing w:val="1"/>
          <w:w w:val="99"/>
        </w:rPr>
        <w:t>单位</w:t>
      </w:r>
      <w:r>
        <w:rPr>
          <w:spacing w:val="-7"/>
          <w:w w:val="99"/>
        </w:rPr>
        <w:t>）</w:t>
      </w:r>
      <w:r>
        <w:rPr>
          <w:w w:val="99"/>
        </w:rPr>
        <w:t>提供的数据资料以及其他需要配合的事项等，向被评价部门（</w:t>
      </w:r>
      <w:r>
        <w:rPr>
          <w:spacing w:val="1"/>
          <w:w w:val="99"/>
        </w:rPr>
        <w:t>单位</w:t>
      </w:r>
      <w:r>
        <w:rPr>
          <w:w w:val="99"/>
        </w:rPr>
        <w:t>）下达绩效评价通知。</w:t>
      </w:r>
    </w:p>
    <w:p>
      <w:pPr>
        <w:pStyle w:val="3"/>
        <w:spacing w:before="3" w:line="364" w:lineRule="auto"/>
        <w:ind w:right="316"/>
        <w:jc w:val="both"/>
      </w:pPr>
      <w:r>
        <w:t>第十六条 现场资料收集与核查。评价工作组收集整理</w:t>
      </w:r>
      <w:r>
        <w:rPr>
          <w:spacing w:val="12"/>
          <w:w w:val="95"/>
        </w:rPr>
        <w:t>项目</w:t>
      </w:r>
      <w:r>
        <w:rPr>
          <w:spacing w:val="14"/>
          <w:w w:val="95"/>
        </w:rPr>
        <w:t>支出</w:t>
      </w:r>
      <w:r>
        <w:rPr>
          <w:spacing w:val="12"/>
          <w:w w:val="95"/>
        </w:rPr>
        <w:t>绩</w:t>
      </w:r>
      <w:r>
        <w:rPr>
          <w:spacing w:val="14"/>
          <w:w w:val="95"/>
        </w:rPr>
        <w:t>效评</w:t>
      </w:r>
      <w:r>
        <w:rPr>
          <w:spacing w:val="12"/>
          <w:w w:val="95"/>
        </w:rPr>
        <w:t>价相关</w:t>
      </w:r>
      <w:r>
        <w:rPr>
          <w:spacing w:val="14"/>
          <w:w w:val="95"/>
        </w:rPr>
        <w:t>资料</w:t>
      </w:r>
      <w:r>
        <w:rPr>
          <w:spacing w:val="12"/>
          <w:w w:val="95"/>
        </w:rPr>
        <w:t>，</w:t>
      </w:r>
      <w:r>
        <w:rPr>
          <w:spacing w:val="14"/>
          <w:w w:val="95"/>
        </w:rPr>
        <w:t>与各</w:t>
      </w:r>
      <w:r>
        <w:rPr>
          <w:spacing w:val="12"/>
          <w:w w:val="95"/>
        </w:rPr>
        <w:t>种</w:t>
      </w:r>
      <w:r>
        <w:rPr>
          <w:spacing w:val="14"/>
          <w:w w:val="95"/>
        </w:rPr>
        <w:t>公开</w:t>
      </w:r>
      <w:r>
        <w:rPr>
          <w:spacing w:val="12"/>
          <w:w w:val="95"/>
        </w:rPr>
        <w:t>数</w:t>
      </w:r>
      <w:r>
        <w:rPr>
          <w:spacing w:val="14"/>
          <w:w w:val="95"/>
        </w:rPr>
        <w:t>据资</w:t>
      </w:r>
      <w:r>
        <w:rPr>
          <w:spacing w:val="6"/>
          <w:w w:val="95"/>
        </w:rPr>
        <w:t>料进行比</w:t>
      </w:r>
    </w:p>
    <w:p>
      <w:pPr>
        <w:spacing w:after="0" w:line="364" w:lineRule="auto"/>
        <w:jc w:val="both"/>
        <w:sectPr>
          <w:pgSz w:w="11910" w:h="16840"/>
          <w:pgMar w:top="1500" w:right="1480" w:bottom="280" w:left="1680" w:header="720" w:footer="720" w:gutter="0"/>
          <w:cols w:space="720" w:num="1"/>
        </w:sectPr>
      </w:pPr>
    </w:p>
    <w:p>
      <w:pPr>
        <w:pStyle w:val="3"/>
        <w:spacing w:before="29"/>
        <w:ind w:firstLine="0"/>
      </w:pPr>
      <w:r>
        <w:rPr>
          <w:w w:val="95"/>
        </w:rPr>
        <w:t>对，核实分析资料的真实性、完整性和有效</w:t>
      </w:r>
      <w:r>
        <w:rPr>
          <w:spacing w:val="-5"/>
          <w:w w:val="95"/>
        </w:rPr>
        <w:t>性。</w:t>
      </w:r>
    </w:p>
    <w:p>
      <w:pPr>
        <w:pStyle w:val="3"/>
        <w:spacing w:before="214" w:line="364" w:lineRule="auto"/>
        <w:ind w:right="317"/>
        <w:jc w:val="both"/>
      </w:pPr>
      <w:r>
        <w:rPr>
          <w:spacing w:val="10"/>
          <w:w w:val="99"/>
        </w:rPr>
        <w:t>第十七条</w:t>
      </w:r>
      <w:r>
        <w:rPr>
          <w:spacing w:val="19"/>
        </w:rPr>
        <w:t xml:space="preserve">  </w:t>
      </w:r>
      <w:r>
        <w:rPr>
          <w:spacing w:val="11"/>
          <w:w w:val="99"/>
        </w:rPr>
        <w:t>非现场评价。评价工作组对搜集获取的文</w:t>
      </w:r>
      <w:r>
        <w:rPr>
          <w:spacing w:val="-3"/>
          <w:w w:val="99"/>
        </w:rPr>
        <w:t>件、资料等进行分类、整理和分析，对照评价指标体系，按</w:t>
      </w:r>
      <w:r>
        <w:rPr>
          <w:spacing w:val="-1"/>
          <w:w w:val="99"/>
        </w:rPr>
        <w:t>项目实施单位形成非现场评价结果。</w:t>
      </w:r>
    </w:p>
    <w:p>
      <w:pPr>
        <w:pStyle w:val="3"/>
        <w:spacing w:before="3" w:line="364" w:lineRule="auto"/>
        <w:ind w:right="305"/>
        <w:jc w:val="both"/>
      </w:pPr>
      <w:r>
        <w:rPr>
          <w:spacing w:val="1"/>
          <w:w w:val="99"/>
        </w:rPr>
        <w:t>第十八条</w:t>
      </w:r>
      <w:r>
        <w:t xml:space="preserve">  </w:t>
      </w:r>
      <w:r>
        <w:rPr>
          <w:spacing w:val="-4"/>
          <w:w w:val="99"/>
        </w:rPr>
        <w:t>现场评价。评价工作组根据评价方案确定的</w:t>
      </w:r>
      <w:r>
        <w:rPr>
          <w:spacing w:val="-1"/>
          <w:w w:val="99"/>
        </w:rPr>
        <w:t>现场评价抽样范围，进行调研访谈、资料核查、实地勘察、</w:t>
      </w:r>
      <w:r>
        <w:rPr>
          <w:w w:val="99"/>
        </w:rPr>
        <w:t>社会调查和分析评价</w:t>
      </w:r>
    </w:p>
    <w:p>
      <w:pPr>
        <w:pStyle w:val="3"/>
        <w:spacing w:before="2" w:line="364" w:lineRule="auto"/>
        <w:ind w:right="159"/>
      </w:pPr>
      <w:r>
        <w:rPr>
          <w:w w:val="99"/>
        </w:rPr>
        <w:t>（</w:t>
      </w:r>
      <w:r>
        <w:rPr>
          <w:spacing w:val="2"/>
          <w:w w:val="99"/>
        </w:rPr>
        <w:t>一</w:t>
      </w:r>
      <w:r>
        <w:rPr>
          <w:spacing w:val="-7"/>
          <w:w w:val="99"/>
        </w:rPr>
        <w:t>）</w:t>
      </w:r>
      <w:r>
        <w:rPr>
          <w:spacing w:val="-2"/>
          <w:w w:val="99"/>
        </w:rPr>
        <w:t>调研访谈。听取了解项目绩效目标设定及完成程</w:t>
      </w:r>
      <w:r>
        <w:rPr>
          <w:spacing w:val="-14"/>
          <w:w w:val="99"/>
        </w:rPr>
        <w:t>度、管理制度建立及落实、预算编制及支出执行、财务管理、</w:t>
      </w:r>
      <w:r>
        <w:rPr>
          <w:spacing w:val="-4"/>
          <w:w w:val="99"/>
        </w:rPr>
        <w:t>政府采购和政府购买服务、资产管理、项目产出和效益等情况，形成访谈记录。必要时，应组织利益相关方参加的座谈会。</w:t>
      </w:r>
    </w:p>
    <w:p>
      <w:pPr>
        <w:pStyle w:val="3"/>
        <w:spacing w:before="4" w:line="364" w:lineRule="auto"/>
        <w:ind w:right="317"/>
      </w:pPr>
      <w:r>
        <w:rPr>
          <w:w w:val="99"/>
        </w:rPr>
        <w:t>（</w:t>
      </w:r>
      <w:r>
        <w:rPr>
          <w:spacing w:val="2"/>
          <w:w w:val="99"/>
        </w:rPr>
        <w:t>二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资料核查。现场查阅资料，检查和核实被评价部</w:t>
      </w:r>
      <w:r>
        <w:rPr>
          <w:w w:val="99"/>
        </w:rPr>
        <w:t>门单位填报的数据和资料。</w:t>
      </w:r>
    </w:p>
    <w:p>
      <w:pPr>
        <w:pStyle w:val="3"/>
        <w:spacing w:before="2" w:line="364" w:lineRule="auto"/>
        <w:ind w:right="320"/>
      </w:pPr>
      <w:r>
        <w:rPr>
          <w:w w:val="99"/>
        </w:rPr>
        <w:t>（</w:t>
      </w:r>
      <w:r>
        <w:rPr>
          <w:spacing w:val="2"/>
          <w:w w:val="99"/>
        </w:rPr>
        <w:t>三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实地勘察。现场勘查并记录项目产出数量、质量</w:t>
      </w:r>
      <w:r>
        <w:rPr>
          <w:w w:val="99"/>
        </w:rPr>
        <w:t>和效果等绩效相关数据资料。</w:t>
      </w:r>
    </w:p>
    <w:p>
      <w:pPr>
        <w:pStyle w:val="3"/>
        <w:spacing w:before="1" w:line="364" w:lineRule="auto"/>
        <w:ind w:right="317"/>
      </w:pPr>
      <w:r>
        <w:rPr>
          <w:w w:val="99"/>
        </w:rPr>
        <w:t>（</w:t>
      </w:r>
      <w:r>
        <w:rPr>
          <w:spacing w:val="2"/>
          <w:w w:val="99"/>
        </w:rPr>
        <w:t>四</w:t>
      </w:r>
      <w:r>
        <w:rPr>
          <w:spacing w:val="-5"/>
          <w:w w:val="99"/>
        </w:rPr>
        <w:t>）</w:t>
      </w:r>
      <w:r>
        <w:rPr>
          <w:spacing w:val="-3"/>
          <w:w w:val="99"/>
        </w:rPr>
        <w:t>社会调查。采取访谈、发放问卷调查等方式，对</w:t>
      </w:r>
      <w:r>
        <w:rPr>
          <w:spacing w:val="-1"/>
          <w:w w:val="99"/>
        </w:rPr>
        <w:t>项目实施效果和利益相关方满意度等进行摸底调查。</w:t>
      </w:r>
    </w:p>
    <w:p>
      <w:pPr>
        <w:pStyle w:val="3"/>
        <w:spacing w:before="2" w:line="364" w:lineRule="auto"/>
        <w:ind w:right="317"/>
        <w:jc w:val="both"/>
      </w:pPr>
      <w:r>
        <w:rPr>
          <w:w w:val="99"/>
        </w:rPr>
        <w:t>（</w:t>
      </w:r>
      <w:r>
        <w:rPr>
          <w:spacing w:val="2"/>
          <w:w w:val="99"/>
        </w:rPr>
        <w:t>五</w:t>
      </w:r>
      <w:r>
        <w:rPr>
          <w:spacing w:val="-5"/>
          <w:w w:val="99"/>
        </w:rPr>
        <w:t>）</w:t>
      </w:r>
      <w:r>
        <w:rPr>
          <w:spacing w:val="-3"/>
          <w:w w:val="99"/>
        </w:rPr>
        <w:t>分析评价。依据现场收集资料、访谈记录、会议纪要、现场勘查记录和调查问卷等相关资料，分析评价并形</w:t>
      </w:r>
      <w:r>
        <w:rPr>
          <w:spacing w:val="-1"/>
          <w:w w:val="99"/>
        </w:rPr>
        <w:t>成现场评价结果。</w:t>
      </w:r>
    </w:p>
    <w:p>
      <w:pPr>
        <w:pStyle w:val="3"/>
        <w:spacing w:before="2"/>
        <w:ind w:left="760" w:firstLine="0"/>
        <w:jc w:val="both"/>
      </w:pPr>
      <w:r>
        <w:t>第十九条</w:t>
      </w:r>
      <w:r>
        <w:rPr>
          <w:spacing w:val="8"/>
          <w:w w:val="150"/>
        </w:rPr>
        <w:t xml:space="preserve"> </w:t>
      </w:r>
      <w:r>
        <w:t>编制评价工作底稿。评价过程中，评价工</w:t>
      </w:r>
      <w:r>
        <w:rPr>
          <w:spacing w:val="-10"/>
        </w:rPr>
        <w:t>作</w:t>
      </w:r>
    </w:p>
    <w:p>
      <w:pPr>
        <w:spacing w:after="0"/>
        <w:jc w:val="both"/>
        <w:sectPr>
          <w:pgSz w:w="11910" w:h="16840"/>
          <w:pgMar w:top="1500" w:right="1480" w:bottom="280" w:left="1680" w:header="720" w:footer="720" w:gutter="0"/>
          <w:cols w:space="720" w:num="1"/>
        </w:sectPr>
      </w:pPr>
    </w:p>
    <w:p>
      <w:pPr>
        <w:pStyle w:val="3"/>
        <w:spacing w:before="29" w:line="364" w:lineRule="auto"/>
        <w:ind w:right="305" w:firstLine="0"/>
        <w:jc w:val="both"/>
      </w:pPr>
      <w:r>
        <w:rPr>
          <w:spacing w:val="-2"/>
          <w:w w:val="99"/>
        </w:rPr>
        <w:t>组应根据所掌握的工作资料、信息调查表以及其他相关支撑数据资料，梳理问题清单，详细列明现场评价和非现场评价</w:t>
      </w:r>
      <w:r>
        <w:rPr>
          <w:w w:val="99"/>
        </w:rPr>
        <w:t>发现的问题，编制评价工作底稿，并向被评价部门</w:t>
      </w:r>
      <w:r>
        <w:rPr>
          <w:spacing w:val="2"/>
          <w:w w:val="99"/>
        </w:rPr>
        <w:t>（</w:t>
      </w:r>
      <w:r>
        <w:rPr>
          <w:w w:val="99"/>
        </w:rPr>
        <w:t>单位）反馈。被评价部门（</w:t>
      </w:r>
      <w:r>
        <w:rPr>
          <w:spacing w:val="1"/>
          <w:w w:val="99"/>
        </w:rPr>
        <w:t>单位</w:t>
      </w:r>
      <w:r>
        <w:rPr>
          <w:w w:val="99"/>
        </w:rPr>
        <w:t>）应在规定时间内完成确认。</w:t>
      </w:r>
    </w:p>
    <w:p>
      <w:pPr>
        <w:pStyle w:val="3"/>
        <w:spacing w:before="3" w:line="364" w:lineRule="auto"/>
        <w:ind w:right="295"/>
        <w:jc w:val="both"/>
      </w:pPr>
      <w:r>
        <w:t>第二十条 形成评价初步结论。评价工作组全面梳理、</w:t>
      </w:r>
      <w:r>
        <w:rPr>
          <w:spacing w:val="-2"/>
        </w:rPr>
        <w:t>汇总现场评价和非现场评价情况，根据工作底稿、评价指标体系等情况，形成评价初步结论。</w:t>
      </w:r>
    </w:p>
    <w:p>
      <w:pPr>
        <w:pStyle w:val="3"/>
        <w:spacing w:before="3" w:line="364" w:lineRule="auto"/>
        <w:ind w:right="156"/>
      </w:pPr>
      <w:r>
        <w:rPr>
          <w:spacing w:val="15"/>
        </w:rPr>
        <w:t>第二</w:t>
      </w:r>
      <w:r>
        <w:rPr>
          <w:spacing w:val="14"/>
        </w:rPr>
        <w:t>十一</w:t>
      </w:r>
      <w:r>
        <w:rPr>
          <w:spacing w:val="70"/>
        </w:rPr>
        <w:t>条 绩</w:t>
      </w:r>
      <w:r>
        <w:rPr>
          <w:spacing w:val="14"/>
        </w:rPr>
        <w:t>效</w:t>
      </w:r>
      <w:r>
        <w:rPr>
          <w:spacing w:val="12"/>
        </w:rPr>
        <w:t>评</w:t>
      </w:r>
      <w:r>
        <w:rPr>
          <w:spacing w:val="14"/>
        </w:rPr>
        <w:t>价结果</w:t>
      </w:r>
      <w:r>
        <w:rPr>
          <w:spacing w:val="12"/>
        </w:rPr>
        <w:t>采</w:t>
      </w:r>
      <w:r>
        <w:rPr>
          <w:spacing w:val="14"/>
        </w:rPr>
        <w:t>取评分</w:t>
      </w:r>
      <w:r>
        <w:rPr>
          <w:spacing w:val="12"/>
        </w:rPr>
        <w:t>和</w:t>
      </w:r>
      <w:r>
        <w:rPr>
          <w:spacing w:val="14"/>
        </w:rPr>
        <w:t>评级相结</w:t>
      </w:r>
      <w:r>
        <w:rPr>
          <w:spacing w:val="12"/>
        </w:rPr>
        <w:t>合</w:t>
      </w:r>
      <w:r>
        <w:t>的</w:t>
      </w:r>
      <w:r>
        <w:rPr>
          <w:spacing w:val="-2"/>
        </w:rPr>
        <w:t>方式，具体分值和等级可根据不同评价内容设定。总分一般</w:t>
      </w:r>
      <w:r>
        <w:rPr>
          <w:w w:val="95"/>
        </w:rPr>
        <w:t>设</w:t>
      </w:r>
      <w:r>
        <w:rPr>
          <w:spacing w:val="-4"/>
          <w:w w:val="95"/>
        </w:rPr>
        <w:t xml:space="preserve">置为 </w:t>
      </w:r>
      <w:r>
        <w:rPr>
          <w:w w:val="95"/>
        </w:rPr>
        <w:t>100</w:t>
      </w:r>
      <w:r>
        <w:rPr>
          <w:spacing w:val="-15"/>
          <w:w w:val="95"/>
        </w:rPr>
        <w:t xml:space="preserve"> 分，等级</w:t>
      </w:r>
      <w:r>
        <w:rPr>
          <w:w w:val="95"/>
        </w:rPr>
        <w:t>一般划分为四档：90（含）-100</w:t>
      </w:r>
      <w:r>
        <w:rPr>
          <w:spacing w:val="-2"/>
          <w:w w:val="95"/>
        </w:rPr>
        <w:t xml:space="preserve"> 分为</w:t>
      </w:r>
      <w:r>
        <w:rPr>
          <w:w w:val="95"/>
        </w:rPr>
        <w:t>优、 80（含）-90</w:t>
      </w:r>
      <w:r>
        <w:rPr>
          <w:spacing w:val="-2"/>
        </w:rPr>
        <w:t xml:space="preserve"> </w:t>
      </w:r>
      <w:r>
        <w:rPr>
          <w:w w:val="95"/>
        </w:rPr>
        <w:t>分为良、60（含）-80</w:t>
      </w:r>
      <w:r>
        <w:rPr>
          <w:spacing w:val="2"/>
        </w:rPr>
        <w:t xml:space="preserve"> </w:t>
      </w:r>
      <w:r>
        <w:rPr>
          <w:w w:val="95"/>
        </w:rPr>
        <w:t>分为中、60</w:t>
      </w:r>
      <w:r>
        <w:rPr>
          <w:spacing w:val="-1"/>
        </w:rPr>
        <w:t xml:space="preserve"> </w:t>
      </w:r>
      <w:r>
        <w:rPr>
          <w:w w:val="95"/>
        </w:rPr>
        <w:t>分以下为</w:t>
      </w:r>
      <w:r>
        <w:rPr>
          <w:spacing w:val="-5"/>
          <w:w w:val="95"/>
        </w:rPr>
        <w:t>差。</w:t>
      </w:r>
    </w:p>
    <w:p>
      <w:pPr>
        <w:pStyle w:val="3"/>
        <w:spacing w:before="3" w:line="364" w:lineRule="auto"/>
        <w:ind w:right="305"/>
        <w:jc w:val="both"/>
      </w:pPr>
      <w:r>
        <w:rPr>
          <w:spacing w:val="1"/>
          <w:w w:val="99"/>
        </w:rPr>
        <w:t>第二十二条</w:t>
      </w:r>
      <w:r>
        <w:t xml:space="preserve">  </w:t>
      </w:r>
      <w:r>
        <w:rPr>
          <w:spacing w:val="-2"/>
          <w:w w:val="99"/>
        </w:rPr>
        <w:t>与被评价部门</w:t>
      </w:r>
      <w:r>
        <w:rPr>
          <w:spacing w:val="2"/>
          <w:w w:val="99"/>
        </w:rPr>
        <w:t>（</w:t>
      </w:r>
      <w:r>
        <w:rPr>
          <w:w w:val="99"/>
        </w:rPr>
        <w:t>单位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交换意见。评价工</w:t>
      </w:r>
      <w:r>
        <w:rPr>
          <w:w w:val="99"/>
        </w:rPr>
        <w:t>作组将初步评价结论与被评价部门（</w:t>
      </w:r>
      <w:r>
        <w:rPr>
          <w:spacing w:val="1"/>
          <w:w w:val="99"/>
        </w:rPr>
        <w:t>单位</w:t>
      </w:r>
      <w:r>
        <w:rPr>
          <w:w w:val="99"/>
        </w:rPr>
        <w:t>）充分交换意见。</w:t>
      </w:r>
      <w:r>
        <w:rPr>
          <w:spacing w:val="-1"/>
          <w:w w:val="99"/>
        </w:rPr>
        <w:t>被评价部门</w:t>
      </w:r>
      <w:r>
        <w:rPr>
          <w:w w:val="99"/>
        </w:rPr>
        <w:t>（</w:t>
      </w:r>
      <w:r>
        <w:rPr>
          <w:spacing w:val="1"/>
          <w:w w:val="99"/>
        </w:rPr>
        <w:t>单位</w:t>
      </w:r>
      <w:r>
        <w:rPr>
          <w:spacing w:val="-5"/>
          <w:w w:val="99"/>
        </w:rPr>
        <w:t>）</w:t>
      </w:r>
      <w:r>
        <w:rPr>
          <w:w w:val="99"/>
        </w:rPr>
        <w:t>应于</w:t>
      </w:r>
      <w:r>
        <w:rPr>
          <w:spacing w:val="-78"/>
        </w:rPr>
        <w:t xml:space="preserve"> </w:t>
      </w:r>
      <w:r>
        <w:rPr>
          <w:w w:val="99"/>
        </w:rPr>
        <w:t>5</w:t>
      </w:r>
      <w:r>
        <w:rPr>
          <w:spacing w:val="-80"/>
        </w:rPr>
        <w:t xml:space="preserve"> </w:t>
      </w:r>
      <w:r>
        <w:rPr>
          <w:spacing w:val="-1"/>
          <w:w w:val="99"/>
        </w:rPr>
        <w:t>个工作日内书面反馈，逾期视为</w:t>
      </w:r>
      <w:r>
        <w:rPr>
          <w:w w:val="99"/>
        </w:rPr>
        <w:t>无意见。</w:t>
      </w:r>
    </w:p>
    <w:p>
      <w:pPr>
        <w:pStyle w:val="3"/>
        <w:ind w:left="0" w:firstLine="0"/>
      </w:pPr>
    </w:p>
    <w:p>
      <w:pPr>
        <w:pStyle w:val="3"/>
        <w:spacing w:before="217"/>
        <w:ind w:left="2992" w:firstLine="0"/>
        <w:jc w:val="both"/>
      </w:pPr>
      <w:r>
        <w:t>第四章</w:t>
      </w:r>
      <w:r>
        <w:rPr>
          <w:spacing w:val="63"/>
          <w:w w:val="150"/>
        </w:rPr>
        <w:t xml:space="preserve"> </w:t>
      </w:r>
      <w:r>
        <w:t>完成报</w:t>
      </w:r>
      <w:r>
        <w:rPr>
          <w:spacing w:val="-10"/>
        </w:rPr>
        <w:t>告</w:t>
      </w:r>
    </w:p>
    <w:p>
      <w:pPr>
        <w:pStyle w:val="3"/>
        <w:spacing w:before="214" w:line="364" w:lineRule="auto"/>
        <w:ind w:right="315"/>
        <w:jc w:val="both"/>
      </w:pPr>
      <w:r>
        <w:rPr>
          <w:spacing w:val="1"/>
          <w:w w:val="99"/>
        </w:rPr>
        <w:t>第二十三条</w:t>
      </w:r>
      <w:r>
        <w:t xml:space="preserve">  </w:t>
      </w:r>
      <w:r>
        <w:rPr>
          <w:spacing w:val="-3"/>
          <w:w w:val="99"/>
        </w:rPr>
        <w:t>撰写绩效评价报告。评价工作组认真研究</w:t>
      </w:r>
      <w:r>
        <w:rPr>
          <w:spacing w:val="-2"/>
          <w:w w:val="99"/>
        </w:rPr>
        <w:t>分析被评价部门</w:t>
      </w:r>
      <w:r>
        <w:rPr>
          <w:w w:val="99"/>
        </w:rPr>
        <w:t>（</w:t>
      </w:r>
      <w:r>
        <w:rPr>
          <w:spacing w:val="1"/>
          <w:w w:val="99"/>
        </w:rPr>
        <w:t>单位</w:t>
      </w:r>
      <w:r>
        <w:rPr>
          <w:spacing w:val="-3"/>
          <w:w w:val="99"/>
        </w:rPr>
        <w:t>）</w:t>
      </w:r>
      <w:r>
        <w:rPr>
          <w:spacing w:val="-2"/>
          <w:w w:val="99"/>
        </w:rPr>
        <w:t>意见，撰写绩效评价报告</w:t>
      </w:r>
      <w:r>
        <w:rPr>
          <w:w w:val="99"/>
        </w:rPr>
        <w:t>（参考格式见附件</w:t>
      </w:r>
      <w:r>
        <w:rPr>
          <w:spacing w:val="-79"/>
        </w:rPr>
        <w:t xml:space="preserve"> </w:t>
      </w:r>
      <w:r>
        <w:rPr>
          <w:spacing w:val="-2"/>
          <w:w w:val="99"/>
        </w:rPr>
        <w:t>3</w:t>
      </w:r>
      <w:r>
        <w:rPr>
          <w:spacing w:val="-159"/>
          <w:w w:val="99"/>
        </w:rPr>
        <w:t>）</w:t>
      </w:r>
      <w:r>
        <w:rPr>
          <w:spacing w:val="-9"/>
          <w:w w:val="99"/>
        </w:rPr>
        <w:t>。评价报告应全面反映评价项目基本情况，说明</w:t>
      </w:r>
      <w:r>
        <w:rPr>
          <w:spacing w:val="-4"/>
          <w:w w:val="99"/>
        </w:rPr>
        <w:t>评价工作组织实施情况，依据工作底稿、信息调查表等，对</w:t>
      </w:r>
      <w:r>
        <w:rPr>
          <w:spacing w:val="-3"/>
          <w:w w:val="99"/>
        </w:rPr>
        <w:t>照评价指标体系，全面客观分析项目支出绩效状况，做出具</w:t>
      </w:r>
    </w:p>
    <w:p>
      <w:pPr>
        <w:spacing w:after="0" w:line="364" w:lineRule="auto"/>
        <w:jc w:val="both"/>
        <w:sectPr>
          <w:pgSz w:w="11910" w:h="16840"/>
          <w:pgMar w:top="1500" w:right="1480" w:bottom="280" w:left="1680" w:header="720" w:footer="720" w:gutter="0"/>
          <w:cols w:space="720" w:num="1"/>
        </w:sectPr>
      </w:pPr>
    </w:p>
    <w:p>
      <w:pPr>
        <w:pStyle w:val="3"/>
        <w:spacing w:before="29" w:line="364" w:lineRule="auto"/>
        <w:ind w:right="317" w:firstLine="0"/>
        <w:jc w:val="both"/>
      </w:pPr>
      <w:r>
        <w:rPr>
          <w:spacing w:val="-3"/>
          <w:w w:val="99"/>
        </w:rPr>
        <w:t>体绩效分析和结论。对项目绩效、主要问题的分析，要数据准确、内容完整、案例详实、依据充分、分析透彻、结论无</w:t>
      </w:r>
      <w:r>
        <w:rPr>
          <w:spacing w:val="-1"/>
          <w:w w:val="99"/>
        </w:rPr>
        <w:t>误，所提建议应具有针对性、可行性和应用性。</w:t>
      </w:r>
    </w:p>
    <w:p>
      <w:pPr>
        <w:pStyle w:val="3"/>
        <w:spacing w:before="3" w:line="364" w:lineRule="auto"/>
        <w:ind w:right="317"/>
        <w:jc w:val="both"/>
      </w:pPr>
      <w:r>
        <w:rPr>
          <w:spacing w:val="1"/>
          <w:w w:val="99"/>
        </w:rPr>
        <w:t>第二十四条</w:t>
      </w:r>
      <w:r>
        <w:t xml:space="preserve">  </w:t>
      </w:r>
      <w:r>
        <w:rPr>
          <w:spacing w:val="-3"/>
          <w:w w:val="99"/>
        </w:rPr>
        <w:t>审核论证评价报告。县财政局和县级预算</w:t>
      </w:r>
      <w:r>
        <w:rPr>
          <w:spacing w:val="-2"/>
          <w:w w:val="99"/>
        </w:rPr>
        <w:t>部门应加强对评价报告的审核论证。重点审核论证评价报告</w:t>
      </w:r>
      <w:r>
        <w:rPr>
          <w:spacing w:val="-3"/>
          <w:w w:val="99"/>
        </w:rPr>
        <w:t>的完整性、逻辑性、合理性、充分性及所提意见建议的针对</w:t>
      </w:r>
      <w:r>
        <w:rPr>
          <w:spacing w:val="-1"/>
          <w:w w:val="99"/>
        </w:rPr>
        <w:t>性、可操作性、可实现程度等。</w:t>
      </w:r>
    </w:p>
    <w:p>
      <w:pPr>
        <w:pStyle w:val="3"/>
        <w:spacing w:before="3" w:line="364" w:lineRule="auto"/>
        <w:ind w:right="317"/>
        <w:jc w:val="both"/>
      </w:pPr>
      <w:r>
        <w:rPr>
          <w:spacing w:val="1"/>
          <w:w w:val="99"/>
        </w:rPr>
        <w:t>第二十五条</w:t>
      </w:r>
      <w:r>
        <w:t xml:space="preserve">  </w:t>
      </w:r>
      <w:r>
        <w:rPr>
          <w:spacing w:val="-2"/>
          <w:w w:val="99"/>
        </w:rPr>
        <w:t>修改完善并提交评价报告。评价工作组根据审核论证意见，对评价报告进行修改和完善，在规定时间</w:t>
      </w:r>
      <w:r>
        <w:rPr>
          <w:w w:val="99"/>
        </w:rPr>
        <w:t>内提交评价报告终稿。</w:t>
      </w:r>
    </w:p>
    <w:p>
      <w:pPr>
        <w:pStyle w:val="3"/>
        <w:ind w:left="0" w:firstLine="0"/>
      </w:pPr>
    </w:p>
    <w:p>
      <w:pPr>
        <w:pStyle w:val="3"/>
        <w:spacing w:before="216"/>
        <w:ind w:left="2992" w:firstLine="0"/>
        <w:jc w:val="both"/>
      </w:pPr>
      <w:r>
        <w:t>第五章</w:t>
      </w:r>
      <w:r>
        <w:rPr>
          <w:spacing w:val="63"/>
          <w:w w:val="150"/>
        </w:rPr>
        <w:t xml:space="preserve"> </w:t>
      </w:r>
      <w:r>
        <w:t>结果应</w:t>
      </w:r>
      <w:r>
        <w:rPr>
          <w:spacing w:val="-10"/>
        </w:rPr>
        <w:t>用</w:t>
      </w:r>
    </w:p>
    <w:p>
      <w:pPr>
        <w:pStyle w:val="3"/>
        <w:spacing w:before="214" w:line="364" w:lineRule="auto"/>
        <w:ind w:right="316"/>
        <w:jc w:val="both"/>
      </w:pPr>
      <w:r>
        <w:rPr>
          <w:spacing w:val="1"/>
          <w:w w:val="99"/>
        </w:rPr>
        <w:t>第二十六条</w:t>
      </w:r>
      <w:r>
        <w:t xml:space="preserve">  </w:t>
      </w:r>
      <w:r>
        <w:rPr>
          <w:spacing w:val="-3"/>
          <w:w w:val="99"/>
        </w:rPr>
        <w:t>评价结果反馈整改。县财政局和县级预算</w:t>
      </w:r>
      <w:r>
        <w:rPr>
          <w:spacing w:val="-2"/>
          <w:w w:val="99"/>
        </w:rPr>
        <w:t>部门应在绩效评价工作完成后，及时将评价结果书面反馈被</w:t>
      </w:r>
      <w:r>
        <w:rPr>
          <w:spacing w:val="6"/>
          <w:w w:val="99"/>
        </w:rPr>
        <w:t>评价部门</w:t>
      </w:r>
      <w:r>
        <w:rPr>
          <w:spacing w:val="7"/>
          <w:w w:val="99"/>
        </w:rPr>
        <w:t>（</w:t>
      </w:r>
      <w:r>
        <w:rPr>
          <w:spacing w:val="5"/>
          <w:w w:val="99"/>
        </w:rPr>
        <w:t>单位</w:t>
      </w:r>
      <w:r>
        <w:rPr>
          <w:spacing w:val="-154"/>
          <w:w w:val="99"/>
        </w:rPr>
        <w:t>）</w:t>
      </w:r>
      <w:r>
        <w:rPr>
          <w:spacing w:val="5"/>
          <w:w w:val="99"/>
        </w:rPr>
        <w:t>，并明确整改时限；被评价部门（</w:t>
      </w:r>
      <w:r>
        <w:rPr>
          <w:spacing w:val="7"/>
          <w:w w:val="99"/>
        </w:rPr>
        <w:t>单位</w:t>
      </w:r>
      <w:r>
        <w:rPr>
          <w:w w:val="99"/>
        </w:rPr>
        <w:t>）</w:t>
      </w:r>
      <w:r>
        <w:rPr>
          <w:spacing w:val="-1"/>
          <w:w w:val="99"/>
        </w:rPr>
        <w:t>应当按要求向县财政局或主管部门报送整改落实情况。县级</w:t>
      </w:r>
      <w:r>
        <w:rPr>
          <w:w w:val="99"/>
        </w:rPr>
        <w:t>预算部门应按要求将部门评价结果报送县财政局备案。</w:t>
      </w:r>
    </w:p>
    <w:p>
      <w:pPr>
        <w:pStyle w:val="3"/>
        <w:spacing w:before="4" w:line="364" w:lineRule="auto"/>
        <w:ind w:right="317"/>
        <w:jc w:val="both"/>
      </w:pPr>
      <w:r>
        <w:rPr>
          <w:spacing w:val="1"/>
          <w:w w:val="99"/>
        </w:rPr>
        <w:t>第二十七条</w:t>
      </w:r>
      <w:r>
        <w:t xml:space="preserve">  </w:t>
      </w:r>
      <w:r>
        <w:rPr>
          <w:spacing w:val="-3"/>
          <w:w w:val="99"/>
        </w:rPr>
        <w:t>与预算安排挂钩。县财政局和县级预算部门要加强协调配合，建立健全绩效评价结果与预算安排和政策调整挂钩机制。部门评价结果作为本部门编报预算、完善政策和改进管理的重要依据；财政评价结果作为安排政府预</w:t>
      </w:r>
      <w:r>
        <w:rPr>
          <w:spacing w:val="-4"/>
          <w:w w:val="99"/>
        </w:rPr>
        <w:t>算、完善政策和改进管理的重要依据。原则上，对评价等级</w:t>
      </w:r>
    </w:p>
    <w:p>
      <w:pPr>
        <w:spacing w:after="0" w:line="364" w:lineRule="auto"/>
        <w:jc w:val="both"/>
        <w:sectPr>
          <w:pgSz w:w="11910" w:h="16840"/>
          <w:pgMar w:top="1500" w:right="1480" w:bottom="280" w:left="1680" w:header="720" w:footer="720" w:gutter="0"/>
          <w:cols w:space="720" w:num="1"/>
        </w:sectPr>
      </w:pPr>
    </w:p>
    <w:p>
      <w:pPr>
        <w:pStyle w:val="3"/>
        <w:spacing w:before="29" w:line="364" w:lineRule="auto"/>
        <w:ind w:right="305" w:firstLine="0"/>
        <w:jc w:val="both"/>
      </w:pPr>
      <w:r>
        <w:rPr>
          <w:w w:val="99"/>
        </w:rPr>
        <w:t>为优、良的，根据情况予以支持；对评价等级为中、差的，</w:t>
      </w:r>
      <w:r>
        <w:rPr>
          <w:spacing w:val="-3"/>
          <w:w w:val="99"/>
        </w:rPr>
        <w:t>要完善政策、改进管理，在安排下一年度预算时，视情况按</w:t>
      </w:r>
      <w:r>
        <w:rPr>
          <w:spacing w:val="-2"/>
          <w:w w:val="99"/>
        </w:rPr>
        <w:t>照评价年度预算的一定比例予以核减或取消安排。对不进行整改或整改不到位的，根据情况相应调减下一年度预算或整</w:t>
      </w:r>
      <w:r>
        <w:rPr>
          <w:w w:val="99"/>
        </w:rPr>
        <w:t>改到位后再予安排。</w:t>
      </w:r>
    </w:p>
    <w:p>
      <w:pPr>
        <w:pStyle w:val="3"/>
        <w:spacing w:before="4" w:line="364" w:lineRule="auto"/>
        <w:ind w:right="316"/>
        <w:jc w:val="both"/>
      </w:pPr>
      <w:r>
        <w:rPr>
          <w:spacing w:val="1"/>
          <w:w w:val="99"/>
        </w:rPr>
        <w:t>第二十八条</w:t>
      </w:r>
      <w:r>
        <w:t xml:space="preserve">  </w:t>
      </w:r>
      <w:r>
        <w:rPr>
          <w:spacing w:val="-4"/>
          <w:w w:val="99"/>
        </w:rPr>
        <w:t>报告与公开。县财政局和县级预算部门应</w:t>
      </w:r>
      <w:r>
        <w:rPr>
          <w:spacing w:val="11"/>
          <w:w w:val="99"/>
        </w:rPr>
        <w:t>当按照要求将绩效评价结果分别编入政府决算和本部门决</w:t>
      </w:r>
      <w:r>
        <w:rPr>
          <w:w w:val="99"/>
        </w:rPr>
        <w:t>算，报送县人民代表大会常务委员会，并依法予以公开。</w:t>
      </w:r>
    </w:p>
    <w:p>
      <w:pPr>
        <w:pStyle w:val="3"/>
        <w:spacing w:before="3" w:line="364" w:lineRule="auto"/>
        <w:ind w:right="316"/>
        <w:jc w:val="both"/>
      </w:pPr>
      <w:r>
        <w:rPr>
          <w:spacing w:val="1"/>
          <w:w w:val="99"/>
        </w:rPr>
        <w:t>第二十九条</w:t>
      </w:r>
      <w:r>
        <w:t xml:space="preserve">  </w:t>
      </w:r>
      <w:r>
        <w:rPr>
          <w:spacing w:val="-4"/>
          <w:w w:val="99"/>
        </w:rPr>
        <w:t>移交与问责。对使用财政资金严重低效无</w:t>
      </w:r>
      <w:r>
        <w:rPr>
          <w:spacing w:val="-3"/>
          <w:w w:val="99"/>
        </w:rPr>
        <w:t>效并造成重大损失的责任人，以及在绩效评价、管理工作中</w:t>
      </w:r>
      <w:r>
        <w:rPr>
          <w:spacing w:val="3"/>
          <w:w w:val="99"/>
        </w:rPr>
        <w:t>存在违纪违法行为的，严格按照《财政部关于印发&lt;项目支</w:t>
      </w:r>
      <w:r>
        <w:rPr>
          <w:w w:val="99"/>
        </w:rPr>
        <w:t>出绩效评价管理办法&gt;的通知</w:t>
      </w:r>
      <w:r>
        <w:rPr>
          <w:spacing w:val="-183"/>
          <w:w w:val="99"/>
        </w:rPr>
        <w:t>》</w:t>
      </w:r>
      <w:r>
        <w:rPr>
          <w:w w:val="99"/>
        </w:rPr>
        <w:t>（</w:t>
      </w:r>
      <w:r>
        <w:rPr>
          <w:spacing w:val="-8"/>
          <w:w w:val="99"/>
        </w:rPr>
        <w:t>财预〔</w:t>
      </w:r>
      <w:r>
        <w:rPr>
          <w:spacing w:val="-1"/>
          <w:w w:val="99"/>
        </w:rPr>
        <w:t>2</w:t>
      </w:r>
      <w:r>
        <w:rPr>
          <w:spacing w:val="1"/>
          <w:w w:val="99"/>
        </w:rPr>
        <w:t>0</w:t>
      </w:r>
      <w:r>
        <w:rPr>
          <w:spacing w:val="-1"/>
          <w:w w:val="99"/>
        </w:rPr>
        <w:t>2</w:t>
      </w:r>
      <w:r>
        <w:rPr>
          <w:spacing w:val="3"/>
          <w:w w:val="99"/>
        </w:rPr>
        <w:t>0</w:t>
      </w:r>
      <w:r>
        <w:rPr>
          <w:spacing w:val="-22"/>
          <w:w w:val="99"/>
        </w:rPr>
        <w:t>〕</w:t>
      </w:r>
      <w:r>
        <w:rPr>
          <w:spacing w:val="-1"/>
          <w:w w:val="99"/>
        </w:rPr>
        <w:t>1</w:t>
      </w:r>
      <w:r>
        <w:rPr>
          <w:w w:val="99"/>
        </w:rPr>
        <w:t>0</w:t>
      </w:r>
      <w:r>
        <w:rPr>
          <w:spacing w:val="-78"/>
        </w:rPr>
        <w:t xml:space="preserve"> </w:t>
      </w:r>
      <w:r>
        <w:rPr>
          <w:w w:val="99"/>
        </w:rPr>
        <w:t>号</w:t>
      </w:r>
      <w:r>
        <w:rPr>
          <w:spacing w:val="-24"/>
          <w:w w:val="99"/>
        </w:rPr>
        <w:t>）</w:t>
      </w:r>
      <w:r>
        <w:rPr>
          <w:w w:val="99"/>
        </w:rPr>
        <w:t>规定处理。</w:t>
      </w:r>
    </w:p>
    <w:p>
      <w:pPr>
        <w:pStyle w:val="3"/>
        <w:ind w:left="0" w:firstLine="0"/>
      </w:pPr>
    </w:p>
    <w:p>
      <w:pPr>
        <w:pStyle w:val="3"/>
        <w:spacing w:before="218"/>
        <w:ind w:left="2992" w:firstLine="0"/>
      </w:pPr>
      <w:r>
        <w:t>第六章</w:t>
      </w:r>
      <w:r>
        <w:rPr>
          <w:spacing w:val="63"/>
          <w:w w:val="150"/>
        </w:rPr>
        <w:t xml:space="preserve"> </w:t>
      </w:r>
      <w:r>
        <w:t>档案归</w:t>
      </w:r>
      <w:r>
        <w:rPr>
          <w:spacing w:val="-10"/>
        </w:rPr>
        <w:t>集</w:t>
      </w:r>
    </w:p>
    <w:p>
      <w:pPr>
        <w:pStyle w:val="3"/>
        <w:spacing w:before="214" w:line="364" w:lineRule="auto"/>
        <w:ind w:right="159"/>
      </w:pPr>
      <w:r>
        <w:rPr>
          <w:spacing w:val="1"/>
          <w:w w:val="99"/>
        </w:rPr>
        <w:t>第三十条</w:t>
      </w:r>
      <w:r>
        <w:t xml:space="preserve">  </w:t>
      </w:r>
      <w:r>
        <w:rPr>
          <w:w w:val="99"/>
        </w:rPr>
        <w:t>建立健全绩效评价档案归集、保管、借阅、</w:t>
      </w:r>
      <w:r>
        <w:rPr>
          <w:spacing w:val="-3"/>
          <w:w w:val="99"/>
        </w:rPr>
        <w:t>使用和销毁等制度，确保档案资料原始、安全和完整。存档资料应包括但不限于：评价项目基本情况和相关文件、评价</w:t>
      </w:r>
      <w:r>
        <w:rPr>
          <w:spacing w:val="5"/>
          <w:w w:val="99"/>
        </w:rPr>
        <w:t>工作方案、委托评价协议</w:t>
      </w:r>
      <w:r>
        <w:rPr>
          <w:spacing w:val="7"/>
          <w:w w:val="99"/>
        </w:rPr>
        <w:t>（</w:t>
      </w:r>
      <w:r>
        <w:rPr>
          <w:spacing w:val="4"/>
          <w:w w:val="99"/>
        </w:rPr>
        <w:t>合同</w:t>
      </w:r>
      <w:r>
        <w:rPr>
          <w:spacing w:val="-151"/>
          <w:w w:val="99"/>
        </w:rPr>
        <w:t>）</w:t>
      </w:r>
      <w:r>
        <w:rPr>
          <w:spacing w:val="6"/>
          <w:w w:val="99"/>
        </w:rPr>
        <w:t>、基础数据</w:t>
      </w:r>
      <w:r>
        <w:rPr>
          <w:spacing w:val="7"/>
          <w:w w:val="99"/>
        </w:rPr>
        <w:t>（</w:t>
      </w:r>
      <w:r>
        <w:rPr>
          <w:spacing w:val="6"/>
          <w:w w:val="99"/>
        </w:rPr>
        <w:t>资料</w:t>
      </w:r>
      <w:r>
        <w:rPr>
          <w:spacing w:val="7"/>
          <w:w w:val="99"/>
        </w:rPr>
        <w:t>）</w:t>
      </w:r>
      <w:r>
        <w:rPr>
          <w:spacing w:val="3"/>
          <w:w w:val="99"/>
        </w:rPr>
        <w:t>表、</w:t>
      </w:r>
      <w:r>
        <w:rPr>
          <w:spacing w:val="-13"/>
          <w:w w:val="99"/>
        </w:rPr>
        <w:t>评价工作底稿及附件、访谈记录、现场勘查记录、调查问卷、</w:t>
      </w:r>
      <w:r>
        <w:rPr>
          <w:spacing w:val="-4"/>
          <w:w w:val="99"/>
        </w:rPr>
        <w:t>调查问卷统计结果、绩效评价指标体系及评分表、绩效评价</w:t>
      </w:r>
      <w:r>
        <w:rPr>
          <w:spacing w:val="-3"/>
          <w:w w:val="99"/>
        </w:rPr>
        <w:t>报告、问题清单及所反映问题的佐证材料等。绩效评价档案</w:t>
      </w:r>
    </w:p>
    <w:p>
      <w:pPr>
        <w:spacing w:after="0" w:line="364" w:lineRule="auto"/>
        <w:sectPr>
          <w:pgSz w:w="11910" w:h="16840"/>
          <w:pgMar w:top="1500" w:right="1480" w:bottom="280" w:left="1680" w:header="720" w:footer="720" w:gutter="0"/>
          <w:cols w:space="720" w:num="1"/>
        </w:sectPr>
      </w:pPr>
    </w:p>
    <w:p>
      <w:pPr>
        <w:pStyle w:val="3"/>
        <w:spacing w:before="29"/>
        <w:ind w:firstLine="0"/>
      </w:pPr>
      <w:r>
        <w:rPr>
          <w:w w:val="95"/>
        </w:rPr>
        <w:t>资料保存期限为</w:t>
      </w:r>
      <w:r>
        <w:rPr>
          <w:spacing w:val="57"/>
        </w:rPr>
        <w:t xml:space="preserve"> </w:t>
      </w:r>
      <w:r>
        <w:rPr>
          <w:w w:val="95"/>
        </w:rPr>
        <w:t>10</w:t>
      </w:r>
      <w:r>
        <w:rPr>
          <w:spacing w:val="53"/>
        </w:rPr>
        <w:t xml:space="preserve"> </w:t>
      </w:r>
      <w:r>
        <w:rPr>
          <w:w w:val="95"/>
        </w:rPr>
        <w:t>年（自归档年度开始计算</w:t>
      </w:r>
      <w:r>
        <w:rPr>
          <w:spacing w:val="-159"/>
          <w:w w:val="95"/>
        </w:rPr>
        <w:t>）</w:t>
      </w:r>
      <w:r>
        <w:rPr>
          <w:spacing w:val="-10"/>
          <w:w w:val="95"/>
        </w:rPr>
        <w:t>。</w:t>
      </w:r>
    </w:p>
    <w:p>
      <w:pPr>
        <w:pStyle w:val="3"/>
        <w:ind w:left="0" w:firstLine="0"/>
      </w:pPr>
    </w:p>
    <w:p>
      <w:pPr>
        <w:pStyle w:val="3"/>
        <w:spacing w:before="5"/>
        <w:ind w:left="0" w:firstLine="0"/>
        <w:rPr>
          <w:sz w:val="33"/>
        </w:rPr>
      </w:pPr>
    </w:p>
    <w:p>
      <w:pPr>
        <w:pStyle w:val="3"/>
        <w:spacing w:before="1"/>
        <w:ind w:left="3153" w:firstLine="0"/>
        <w:jc w:val="both"/>
      </w:pPr>
      <w:r>
        <w:t>第七章</w:t>
      </w:r>
      <w:r>
        <w:rPr>
          <w:spacing w:val="73"/>
          <w:w w:val="150"/>
        </w:rPr>
        <w:t xml:space="preserve"> </w:t>
      </w:r>
      <w:r>
        <w:t>附</w:t>
      </w:r>
      <w:r>
        <w:rPr>
          <w:spacing w:val="76"/>
          <w:w w:val="150"/>
        </w:rPr>
        <w:t xml:space="preserve"> </w:t>
      </w:r>
      <w:r>
        <w:rPr>
          <w:spacing w:val="-10"/>
        </w:rPr>
        <w:t>则</w:t>
      </w:r>
    </w:p>
    <w:p>
      <w:pPr>
        <w:pStyle w:val="3"/>
        <w:spacing w:before="213" w:line="364" w:lineRule="auto"/>
        <w:ind w:right="315"/>
        <w:jc w:val="both"/>
      </w:pPr>
      <w:r>
        <w:rPr>
          <w:spacing w:val="1"/>
          <w:w w:val="99"/>
        </w:rPr>
        <w:t>第二十八条</w:t>
      </w:r>
      <w:r>
        <w:t xml:space="preserve">  </w:t>
      </w:r>
      <w:r>
        <w:rPr>
          <w:spacing w:val="-2"/>
          <w:w w:val="99"/>
        </w:rPr>
        <w:t>各部门可根据本暂行办法，结合实际制定本部门具体实施细则，报财政局备案；各乡镇人民政府请参</w:t>
      </w:r>
      <w:r>
        <w:rPr>
          <w:w w:val="99"/>
        </w:rPr>
        <w:t>照本办法结合实际情况执行。</w:t>
      </w:r>
    </w:p>
    <w:p>
      <w:pPr>
        <w:pStyle w:val="3"/>
        <w:spacing w:before="3" w:line="364" w:lineRule="auto"/>
        <w:ind w:left="760" w:right="1897" w:firstLine="0"/>
        <w:jc w:val="both"/>
      </w:pPr>
      <w:r>
        <w:t>第二十九条 本办法由县财政局负责解释。第三十</w:t>
      </w:r>
      <w:r>
        <w:rPr>
          <w:spacing w:val="19"/>
        </w:rPr>
        <w:t>条 本办</w:t>
      </w:r>
      <w:r>
        <w:t>法自印发之日起施行。</w:t>
      </w:r>
    </w:p>
    <w:p>
      <w:pPr>
        <w:pStyle w:val="3"/>
        <w:ind w:left="0" w:firstLine="0"/>
      </w:pPr>
    </w:p>
    <w:p>
      <w:pPr>
        <w:pStyle w:val="3"/>
        <w:spacing w:before="215" w:line="364" w:lineRule="auto"/>
        <w:ind w:left="1687" w:right="2226" w:hanging="927"/>
      </w:pPr>
      <w:r>
        <w:t>附件</w:t>
      </w:r>
      <w:r>
        <w:rPr>
          <w:spacing w:val="80"/>
        </w:rPr>
        <w:t xml:space="preserve"> </w:t>
      </w:r>
      <w:r>
        <w:t xml:space="preserve">1.项目支出绩效评价指标体系框架 </w:t>
      </w:r>
      <w:r>
        <w:rPr>
          <w:spacing w:val="-2"/>
        </w:rPr>
        <w:t>2.项目支出绩效评价工作方案</w:t>
      </w:r>
    </w:p>
    <w:p>
      <w:pPr>
        <w:pStyle w:val="3"/>
        <w:spacing w:before="2"/>
        <w:ind w:left="1687" w:firstLine="0"/>
      </w:pPr>
      <w:r>
        <w:rPr>
          <w:w w:val="95"/>
        </w:rPr>
        <w:t>3.项目支出绩效评价报</w:t>
      </w:r>
      <w:r>
        <w:rPr>
          <w:spacing w:val="-10"/>
          <w:w w:val="95"/>
        </w:rPr>
        <w:t>告</w:t>
      </w:r>
    </w:p>
    <w:sectPr>
      <w:pgSz w:w="11910" w:h="16840"/>
      <w:pgMar w:top="1500" w:right="148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119" w:hanging="320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2000" w:hanging="320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2749" w:hanging="320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3499" w:hanging="320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4248" w:hanging="320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4998" w:hanging="320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5747" w:hanging="320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6497" w:hanging="320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7246" w:hanging="320"/>
      </w:pPr>
      <w:rPr>
        <w:rFonts w:hint="default"/>
        <w:lang w:val="en-US" w:eastAsia="zh-CN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119" w:hanging="320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982" w:hanging="320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1845" w:hanging="320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2707" w:hanging="320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3570" w:hanging="320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4432" w:hanging="320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5295" w:hanging="320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6157" w:hanging="320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7020" w:hanging="320"/>
      </w:pPr>
      <w:rPr>
        <w:rFonts w:hint="default"/>
        <w:lang w:val="en-US" w:eastAsia="zh-CN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docVars>
    <w:docVar w:name="commondata" w:val="eyJoZGlkIjoiN2I3ZTU2YWNkZDkzYzMzNTE3NDg3OGE1YjEyODRiNTMifQ=="/>
  </w:docVars>
  <w:rsids>
    <w:rsidRoot w:val="00000000"/>
    <w:rsid w:val="1E420AD8"/>
    <w:rsid w:val="4B726989"/>
    <w:rsid w:val="738A70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311" w:right="513" w:hanging="1320"/>
      <w:outlineLvl w:val="1"/>
    </w:pPr>
    <w:rPr>
      <w:rFonts w:ascii="宋体" w:hAnsi="宋体" w:eastAsia="宋体" w:cs="宋体"/>
      <w:sz w:val="44"/>
      <w:szCs w:val="4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119" w:firstLine="640"/>
    </w:pPr>
    <w:rPr>
      <w:rFonts w:ascii="宋体" w:hAnsi="宋体" w:eastAsia="宋体" w:cs="宋体"/>
      <w:sz w:val="32"/>
      <w:szCs w:val="32"/>
      <w:lang w:val="en-US" w:eastAsia="zh-CN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2"/>
      <w:ind w:left="119" w:right="320" w:firstLine="640"/>
    </w:pPr>
    <w:rPr>
      <w:rFonts w:ascii="宋体" w:hAnsi="宋体" w:eastAsia="宋体" w:cs="宋体"/>
      <w:lang w:val="en-US" w:eastAsia="zh-CN" w:bidi="ar-SA"/>
    </w:rPr>
  </w:style>
  <w:style w:type="paragraph" w:customStyle="1" w:styleId="8">
    <w:name w:val="Table Paragraph"/>
    <w:basedOn w:val="1"/>
    <w:qFormat/>
    <w:uiPriority w:val="1"/>
    <w:rPr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4928</Words>
  <Characters>4977</Characters>
  <TotalTime>1</TotalTime>
  <ScaleCrop>false</ScaleCrop>
  <LinksUpToDate>false</LinksUpToDate>
  <CharactersWithSpaces>5075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2023-04-19T00:29:00Z</dcterms:created>
  <dc:creator>gyb1</dc:creator>
  <cp:lastModifiedBy>樱桃小丸子</cp:lastModifiedBy>
  <dcterms:modified xsi:type="dcterms:W3CDTF">2023-04-19T00:40:33Z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WPS Writer</vt:lpwstr>
  </property>
  <property fmtid="{D5CDD505-2E9C-101B-9397-08002B2CF9AE}" pid="4" name="LastSaved">
    <vt:filetime>2023-04-19T00:00:00Z</vt:filetime>
  </property>
  <property fmtid="{D5CDD505-2E9C-101B-9397-08002B2CF9AE}" pid="5" name="KSOProductBuildVer">
    <vt:lpwstr>2052-11.1.0.14036</vt:lpwstr>
  </property>
  <property fmtid="{D5CDD505-2E9C-101B-9397-08002B2CF9AE}" pid="6" name="ICV">
    <vt:lpwstr>6B44CF4B35DB4B029F4D51CFA5B93AF9_13</vt:lpwstr>
  </property>
</Properties>
</file>