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580" w:lineRule="exact"/>
        <w:ind w:firstLine="0" w:firstLineChars="0"/>
        <w:jc w:val="center"/>
        <w:rPr>
          <w:rFonts w:ascii="Times New Roman" w:hAnsi="Times New Roman" w:eastAsia="黑体"/>
          <w:b/>
          <w:bCs/>
          <w:color w:val="000000"/>
          <w:sz w:val="36"/>
          <w:szCs w:val="36"/>
        </w:rPr>
      </w:pPr>
    </w:p>
    <w:p>
      <w:pPr>
        <w:widowControl/>
        <w:shd w:val="clear" w:color="auto" w:fill="FFFFFF"/>
        <w:spacing w:line="580" w:lineRule="exact"/>
        <w:ind w:left="188" w:leftChars="67" w:firstLine="0" w:firstLineChars="0"/>
        <w:jc w:val="center"/>
        <w:rPr>
          <w:rFonts w:ascii="Times New Roman" w:hAnsi="Times New Roman" w:eastAsia="黑体"/>
          <w:b/>
          <w:bCs/>
          <w:color w:val="000000"/>
          <w:sz w:val="36"/>
          <w:szCs w:val="36"/>
        </w:rPr>
      </w:pPr>
    </w:p>
    <w:p>
      <w:pPr>
        <w:widowControl/>
        <w:shd w:val="clear" w:color="auto" w:fill="FFFFFF"/>
        <w:spacing w:line="580" w:lineRule="exact"/>
        <w:ind w:firstLine="0" w:firstLineChars="0"/>
        <w:jc w:val="center"/>
        <w:rPr>
          <w:rFonts w:ascii="Times New Roman" w:hAnsi="Times New Roman" w:eastAsia="黑体"/>
          <w:b/>
          <w:bCs/>
          <w:color w:val="000000"/>
          <w:sz w:val="36"/>
          <w:szCs w:val="36"/>
        </w:rPr>
      </w:pPr>
    </w:p>
    <w:p>
      <w:pPr>
        <w:widowControl/>
        <w:shd w:val="clear" w:color="auto" w:fill="FFFFFF"/>
        <w:spacing w:line="580" w:lineRule="exact"/>
        <w:ind w:firstLine="0" w:firstLineChars="0"/>
        <w:jc w:val="center"/>
        <w:rPr>
          <w:rFonts w:ascii="Times New Roman" w:hAnsi="Times New Roman" w:eastAsia="黑体"/>
          <w:b/>
          <w:bCs/>
          <w:color w:val="000000"/>
          <w:sz w:val="44"/>
          <w:szCs w:val="44"/>
        </w:rPr>
      </w:pPr>
      <w:r>
        <w:rPr>
          <w:rFonts w:ascii="Times New Roman" w:hAnsi="Times New Roman" w:eastAsia="黑体"/>
          <w:b/>
          <w:bCs/>
          <w:color w:val="000000"/>
          <w:sz w:val="44"/>
          <w:szCs w:val="44"/>
        </w:rPr>
        <w:t>青阳县杨田镇片区土地征收成片</w:t>
      </w:r>
    </w:p>
    <w:p>
      <w:pPr>
        <w:widowControl/>
        <w:shd w:val="clear" w:color="auto" w:fill="FFFFFF"/>
        <w:spacing w:line="580" w:lineRule="exact"/>
        <w:ind w:firstLine="0" w:firstLineChars="0"/>
        <w:jc w:val="center"/>
        <w:rPr>
          <w:rFonts w:ascii="Times New Roman" w:hAnsi="Times New Roman" w:eastAsia="黑体"/>
          <w:b/>
          <w:bCs/>
          <w:color w:val="000000"/>
          <w:sz w:val="52"/>
          <w:szCs w:val="52"/>
        </w:rPr>
      </w:pPr>
      <w:r>
        <w:rPr>
          <w:rFonts w:ascii="Times New Roman" w:hAnsi="Times New Roman" w:eastAsia="黑体"/>
          <w:b/>
          <w:bCs/>
          <w:color w:val="000000"/>
          <w:sz w:val="44"/>
          <w:szCs w:val="44"/>
        </w:rPr>
        <w:t>开发方案</w:t>
      </w:r>
    </w:p>
    <w:p>
      <w:pPr>
        <w:widowControl/>
        <w:shd w:val="clear" w:color="auto" w:fill="FFFFFF"/>
        <w:spacing w:line="580" w:lineRule="exact"/>
        <w:ind w:left="-566" w:leftChars="-202" w:firstLine="0" w:firstLineChars="0"/>
        <w:jc w:val="center"/>
        <w:rPr>
          <w:rFonts w:ascii="Times New Roman" w:hAnsi="Times New Roman" w:eastAsia="黑体"/>
          <w:b/>
          <w:bCs/>
          <w:color w:val="000000"/>
          <w:sz w:val="36"/>
          <w:szCs w:val="36"/>
        </w:rPr>
      </w:pPr>
      <w:r>
        <w:rPr>
          <w:rFonts w:ascii="Times New Roman" w:hAnsi="Times New Roman" w:eastAsia="黑体"/>
          <w:b/>
          <w:bCs/>
          <w:color w:val="000000"/>
          <w:sz w:val="36"/>
          <w:szCs w:val="36"/>
        </w:rPr>
        <w:t>（编号：</w:t>
      </w:r>
      <w:r>
        <w:rPr>
          <w:rFonts w:ascii="Times New Roman" w:hAnsi="Times New Roman" w:eastAsia="黑体"/>
          <w:b/>
          <w:bCs/>
          <w:color w:val="000000"/>
          <w:sz w:val="36"/>
          <w:szCs w:val="36"/>
          <w:u w:val="single"/>
        </w:rPr>
        <w:t>CZQY341723-2024-1</w:t>
      </w:r>
      <w:r>
        <w:rPr>
          <w:rFonts w:ascii="Times New Roman" w:hAnsi="Times New Roman" w:eastAsia="黑体"/>
          <w:b/>
          <w:bCs/>
          <w:color w:val="000000"/>
          <w:sz w:val="36"/>
          <w:szCs w:val="36"/>
        </w:rPr>
        <w:t>）</w:t>
      </w:r>
    </w:p>
    <w:p>
      <w:pPr>
        <w:widowControl/>
        <w:shd w:val="clear" w:color="auto" w:fill="FFFFFF"/>
        <w:spacing w:line="580" w:lineRule="exact"/>
        <w:ind w:left="-566" w:leftChars="-202" w:firstLine="0" w:firstLineChars="0"/>
        <w:jc w:val="center"/>
        <w:rPr>
          <w:rFonts w:hint="eastAsia" w:ascii="Times New Roman" w:hAnsi="Times New Roman" w:eastAsia="黑体"/>
          <w:b/>
          <w:bCs/>
          <w:color w:val="000000"/>
          <w:sz w:val="36"/>
          <w:szCs w:val="36"/>
          <w:lang w:eastAsia="zh-CN"/>
        </w:rPr>
      </w:pPr>
      <w:r>
        <w:rPr>
          <w:rFonts w:hint="eastAsia" w:ascii="Times New Roman" w:hAnsi="Times New Roman" w:eastAsia="黑体"/>
          <w:b/>
          <w:bCs/>
          <w:color w:val="000000"/>
          <w:sz w:val="36"/>
          <w:szCs w:val="36"/>
          <w:lang w:eastAsia="zh-CN"/>
        </w:rPr>
        <w:t>（征求意见稿</w:t>
      </w:r>
      <w:bookmarkStart w:id="27" w:name="_GoBack"/>
      <w:bookmarkEnd w:id="27"/>
      <w:r>
        <w:rPr>
          <w:rFonts w:hint="eastAsia" w:ascii="Times New Roman" w:hAnsi="Times New Roman" w:eastAsia="黑体"/>
          <w:b/>
          <w:bCs/>
          <w:color w:val="000000"/>
          <w:sz w:val="36"/>
          <w:szCs w:val="36"/>
          <w:lang w:eastAsia="zh-CN"/>
        </w:rPr>
        <w:t>）</w:t>
      </w:r>
    </w:p>
    <w:p>
      <w:pPr>
        <w:widowControl/>
        <w:shd w:val="clear" w:color="auto" w:fill="FFFFFF"/>
        <w:spacing w:line="580" w:lineRule="exact"/>
        <w:ind w:firstLine="0" w:firstLineChars="0"/>
        <w:jc w:val="center"/>
        <w:rPr>
          <w:rFonts w:ascii="Times New Roman" w:hAnsi="Times New Roman"/>
          <w:b/>
          <w:color w:val="000000"/>
          <w:sz w:val="36"/>
          <w:szCs w:val="36"/>
        </w:rPr>
      </w:pPr>
    </w:p>
    <w:p>
      <w:pPr>
        <w:widowControl/>
        <w:shd w:val="clear" w:color="auto" w:fill="FFFFFF"/>
        <w:spacing w:line="580" w:lineRule="exact"/>
        <w:ind w:firstLine="0" w:firstLineChars="0"/>
        <w:jc w:val="center"/>
        <w:rPr>
          <w:rFonts w:ascii="Times New Roman" w:hAnsi="Times New Roman"/>
          <w:b/>
          <w:color w:val="000000"/>
          <w:sz w:val="36"/>
          <w:szCs w:val="36"/>
        </w:rPr>
      </w:pPr>
    </w:p>
    <w:p>
      <w:pPr>
        <w:widowControl/>
        <w:shd w:val="clear" w:color="auto" w:fill="FFFFFF"/>
        <w:spacing w:line="580" w:lineRule="exact"/>
        <w:ind w:firstLine="0" w:firstLineChars="0"/>
        <w:jc w:val="center"/>
        <w:rPr>
          <w:rFonts w:ascii="Times New Roman" w:hAnsi="Times New Roman"/>
          <w:b/>
          <w:color w:val="000000"/>
          <w:sz w:val="36"/>
          <w:szCs w:val="36"/>
        </w:rPr>
      </w:pPr>
    </w:p>
    <w:p>
      <w:pPr>
        <w:widowControl/>
        <w:shd w:val="clear" w:color="auto" w:fill="FFFFFF"/>
        <w:spacing w:line="580" w:lineRule="exact"/>
        <w:ind w:firstLine="0" w:firstLineChars="0"/>
        <w:jc w:val="center"/>
        <w:rPr>
          <w:rFonts w:ascii="Times New Roman" w:hAnsi="Times New Roman"/>
          <w:b/>
          <w:color w:val="000000"/>
          <w:sz w:val="36"/>
          <w:szCs w:val="36"/>
        </w:rPr>
      </w:pPr>
    </w:p>
    <w:p>
      <w:pPr>
        <w:widowControl/>
        <w:shd w:val="clear" w:color="auto" w:fill="FFFFFF"/>
        <w:spacing w:line="580" w:lineRule="exact"/>
        <w:ind w:firstLine="0" w:firstLineChars="0"/>
        <w:jc w:val="center"/>
        <w:rPr>
          <w:rFonts w:ascii="Times New Roman" w:hAnsi="Times New Roman"/>
          <w:b/>
          <w:color w:val="000000"/>
          <w:sz w:val="36"/>
          <w:szCs w:val="36"/>
        </w:rPr>
      </w:pPr>
    </w:p>
    <w:p>
      <w:pPr>
        <w:widowControl/>
        <w:shd w:val="clear" w:color="auto" w:fill="FFFFFF"/>
        <w:spacing w:line="580" w:lineRule="exact"/>
        <w:ind w:firstLine="0" w:firstLineChars="0"/>
        <w:jc w:val="center"/>
        <w:rPr>
          <w:rFonts w:ascii="Times New Roman" w:hAnsi="Times New Roman"/>
          <w:b/>
          <w:color w:val="000000"/>
          <w:sz w:val="36"/>
          <w:szCs w:val="36"/>
        </w:rPr>
      </w:pPr>
    </w:p>
    <w:p>
      <w:pPr>
        <w:widowControl/>
        <w:shd w:val="clear" w:color="auto" w:fill="FFFFFF"/>
        <w:spacing w:line="580" w:lineRule="exact"/>
        <w:ind w:firstLine="0" w:firstLineChars="0"/>
        <w:jc w:val="center"/>
        <w:rPr>
          <w:rFonts w:ascii="Times New Roman" w:hAnsi="Times New Roman"/>
          <w:b/>
          <w:color w:val="000000"/>
          <w:sz w:val="36"/>
          <w:szCs w:val="36"/>
        </w:rPr>
      </w:pPr>
    </w:p>
    <w:p>
      <w:pPr>
        <w:widowControl/>
        <w:shd w:val="clear" w:color="auto" w:fill="FFFFFF"/>
        <w:spacing w:line="580" w:lineRule="exact"/>
        <w:ind w:firstLine="0" w:firstLineChars="0"/>
        <w:jc w:val="center"/>
        <w:rPr>
          <w:rFonts w:ascii="Times New Roman" w:hAnsi="Times New Roman"/>
          <w:b/>
          <w:color w:val="000000"/>
          <w:sz w:val="36"/>
          <w:szCs w:val="36"/>
        </w:rPr>
      </w:pPr>
    </w:p>
    <w:p>
      <w:pPr>
        <w:widowControl/>
        <w:shd w:val="clear" w:color="auto" w:fill="FFFFFF"/>
        <w:spacing w:line="580" w:lineRule="exact"/>
        <w:ind w:firstLine="0" w:firstLineChars="0"/>
        <w:jc w:val="center"/>
        <w:rPr>
          <w:rFonts w:ascii="Times New Roman" w:hAnsi="Times New Roman"/>
          <w:b/>
          <w:color w:val="000000"/>
          <w:sz w:val="36"/>
          <w:szCs w:val="36"/>
        </w:rPr>
      </w:pPr>
    </w:p>
    <w:p>
      <w:pPr>
        <w:widowControl/>
        <w:shd w:val="clear" w:color="auto" w:fill="FFFFFF"/>
        <w:spacing w:line="580" w:lineRule="exact"/>
        <w:ind w:firstLine="0" w:firstLineChars="0"/>
        <w:jc w:val="center"/>
        <w:rPr>
          <w:rFonts w:ascii="Times New Roman" w:hAnsi="Times New Roman"/>
          <w:b/>
          <w:color w:val="000000"/>
          <w:sz w:val="36"/>
          <w:szCs w:val="36"/>
        </w:rPr>
      </w:pPr>
    </w:p>
    <w:p>
      <w:pPr>
        <w:widowControl/>
        <w:shd w:val="clear" w:color="auto" w:fill="FFFFFF"/>
        <w:spacing w:line="580" w:lineRule="exact"/>
        <w:ind w:firstLine="0" w:firstLineChars="0"/>
        <w:jc w:val="center"/>
        <w:rPr>
          <w:rFonts w:ascii="Times New Roman" w:hAnsi="Times New Roman"/>
          <w:b/>
          <w:color w:val="000000"/>
          <w:sz w:val="36"/>
          <w:szCs w:val="36"/>
        </w:rPr>
      </w:pPr>
    </w:p>
    <w:p>
      <w:pPr>
        <w:widowControl/>
        <w:shd w:val="clear" w:color="auto" w:fill="FFFFFF"/>
        <w:spacing w:line="580" w:lineRule="exact"/>
        <w:ind w:firstLine="0" w:firstLineChars="0"/>
        <w:jc w:val="center"/>
        <w:rPr>
          <w:rFonts w:ascii="Times New Roman" w:hAnsi="Times New Roman"/>
          <w:b/>
          <w:color w:val="000000"/>
          <w:sz w:val="36"/>
          <w:szCs w:val="36"/>
        </w:rPr>
      </w:pPr>
    </w:p>
    <w:p>
      <w:pPr>
        <w:widowControl/>
        <w:shd w:val="clear" w:color="auto" w:fill="FFFFFF"/>
        <w:spacing w:line="580" w:lineRule="exact"/>
        <w:ind w:firstLine="0" w:firstLineChars="0"/>
        <w:rPr>
          <w:rFonts w:ascii="Times New Roman" w:hAnsi="Times New Roman"/>
          <w:b/>
          <w:color w:val="000000"/>
          <w:sz w:val="24"/>
        </w:rPr>
      </w:pPr>
    </w:p>
    <w:p>
      <w:pPr>
        <w:widowControl/>
        <w:shd w:val="clear" w:color="auto" w:fill="FFFFFF"/>
        <w:spacing w:line="580" w:lineRule="exact"/>
        <w:ind w:firstLine="0" w:firstLineChars="0"/>
        <w:jc w:val="center"/>
        <w:rPr>
          <w:rFonts w:ascii="Times New Roman" w:hAnsi="Times New Roman"/>
          <w:b/>
          <w:color w:val="000000"/>
          <w:sz w:val="36"/>
          <w:szCs w:val="36"/>
        </w:rPr>
      </w:pPr>
      <w:r>
        <w:rPr>
          <w:rFonts w:ascii="Times New Roman" w:hAnsi="Times New Roman"/>
          <w:b/>
          <w:color w:val="000000"/>
          <w:sz w:val="36"/>
          <w:szCs w:val="36"/>
        </w:rPr>
        <w:t>青阳县人民政府</w:t>
      </w:r>
    </w:p>
    <w:p>
      <w:pPr>
        <w:widowControl/>
        <w:shd w:val="clear" w:color="auto" w:fill="FFFFFF"/>
        <w:spacing w:line="580" w:lineRule="exact"/>
        <w:ind w:firstLine="0" w:firstLineChars="0"/>
        <w:jc w:val="center"/>
        <w:rPr>
          <w:rFonts w:ascii="Times New Roman" w:hAnsi="Times New Roman"/>
          <w:b/>
          <w:color w:val="000000"/>
          <w:sz w:val="36"/>
          <w:szCs w:val="36"/>
        </w:rPr>
      </w:pPr>
      <w:r>
        <w:rPr>
          <w:rFonts w:ascii="Times New Roman" w:hAnsi="Times New Roman"/>
          <w:b/>
          <w:color w:val="000000"/>
          <w:sz w:val="36"/>
          <w:szCs w:val="36"/>
        </w:rPr>
        <w:t>二〇二四年三月</w:t>
      </w:r>
    </w:p>
    <w:p>
      <w:pPr>
        <w:ind w:firstLine="0" w:firstLineChars="0"/>
        <w:rPr>
          <w:rFonts w:ascii="Times New Roman" w:hAnsi="Times New Roman"/>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12" w:charSpace="0"/>
        </w:sectPr>
      </w:pPr>
    </w:p>
    <w:sdt>
      <w:sdtPr>
        <w:rPr>
          <w:rFonts w:ascii="Times New Roman" w:hAnsi="Times New Roman" w:eastAsia="宋体"/>
          <w:color w:val="auto"/>
          <w:kern w:val="2"/>
          <w:sz w:val="28"/>
          <w:szCs w:val="24"/>
          <w:lang w:val="zh-CN"/>
        </w:rPr>
        <w:id w:val="-1405292868"/>
        <w:docPartObj>
          <w:docPartGallery w:val="Table of Contents"/>
          <w:docPartUnique/>
        </w:docPartObj>
      </w:sdtPr>
      <w:sdtEndPr>
        <w:rPr>
          <w:rFonts w:ascii="Times New Roman" w:hAnsi="Times New Roman" w:eastAsia="仿宋"/>
          <w:b/>
          <w:bCs/>
          <w:color w:val="auto"/>
          <w:kern w:val="2"/>
          <w:sz w:val="28"/>
          <w:szCs w:val="24"/>
          <w:lang w:val="zh-CN"/>
        </w:rPr>
      </w:sdtEndPr>
      <w:sdtContent>
        <w:p>
          <w:pPr>
            <w:pStyle w:val="47"/>
            <w:spacing w:line="360" w:lineRule="auto"/>
            <w:jc w:val="center"/>
            <w:rPr>
              <w:rFonts w:ascii="Times New Roman" w:hAnsi="Times New Roman" w:eastAsia="宋体"/>
              <w:b/>
              <w:color w:val="auto"/>
            </w:rPr>
          </w:pPr>
          <w:r>
            <w:rPr>
              <w:rFonts w:ascii="Times New Roman" w:hAnsi="Times New Roman" w:eastAsia="宋体"/>
              <w:b/>
              <w:color w:val="auto"/>
              <w:lang w:val="zh-CN"/>
            </w:rPr>
            <w:t>目录</w:t>
          </w:r>
        </w:p>
        <w:p>
          <w:pPr>
            <w:pStyle w:val="12"/>
            <w:tabs>
              <w:tab w:val="right" w:leader="dot" w:pos="8296"/>
            </w:tabs>
            <w:adjustRightInd w:val="0"/>
            <w:snapToGrid w:val="0"/>
            <w:ind w:firstLine="0" w:firstLineChars="0"/>
            <w:rPr>
              <w:rFonts w:ascii="Times New Roman" w:hAnsi="Times New Roman" w:eastAsiaTheme="minorEastAsia"/>
              <w:sz w:val="21"/>
              <w:szCs w:val="22"/>
            </w:rPr>
          </w:pPr>
          <w:r>
            <w:rPr>
              <w:rFonts w:ascii="Times New Roman" w:hAnsi="Times New Roman"/>
              <w:sz w:val="22"/>
            </w:rPr>
            <w:fldChar w:fldCharType="begin"/>
          </w:r>
          <w:r>
            <w:rPr>
              <w:rFonts w:ascii="Times New Roman" w:hAnsi="Times New Roman"/>
              <w:sz w:val="22"/>
            </w:rPr>
            <w:instrText xml:space="preserve"> TOC \o "1-3" \h \z \u </w:instrText>
          </w:r>
          <w:r>
            <w:rPr>
              <w:rFonts w:ascii="Times New Roman" w:hAnsi="Times New Roman"/>
              <w:sz w:val="22"/>
            </w:rPr>
            <w:fldChar w:fldCharType="separate"/>
          </w:r>
          <w:r>
            <w:fldChar w:fldCharType="begin"/>
          </w:r>
          <w:r>
            <w:instrText xml:space="preserve"> HYPERLINK \l "_Toc161222806" </w:instrText>
          </w:r>
          <w:r>
            <w:fldChar w:fldCharType="separate"/>
          </w:r>
          <w:r>
            <w:rPr>
              <w:rStyle w:val="21"/>
              <w:rFonts w:ascii="Times New Roman" w:hAnsi="Times New Roman"/>
            </w:rPr>
            <w:t>一、 成片开发的位置、面积、范围和基础设施条件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_Toc161222806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pPr>
            <w:pStyle w:val="13"/>
            <w:adjustRightInd w:val="0"/>
            <w:snapToGrid w:val="0"/>
            <w:rPr>
              <w:rFonts w:ascii="Times New Roman" w:hAnsi="Times New Roman" w:eastAsiaTheme="minorEastAsia"/>
              <w:sz w:val="21"/>
              <w:szCs w:val="22"/>
            </w:rPr>
          </w:pPr>
          <w:r>
            <w:fldChar w:fldCharType="begin"/>
          </w:r>
          <w:r>
            <w:instrText xml:space="preserve"> HYPERLINK \l "_Toc161222807" </w:instrText>
          </w:r>
          <w:r>
            <w:fldChar w:fldCharType="separate"/>
          </w:r>
          <w:r>
            <w:rPr>
              <w:rStyle w:val="21"/>
              <w:rFonts w:ascii="Times New Roman" w:hAnsi="Times New Roman"/>
            </w:rPr>
            <w:t>1. 片区位置、面积、范围</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_Toc161222807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pPr>
            <w:pStyle w:val="13"/>
            <w:adjustRightInd w:val="0"/>
            <w:snapToGrid w:val="0"/>
            <w:rPr>
              <w:rFonts w:ascii="Times New Roman" w:hAnsi="Times New Roman" w:eastAsiaTheme="minorEastAsia"/>
              <w:sz w:val="21"/>
              <w:szCs w:val="22"/>
            </w:rPr>
          </w:pPr>
          <w:r>
            <w:fldChar w:fldCharType="begin"/>
          </w:r>
          <w:r>
            <w:instrText xml:space="preserve"> HYPERLINK \l "_Toc161222808" </w:instrText>
          </w:r>
          <w:r>
            <w:fldChar w:fldCharType="separate"/>
          </w:r>
          <w:r>
            <w:rPr>
              <w:rStyle w:val="21"/>
              <w:rFonts w:ascii="Times New Roman" w:hAnsi="Times New Roman"/>
            </w:rPr>
            <w:t>2. 基础设施条件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_Toc161222808 \h </w:instrText>
          </w:r>
          <w:r>
            <w:rPr>
              <w:rFonts w:ascii="Times New Roman" w:hAnsi="Times New Roman"/>
            </w:rPr>
            <w:fldChar w:fldCharType="separate"/>
          </w:r>
          <w:r>
            <w:rPr>
              <w:rFonts w:ascii="Times New Roman" w:hAnsi="Times New Roman"/>
            </w:rPr>
            <w:t>3</w:t>
          </w:r>
          <w:r>
            <w:rPr>
              <w:rFonts w:ascii="Times New Roman" w:hAnsi="Times New Roman"/>
            </w:rPr>
            <w:fldChar w:fldCharType="end"/>
          </w:r>
          <w:r>
            <w:rPr>
              <w:rFonts w:ascii="Times New Roman" w:hAnsi="Times New Roman"/>
            </w:rPr>
            <w:fldChar w:fldCharType="end"/>
          </w:r>
        </w:p>
        <w:p>
          <w:pPr>
            <w:pStyle w:val="12"/>
            <w:tabs>
              <w:tab w:val="right" w:leader="dot" w:pos="8296"/>
            </w:tabs>
            <w:adjustRightInd w:val="0"/>
            <w:snapToGrid w:val="0"/>
            <w:ind w:firstLine="0" w:firstLineChars="0"/>
            <w:rPr>
              <w:rFonts w:ascii="Times New Roman" w:hAnsi="Times New Roman" w:eastAsiaTheme="minorEastAsia"/>
              <w:sz w:val="21"/>
              <w:szCs w:val="22"/>
            </w:rPr>
          </w:pPr>
          <w:r>
            <w:fldChar w:fldCharType="begin"/>
          </w:r>
          <w:r>
            <w:instrText xml:space="preserve"> HYPERLINK \l "_Toc161222809" </w:instrText>
          </w:r>
          <w:r>
            <w:fldChar w:fldCharType="separate"/>
          </w:r>
          <w:r>
            <w:rPr>
              <w:rStyle w:val="21"/>
              <w:rFonts w:ascii="Times New Roman" w:hAnsi="Times New Roman"/>
            </w:rPr>
            <w:t>二、 成片开发的必要性、主要用途和实现的功能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_Toc161222809 \h </w:instrText>
          </w:r>
          <w:r>
            <w:rPr>
              <w:rFonts w:ascii="Times New Roman" w:hAnsi="Times New Roman"/>
            </w:rPr>
            <w:fldChar w:fldCharType="separate"/>
          </w:r>
          <w:r>
            <w:rPr>
              <w:rFonts w:ascii="Times New Roman" w:hAnsi="Times New Roman"/>
            </w:rPr>
            <w:t>11</w:t>
          </w:r>
          <w:r>
            <w:rPr>
              <w:rFonts w:ascii="Times New Roman" w:hAnsi="Times New Roman"/>
            </w:rPr>
            <w:fldChar w:fldCharType="end"/>
          </w:r>
          <w:r>
            <w:rPr>
              <w:rFonts w:ascii="Times New Roman" w:hAnsi="Times New Roman"/>
            </w:rPr>
            <w:fldChar w:fldCharType="end"/>
          </w:r>
        </w:p>
        <w:p>
          <w:pPr>
            <w:pStyle w:val="13"/>
            <w:adjustRightInd w:val="0"/>
            <w:snapToGrid w:val="0"/>
            <w:rPr>
              <w:rFonts w:ascii="Times New Roman" w:hAnsi="Times New Roman" w:eastAsiaTheme="minorEastAsia"/>
              <w:sz w:val="21"/>
              <w:szCs w:val="22"/>
            </w:rPr>
          </w:pPr>
          <w:r>
            <w:fldChar w:fldCharType="begin"/>
          </w:r>
          <w:r>
            <w:instrText xml:space="preserve"> HYPERLINK \l "_Toc161222810" </w:instrText>
          </w:r>
          <w:r>
            <w:fldChar w:fldCharType="separate"/>
          </w:r>
          <w:r>
            <w:rPr>
              <w:rStyle w:val="21"/>
              <w:rFonts w:ascii="Times New Roman" w:hAnsi="Times New Roman"/>
            </w:rPr>
            <w:t>3. 必要性</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_Toc161222810 \h </w:instrText>
          </w:r>
          <w:r>
            <w:rPr>
              <w:rFonts w:ascii="Times New Roman" w:hAnsi="Times New Roman"/>
            </w:rPr>
            <w:fldChar w:fldCharType="separate"/>
          </w:r>
          <w:r>
            <w:rPr>
              <w:rFonts w:ascii="Times New Roman" w:hAnsi="Times New Roman"/>
            </w:rPr>
            <w:t>11</w:t>
          </w:r>
          <w:r>
            <w:rPr>
              <w:rFonts w:ascii="Times New Roman" w:hAnsi="Times New Roman"/>
            </w:rPr>
            <w:fldChar w:fldCharType="end"/>
          </w:r>
          <w:r>
            <w:rPr>
              <w:rFonts w:ascii="Times New Roman" w:hAnsi="Times New Roman"/>
            </w:rPr>
            <w:fldChar w:fldCharType="end"/>
          </w:r>
        </w:p>
        <w:p>
          <w:pPr>
            <w:pStyle w:val="13"/>
            <w:adjustRightInd w:val="0"/>
            <w:snapToGrid w:val="0"/>
            <w:rPr>
              <w:rFonts w:ascii="Times New Roman" w:hAnsi="Times New Roman" w:eastAsiaTheme="minorEastAsia"/>
              <w:sz w:val="21"/>
              <w:szCs w:val="22"/>
            </w:rPr>
          </w:pPr>
          <w:r>
            <w:fldChar w:fldCharType="begin"/>
          </w:r>
          <w:r>
            <w:instrText xml:space="preserve"> HYPERLINK \l "_Toc161222811" </w:instrText>
          </w:r>
          <w:r>
            <w:fldChar w:fldCharType="separate"/>
          </w:r>
          <w:r>
            <w:rPr>
              <w:rStyle w:val="21"/>
              <w:rFonts w:ascii="Times New Roman" w:hAnsi="Times New Roman"/>
            </w:rPr>
            <w:t>4. 主要用途</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_Toc161222811 \h </w:instrText>
          </w:r>
          <w:r>
            <w:rPr>
              <w:rFonts w:ascii="Times New Roman" w:hAnsi="Times New Roman"/>
            </w:rPr>
            <w:fldChar w:fldCharType="separate"/>
          </w:r>
          <w:r>
            <w:rPr>
              <w:rFonts w:ascii="Times New Roman" w:hAnsi="Times New Roman"/>
            </w:rPr>
            <w:t>13</w:t>
          </w:r>
          <w:r>
            <w:rPr>
              <w:rFonts w:ascii="Times New Roman" w:hAnsi="Times New Roman"/>
            </w:rPr>
            <w:fldChar w:fldCharType="end"/>
          </w:r>
          <w:r>
            <w:rPr>
              <w:rFonts w:ascii="Times New Roman" w:hAnsi="Times New Roman"/>
            </w:rPr>
            <w:fldChar w:fldCharType="end"/>
          </w:r>
        </w:p>
        <w:p>
          <w:pPr>
            <w:pStyle w:val="13"/>
            <w:adjustRightInd w:val="0"/>
            <w:snapToGrid w:val="0"/>
            <w:rPr>
              <w:rFonts w:ascii="Times New Roman" w:hAnsi="Times New Roman" w:eastAsiaTheme="minorEastAsia"/>
              <w:sz w:val="21"/>
              <w:szCs w:val="22"/>
            </w:rPr>
          </w:pPr>
          <w:r>
            <w:fldChar w:fldCharType="begin"/>
          </w:r>
          <w:r>
            <w:instrText xml:space="preserve"> HYPERLINK \l "_Toc161222812" </w:instrText>
          </w:r>
          <w:r>
            <w:fldChar w:fldCharType="separate"/>
          </w:r>
          <w:r>
            <w:rPr>
              <w:rStyle w:val="21"/>
              <w:rFonts w:ascii="Times New Roman" w:hAnsi="Times New Roman"/>
            </w:rPr>
            <w:t>5. 拟实现的功能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_Toc161222812 \h </w:instrText>
          </w:r>
          <w:r>
            <w:rPr>
              <w:rFonts w:ascii="Times New Roman" w:hAnsi="Times New Roman"/>
            </w:rPr>
            <w:fldChar w:fldCharType="separate"/>
          </w:r>
          <w:r>
            <w:rPr>
              <w:rFonts w:ascii="Times New Roman" w:hAnsi="Times New Roman"/>
            </w:rPr>
            <w:t>14</w:t>
          </w:r>
          <w:r>
            <w:rPr>
              <w:rFonts w:ascii="Times New Roman" w:hAnsi="Times New Roman"/>
            </w:rPr>
            <w:fldChar w:fldCharType="end"/>
          </w:r>
          <w:r>
            <w:rPr>
              <w:rFonts w:ascii="Times New Roman" w:hAnsi="Times New Roman"/>
            </w:rPr>
            <w:fldChar w:fldCharType="end"/>
          </w:r>
        </w:p>
        <w:p>
          <w:pPr>
            <w:pStyle w:val="12"/>
            <w:tabs>
              <w:tab w:val="right" w:leader="dot" w:pos="8296"/>
            </w:tabs>
            <w:adjustRightInd w:val="0"/>
            <w:snapToGrid w:val="0"/>
            <w:ind w:firstLine="0" w:firstLineChars="0"/>
            <w:rPr>
              <w:rFonts w:ascii="Times New Roman" w:hAnsi="Times New Roman" w:eastAsiaTheme="minorEastAsia"/>
              <w:sz w:val="21"/>
              <w:szCs w:val="22"/>
            </w:rPr>
          </w:pPr>
          <w:r>
            <w:fldChar w:fldCharType="begin"/>
          </w:r>
          <w:r>
            <w:instrText xml:space="preserve"> HYPERLINK \l "_Toc161222813" </w:instrText>
          </w:r>
          <w:r>
            <w:fldChar w:fldCharType="separate"/>
          </w:r>
          <w:r>
            <w:rPr>
              <w:rStyle w:val="21"/>
              <w:rFonts w:ascii="Times New Roman" w:hAnsi="Times New Roman"/>
            </w:rPr>
            <w:t>三、 成片开发拟安排的建设项目、开发时序和年度实施计划</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_Toc161222813 \h </w:instrText>
          </w:r>
          <w:r>
            <w:rPr>
              <w:rFonts w:ascii="Times New Roman" w:hAnsi="Times New Roman"/>
            </w:rPr>
            <w:fldChar w:fldCharType="separate"/>
          </w:r>
          <w:r>
            <w:rPr>
              <w:rFonts w:ascii="Times New Roman" w:hAnsi="Times New Roman"/>
            </w:rPr>
            <w:t>15</w:t>
          </w:r>
          <w:r>
            <w:rPr>
              <w:rFonts w:ascii="Times New Roman" w:hAnsi="Times New Roman"/>
            </w:rPr>
            <w:fldChar w:fldCharType="end"/>
          </w:r>
          <w:r>
            <w:rPr>
              <w:rFonts w:ascii="Times New Roman" w:hAnsi="Times New Roman"/>
            </w:rPr>
            <w:fldChar w:fldCharType="end"/>
          </w:r>
        </w:p>
        <w:p>
          <w:pPr>
            <w:pStyle w:val="13"/>
            <w:adjustRightInd w:val="0"/>
            <w:snapToGrid w:val="0"/>
            <w:rPr>
              <w:rFonts w:ascii="Times New Roman" w:hAnsi="Times New Roman" w:eastAsiaTheme="minorEastAsia"/>
              <w:sz w:val="21"/>
              <w:szCs w:val="22"/>
            </w:rPr>
          </w:pPr>
          <w:r>
            <w:fldChar w:fldCharType="begin"/>
          </w:r>
          <w:r>
            <w:instrText xml:space="preserve"> HYPERLINK \l "_Toc161222814" </w:instrText>
          </w:r>
          <w:r>
            <w:fldChar w:fldCharType="separate"/>
          </w:r>
          <w:r>
            <w:rPr>
              <w:rStyle w:val="21"/>
              <w:rFonts w:ascii="Times New Roman" w:hAnsi="Times New Roman"/>
            </w:rPr>
            <w:t>6. 拟安排的建设项目</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_Toc161222814 \h </w:instrText>
          </w:r>
          <w:r>
            <w:rPr>
              <w:rFonts w:ascii="Times New Roman" w:hAnsi="Times New Roman"/>
            </w:rPr>
            <w:fldChar w:fldCharType="separate"/>
          </w:r>
          <w:r>
            <w:rPr>
              <w:rFonts w:ascii="Times New Roman" w:hAnsi="Times New Roman"/>
            </w:rPr>
            <w:t>15</w:t>
          </w:r>
          <w:r>
            <w:rPr>
              <w:rFonts w:ascii="Times New Roman" w:hAnsi="Times New Roman"/>
            </w:rPr>
            <w:fldChar w:fldCharType="end"/>
          </w:r>
          <w:r>
            <w:rPr>
              <w:rFonts w:ascii="Times New Roman" w:hAnsi="Times New Roman"/>
            </w:rPr>
            <w:fldChar w:fldCharType="end"/>
          </w:r>
        </w:p>
        <w:p>
          <w:pPr>
            <w:pStyle w:val="13"/>
            <w:adjustRightInd w:val="0"/>
            <w:snapToGrid w:val="0"/>
            <w:rPr>
              <w:rFonts w:ascii="Times New Roman" w:hAnsi="Times New Roman" w:eastAsiaTheme="minorEastAsia"/>
              <w:sz w:val="21"/>
              <w:szCs w:val="22"/>
            </w:rPr>
          </w:pPr>
          <w:r>
            <w:fldChar w:fldCharType="begin"/>
          </w:r>
          <w:r>
            <w:instrText xml:space="preserve"> HYPERLINK \l "_Toc161222815" </w:instrText>
          </w:r>
          <w:r>
            <w:fldChar w:fldCharType="separate"/>
          </w:r>
          <w:r>
            <w:rPr>
              <w:rStyle w:val="21"/>
              <w:rFonts w:ascii="Times New Roman" w:hAnsi="Times New Roman"/>
            </w:rPr>
            <w:t>7. 年度实施计划</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_Toc161222815 \h </w:instrText>
          </w:r>
          <w:r>
            <w:rPr>
              <w:rFonts w:ascii="Times New Roman" w:hAnsi="Times New Roman"/>
            </w:rPr>
            <w:fldChar w:fldCharType="separate"/>
          </w:r>
          <w:r>
            <w:rPr>
              <w:rFonts w:ascii="Times New Roman" w:hAnsi="Times New Roman"/>
            </w:rPr>
            <w:t>16</w:t>
          </w:r>
          <w:r>
            <w:rPr>
              <w:rFonts w:ascii="Times New Roman" w:hAnsi="Times New Roman"/>
            </w:rPr>
            <w:fldChar w:fldCharType="end"/>
          </w:r>
          <w:r>
            <w:rPr>
              <w:rFonts w:ascii="Times New Roman" w:hAnsi="Times New Roman"/>
            </w:rPr>
            <w:fldChar w:fldCharType="end"/>
          </w:r>
        </w:p>
        <w:p>
          <w:pPr>
            <w:pStyle w:val="12"/>
            <w:tabs>
              <w:tab w:val="right" w:leader="dot" w:pos="8296"/>
            </w:tabs>
            <w:adjustRightInd w:val="0"/>
            <w:snapToGrid w:val="0"/>
            <w:ind w:firstLine="0" w:firstLineChars="0"/>
            <w:rPr>
              <w:rFonts w:ascii="Times New Roman" w:hAnsi="Times New Roman" w:eastAsiaTheme="minorEastAsia"/>
              <w:sz w:val="21"/>
              <w:szCs w:val="22"/>
            </w:rPr>
          </w:pPr>
          <w:r>
            <w:fldChar w:fldCharType="begin"/>
          </w:r>
          <w:r>
            <w:instrText xml:space="preserve"> HYPERLINK \l "_Toc161222816" </w:instrText>
          </w:r>
          <w:r>
            <w:fldChar w:fldCharType="separate"/>
          </w:r>
          <w:r>
            <w:rPr>
              <w:rStyle w:val="21"/>
              <w:rFonts w:ascii="Times New Roman" w:hAnsi="Times New Roman"/>
            </w:rPr>
            <w:t>四、 成片开发范围内基础设施、公共服务设施以及其他公益性用地比例</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_Toc161222816 \h </w:instrText>
          </w:r>
          <w:r>
            <w:rPr>
              <w:rFonts w:ascii="Times New Roman" w:hAnsi="Times New Roman"/>
            </w:rPr>
            <w:fldChar w:fldCharType="separate"/>
          </w:r>
          <w:r>
            <w:rPr>
              <w:rFonts w:ascii="Times New Roman" w:hAnsi="Times New Roman"/>
            </w:rPr>
            <w:t>17</w:t>
          </w:r>
          <w:r>
            <w:rPr>
              <w:rFonts w:ascii="Times New Roman" w:hAnsi="Times New Roman"/>
            </w:rPr>
            <w:fldChar w:fldCharType="end"/>
          </w:r>
          <w:r>
            <w:rPr>
              <w:rFonts w:ascii="Times New Roman" w:hAnsi="Times New Roman"/>
            </w:rPr>
            <w:fldChar w:fldCharType="end"/>
          </w:r>
        </w:p>
        <w:p>
          <w:pPr>
            <w:pStyle w:val="13"/>
            <w:adjustRightInd w:val="0"/>
            <w:snapToGrid w:val="0"/>
            <w:rPr>
              <w:rFonts w:ascii="Times New Roman" w:hAnsi="Times New Roman" w:eastAsiaTheme="minorEastAsia"/>
              <w:sz w:val="21"/>
              <w:szCs w:val="22"/>
            </w:rPr>
          </w:pPr>
          <w:r>
            <w:fldChar w:fldCharType="begin"/>
          </w:r>
          <w:r>
            <w:instrText xml:space="preserve"> HYPERLINK \l "_Toc161222817" </w:instrText>
          </w:r>
          <w:r>
            <w:fldChar w:fldCharType="separate"/>
          </w:r>
          <w:r>
            <w:rPr>
              <w:rStyle w:val="21"/>
              <w:rFonts w:ascii="Times New Roman" w:hAnsi="Times New Roman"/>
            </w:rPr>
            <w:t>8. 公益性用地比例</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_Toc161222817 \h </w:instrText>
          </w:r>
          <w:r>
            <w:rPr>
              <w:rFonts w:ascii="Times New Roman" w:hAnsi="Times New Roman"/>
            </w:rPr>
            <w:fldChar w:fldCharType="separate"/>
          </w:r>
          <w:r>
            <w:rPr>
              <w:rFonts w:ascii="Times New Roman" w:hAnsi="Times New Roman"/>
            </w:rPr>
            <w:t>17</w:t>
          </w:r>
          <w:r>
            <w:rPr>
              <w:rFonts w:ascii="Times New Roman" w:hAnsi="Times New Roman"/>
            </w:rPr>
            <w:fldChar w:fldCharType="end"/>
          </w:r>
          <w:r>
            <w:rPr>
              <w:rFonts w:ascii="Times New Roman" w:hAnsi="Times New Roman"/>
            </w:rPr>
            <w:fldChar w:fldCharType="end"/>
          </w:r>
        </w:p>
        <w:p>
          <w:pPr>
            <w:pStyle w:val="12"/>
            <w:tabs>
              <w:tab w:val="right" w:leader="dot" w:pos="8296"/>
            </w:tabs>
            <w:adjustRightInd w:val="0"/>
            <w:snapToGrid w:val="0"/>
            <w:ind w:firstLine="0" w:firstLineChars="0"/>
            <w:rPr>
              <w:rFonts w:ascii="Times New Roman" w:hAnsi="Times New Roman" w:eastAsiaTheme="minorEastAsia"/>
              <w:sz w:val="21"/>
              <w:szCs w:val="22"/>
            </w:rPr>
          </w:pPr>
          <w:r>
            <w:fldChar w:fldCharType="begin"/>
          </w:r>
          <w:r>
            <w:instrText xml:space="preserve"> HYPERLINK \l "_Toc161222818" </w:instrText>
          </w:r>
          <w:r>
            <w:fldChar w:fldCharType="separate"/>
          </w:r>
          <w:r>
            <w:rPr>
              <w:rStyle w:val="21"/>
              <w:rFonts w:ascii="Times New Roman" w:hAnsi="Times New Roman"/>
            </w:rPr>
            <w:t>五、 成片开发的土地利用效益以及经济、社会、生态效益评估</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_Toc161222818 \h </w:instrText>
          </w:r>
          <w:r>
            <w:rPr>
              <w:rFonts w:ascii="Times New Roman" w:hAnsi="Times New Roman"/>
            </w:rPr>
            <w:fldChar w:fldCharType="separate"/>
          </w:r>
          <w:r>
            <w:rPr>
              <w:rFonts w:ascii="Times New Roman" w:hAnsi="Times New Roman"/>
            </w:rPr>
            <w:t>17</w:t>
          </w:r>
          <w:r>
            <w:rPr>
              <w:rFonts w:ascii="Times New Roman" w:hAnsi="Times New Roman"/>
            </w:rPr>
            <w:fldChar w:fldCharType="end"/>
          </w:r>
          <w:r>
            <w:rPr>
              <w:rFonts w:ascii="Times New Roman" w:hAnsi="Times New Roman"/>
            </w:rPr>
            <w:fldChar w:fldCharType="end"/>
          </w:r>
        </w:p>
        <w:p>
          <w:pPr>
            <w:pStyle w:val="13"/>
            <w:adjustRightInd w:val="0"/>
            <w:snapToGrid w:val="0"/>
            <w:rPr>
              <w:rFonts w:ascii="Times New Roman" w:hAnsi="Times New Roman" w:eastAsiaTheme="minorEastAsia"/>
              <w:sz w:val="21"/>
              <w:szCs w:val="22"/>
            </w:rPr>
          </w:pPr>
          <w:r>
            <w:fldChar w:fldCharType="begin"/>
          </w:r>
          <w:r>
            <w:instrText xml:space="preserve"> HYPERLINK \l "_Toc161222819" </w:instrText>
          </w:r>
          <w:r>
            <w:fldChar w:fldCharType="separate"/>
          </w:r>
          <w:r>
            <w:rPr>
              <w:rStyle w:val="21"/>
              <w:rFonts w:ascii="Times New Roman" w:hAnsi="Times New Roman"/>
            </w:rPr>
            <w:t>9. 土地利用效益</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_Toc161222819 \h </w:instrText>
          </w:r>
          <w:r>
            <w:rPr>
              <w:rFonts w:ascii="Times New Roman" w:hAnsi="Times New Roman"/>
            </w:rPr>
            <w:fldChar w:fldCharType="separate"/>
          </w:r>
          <w:r>
            <w:rPr>
              <w:rFonts w:ascii="Times New Roman" w:hAnsi="Times New Roman"/>
            </w:rPr>
            <w:t>18</w:t>
          </w:r>
          <w:r>
            <w:rPr>
              <w:rFonts w:ascii="Times New Roman" w:hAnsi="Times New Roman"/>
            </w:rPr>
            <w:fldChar w:fldCharType="end"/>
          </w:r>
          <w:r>
            <w:rPr>
              <w:rFonts w:ascii="Times New Roman" w:hAnsi="Times New Roman"/>
            </w:rPr>
            <w:fldChar w:fldCharType="end"/>
          </w:r>
        </w:p>
        <w:p>
          <w:pPr>
            <w:pStyle w:val="13"/>
            <w:adjustRightInd w:val="0"/>
            <w:snapToGrid w:val="0"/>
            <w:rPr>
              <w:rFonts w:ascii="Times New Roman" w:hAnsi="Times New Roman" w:eastAsiaTheme="minorEastAsia"/>
              <w:sz w:val="21"/>
              <w:szCs w:val="22"/>
            </w:rPr>
          </w:pPr>
          <w:r>
            <w:fldChar w:fldCharType="begin"/>
          </w:r>
          <w:r>
            <w:instrText xml:space="preserve"> HYPERLINK \l "_Toc161222820" </w:instrText>
          </w:r>
          <w:r>
            <w:fldChar w:fldCharType="separate"/>
          </w:r>
          <w:r>
            <w:rPr>
              <w:rStyle w:val="21"/>
              <w:rFonts w:ascii="Times New Roman" w:hAnsi="Times New Roman"/>
            </w:rPr>
            <w:t>10. 成片开发的经济效益评估</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_Toc161222820 \h </w:instrText>
          </w:r>
          <w:r>
            <w:rPr>
              <w:rFonts w:ascii="Times New Roman" w:hAnsi="Times New Roman"/>
            </w:rPr>
            <w:fldChar w:fldCharType="separate"/>
          </w:r>
          <w:r>
            <w:rPr>
              <w:rFonts w:ascii="Times New Roman" w:hAnsi="Times New Roman"/>
            </w:rPr>
            <w:t>18</w:t>
          </w:r>
          <w:r>
            <w:rPr>
              <w:rFonts w:ascii="Times New Roman" w:hAnsi="Times New Roman"/>
            </w:rPr>
            <w:fldChar w:fldCharType="end"/>
          </w:r>
          <w:r>
            <w:rPr>
              <w:rFonts w:ascii="Times New Roman" w:hAnsi="Times New Roman"/>
            </w:rPr>
            <w:fldChar w:fldCharType="end"/>
          </w:r>
        </w:p>
        <w:p>
          <w:pPr>
            <w:pStyle w:val="13"/>
            <w:adjustRightInd w:val="0"/>
            <w:snapToGrid w:val="0"/>
            <w:rPr>
              <w:rFonts w:ascii="Times New Roman" w:hAnsi="Times New Roman" w:eastAsiaTheme="minorEastAsia"/>
              <w:sz w:val="21"/>
              <w:szCs w:val="22"/>
            </w:rPr>
          </w:pPr>
          <w:r>
            <w:fldChar w:fldCharType="begin"/>
          </w:r>
          <w:r>
            <w:instrText xml:space="preserve"> HYPERLINK \l "_Toc161222821" </w:instrText>
          </w:r>
          <w:r>
            <w:fldChar w:fldCharType="separate"/>
          </w:r>
          <w:r>
            <w:rPr>
              <w:rStyle w:val="21"/>
              <w:rFonts w:ascii="Times New Roman" w:hAnsi="Times New Roman"/>
            </w:rPr>
            <w:t>11. 社会效益评估</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_Toc161222821 \h </w:instrText>
          </w:r>
          <w:r>
            <w:rPr>
              <w:rFonts w:ascii="Times New Roman" w:hAnsi="Times New Roman"/>
            </w:rPr>
            <w:fldChar w:fldCharType="separate"/>
          </w:r>
          <w:r>
            <w:rPr>
              <w:rFonts w:ascii="Times New Roman" w:hAnsi="Times New Roman"/>
            </w:rPr>
            <w:t>19</w:t>
          </w:r>
          <w:r>
            <w:rPr>
              <w:rFonts w:ascii="Times New Roman" w:hAnsi="Times New Roman"/>
            </w:rPr>
            <w:fldChar w:fldCharType="end"/>
          </w:r>
          <w:r>
            <w:rPr>
              <w:rFonts w:ascii="Times New Roman" w:hAnsi="Times New Roman"/>
            </w:rPr>
            <w:fldChar w:fldCharType="end"/>
          </w:r>
        </w:p>
        <w:p>
          <w:pPr>
            <w:pStyle w:val="13"/>
            <w:adjustRightInd w:val="0"/>
            <w:snapToGrid w:val="0"/>
            <w:rPr>
              <w:rFonts w:ascii="Times New Roman" w:hAnsi="Times New Roman" w:eastAsiaTheme="minorEastAsia"/>
              <w:sz w:val="21"/>
              <w:szCs w:val="22"/>
            </w:rPr>
          </w:pPr>
          <w:r>
            <w:fldChar w:fldCharType="begin"/>
          </w:r>
          <w:r>
            <w:instrText xml:space="preserve"> HYPERLINK \l "_Toc161222822" </w:instrText>
          </w:r>
          <w:r>
            <w:fldChar w:fldCharType="separate"/>
          </w:r>
          <w:r>
            <w:rPr>
              <w:rStyle w:val="21"/>
              <w:rFonts w:ascii="Times New Roman" w:hAnsi="Times New Roman"/>
            </w:rPr>
            <w:t>12. 生态效益评估</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_Toc161222822 \h </w:instrText>
          </w:r>
          <w:r>
            <w:rPr>
              <w:rFonts w:ascii="Times New Roman" w:hAnsi="Times New Roman"/>
            </w:rPr>
            <w:fldChar w:fldCharType="separate"/>
          </w:r>
          <w:r>
            <w:rPr>
              <w:rFonts w:ascii="Times New Roman" w:hAnsi="Times New Roman"/>
            </w:rPr>
            <w:t>19</w:t>
          </w:r>
          <w:r>
            <w:rPr>
              <w:rFonts w:ascii="Times New Roman" w:hAnsi="Times New Roman"/>
            </w:rPr>
            <w:fldChar w:fldCharType="end"/>
          </w:r>
          <w:r>
            <w:rPr>
              <w:rFonts w:ascii="Times New Roman" w:hAnsi="Times New Roman"/>
            </w:rPr>
            <w:fldChar w:fldCharType="end"/>
          </w:r>
        </w:p>
        <w:p>
          <w:pPr>
            <w:pStyle w:val="12"/>
            <w:tabs>
              <w:tab w:val="right" w:leader="dot" w:pos="8296"/>
            </w:tabs>
            <w:adjustRightInd w:val="0"/>
            <w:snapToGrid w:val="0"/>
            <w:ind w:firstLine="0" w:firstLineChars="0"/>
            <w:rPr>
              <w:rFonts w:ascii="Times New Roman" w:hAnsi="Times New Roman" w:eastAsiaTheme="minorEastAsia"/>
              <w:sz w:val="21"/>
              <w:szCs w:val="22"/>
            </w:rPr>
          </w:pPr>
          <w:r>
            <w:fldChar w:fldCharType="begin"/>
          </w:r>
          <w:r>
            <w:instrText xml:space="preserve"> HYPERLINK \l "_Toc161222823" </w:instrText>
          </w:r>
          <w:r>
            <w:fldChar w:fldCharType="separate"/>
          </w:r>
          <w:r>
            <w:rPr>
              <w:rStyle w:val="21"/>
              <w:rFonts w:ascii="Times New Roman" w:hAnsi="Times New Roman"/>
            </w:rPr>
            <w:t>六、 其他需要说明的情况</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_Toc161222823 \h </w:instrText>
          </w:r>
          <w:r>
            <w:rPr>
              <w:rFonts w:ascii="Times New Roman" w:hAnsi="Times New Roman"/>
            </w:rPr>
            <w:fldChar w:fldCharType="separate"/>
          </w:r>
          <w:r>
            <w:rPr>
              <w:rFonts w:ascii="Times New Roman" w:hAnsi="Times New Roman"/>
            </w:rPr>
            <w:t>19</w:t>
          </w:r>
          <w:r>
            <w:rPr>
              <w:rFonts w:ascii="Times New Roman" w:hAnsi="Times New Roman"/>
            </w:rPr>
            <w:fldChar w:fldCharType="end"/>
          </w:r>
          <w:r>
            <w:rPr>
              <w:rFonts w:ascii="Times New Roman" w:hAnsi="Times New Roman"/>
            </w:rPr>
            <w:fldChar w:fldCharType="end"/>
          </w:r>
        </w:p>
        <w:p>
          <w:pPr>
            <w:pStyle w:val="13"/>
            <w:adjustRightInd w:val="0"/>
            <w:snapToGrid w:val="0"/>
            <w:rPr>
              <w:rFonts w:ascii="Times New Roman" w:hAnsi="Times New Roman" w:eastAsiaTheme="minorEastAsia"/>
              <w:sz w:val="21"/>
              <w:szCs w:val="22"/>
            </w:rPr>
          </w:pPr>
          <w:r>
            <w:fldChar w:fldCharType="begin"/>
          </w:r>
          <w:r>
            <w:instrText xml:space="preserve"> HYPERLINK \l "_Toc161222824" </w:instrText>
          </w:r>
          <w:r>
            <w:fldChar w:fldCharType="separate"/>
          </w:r>
          <w:r>
            <w:rPr>
              <w:rStyle w:val="21"/>
              <w:rFonts w:ascii="Times New Roman" w:hAnsi="Times New Roman"/>
            </w:rPr>
            <w:t>13. 规划符合性</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_Toc161222824 \h </w:instrText>
          </w:r>
          <w:r>
            <w:rPr>
              <w:rFonts w:ascii="Times New Roman" w:hAnsi="Times New Roman"/>
            </w:rPr>
            <w:fldChar w:fldCharType="separate"/>
          </w:r>
          <w:r>
            <w:rPr>
              <w:rFonts w:ascii="Times New Roman" w:hAnsi="Times New Roman"/>
            </w:rPr>
            <w:t>19</w:t>
          </w:r>
          <w:r>
            <w:rPr>
              <w:rFonts w:ascii="Times New Roman" w:hAnsi="Times New Roman"/>
            </w:rPr>
            <w:fldChar w:fldCharType="end"/>
          </w:r>
          <w:r>
            <w:rPr>
              <w:rFonts w:ascii="Times New Roman" w:hAnsi="Times New Roman"/>
            </w:rPr>
            <w:fldChar w:fldCharType="end"/>
          </w:r>
        </w:p>
        <w:p>
          <w:pPr>
            <w:pStyle w:val="13"/>
            <w:adjustRightInd w:val="0"/>
            <w:snapToGrid w:val="0"/>
            <w:rPr>
              <w:rFonts w:ascii="Times New Roman" w:hAnsi="Times New Roman" w:eastAsiaTheme="minorEastAsia"/>
              <w:sz w:val="21"/>
              <w:szCs w:val="22"/>
            </w:rPr>
          </w:pPr>
          <w:r>
            <w:fldChar w:fldCharType="begin"/>
          </w:r>
          <w:r>
            <w:instrText xml:space="preserve"> HYPERLINK \l "_Toc161222825" </w:instrText>
          </w:r>
          <w:r>
            <w:fldChar w:fldCharType="separate"/>
          </w:r>
          <w:r>
            <w:rPr>
              <w:rStyle w:val="21"/>
              <w:rFonts w:ascii="Times New Roman" w:hAnsi="Times New Roman"/>
            </w:rPr>
            <w:t>14. 本地土地节约集约利用情况</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_Toc161222825 \h </w:instrText>
          </w:r>
          <w:r>
            <w:rPr>
              <w:rFonts w:ascii="Times New Roman" w:hAnsi="Times New Roman"/>
            </w:rPr>
            <w:fldChar w:fldCharType="separate"/>
          </w:r>
          <w:r>
            <w:rPr>
              <w:rFonts w:ascii="Times New Roman" w:hAnsi="Times New Roman"/>
            </w:rPr>
            <w:t>20</w:t>
          </w:r>
          <w:r>
            <w:rPr>
              <w:rFonts w:ascii="Times New Roman" w:hAnsi="Times New Roman"/>
            </w:rPr>
            <w:fldChar w:fldCharType="end"/>
          </w:r>
          <w:r>
            <w:rPr>
              <w:rFonts w:ascii="Times New Roman" w:hAnsi="Times New Roman"/>
            </w:rPr>
            <w:fldChar w:fldCharType="end"/>
          </w:r>
        </w:p>
        <w:p>
          <w:pPr>
            <w:pStyle w:val="13"/>
            <w:adjustRightInd w:val="0"/>
            <w:snapToGrid w:val="0"/>
            <w:rPr>
              <w:rFonts w:ascii="Times New Roman" w:hAnsi="Times New Roman" w:eastAsiaTheme="minorEastAsia"/>
              <w:sz w:val="21"/>
              <w:szCs w:val="22"/>
            </w:rPr>
          </w:pPr>
          <w:r>
            <w:fldChar w:fldCharType="begin"/>
          </w:r>
          <w:r>
            <w:instrText xml:space="preserve"> HYPERLINK \l "_Toc161222826" </w:instrText>
          </w:r>
          <w:r>
            <w:fldChar w:fldCharType="separate"/>
          </w:r>
          <w:r>
            <w:rPr>
              <w:rStyle w:val="21"/>
              <w:rFonts w:ascii="Times New Roman" w:hAnsi="Times New Roman"/>
            </w:rPr>
            <w:t>15. 其他有关情况</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_Toc161222826 \h </w:instrText>
          </w:r>
          <w:r>
            <w:rPr>
              <w:rFonts w:ascii="Times New Roman" w:hAnsi="Times New Roman"/>
            </w:rPr>
            <w:fldChar w:fldCharType="separate"/>
          </w:r>
          <w:r>
            <w:rPr>
              <w:rFonts w:ascii="Times New Roman" w:hAnsi="Times New Roman"/>
            </w:rPr>
            <w:t>21</w:t>
          </w:r>
          <w:r>
            <w:rPr>
              <w:rFonts w:ascii="Times New Roman" w:hAnsi="Times New Roman"/>
            </w:rPr>
            <w:fldChar w:fldCharType="end"/>
          </w:r>
          <w:r>
            <w:rPr>
              <w:rFonts w:ascii="Times New Roman" w:hAnsi="Times New Roman"/>
            </w:rPr>
            <w:fldChar w:fldCharType="end"/>
          </w:r>
        </w:p>
        <w:p>
          <w:pPr>
            <w:pStyle w:val="12"/>
            <w:tabs>
              <w:tab w:val="right" w:leader="dot" w:pos="8296"/>
            </w:tabs>
            <w:adjustRightInd w:val="0"/>
            <w:snapToGrid w:val="0"/>
            <w:ind w:firstLine="0" w:firstLineChars="0"/>
            <w:rPr>
              <w:rFonts w:ascii="Times New Roman" w:hAnsi="Times New Roman" w:eastAsiaTheme="minorEastAsia"/>
              <w:sz w:val="21"/>
              <w:szCs w:val="22"/>
            </w:rPr>
          </w:pPr>
          <w:r>
            <w:fldChar w:fldCharType="begin"/>
          </w:r>
          <w:r>
            <w:instrText xml:space="preserve"> HYPERLINK \l "_Toc161222827" </w:instrText>
          </w:r>
          <w:r>
            <w:fldChar w:fldCharType="separate"/>
          </w:r>
          <w:r>
            <w:rPr>
              <w:rStyle w:val="21"/>
              <w:rFonts w:ascii="Times New Roman" w:hAnsi="Times New Roman"/>
            </w:rPr>
            <w:t>七、 附件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_Toc161222827 \h </w:instrText>
          </w:r>
          <w:r>
            <w:rPr>
              <w:rFonts w:ascii="Times New Roman" w:hAnsi="Times New Roman"/>
            </w:rPr>
            <w:fldChar w:fldCharType="separate"/>
          </w:r>
          <w:r>
            <w:rPr>
              <w:rFonts w:ascii="Times New Roman" w:hAnsi="Times New Roman"/>
            </w:rPr>
            <w:t>22</w:t>
          </w:r>
          <w:r>
            <w:rPr>
              <w:rFonts w:ascii="Times New Roman" w:hAnsi="Times New Roman"/>
            </w:rPr>
            <w:fldChar w:fldCharType="end"/>
          </w:r>
          <w:r>
            <w:rPr>
              <w:rFonts w:ascii="Times New Roman" w:hAnsi="Times New Roman"/>
            </w:rPr>
            <w:fldChar w:fldCharType="end"/>
          </w:r>
        </w:p>
        <w:p>
          <w:pPr>
            <w:pStyle w:val="13"/>
            <w:adjustRightInd w:val="0"/>
            <w:snapToGrid w:val="0"/>
            <w:rPr>
              <w:rFonts w:ascii="Times New Roman" w:hAnsi="Times New Roman" w:eastAsiaTheme="minorEastAsia"/>
              <w:sz w:val="21"/>
              <w:szCs w:val="22"/>
            </w:rPr>
          </w:pPr>
          <w:r>
            <w:fldChar w:fldCharType="begin"/>
          </w:r>
          <w:r>
            <w:instrText xml:space="preserve"> HYPERLINK \l "_Toc161222828" </w:instrText>
          </w:r>
          <w:r>
            <w:fldChar w:fldCharType="separate"/>
          </w:r>
          <w:r>
            <w:rPr>
              <w:rStyle w:val="21"/>
              <w:rFonts w:ascii="Times New Roman" w:hAnsi="Times New Roman"/>
            </w:rPr>
            <w:t>1.青阳县杨田镇片区（编号CZQY341723-2024-1）基本情况表</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_Toc161222828 \h </w:instrText>
          </w:r>
          <w:r>
            <w:rPr>
              <w:rFonts w:ascii="Times New Roman" w:hAnsi="Times New Roman"/>
            </w:rPr>
            <w:fldChar w:fldCharType="separate"/>
          </w:r>
          <w:r>
            <w:rPr>
              <w:rFonts w:ascii="Times New Roman" w:hAnsi="Times New Roman"/>
            </w:rPr>
            <w:t>22</w:t>
          </w:r>
          <w:r>
            <w:rPr>
              <w:rFonts w:ascii="Times New Roman" w:hAnsi="Times New Roman"/>
            </w:rPr>
            <w:fldChar w:fldCharType="end"/>
          </w:r>
          <w:r>
            <w:rPr>
              <w:rFonts w:ascii="Times New Roman" w:hAnsi="Times New Roman"/>
            </w:rPr>
            <w:fldChar w:fldCharType="end"/>
          </w:r>
        </w:p>
        <w:p>
          <w:pPr>
            <w:pStyle w:val="13"/>
            <w:adjustRightInd w:val="0"/>
            <w:snapToGrid w:val="0"/>
            <w:rPr>
              <w:rFonts w:ascii="Times New Roman" w:hAnsi="Times New Roman" w:eastAsiaTheme="minorEastAsia"/>
              <w:sz w:val="21"/>
              <w:szCs w:val="22"/>
            </w:rPr>
          </w:pPr>
          <w:r>
            <w:fldChar w:fldCharType="begin"/>
          </w:r>
          <w:r>
            <w:instrText xml:space="preserve"> HYPERLINK \l "_Toc161222829" </w:instrText>
          </w:r>
          <w:r>
            <w:fldChar w:fldCharType="separate"/>
          </w:r>
          <w:r>
            <w:rPr>
              <w:rStyle w:val="21"/>
              <w:rFonts w:ascii="Times New Roman" w:hAnsi="Times New Roman"/>
            </w:rPr>
            <w:t>2.青阳县杨田镇片区（编号CZQY341723-2024-1）位置图</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_Toc161222829 \h </w:instrText>
          </w:r>
          <w:r>
            <w:rPr>
              <w:rFonts w:ascii="Times New Roman" w:hAnsi="Times New Roman"/>
            </w:rPr>
            <w:fldChar w:fldCharType="separate"/>
          </w:r>
          <w:r>
            <w:rPr>
              <w:rFonts w:ascii="Times New Roman" w:hAnsi="Times New Roman"/>
            </w:rPr>
            <w:t>24</w:t>
          </w:r>
          <w:r>
            <w:rPr>
              <w:rFonts w:ascii="Times New Roman" w:hAnsi="Times New Roman"/>
            </w:rPr>
            <w:fldChar w:fldCharType="end"/>
          </w:r>
          <w:r>
            <w:rPr>
              <w:rFonts w:ascii="Times New Roman" w:hAnsi="Times New Roman"/>
            </w:rPr>
            <w:fldChar w:fldCharType="end"/>
          </w:r>
        </w:p>
        <w:p>
          <w:pPr>
            <w:pStyle w:val="13"/>
            <w:adjustRightInd w:val="0"/>
            <w:snapToGrid w:val="0"/>
            <w:rPr>
              <w:rFonts w:ascii="Times New Roman" w:hAnsi="Times New Roman" w:eastAsiaTheme="minorEastAsia"/>
              <w:sz w:val="21"/>
              <w:szCs w:val="22"/>
            </w:rPr>
          </w:pPr>
          <w:r>
            <w:fldChar w:fldCharType="begin"/>
          </w:r>
          <w:r>
            <w:instrText xml:space="preserve"> HYPERLINK \l "_Toc161222830" </w:instrText>
          </w:r>
          <w:r>
            <w:fldChar w:fldCharType="separate"/>
          </w:r>
          <w:r>
            <w:rPr>
              <w:rStyle w:val="21"/>
              <w:rFonts w:ascii="Times New Roman" w:hAnsi="Times New Roman"/>
            </w:rPr>
            <w:t>3.青阳县杨田镇片区（编号CZQY341723-2024-1）分区规划图</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_Toc161222830 \h </w:instrText>
          </w:r>
          <w:r>
            <w:rPr>
              <w:rFonts w:ascii="Times New Roman" w:hAnsi="Times New Roman"/>
            </w:rPr>
            <w:fldChar w:fldCharType="separate"/>
          </w:r>
          <w:r>
            <w:rPr>
              <w:rFonts w:ascii="Times New Roman" w:hAnsi="Times New Roman"/>
            </w:rPr>
            <w:t>26</w:t>
          </w:r>
          <w:r>
            <w:rPr>
              <w:rFonts w:ascii="Times New Roman" w:hAnsi="Times New Roman"/>
            </w:rPr>
            <w:fldChar w:fldCharType="end"/>
          </w:r>
          <w:r>
            <w:rPr>
              <w:rFonts w:ascii="Times New Roman" w:hAnsi="Times New Roman"/>
            </w:rPr>
            <w:fldChar w:fldCharType="end"/>
          </w:r>
        </w:p>
        <w:p>
          <w:pPr>
            <w:pStyle w:val="13"/>
            <w:adjustRightInd w:val="0"/>
            <w:snapToGrid w:val="0"/>
            <w:rPr>
              <w:rFonts w:ascii="Times New Roman" w:hAnsi="Times New Roman" w:eastAsiaTheme="minorEastAsia"/>
              <w:sz w:val="21"/>
              <w:szCs w:val="22"/>
            </w:rPr>
          </w:pPr>
          <w:r>
            <w:fldChar w:fldCharType="begin"/>
          </w:r>
          <w:r>
            <w:instrText xml:space="preserve"> HYPERLINK \l "_Toc161222831" </w:instrText>
          </w:r>
          <w:r>
            <w:fldChar w:fldCharType="separate"/>
          </w:r>
          <w:r>
            <w:rPr>
              <w:rStyle w:val="21"/>
              <w:rFonts w:ascii="Times New Roman" w:hAnsi="Times New Roman"/>
            </w:rPr>
            <w:t>4.青阳县杨田镇片区（编号CZQY341723-2024-1）用地规划图</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fldChar w:fldCharType="begin"/>
          </w:r>
          <w:r>
            <w:rPr>
              <w:rFonts w:ascii="Times New Roman" w:hAnsi="Times New Roman"/>
            </w:rPr>
            <w:instrText xml:space="preserve"> PAGEREF _Toc161222831 \h </w:instrText>
          </w:r>
          <w:r>
            <w:rPr>
              <w:rFonts w:ascii="Times New Roman" w:hAnsi="Times New Roman"/>
            </w:rPr>
            <w:fldChar w:fldCharType="separate"/>
          </w:r>
          <w:r>
            <w:rPr>
              <w:rFonts w:ascii="Times New Roman" w:hAnsi="Times New Roman"/>
            </w:rPr>
            <w:t>28</w:t>
          </w:r>
          <w:r>
            <w:rPr>
              <w:rFonts w:ascii="Times New Roman" w:hAnsi="Times New Roman"/>
            </w:rPr>
            <w:fldChar w:fldCharType="end"/>
          </w:r>
          <w:r>
            <w:rPr>
              <w:rFonts w:ascii="Times New Roman" w:hAnsi="Times New Roman"/>
            </w:rPr>
            <w:fldChar w:fldCharType="end"/>
          </w:r>
        </w:p>
        <w:p>
          <w:pPr>
            <w:adjustRightInd w:val="0"/>
            <w:snapToGrid w:val="0"/>
            <w:ind w:firstLine="0" w:firstLineChars="0"/>
            <w:rPr>
              <w:rFonts w:ascii="Times New Roman" w:hAnsi="Times New Roman"/>
              <w:b/>
              <w:bCs/>
              <w:lang w:val="zh-CN"/>
            </w:rPr>
          </w:pPr>
          <w:r>
            <w:rPr>
              <w:rFonts w:ascii="Times New Roman" w:hAnsi="Times New Roman"/>
              <w:b/>
              <w:bCs/>
              <w:sz w:val="22"/>
              <w:lang w:val="zh-CN"/>
            </w:rPr>
            <w:fldChar w:fldCharType="end"/>
          </w:r>
        </w:p>
      </w:sdtContent>
    </w:sdt>
    <w:p>
      <w:pPr>
        <w:adjustRightInd w:val="0"/>
        <w:snapToGrid w:val="0"/>
        <w:ind w:firstLine="0" w:firstLineChars="0"/>
        <w:rPr>
          <w:rFonts w:ascii="Times New Roman" w:hAnsi="Times New Roman"/>
          <w:sz w:val="32"/>
          <w:szCs w:val="32"/>
        </w:rPr>
      </w:pPr>
    </w:p>
    <w:p>
      <w:pPr>
        <w:ind w:firstLine="0" w:firstLineChars="0"/>
        <w:rPr>
          <w:rFonts w:ascii="Times New Roman" w:hAnsi="Times New Roman" w:eastAsia="黑体"/>
          <w:sz w:val="32"/>
          <w:szCs w:val="32"/>
        </w:rPr>
        <w:sectPr>
          <w:pgSz w:w="11906" w:h="16838"/>
          <w:pgMar w:top="1440" w:right="1800" w:bottom="1440" w:left="1800" w:header="851" w:footer="992" w:gutter="0"/>
          <w:cols w:space="720" w:num="1"/>
          <w:docGrid w:type="lines" w:linePitch="312" w:charSpace="0"/>
        </w:sectPr>
      </w:pPr>
    </w:p>
    <w:p>
      <w:pPr>
        <w:ind w:firstLine="560"/>
        <w:rPr>
          <w:rFonts w:ascii="Times New Roman" w:hAnsi="Times New Roman"/>
        </w:rPr>
      </w:pPr>
      <w:r>
        <w:rPr>
          <w:rFonts w:ascii="Times New Roman" w:hAnsi="Times New Roman"/>
        </w:rPr>
        <w:t>根据《中华人民共和国土地管理法》</w:t>
      </w:r>
      <w:r>
        <w:rPr>
          <w:rFonts w:hint="eastAsia" w:ascii="Times New Roman" w:hAnsi="Times New Roman"/>
          <w:lang w:eastAsia="zh-CN"/>
        </w:rPr>
        <w:t>《自然资源部关于印发</w:t>
      </w:r>
      <w:r>
        <w:rPr>
          <w:rFonts w:hint="eastAsia" w:ascii="Times New Roman" w:hAnsi="Times New Roman"/>
          <w:lang w:val="en-US" w:eastAsia="zh-CN"/>
        </w:rPr>
        <w:t>&lt;土地征收成片开发标准&gt;的通知</w:t>
      </w:r>
      <w:r>
        <w:rPr>
          <w:rFonts w:hint="eastAsia" w:ascii="Times New Roman" w:hAnsi="Times New Roman"/>
          <w:lang w:eastAsia="zh-CN"/>
        </w:rPr>
        <w:t>》（自然资规</w:t>
      </w:r>
      <w:r>
        <w:rPr>
          <w:rFonts w:hint="eastAsia" w:ascii="Times New Roman" w:hAnsi="Times New Roman"/>
        </w:rPr>
        <w:t>〔202</w:t>
      </w:r>
      <w:r>
        <w:rPr>
          <w:rFonts w:hint="eastAsia" w:ascii="Times New Roman" w:hAnsi="Times New Roman"/>
          <w:lang w:val="en-US" w:eastAsia="zh-CN"/>
        </w:rPr>
        <w:t>3</w:t>
      </w:r>
      <w:r>
        <w:rPr>
          <w:rFonts w:hint="eastAsia" w:ascii="Times New Roman" w:hAnsi="Times New Roman"/>
        </w:rPr>
        <w:t>〕</w:t>
      </w:r>
      <w:r>
        <w:rPr>
          <w:rFonts w:hint="eastAsia" w:ascii="Times New Roman" w:hAnsi="Times New Roman"/>
          <w:lang w:val="en-US" w:eastAsia="zh-CN"/>
        </w:rPr>
        <w:t>7号</w:t>
      </w:r>
      <w:r>
        <w:rPr>
          <w:rFonts w:hint="eastAsia" w:ascii="Times New Roman" w:hAnsi="Times New Roman"/>
          <w:lang w:eastAsia="zh-CN"/>
        </w:rPr>
        <w:t>）</w:t>
      </w:r>
      <w:r>
        <w:rPr>
          <w:rFonts w:ascii="Times New Roman" w:hAnsi="Times New Roman"/>
        </w:rPr>
        <w:t>《安徽省土地征收成片开发标准实施细则》（皖自然资规〔2021〕4号）的有关规定，青阳县人民政府组织编制了《青阳县杨田镇片区土地征收成片开发方案》（编号：CZQY341723-2024-1），具体内容如下。</w:t>
      </w:r>
    </w:p>
    <w:p>
      <w:pPr>
        <w:pStyle w:val="2"/>
        <w:jc w:val="both"/>
        <w:rPr>
          <w:rFonts w:ascii="Times New Roman" w:hAnsi="Times New Roman" w:eastAsia="仿宋" w:cs="Times New Roman"/>
          <w:color w:val="000000"/>
        </w:rPr>
      </w:pPr>
      <w:bookmarkStart w:id="0" w:name="_Toc161222806"/>
      <w:r>
        <w:rPr>
          <w:rFonts w:ascii="Times New Roman" w:hAnsi="Times New Roman" w:cs="Times New Roman"/>
        </w:rPr>
        <w:t>成片开发的位置、面积、范围和基础设施条件</w:t>
      </w:r>
      <w:bookmarkEnd w:id="0"/>
    </w:p>
    <w:p>
      <w:pPr>
        <w:pStyle w:val="3"/>
        <w:rPr>
          <w:rFonts w:ascii="Times New Roman" w:hAnsi="Times New Roman"/>
        </w:rPr>
      </w:pPr>
      <w:bookmarkStart w:id="1" w:name="_Toc161222807"/>
      <w:r>
        <w:rPr>
          <w:rFonts w:ascii="Times New Roman" w:hAnsi="Times New Roman"/>
        </w:rPr>
        <w:t>片区位置、面积、范围</w:t>
      </w:r>
      <w:bookmarkEnd w:id="1"/>
    </w:p>
    <w:p>
      <w:pPr>
        <w:ind w:firstLine="560"/>
        <w:rPr>
          <w:rFonts w:ascii="Times New Roman" w:hAnsi="Times New Roman"/>
        </w:rPr>
      </w:pPr>
      <w:r>
        <w:rPr>
          <w:rFonts w:ascii="Times New Roman" w:hAnsi="Times New Roman"/>
        </w:rPr>
        <w:t>本片区位于青阳县杨田镇西北部，东至G330国道，南至杨田中学，西至黄泥路，北至青阳县飞越电器厂；涉及杨田镇杨田村、仙梅村、黄泥村，总面积41.6486公顷。根据青阳县2022年国土变更调查数据，成片开发范围内农用地3.0741公顷，建设用地38.5745公顷，未利用地0公顷（详见附表1），拟征收土地面积9.3230公顷。</w:t>
      </w:r>
    </w:p>
    <w:p>
      <w:pPr>
        <w:ind w:firstLine="560"/>
        <w:rPr>
          <w:rFonts w:ascii="Times New Roman" w:hAnsi="Times New Roman"/>
        </w:rPr>
      </w:pPr>
      <w:r>
        <w:rPr>
          <w:rFonts w:ascii="Times New Roman" w:hAnsi="Times New Roman"/>
        </w:rPr>
        <w:t>本片区涉及杨田镇仙梅村面积30.4719公顷，拟征收其中土地面积9.3230公顷；杨田镇杨田村面积8.4534公顷，拟征收其中土地面积0公顷；杨田镇黄泥村面积2.7233公顷，拟征收其中土地面积0公顷。</w:t>
      </w:r>
    </w:p>
    <w:p>
      <w:pPr>
        <w:ind w:firstLine="640"/>
        <w:rPr>
          <w:rFonts w:ascii="Times New Roman" w:hAnsi="Times New Roman"/>
          <w:color w:val="000000" w:themeColor="text1"/>
          <w:sz w:val="32"/>
          <w:szCs w:val="32"/>
          <w14:textFill>
            <w14:solidFill>
              <w14:schemeClr w14:val="tx1"/>
            </w14:solidFill>
          </w14:textFill>
        </w:rPr>
      </w:pPr>
    </w:p>
    <w:tbl>
      <w:tblPr>
        <w:tblStyle w:val="17"/>
        <w:tblpPr w:leftFromText="180" w:rightFromText="180" w:vertAnchor="text" w:horzAnchor="margin" w:tblpY="3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1" w:hRule="atLeast"/>
        </w:trPr>
        <w:tc>
          <w:tcPr>
            <w:tcW w:w="5000" w:type="pct"/>
          </w:tcPr>
          <w:p>
            <w:pPr>
              <w:keepNext/>
              <w:widowControl/>
              <w:adjustRightInd w:val="0"/>
              <w:snapToGrid w:val="0"/>
              <w:spacing w:line="240" w:lineRule="auto"/>
              <w:ind w:firstLine="0" w:firstLineChars="0"/>
              <w:jc w:val="center"/>
              <w:rPr>
                <w:rFonts w:ascii="Times New Roman" w:hAnsi="Times New Roman"/>
              </w:rPr>
            </w:pPr>
            <w:r>
              <w:rPr>
                <w:rFonts w:ascii="Times New Roman" w:hAnsi="Times New Roman"/>
              </w:rPr>
              <w:drawing>
                <wp:inline distT="0" distB="0" distL="0" distR="0">
                  <wp:extent cx="5219700" cy="3599815"/>
                  <wp:effectExtent l="0" t="0" r="0" b="635"/>
                  <wp:docPr id="22" name="图片 22" descr="E:\倪田品\2.成片开发\6.杨田\2024-1-8\图件2024-1-30\宏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E:\倪田品\2.成片开发\6.杨田\2024-1-8\图件2024-1-30\宏观.jpg"/>
                          <pic:cNvPicPr>
                            <a:picLocks noChangeAspect="1" noChangeArrowheads="1"/>
                          </pic:cNvPicPr>
                        </pic:nvPicPr>
                        <pic:blipFill>
                          <a:blip r:embed="rId13" cstate="print">
                            <a:extLst>
                              <a:ext uri="{28A0092B-C50C-407E-A947-70E740481C1C}">
                                <a14:useLocalDpi xmlns:a14="http://schemas.microsoft.com/office/drawing/2010/main" val="0"/>
                              </a:ext>
                            </a:extLst>
                          </a:blip>
                          <a:srcRect l="2656" t="3755" r="2188" b="3493"/>
                          <a:stretch>
                            <a:fillRect/>
                          </a:stretch>
                        </pic:blipFill>
                        <pic:spPr>
                          <a:xfrm>
                            <a:off x="0" y="0"/>
                            <a:ext cx="5220001" cy="3600000"/>
                          </a:xfrm>
                          <a:prstGeom prst="rect">
                            <a:avLst/>
                          </a:prstGeom>
                          <a:noFill/>
                          <a:ln>
                            <a:noFill/>
                          </a:ln>
                        </pic:spPr>
                      </pic:pic>
                    </a:graphicData>
                  </a:graphic>
                </wp:inline>
              </w:drawing>
            </w:r>
          </w:p>
          <w:p>
            <w:pPr>
              <w:pStyle w:val="5"/>
              <w:ind w:firstLine="0" w:firstLineChars="0"/>
              <w:jc w:val="center"/>
              <w:rPr>
                <w:rFonts w:ascii="Times New Roman" w:hAnsi="Times New Roman"/>
                <w:bCs/>
                <w:color w:val="000000" w:themeColor="text1"/>
                <w:sz w:val="24"/>
                <w:highlight w:val="yellow"/>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 xml:space="preserve">图 </w:t>
            </w:r>
            <w:r>
              <w:rPr>
                <w:rFonts w:ascii="Times New Roman" w:hAnsi="Times New Roman"/>
                <w:bCs/>
                <w:color w:val="000000" w:themeColor="text1"/>
                <w:sz w:val="24"/>
                <w:szCs w:val="24"/>
                <w14:textFill>
                  <w14:solidFill>
                    <w14:schemeClr w14:val="tx1"/>
                  </w14:solidFill>
                </w14:textFill>
              </w:rPr>
              <w:fldChar w:fldCharType="begin"/>
            </w:r>
            <w:r>
              <w:rPr>
                <w:rFonts w:ascii="Times New Roman" w:hAnsi="Times New Roman"/>
                <w:bCs/>
                <w:color w:val="000000" w:themeColor="text1"/>
                <w:sz w:val="24"/>
                <w:szCs w:val="24"/>
                <w14:textFill>
                  <w14:solidFill>
                    <w14:schemeClr w14:val="tx1"/>
                  </w14:solidFill>
                </w14:textFill>
              </w:rPr>
              <w:instrText xml:space="preserve"> SEQ 图 \* ARABIC </w:instrText>
            </w:r>
            <w:r>
              <w:rPr>
                <w:rFonts w:ascii="Times New Roman" w:hAnsi="Times New Roman"/>
                <w:bCs/>
                <w:color w:val="000000" w:themeColor="text1"/>
                <w:sz w:val="24"/>
                <w:szCs w:val="24"/>
                <w14:textFill>
                  <w14:solidFill>
                    <w14:schemeClr w14:val="tx1"/>
                  </w14:solidFill>
                </w14:textFill>
              </w:rPr>
              <w:fldChar w:fldCharType="separate"/>
            </w:r>
            <w:r>
              <w:rPr>
                <w:rFonts w:ascii="Times New Roman" w:hAnsi="Times New Roman"/>
                <w:bCs/>
                <w:color w:val="000000" w:themeColor="text1"/>
                <w:sz w:val="24"/>
                <w:szCs w:val="24"/>
                <w14:textFill>
                  <w14:solidFill>
                    <w14:schemeClr w14:val="tx1"/>
                  </w14:solidFill>
                </w14:textFill>
              </w:rPr>
              <w:t>1</w:t>
            </w:r>
            <w:r>
              <w:rPr>
                <w:rFonts w:ascii="Times New Roman" w:hAnsi="Times New Roman"/>
                <w:bCs/>
                <w:color w:val="000000" w:themeColor="text1"/>
                <w:sz w:val="24"/>
                <w:szCs w:val="24"/>
                <w14:textFill>
                  <w14:solidFill>
                    <w14:schemeClr w14:val="tx1"/>
                  </w14:solidFill>
                </w14:textFill>
              </w:rPr>
              <w:fldChar w:fldCharType="end"/>
            </w:r>
            <w:r>
              <w:rPr>
                <w:rFonts w:ascii="Times New Roman" w:hAnsi="Times New Roman"/>
                <w:bCs/>
                <w:color w:val="000000" w:themeColor="text1"/>
                <w:sz w:val="24"/>
                <w:szCs w:val="24"/>
                <w14:textFill>
                  <w14:solidFill>
                    <w14:schemeClr w14:val="tx1"/>
                  </w14:solidFill>
                </w14:textFill>
              </w:rPr>
              <w:t>成片开发方案范围位置图——宏观</w:t>
            </w:r>
          </w:p>
        </w:tc>
      </w:tr>
    </w:tbl>
    <w:tbl>
      <w:tblPr>
        <w:tblStyle w:val="1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9" w:hRule="atLeast"/>
        </w:trPr>
        <w:tc>
          <w:tcPr>
            <w:tcW w:w="5000" w:type="pct"/>
          </w:tcPr>
          <w:p>
            <w:pPr>
              <w:keepNext/>
              <w:widowControl/>
              <w:adjustRightInd w:val="0"/>
              <w:snapToGrid w:val="0"/>
              <w:spacing w:line="240" w:lineRule="auto"/>
              <w:ind w:firstLine="0" w:firstLineChars="0"/>
              <w:jc w:val="center"/>
              <w:rPr>
                <w:rFonts w:ascii="Times New Roman" w:hAnsi="Times New Roman"/>
              </w:rPr>
            </w:pPr>
            <w:r>
              <w:rPr>
                <w:rFonts w:ascii="Times New Roman" w:hAnsi="Times New Roman"/>
              </w:rPr>
              <w:drawing>
                <wp:inline distT="0" distB="0" distL="0" distR="0">
                  <wp:extent cx="5257165" cy="3599815"/>
                  <wp:effectExtent l="0" t="0" r="635" b="635"/>
                  <wp:docPr id="13" name="图片 13" descr="E:\倪田品\2.成片开发\6.杨田\2024-1-8\图件2024-1-30\微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E:\倪田品\2.成片开发\6.杨田\2024-1-8\图件2024-1-30\微观.jpg"/>
                          <pic:cNvPicPr>
                            <a:picLocks noChangeAspect="1" noChangeArrowheads="1"/>
                          </pic:cNvPicPr>
                        </pic:nvPicPr>
                        <pic:blipFill>
                          <a:blip r:embed="rId14" cstate="print">
                            <a:extLst>
                              <a:ext uri="{28A0092B-C50C-407E-A947-70E740481C1C}">
                                <a14:useLocalDpi xmlns:a14="http://schemas.microsoft.com/office/drawing/2010/main" val="0"/>
                              </a:ext>
                            </a:extLst>
                          </a:blip>
                          <a:srcRect l="2656" t="3754" r="2188" b="4156"/>
                          <a:stretch>
                            <a:fillRect/>
                          </a:stretch>
                        </pic:blipFill>
                        <pic:spPr>
                          <a:xfrm>
                            <a:off x="0" y="0"/>
                            <a:ext cx="5257553" cy="3600000"/>
                          </a:xfrm>
                          <a:prstGeom prst="rect">
                            <a:avLst/>
                          </a:prstGeom>
                          <a:noFill/>
                          <a:ln>
                            <a:noFill/>
                          </a:ln>
                        </pic:spPr>
                      </pic:pic>
                    </a:graphicData>
                  </a:graphic>
                </wp:inline>
              </w:drawing>
            </w:r>
          </w:p>
          <w:p>
            <w:pPr>
              <w:pStyle w:val="5"/>
              <w:ind w:firstLine="0" w:firstLineChars="0"/>
              <w:jc w:val="center"/>
              <w:rPr>
                <w:rFonts w:ascii="Times New Roman" w:hAnsi="Times New Roman"/>
                <w:bCs/>
                <w:color w:val="000000" w:themeColor="text1"/>
                <w:sz w:val="24"/>
                <w:highlight w:val="yellow"/>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 xml:space="preserve">图 </w:t>
            </w:r>
            <w:r>
              <w:rPr>
                <w:rFonts w:ascii="Times New Roman" w:hAnsi="Times New Roman"/>
                <w:bCs/>
                <w:color w:val="000000" w:themeColor="text1"/>
                <w:sz w:val="24"/>
                <w:szCs w:val="24"/>
                <w14:textFill>
                  <w14:solidFill>
                    <w14:schemeClr w14:val="tx1"/>
                  </w14:solidFill>
                </w14:textFill>
              </w:rPr>
              <w:fldChar w:fldCharType="begin"/>
            </w:r>
            <w:r>
              <w:rPr>
                <w:rFonts w:ascii="Times New Roman" w:hAnsi="Times New Roman"/>
                <w:bCs/>
                <w:color w:val="000000" w:themeColor="text1"/>
                <w:sz w:val="24"/>
                <w:szCs w:val="24"/>
                <w14:textFill>
                  <w14:solidFill>
                    <w14:schemeClr w14:val="tx1"/>
                  </w14:solidFill>
                </w14:textFill>
              </w:rPr>
              <w:instrText xml:space="preserve"> SEQ 图 \* ARABIC </w:instrText>
            </w:r>
            <w:r>
              <w:rPr>
                <w:rFonts w:ascii="Times New Roman" w:hAnsi="Times New Roman"/>
                <w:bCs/>
                <w:color w:val="000000" w:themeColor="text1"/>
                <w:sz w:val="24"/>
                <w:szCs w:val="24"/>
                <w14:textFill>
                  <w14:solidFill>
                    <w14:schemeClr w14:val="tx1"/>
                  </w14:solidFill>
                </w14:textFill>
              </w:rPr>
              <w:fldChar w:fldCharType="separate"/>
            </w:r>
            <w:r>
              <w:rPr>
                <w:rFonts w:ascii="Times New Roman" w:hAnsi="Times New Roman"/>
                <w:bCs/>
                <w:color w:val="000000" w:themeColor="text1"/>
                <w:sz w:val="24"/>
                <w:szCs w:val="24"/>
                <w14:textFill>
                  <w14:solidFill>
                    <w14:schemeClr w14:val="tx1"/>
                  </w14:solidFill>
                </w14:textFill>
              </w:rPr>
              <w:t>2</w:t>
            </w:r>
            <w:r>
              <w:rPr>
                <w:rFonts w:ascii="Times New Roman" w:hAnsi="Times New Roman"/>
                <w:bCs/>
                <w:color w:val="000000" w:themeColor="text1"/>
                <w:sz w:val="24"/>
                <w:szCs w:val="24"/>
                <w14:textFill>
                  <w14:solidFill>
                    <w14:schemeClr w14:val="tx1"/>
                  </w14:solidFill>
                </w14:textFill>
              </w:rPr>
              <w:fldChar w:fldCharType="end"/>
            </w:r>
            <w:r>
              <w:rPr>
                <w:rFonts w:ascii="Times New Roman" w:hAnsi="Times New Roman"/>
                <w:bCs/>
                <w:color w:val="000000" w:themeColor="text1"/>
                <w:sz w:val="24"/>
                <w:szCs w:val="24"/>
                <w14:textFill>
                  <w14:solidFill>
                    <w14:schemeClr w14:val="tx1"/>
                  </w14:solidFill>
                </w14:textFill>
              </w:rPr>
              <w:t>成片开发方案范围位置图——微观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8" w:hRule="atLeast"/>
        </w:trPr>
        <w:tc>
          <w:tcPr>
            <w:tcW w:w="5000" w:type="pct"/>
          </w:tcPr>
          <w:p>
            <w:pPr>
              <w:keepNext/>
              <w:widowControl/>
              <w:spacing w:line="240" w:lineRule="auto"/>
              <w:ind w:firstLine="0" w:firstLineChars="0"/>
              <w:jc w:val="center"/>
              <w:rPr>
                <w:rFonts w:ascii="Times New Roman" w:hAnsi="Times New Roman"/>
              </w:rPr>
            </w:pPr>
            <w:r>
              <w:rPr>
                <w:rFonts w:ascii="Times New Roman" w:hAnsi="Times New Roman"/>
              </w:rPr>
              <w:drawing>
                <wp:inline distT="0" distB="0" distL="0" distR="0">
                  <wp:extent cx="5290185" cy="3599815"/>
                  <wp:effectExtent l="0" t="0" r="5715" b="635"/>
                  <wp:docPr id="12" name="图片 12" descr="E:\倪田品\2.成片开发\6.杨田\2024-1-8\图件2024-1-30\地类现状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E:\倪田品\2.成片开发\6.杨田\2024-1-8\图件2024-1-30\地类现状图.jpg"/>
                          <pic:cNvPicPr>
                            <a:picLocks noChangeAspect="1" noChangeArrowheads="1"/>
                          </pic:cNvPicPr>
                        </pic:nvPicPr>
                        <pic:blipFill>
                          <a:blip r:embed="rId15" cstate="print">
                            <a:extLst>
                              <a:ext uri="{28A0092B-C50C-407E-A947-70E740481C1C}">
                                <a14:useLocalDpi xmlns:a14="http://schemas.microsoft.com/office/drawing/2010/main" val="0"/>
                              </a:ext>
                            </a:extLst>
                          </a:blip>
                          <a:srcRect l="2699" t="3815" r="1259" b="3815"/>
                          <a:stretch>
                            <a:fillRect/>
                          </a:stretch>
                        </pic:blipFill>
                        <pic:spPr>
                          <a:xfrm>
                            <a:off x="0" y="0"/>
                            <a:ext cx="5290435" cy="3600000"/>
                          </a:xfrm>
                          <a:prstGeom prst="rect">
                            <a:avLst/>
                          </a:prstGeom>
                          <a:noFill/>
                          <a:ln>
                            <a:noFill/>
                          </a:ln>
                        </pic:spPr>
                      </pic:pic>
                    </a:graphicData>
                  </a:graphic>
                </wp:inline>
              </w:drawing>
            </w:r>
          </w:p>
          <w:p>
            <w:pPr>
              <w:pStyle w:val="5"/>
              <w:ind w:firstLine="0" w:firstLineChars="0"/>
              <w:jc w:val="center"/>
              <w:rPr>
                <w:rFonts w:ascii="Times New Roman" w:hAnsi="Times New Roman"/>
                <w:bCs/>
                <w:color w:val="000000" w:themeColor="text1"/>
                <w:sz w:val="24"/>
                <w:highlight w:val="yellow"/>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 xml:space="preserve">图 </w:t>
            </w:r>
            <w:r>
              <w:rPr>
                <w:rFonts w:ascii="Times New Roman" w:hAnsi="Times New Roman"/>
                <w:bCs/>
                <w:color w:val="000000" w:themeColor="text1"/>
                <w:sz w:val="24"/>
                <w:szCs w:val="24"/>
                <w14:textFill>
                  <w14:solidFill>
                    <w14:schemeClr w14:val="tx1"/>
                  </w14:solidFill>
                </w14:textFill>
              </w:rPr>
              <w:fldChar w:fldCharType="begin"/>
            </w:r>
            <w:r>
              <w:rPr>
                <w:rFonts w:ascii="Times New Roman" w:hAnsi="Times New Roman"/>
                <w:bCs/>
                <w:color w:val="000000" w:themeColor="text1"/>
                <w:sz w:val="24"/>
                <w:szCs w:val="24"/>
                <w14:textFill>
                  <w14:solidFill>
                    <w14:schemeClr w14:val="tx1"/>
                  </w14:solidFill>
                </w14:textFill>
              </w:rPr>
              <w:instrText xml:space="preserve"> SEQ 图 \* ARABIC </w:instrText>
            </w:r>
            <w:r>
              <w:rPr>
                <w:rFonts w:ascii="Times New Roman" w:hAnsi="Times New Roman"/>
                <w:bCs/>
                <w:color w:val="000000" w:themeColor="text1"/>
                <w:sz w:val="24"/>
                <w:szCs w:val="24"/>
                <w14:textFill>
                  <w14:solidFill>
                    <w14:schemeClr w14:val="tx1"/>
                  </w14:solidFill>
                </w14:textFill>
              </w:rPr>
              <w:fldChar w:fldCharType="separate"/>
            </w:r>
            <w:r>
              <w:rPr>
                <w:rFonts w:ascii="Times New Roman" w:hAnsi="Times New Roman"/>
                <w:bCs/>
                <w:color w:val="000000" w:themeColor="text1"/>
                <w:sz w:val="24"/>
                <w:szCs w:val="24"/>
                <w14:textFill>
                  <w14:solidFill>
                    <w14:schemeClr w14:val="tx1"/>
                  </w14:solidFill>
                </w14:textFill>
              </w:rPr>
              <w:t>3</w:t>
            </w:r>
            <w:r>
              <w:rPr>
                <w:rFonts w:ascii="Times New Roman" w:hAnsi="Times New Roman"/>
                <w:bCs/>
                <w:color w:val="000000" w:themeColor="text1"/>
                <w:sz w:val="24"/>
                <w:szCs w:val="24"/>
                <w14:textFill>
                  <w14:solidFill>
                    <w14:schemeClr w14:val="tx1"/>
                  </w14:solidFill>
                </w14:textFill>
              </w:rPr>
              <w:fldChar w:fldCharType="end"/>
            </w:r>
            <w:r>
              <w:rPr>
                <w:rFonts w:ascii="Times New Roman" w:hAnsi="Times New Roman"/>
                <w:bCs/>
                <w:color w:val="000000" w:themeColor="text1"/>
                <w:sz w:val="24"/>
                <w:szCs w:val="24"/>
                <w14:textFill>
                  <w14:solidFill>
                    <w14:schemeClr w14:val="tx1"/>
                  </w14:solidFill>
                </w14:textFill>
              </w:rPr>
              <w:t>成片开发方案土地利用现状图</w:t>
            </w:r>
          </w:p>
        </w:tc>
      </w:tr>
    </w:tbl>
    <w:p>
      <w:pPr>
        <w:pStyle w:val="3"/>
        <w:rPr>
          <w:rFonts w:ascii="Times New Roman" w:hAnsi="Times New Roman"/>
        </w:rPr>
      </w:pPr>
      <w:bookmarkStart w:id="2" w:name="_Toc161222808"/>
      <w:r>
        <w:rPr>
          <w:rFonts w:ascii="Times New Roman" w:hAnsi="Times New Roman"/>
        </w:rPr>
        <w:t>基础设施条件</w:t>
      </w:r>
      <w:bookmarkEnd w:id="2"/>
    </w:p>
    <w:p>
      <w:pPr>
        <w:ind w:firstLine="560"/>
        <w:rPr>
          <w:rFonts w:ascii="Times New Roman" w:hAnsi="Times New Roman"/>
        </w:rPr>
      </w:pPr>
      <w:r>
        <w:rPr>
          <w:rFonts w:ascii="Times New Roman" w:hAnsi="Times New Roman"/>
        </w:rPr>
        <w:t>青阳县杨田镇片区的周边交通设施存在一定的基础，结合《青阳县杨田镇镇区控制性详细规划》，随着本区域建设的推进，基础设施建设能够支撑成片开发建设。</w:t>
      </w:r>
    </w:p>
    <w:p>
      <w:pPr>
        <w:ind w:firstLine="562"/>
        <w:rPr>
          <w:rFonts w:ascii="Times New Roman" w:hAnsi="Times New Roman"/>
          <w:b/>
        </w:rPr>
      </w:pPr>
      <w:r>
        <w:rPr>
          <w:rFonts w:ascii="Times New Roman" w:hAnsi="Times New Roman"/>
          <w:b/>
        </w:rPr>
        <w:t>（1）道路交通条件</w:t>
      </w:r>
    </w:p>
    <w:p>
      <w:pPr>
        <w:ind w:firstLine="560"/>
        <w:rPr>
          <w:rFonts w:ascii="Times New Roman" w:hAnsi="Times New Roman"/>
        </w:rPr>
      </w:pPr>
      <w:r>
        <w:rPr>
          <w:rFonts w:ascii="Times New Roman" w:hAnsi="Times New Roman"/>
        </w:rPr>
        <w:t>本片区综合交通网络主要由外部、内部交通两大系统构成。</w:t>
      </w:r>
    </w:p>
    <w:p>
      <w:pPr>
        <w:ind w:firstLine="562"/>
        <w:rPr>
          <w:rFonts w:ascii="Times New Roman" w:hAnsi="Times New Roman"/>
        </w:rPr>
      </w:pPr>
      <w:r>
        <w:rPr>
          <w:rFonts w:ascii="Times New Roman" w:hAnsi="Times New Roman"/>
          <w:b/>
        </w:rPr>
        <w:t>对外交通系统：</w:t>
      </w:r>
      <w:r>
        <w:rPr>
          <w:rFonts w:ascii="Times New Roman" w:hAnsi="Times New Roman"/>
        </w:rPr>
        <w:t>依托现状G330国道和S468省道（杨朱路）；</w:t>
      </w:r>
    </w:p>
    <w:p>
      <w:pPr>
        <w:ind w:firstLine="562"/>
        <w:rPr>
          <w:rFonts w:ascii="Times New Roman" w:hAnsi="Times New Roman"/>
        </w:rPr>
      </w:pPr>
      <w:r>
        <w:rPr>
          <w:rFonts w:ascii="Times New Roman" w:hAnsi="Times New Roman"/>
          <w:b/>
        </w:rPr>
        <w:t>内部交通系统：</w:t>
      </w:r>
      <w:r>
        <w:rPr>
          <w:rFonts w:ascii="Times New Roman" w:hAnsi="Times New Roman"/>
        </w:rPr>
        <w:t>包括双河路、梅旗路、上东路、滨河路、工业园内部路。本片区四至范围边界均为已建成道路，交通有保障。</w:t>
      </w:r>
    </w:p>
    <w:p>
      <w:pPr>
        <w:keepNext/>
        <w:ind w:firstLine="0" w:firstLineChars="0"/>
        <w:jc w:val="center"/>
        <w:rPr>
          <w:rFonts w:ascii="Times New Roman" w:hAnsi="Times New Roman"/>
        </w:rPr>
      </w:pPr>
      <w:r>
        <w:rPr>
          <w:rFonts w:ascii="Times New Roman" w:hAnsi="Times New Roman"/>
          <w:bCs/>
          <w:color w:val="000000" w:themeColor="text1"/>
          <w:sz w:val="24"/>
          <w14:textFill>
            <w14:solidFill>
              <w14:schemeClr w14:val="tx1"/>
            </w14:solidFill>
          </w14:textFill>
        </w:rPr>
        <w:drawing>
          <wp:anchor distT="0" distB="0" distL="114300" distR="114300" simplePos="0" relativeHeight="251660288" behindDoc="0" locked="0" layoutInCell="1" allowOverlap="1">
            <wp:simplePos x="0" y="0"/>
            <wp:positionH relativeFrom="column">
              <wp:posOffset>509905</wp:posOffset>
            </wp:positionH>
            <wp:positionV relativeFrom="paragraph">
              <wp:posOffset>36195</wp:posOffset>
            </wp:positionV>
            <wp:extent cx="3175000" cy="3394075"/>
            <wp:effectExtent l="0" t="0" r="0" b="0"/>
            <wp:wrapNone/>
            <wp:docPr id="1" name="图片 1" descr="C:\Users\Lenovo\Desktop\土地征收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Lenovo\Desktop\土地征收2.png"/>
                    <pic:cNvPicPr>
                      <a:picLocks noChangeAspect="1" noChangeArrowheads="1"/>
                    </pic:cNvPicPr>
                  </pic:nvPicPr>
                  <pic:blipFill>
                    <a:blip r:embed="rId16" cstate="print">
                      <a:extLst>
                        <a:ext uri="{28A0092B-C50C-407E-A947-70E740481C1C}">
                          <a14:useLocalDpi xmlns:a14="http://schemas.microsoft.com/office/drawing/2010/main" val="0"/>
                        </a:ext>
                      </a:extLst>
                    </a:blip>
                    <a:srcRect l="23424" r="23901"/>
                    <a:stretch>
                      <a:fillRect/>
                    </a:stretch>
                  </pic:blipFill>
                  <pic:spPr>
                    <a:xfrm>
                      <a:off x="0" y="0"/>
                      <a:ext cx="3176752" cy="3396343"/>
                    </a:xfrm>
                    <a:prstGeom prst="rect">
                      <a:avLst/>
                    </a:prstGeom>
                    <a:noFill/>
                    <a:ln>
                      <a:noFill/>
                    </a:ln>
                  </pic:spPr>
                </pic:pic>
              </a:graphicData>
            </a:graphic>
          </wp:anchor>
        </w:drawing>
      </w:r>
      <w:r>
        <w:rPr>
          <w:rFonts w:ascii="Times New Roman" w:hAnsi="Times New Roman"/>
        </w:rPr>
        <w:drawing>
          <wp:inline distT="0" distB="0" distL="0" distR="0">
            <wp:extent cx="5193030" cy="3705225"/>
            <wp:effectExtent l="0" t="0" r="7620" b="9525"/>
            <wp:docPr id="14" name="图片 14" descr="E:\倪田品\2.成片开发\6.杨田\2023-11-13\杨田控规2023-11-06\16 道路系统规划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E:\倪田品\2.成片开发\6.杨田\2023-11-13\杨田控规2023-11-06\16 道路系统规划图.jpg"/>
                    <pic:cNvPicPr>
                      <a:picLocks noChangeAspect="1" noChangeArrowheads="1"/>
                    </pic:cNvPicPr>
                  </pic:nvPicPr>
                  <pic:blipFill>
                    <a:blip r:embed="rId17" cstate="print">
                      <a:extLst>
                        <a:ext uri="{28A0092B-C50C-407E-A947-70E740481C1C}">
                          <a14:useLocalDpi xmlns:a14="http://schemas.microsoft.com/office/drawing/2010/main" val="0"/>
                        </a:ext>
                      </a:extLst>
                    </a:blip>
                    <a:srcRect l="4403" t="3481" r="4663" b="4762"/>
                    <a:stretch>
                      <a:fillRect/>
                    </a:stretch>
                  </pic:blipFill>
                  <pic:spPr>
                    <a:xfrm>
                      <a:off x="0" y="0"/>
                      <a:ext cx="5207281" cy="3715458"/>
                    </a:xfrm>
                    <a:prstGeom prst="rect">
                      <a:avLst/>
                    </a:prstGeom>
                    <a:noFill/>
                    <a:ln>
                      <a:noFill/>
                    </a:ln>
                  </pic:spPr>
                </pic:pic>
              </a:graphicData>
            </a:graphic>
          </wp:inline>
        </w:drawing>
      </w:r>
    </w:p>
    <w:p>
      <w:pPr>
        <w:pStyle w:val="5"/>
        <w:ind w:firstLine="0" w:firstLineChars="0"/>
        <w:jc w:val="center"/>
        <w:rPr>
          <w:rFonts w:ascii="Times New Roman" w:hAnsi="Times New Roman"/>
          <w:bCs/>
          <w:color w:val="000000" w:themeColor="text1"/>
          <w:sz w:val="24"/>
          <w:szCs w:val="24"/>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 xml:space="preserve">图 </w:t>
      </w:r>
      <w:r>
        <w:rPr>
          <w:rFonts w:ascii="Times New Roman" w:hAnsi="Times New Roman"/>
          <w:bCs/>
          <w:color w:val="000000" w:themeColor="text1"/>
          <w:sz w:val="24"/>
          <w:szCs w:val="24"/>
          <w14:textFill>
            <w14:solidFill>
              <w14:schemeClr w14:val="tx1"/>
            </w14:solidFill>
          </w14:textFill>
        </w:rPr>
        <w:fldChar w:fldCharType="begin"/>
      </w:r>
      <w:r>
        <w:rPr>
          <w:rFonts w:ascii="Times New Roman" w:hAnsi="Times New Roman"/>
          <w:bCs/>
          <w:color w:val="000000" w:themeColor="text1"/>
          <w:sz w:val="24"/>
          <w:szCs w:val="24"/>
          <w14:textFill>
            <w14:solidFill>
              <w14:schemeClr w14:val="tx1"/>
            </w14:solidFill>
          </w14:textFill>
        </w:rPr>
        <w:instrText xml:space="preserve"> SEQ 图 \* ARABIC </w:instrText>
      </w:r>
      <w:r>
        <w:rPr>
          <w:rFonts w:ascii="Times New Roman" w:hAnsi="Times New Roman"/>
          <w:bCs/>
          <w:color w:val="000000" w:themeColor="text1"/>
          <w:sz w:val="24"/>
          <w:szCs w:val="24"/>
          <w14:textFill>
            <w14:solidFill>
              <w14:schemeClr w14:val="tx1"/>
            </w14:solidFill>
          </w14:textFill>
        </w:rPr>
        <w:fldChar w:fldCharType="separate"/>
      </w:r>
      <w:r>
        <w:rPr>
          <w:rFonts w:ascii="Times New Roman" w:hAnsi="Times New Roman"/>
          <w:bCs/>
          <w:color w:val="000000" w:themeColor="text1"/>
          <w:sz w:val="24"/>
          <w:szCs w:val="24"/>
          <w14:textFill>
            <w14:solidFill>
              <w14:schemeClr w14:val="tx1"/>
            </w14:solidFill>
          </w14:textFill>
        </w:rPr>
        <w:t>4</w:t>
      </w:r>
      <w:r>
        <w:rPr>
          <w:rFonts w:ascii="Times New Roman" w:hAnsi="Times New Roman"/>
          <w:bCs/>
          <w:color w:val="000000" w:themeColor="text1"/>
          <w:sz w:val="24"/>
          <w:szCs w:val="24"/>
          <w14:textFill>
            <w14:solidFill>
              <w14:schemeClr w14:val="tx1"/>
            </w14:solidFill>
          </w14:textFill>
        </w:rPr>
        <w:fldChar w:fldCharType="end"/>
      </w:r>
      <w:r>
        <w:rPr>
          <w:rFonts w:ascii="Times New Roman" w:hAnsi="Times New Roman"/>
          <w:bCs/>
          <w:color w:val="000000" w:themeColor="text1"/>
          <w:sz w:val="24"/>
          <w:szCs w:val="24"/>
          <w14:textFill>
            <w14:solidFill>
              <w14:schemeClr w14:val="tx1"/>
            </w14:solidFill>
          </w14:textFill>
        </w:rPr>
        <w:t xml:space="preserve"> 道路系统规划图</w:t>
      </w:r>
    </w:p>
    <w:p>
      <w:pPr>
        <w:ind w:firstLine="562"/>
        <w:rPr>
          <w:rFonts w:ascii="Times New Roman" w:hAnsi="Times New Roman"/>
          <w:b/>
        </w:rPr>
      </w:pPr>
      <w:r>
        <w:rPr>
          <w:rFonts w:ascii="Times New Roman" w:hAnsi="Times New Roman"/>
          <w:b/>
        </w:rPr>
        <w:t>（2）给水工程条件</w:t>
      </w:r>
    </w:p>
    <w:p>
      <w:pPr>
        <w:ind w:firstLine="562"/>
        <w:rPr>
          <w:rFonts w:ascii="Times New Roman" w:hAnsi="Times New Roman"/>
        </w:rPr>
      </w:pPr>
      <w:r>
        <w:rPr>
          <w:rFonts w:ascii="Times New Roman" w:hAnsi="Times New Roman"/>
          <w:b/>
        </w:rPr>
        <w:t>供水水源：</w:t>
      </w:r>
      <w:r>
        <w:rPr>
          <w:rFonts w:ascii="Times New Roman" w:hAnsi="Times New Roman"/>
        </w:rPr>
        <w:t>杨田镇片区的生活水源来自杨田镇自来水厂市政供水。</w:t>
      </w:r>
    </w:p>
    <w:p>
      <w:pPr>
        <w:ind w:firstLine="562"/>
        <w:rPr>
          <w:rFonts w:ascii="Times New Roman" w:hAnsi="Times New Roman"/>
        </w:rPr>
      </w:pPr>
      <w:r>
        <w:rPr>
          <w:rFonts w:ascii="Times New Roman" w:hAnsi="Times New Roman"/>
          <w:b/>
        </w:rPr>
        <w:t>供水管网</w:t>
      </w:r>
      <w:r>
        <w:rPr>
          <w:rFonts w:ascii="Times New Roman" w:hAnsi="Times New Roman"/>
        </w:rPr>
        <w:t>：供水管网采用网状管网，局部为枝状管网，提高供水安全性。</w:t>
      </w:r>
    </w:p>
    <w:p>
      <w:pPr>
        <w:ind w:firstLine="562"/>
        <w:rPr>
          <w:rFonts w:ascii="Times New Roman" w:hAnsi="Times New Roman"/>
        </w:rPr>
      </w:pPr>
      <w:r>
        <w:rPr>
          <w:rFonts w:ascii="Times New Roman" w:hAnsi="Times New Roman"/>
          <w:b/>
        </w:rPr>
        <w:t>管材和埋深</w:t>
      </w:r>
      <w:r>
        <w:rPr>
          <w:rFonts w:ascii="Times New Roman" w:hAnsi="Times New Roman"/>
        </w:rPr>
        <w:t>：规划建议采用管径DN110—DN400的配水管道，给水管道管中埋深1.0～2.0m左右，特殊情况下最小埋深满足《城市工程管线综合规划规范》（GB50289-2016）。</w:t>
      </w:r>
    </w:p>
    <w:p>
      <w:pPr>
        <w:keepNext/>
        <w:ind w:firstLine="0" w:firstLineChars="0"/>
        <w:jc w:val="center"/>
        <w:rPr>
          <w:rFonts w:ascii="Times New Roman" w:hAnsi="Times New Roman"/>
        </w:rPr>
      </w:pPr>
      <w:r>
        <w:rPr>
          <w:rFonts w:ascii="Times New Roman" w:hAnsi="Times New Roman"/>
          <w:bCs/>
          <w:color w:val="000000" w:themeColor="text1"/>
          <w:sz w:val="24"/>
          <w14:textFill>
            <w14:solidFill>
              <w14:schemeClr w14:val="tx1"/>
            </w14:solidFill>
          </w14:textFill>
        </w:rPr>
        <w:drawing>
          <wp:anchor distT="0" distB="0" distL="114300" distR="114300" simplePos="0" relativeHeight="251661312" behindDoc="0" locked="0" layoutInCell="1" allowOverlap="1">
            <wp:simplePos x="0" y="0"/>
            <wp:positionH relativeFrom="column">
              <wp:posOffset>537845</wp:posOffset>
            </wp:positionH>
            <wp:positionV relativeFrom="paragraph">
              <wp:posOffset>34925</wp:posOffset>
            </wp:positionV>
            <wp:extent cx="3174365" cy="3394075"/>
            <wp:effectExtent l="0" t="0" r="0" b="0"/>
            <wp:wrapNone/>
            <wp:docPr id="2" name="图片 2" descr="C:\Users\Lenovo\Desktop\土地征收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Lenovo\Desktop\土地征收2.png"/>
                    <pic:cNvPicPr>
                      <a:picLocks noChangeAspect="1" noChangeArrowheads="1"/>
                    </pic:cNvPicPr>
                  </pic:nvPicPr>
                  <pic:blipFill>
                    <a:blip r:embed="rId16" cstate="print">
                      <a:extLst>
                        <a:ext uri="{28A0092B-C50C-407E-A947-70E740481C1C}">
                          <a14:useLocalDpi xmlns:a14="http://schemas.microsoft.com/office/drawing/2010/main" val="0"/>
                        </a:ext>
                      </a:extLst>
                    </a:blip>
                    <a:srcRect l="23424" r="23901"/>
                    <a:stretch>
                      <a:fillRect/>
                    </a:stretch>
                  </pic:blipFill>
                  <pic:spPr>
                    <a:xfrm>
                      <a:off x="0" y="0"/>
                      <a:ext cx="3174365" cy="3394075"/>
                    </a:xfrm>
                    <a:prstGeom prst="rect">
                      <a:avLst/>
                    </a:prstGeom>
                    <a:noFill/>
                    <a:ln>
                      <a:noFill/>
                    </a:ln>
                  </pic:spPr>
                </pic:pic>
              </a:graphicData>
            </a:graphic>
          </wp:anchor>
        </w:drawing>
      </w:r>
      <w:r>
        <w:rPr>
          <w:rFonts w:ascii="Times New Roman" w:hAnsi="Times New Roman"/>
        </w:rPr>
        <w:drawing>
          <wp:inline distT="0" distB="0" distL="0" distR="0">
            <wp:extent cx="5160010" cy="3649345"/>
            <wp:effectExtent l="0" t="0" r="2540" b="8255"/>
            <wp:docPr id="15" name="图片 15" descr="E:\倪田品\2.成片开发\6.杨田\2023-11-13\杨田控规2023-11-06\24 给水工程规划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E:\倪田品\2.成片开发\6.杨田\2023-11-13\杨田控规2023-11-06\24 给水工程规划图.jpg"/>
                    <pic:cNvPicPr>
                      <a:picLocks noChangeAspect="1" noChangeArrowheads="1"/>
                    </pic:cNvPicPr>
                  </pic:nvPicPr>
                  <pic:blipFill>
                    <a:blip r:embed="rId18" cstate="print">
                      <a:extLst>
                        <a:ext uri="{28A0092B-C50C-407E-A947-70E740481C1C}">
                          <a14:useLocalDpi xmlns:a14="http://schemas.microsoft.com/office/drawing/2010/main" val="0"/>
                        </a:ext>
                      </a:extLst>
                    </a:blip>
                    <a:srcRect l="4274" t="3847" r="4535" b="4945"/>
                    <a:stretch>
                      <a:fillRect/>
                    </a:stretch>
                  </pic:blipFill>
                  <pic:spPr>
                    <a:xfrm>
                      <a:off x="0" y="0"/>
                      <a:ext cx="5161942" cy="3650650"/>
                    </a:xfrm>
                    <a:prstGeom prst="rect">
                      <a:avLst/>
                    </a:prstGeom>
                    <a:noFill/>
                    <a:ln>
                      <a:noFill/>
                    </a:ln>
                  </pic:spPr>
                </pic:pic>
              </a:graphicData>
            </a:graphic>
          </wp:inline>
        </w:drawing>
      </w:r>
    </w:p>
    <w:p>
      <w:pPr>
        <w:pStyle w:val="5"/>
        <w:ind w:firstLine="0" w:firstLineChars="0"/>
        <w:jc w:val="center"/>
        <w:rPr>
          <w:rFonts w:ascii="Times New Roman" w:hAnsi="Times New Roman"/>
          <w:bCs/>
          <w:color w:val="000000" w:themeColor="text1"/>
          <w:sz w:val="24"/>
          <w:szCs w:val="24"/>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 xml:space="preserve">图 </w:t>
      </w:r>
      <w:r>
        <w:rPr>
          <w:rFonts w:ascii="Times New Roman" w:hAnsi="Times New Roman"/>
          <w:bCs/>
          <w:color w:val="000000" w:themeColor="text1"/>
          <w:sz w:val="24"/>
          <w:szCs w:val="24"/>
          <w14:textFill>
            <w14:solidFill>
              <w14:schemeClr w14:val="tx1"/>
            </w14:solidFill>
          </w14:textFill>
        </w:rPr>
        <w:fldChar w:fldCharType="begin"/>
      </w:r>
      <w:r>
        <w:rPr>
          <w:rFonts w:ascii="Times New Roman" w:hAnsi="Times New Roman"/>
          <w:bCs/>
          <w:color w:val="000000" w:themeColor="text1"/>
          <w:sz w:val="24"/>
          <w:szCs w:val="24"/>
          <w14:textFill>
            <w14:solidFill>
              <w14:schemeClr w14:val="tx1"/>
            </w14:solidFill>
          </w14:textFill>
        </w:rPr>
        <w:instrText xml:space="preserve"> SEQ 图 \* ARABIC </w:instrText>
      </w:r>
      <w:r>
        <w:rPr>
          <w:rFonts w:ascii="Times New Roman" w:hAnsi="Times New Roman"/>
          <w:bCs/>
          <w:color w:val="000000" w:themeColor="text1"/>
          <w:sz w:val="24"/>
          <w:szCs w:val="24"/>
          <w14:textFill>
            <w14:solidFill>
              <w14:schemeClr w14:val="tx1"/>
            </w14:solidFill>
          </w14:textFill>
        </w:rPr>
        <w:fldChar w:fldCharType="separate"/>
      </w:r>
      <w:r>
        <w:rPr>
          <w:rFonts w:ascii="Times New Roman" w:hAnsi="Times New Roman"/>
          <w:bCs/>
          <w:color w:val="000000" w:themeColor="text1"/>
          <w:sz w:val="24"/>
          <w:szCs w:val="24"/>
          <w14:textFill>
            <w14:solidFill>
              <w14:schemeClr w14:val="tx1"/>
            </w14:solidFill>
          </w14:textFill>
        </w:rPr>
        <w:t>5</w:t>
      </w:r>
      <w:r>
        <w:rPr>
          <w:rFonts w:ascii="Times New Roman" w:hAnsi="Times New Roman"/>
          <w:bCs/>
          <w:color w:val="000000" w:themeColor="text1"/>
          <w:sz w:val="24"/>
          <w:szCs w:val="24"/>
          <w14:textFill>
            <w14:solidFill>
              <w14:schemeClr w14:val="tx1"/>
            </w14:solidFill>
          </w14:textFill>
        </w:rPr>
        <w:fldChar w:fldCharType="end"/>
      </w:r>
      <w:r>
        <w:rPr>
          <w:rFonts w:ascii="Times New Roman" w:hAnsi="Times New Roman"/>
          <w:bCs/>
          <w:color w:val="000000" w:themeColor="text1"/>
          <w:sz w:val="24"/>
          <w:szCs w:val="24"/>
          <w14:textFill>
            <w14:solidFill>
              <w14:schemeClr w14:val="tx1"/>
            </w14:solidFill>
          </w14:textFill>
        </w:rPr>
        <w:t xml:space="preserve"> 给水工程规划图</w:t>
      </w:r>
    </w:p>
    <w:p>
      <w:pPr>
        <w:ind w:firstLine="562"/>
        <w:rPr>
          <w:rFonts w:ascii="Times New Roman" w:hAnsi="Times New Roman"/>
          <w:b/>
        </w:rPr>
      </w:pPr>
      <w:r>
        <w:rPr>
          <w:rFonts w:ascii="Times New Roman" w:hAnsi="Times New Roman"/>
          <w:b/>
        </w:rPr>
        <w:t>（3）污水工程条件</w:t>
      </w:r>
    </w:p>
    <w:p>
      <w:pPr>
        <w:ind w:firstLine="562"/>
        <w:rPr>
          <w:rFonts w:ascii="Times New Roman" w:hAnsi="Times New Roman"/>
        </w:rPr>
      </w:pPr>
      <w:r>
        <w:rPr>
          <w:rFonts w:ascii="Times New Roman" w:hAnsi="Times New Roman"/>
          <w:b/>
        </w:rPr>
        <w:t>污水设施：</w:t>
      </w:r>
      <w:r>
        <w:rPr>
          <w:rFonts w:ascii="Times New Roman" w:hAnsi="Times New Roman"/>
        </w:rPr>
        <w:t>杨田镇镇区的污水主要排入杨田镇污水处理厂。</w:t>
      </w:r>
    </w:p>
    <w:p>
      <w:pPr>
        <w:ind w:firstLine="562"/>
        <w:rPr>
          <w:rFonts w:ascii="Times New Roman" w:hAnsi="Times New Roman"/>
        </w:rPr>
      </w:pPr>
      <w:r>
        <w:rPr>
          <w:rFonts w:ascii="Times New Roman" w:hAnsi="Times New Roman"/>
          <w:b/>
        </w:rPr>
        <w:t>管网布置：</w:t>
      </w:r>
      <w:r>
        <w:rPr>
          <w:rFonts w:ascii="Times New Roman" w:hAnsi="Times New Roman"/>
        </w:rPr>
        <w:t>区内污水通过现状G330国道、S468省道及工业园区内部路、居住区内部路上污水干管收集，排入污水处理设施，污水管径为主管DN600，支管DN300；规划污水管道原则上沿道路西、北侧布置，管道敷设采用管顶平接的方式。在竖向布置上，污水管位于雨水管之下。污水管道大体遵循重力自流的原则布置。</w:t>
      </w:r>
    </w:p>
    <w:p>
      <w:pPr>
        <w:keepNext/>
        <w:ind w:firstLine="0" w:firstLineChars="0"/>
        <w:jc w:val="center"/>
        <w:rPr>
          <w:rFonts w:ascii="Times New Roman" w:hAnsi="Times New Roman"/>
        </w:rPr>
      </w:pPr>
      <w:r>
        <w:rPr>
          <w:rFonts w:ascii="Times New Roman" w:hAnsi="Times New Roman"/>
          <w:bCs/>
          <w:color w:val="000000" w:themeColor="text1"/>
          <w:sz w:val="24"/>
          <w14:textFill>
            <w14:solidFill>
              <w14:schemeClr w14:val="tx1"/>
            </w14:solidFill>
          </w14:textFill>
        </w:rPr>
        <w:drawing>
          <wp:anchor distT="0" distB="0" distL="114300" distR="114300" simplePos="0" relativeHeight="251662336" behindDoc="0" locked="0" layoutInCell="1" allowOverlap="1">
            <wp:simplePos x="0" y="0"/>
            <wp:positionH relativeFrom="column">
              <wp:posOffset>515620</wp:posOffset>
            </wp:positionH>
            <wp:positionV relativeFrom="paragraph">
              <wp:posOffset>34925</wp:posOffset>
            </wp:positionV>
            <wp:extent cx="3174365" cy="3394075"/>
            <wp:effectExtent l="0" t="0" r="0" b="0"/>
            <wp:wrapNone/>
            <wp:docPr id="4" name="图片 4" descr="C:\Users\Lenovo\Desktop\土地征收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Lenovo\Desktop\土地征收2.png"/>
                    <pic:cNvPicPr>
                      <a:picLocks noChangeAspect="1" noChangeArrowheads="1"/>
                    </pic:cNvPicPr>
                  </pic:nvPicPr>
                  <pic:blipFill>
                    <a:blip r:embed="rId16" cstate="print">
                      <a:extLst>
                        <a:ext uri="{28A0092B-C50C-407E-A947-70E740481C1C}">
                          <a14:useLocalDpi xmlns:a14="http://schemas.microsoft.com/office/drawing/2010/main" val="0"/>
                        </a:ext>
                      </a:extLst>
                    </a:blip>
                    <a:srcRect l="23424" r="23901"/>
                    <a:stretch>
                      <a:fillRect/>
                    </a:stretch>
                  </pic:blipFill>
                  <pic:spPr>
                    <a:xfrm>
                      <a:off x="0" y="0"/>
                      <a:ext cx="3174365" cy="3394075"/>
                    </a:xfrm>
                    <a:prstGeom prst="rect">
                      <a:avLst/>
                    </a:prstGeom>
                    <a:noFill/>
                    <a:ln>
                      <a:noFill/>
                    </a:ln>
                  </pic:spPr>
                </pic:pic>
              </a:graphicData>
            </a:graphic>
          </wp:anchor>
        </w:drawing>
      </w:r>
      <w:r>
        <w:rPr>
          <w:rFonts w:ascii="Times New Roman" w:hAnsi="Times New Roman"/>
        </w:rPr>
        <w:drawing>
          <wp:inline distT="0" distB="0" distL="0" distR="0">
            <wp:extent cx="5135880" cy="3657600"/>
            <wp:effectExtent l="0" t="0" r="7620" b="0"/>
            <wp:docPr id="16" name="图片 16" descr="E:\倪田品\2.成片开发\6.杨田\2023-11-13\杨田控规2023-11-06\26 污水工程规划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E:\倪田品\2.成片开发\6.杨田\2023-11-13\杨田控规2023-11-06\26 污水工程规划图.jpg"/>
                    <pic:cNvPicPr>
                      <a:picLocks noChangeAspect="1" noChangeArrowheads="1"/>
                    </pic:cNvPicPr>
                  </pic:nvPicPr>
                  <pic:blipFill>
                    <a:blip r:embed="rId19" cstate="print">
                      <a:extLst>
                        <a:ext uri="{28A0092B-C50C-407E-A947-70E740481C1C}">
                          <a14:useLocalDpi xmlns:a14="http://schemas.microsoft.com/office/drawing/2010/main" val="0"/>
                        </a:ext>
                      </a:extLst>
                    </a:blip>
                    <a:srcRect l="4532" t="3481" r="4534" b="4945"/>
                    <a:stretch>
                      <a:fillRect/>
                    </a:stretch>
                  </pic:blipFill>
                  <pic:spPr>
                    <a:xfrm>
                      <a:off x="0" y="0"/>
                      <a:ext cx="5146567" cy="3664807"/>
                    </a:xfrm>
                    <a:prstGeom prst="rect">
                      <a:avLst/>
                    </a:prstGeom>
                    <a:noFill/>
                    <a:ln>
                      <a:noFill/>
                    </a:ln>
                  </pic:spPr>
                </pic:pic>
              </a:graphicData>
            </a:graphic>
          </wp:inline>
        </w:drawing>
      </w:r>
    </w:p>
    <w:p>
      <w:pPr>
        <w:pStyle w:val="5"/>
        <w:ind w:firstLine="0" w:firstLineChars="0"/>
        <w:jc w:val="center"/>
        <w:rPr>
          <w:rFonts w:ascii="Times New Roman" w:hAnsi="Times New Roman"/>
          <w:bCs/>
          <w:color w:val="000000" w:themeColor="text1"/>
          <w:sz w:val="24"/>
          <w:szCs w:val="24"/>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 xml:space="preserve">图 </w:t>
      </w:r>
      <w:r>
        <w:rPr>
          <w:rFonts w:ascii="Times New Roman" w:hAnsi="Times New Roman"/>
          <w:bCs/>
          <w:color w:val="000000" w:themeColor="text1"/>
          <w:sz w:val="24"/>
          <w:szCs w:val="24"/>
          <w14:textFill>
            <w14:solidFill>
              <w14:schemeClr w14:val="tx1"/>
            </w14:solidFill>
          </w14:textFill>
        </w:rPr>
        <w:fldChar w:fldCharType="begin"/>
      </w:r>
      <w:r>
        <w:rPr>
          <w:rFonts w:ascii="Times New Roman" w:hAnsi="Times New Roman"/>
          <w:bCs/>
          <w:color w:val="000000" w:themeColor="text1"/>
          <w:sz w:val="24"/>
          <w:szCs w:val="24"/>
          <w14:textFill>
            <w14:solidFill>
              <w14:schemeClr w14:val="tx1"/>
            </w14:solidFill>
          </w14:textFill>
        </w:rPr>
        <w:instrText xml:space="preserve"> SEQ 图 \* ARABIC </w:instrText>
      </w:r>
      <w:r>
        <w:rPr>
          <w:rFonts w:ascii="Times New Roman" w:hAnsi="Times New Roman"/>
          <w:bCs/>
          <w:color w:val="000000" w:themeColor="text1"/>
          <w:sz w:val="24"/>
          <w:szCs w:val="24"/>
          <w14:textFill>
            <w14:solidFill>
              <w14:schemeClr w14:val="tx1"/>
            </w14:solidFill>
          </w14:textFill>
        </w:rPr>
        <w:fldChar w:fldCharType="separate"/>
      </w:r>
      <w:r>
        <w:rPr>
          <w:rFonts w:ascii="Times New Roman" w:hAnsi="Times New Roman"/>
          <w:bCs/>
          <w:color w:val="000000" w:themeColor="text1"/>
          <w:sz w:val="24"/>
          <w:szCs w:val="24"/>
          <w14:textFill>
            <w14:solidFill>
              <w14:schemeClr w14:val="tx1"/>
            </w14:solidFill>
          </w14:textFill>
        </w:rPr>
        <w:t>6</w:t>
      </w:r>
      <w:r>
        <w:rPr>
          <w:rFonts w:ascii="Times New Roman" w:hAnsi="Times New Roman"/>
          <w:bCs/>
          <w:color w:val="000000" w:themeColor="text1"/>
          <w:sz w:val="24"/>
          <w:szCs w:val="24"/>
          <w14:textFill>
            <w14:solidFill>
              <w14:schemeClr w14:val="tx1"/>
            </w14:solidFill>
          </w14:textFill>
        </w:rPr>
        <w:fldChar w:fldCharType="end"/>
      </w:r>
      <w:r>
        <w:rPr>
          <w:rFonts w:ascii="Times New Roman" w:hAnsi="Times New Roman"/>
          <w:bCs/>
          <w:color w:val="000000" w:themeColor="text1"/>
          <w:sz w:val="24"/>
          <w:szCs w:val="24"/>
          <w14:textFill>
            <w14:solidFill>
              <w14:schemeClr w14:val="tx1"/>
            </w14:solidFill>
          </w14:textFill>
        </w:rPr>
        <w:t xml:space="preserve"> 污水工程规划图</w:t>
      </w:r>
    </w:p>
    <w:p>
      <w:pPr>
        <w:ind w:firstLine="562"/>
        <w:rPr>
          <w:rFonts w:ascii="Times New Roman" w:hAnsi="Times New Roman"/>
          <w:b/>
        </w:rPr>
      </w:pPr>
      <w:r>
        <w:rPr>
          <w:rFonts w:ascii="Times New Roman" w:hAnsi="Times New Roman"/>
          <w:b/>
        </w:rPr>
        <w:t>（4）雨水工程条件</w:t>
      </w:r>
    </w:p>
    <w:p>
      <w:pPr>
        <w:ind w:firstLine="562"/>
        <w:rPr>
          <w:rFonts w:ascii="Times New Roman" w:hAnsi="Times New Roman"/>
        </w:rPr>
      </w:pPr>
      <w:r>
        <w:rPr>
          <w:rFonts w:ascii="Times New Roman" w:hAnsi="Times New Roman"/>
          <w:b/>
        </w:rPr>
        <w:t>排水体制：</w:t>
      </w:r>
      <w:r>
        <w:rPr>
          <w:rFonts w:ascii="Times New Roman" w:hAnsi="Times New Roman"/>
        </w:rPr>
        <w:t>杨田镇片区排水体制采用雨、污分流制排放。</w:t>
      </w:r>
    </w:p>
    <w:p>
      <w:pPr>
        <w:ind w:firstLine="562"/>
        <w:rPr>
          <w:rFonts w:ascii="Times New Roman" w:hAnsi="Times New Roman"/>
        </w:rPr>
      </w:pPr>
      <w:r>
        <w:rPr>
          <w:rFonts w:ascii="Times New Roman" w:hAnsi="Times New Roman"/>
          <w:b/>
        </w:rPr>
        <w:t>管网布置：</w:t>
      </w:r>
      <w:r>
        <w:rPr>
          <w:rFonts w:ascii="Times New Roman" w:hAnsi="Times New Roman"/>
        </w:rPr>
        <w:t>雨水管网的布置，应尽量采用重力流，结合现状雨水管网（沟渠），完善雨水排水系统，根据用地布局、地形地势特点，雨水管道沿规划道路敷设，本着就近分散、自流排放的原则就近排入东河。</w:t>
      </w:r>
    </w:p>
    <w:p>
      <w:pPr>
        <w:keepNext/>
        <w:ind w:firstLine="0" w:firstLineChars="0"/>
        <w:jc w:val="center"/>
        <w:rPr>
          <w:rFonts w:ascii="Times New Roman" w:hAnsi="Times New Roman"/>
        </w:rPr>
      </w:pPr>
      <w:r>
        <w:rPr>
          <w:rFonts w:ascii="Times New Roman" w:hAnsi="Times New Roman"/>
          <w:bCs/>
          <w:color w:val="000000" w:themeColor="text1"/>
          <w:sz w:val="24"/>
          <w14:textFill>
            <w14:solidFill>
              <w14:schemeClr w14:val="tx1"/>
            </w14:solidFill>
          </w14:textFill>
        </w:rPr>
        <w:drawing>
          <wp:anchor distT="0" distB="0" distL="114300" distR="114300" simplePos="0" relativeHeight="251663360" behindDoc="0" locked="0" layoutInCell="1" allowOverlap="1">
            <wp:simplePos x="0" y="0"/>
            <wp:positionH relativeFrom="column">
              <wp:posOffset>508635</wp:posOffset>
            </wp:positionH>
            <wp:positionV relativeFrom="paragraph">
              <wp:posOffset>41910</wp:posOffset>
            </wp:positionV>
            <wp:extent cx="3174365" cy="3394075"/>
            <wp:effectExtent l="0" t="0" r="0" b="0"/>
            <wp:wrapNone/>
            <wp:docPr id="6" name="图片 6" descr="C:\Users\Lenovo\Desktop\土地征收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Lenovo\Desktop\土地征收2.png"/>
                    <pic:cNvPicPr>
                      <a:picLocks noChangeAspect="1" noChangeArrowheads="1"/>
                    </pic:cNvPicPr>
                  </pic:nvPicPr>
                  <pic:blipFill>
                    <a:blip r:embed="rId16" cstate="print">
                      <a:extLst>
                        <a:ext uri="{28A0092B-C50C-407E-A947-70E740481C1C}">
                          <a14:useLocalDpi xmlns:a14="http://schemas.microsoft.com/office/drawing/2010/main" val="0"/>
                        </a:ext>
                      </a:extLst>
                    </a:blip>
                    <a:srcRect l="23424" r="23901"/>
                    <a:stretch>
                      <a:fillRect/>
                    </a:stretch>
                  </pic:blipFill>
                  <pic:spPr>
                    <a:xfrm>
                      <a:off x="0" y="0"/>
                      <a:ext cx="3174365" cy="3394075"/>
                    </a:xfrm>
                    <a:prstGeom prst="rect">
                      <a:avLst/>
                    </a:prstGeom>
                    <a:noFill/>
                    <a:ln>
                      <a:noFill/>
                    </a:ln>
                  </pic:spPr>
                </pic:pic>
              </a:graphicData>
            </a:graphic>
          </wp:anchor>
        </w:drawing>
      </w:r>
      <w:r>
        <w:rPr>
          <w:rFonts w:ascii="Times New Roman" w:hAnsi="Times New Roman"/>
        </w:rPr>
        <w:drawing>
          <wp:inline distT="0" distB="0" distL="0" distR="0">
            <wp:extent cx="5174615" cy="3689350"/>
            <wp:effectExtent l="0" t="0" r="6985" b="6350"/>
            <wp:docPr id="17" name="图片 17" descr="E:\倪田品\2.成片开发\6.杨田\2023-11-13\杨田控规2023-11-06\25 雨水工程规划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E:\倪田品\2.成片开发\6.杨田\2023-11-13\杨田控规2023-11-06\25 雨水工程规划图.jpg"/>
                    <pic:cNvPicPr>
                      <a:picLocks noChangeAspect="1" noChangeArrowheads="1"/>
                    </pic:cNvPicPr>
                  </pic:nvPicPr>
                  <pic:blipFill>
                    <a:blip r:embed="rId20" cstate="print">
                      <a:extLst>
                        <a:ext uri="{28A0092B-C50C-407E-A947-70E740481C1C}">
                          <a14:useLocalDpi xmlns:a14="http://schemas.microsoft.com/office/drawing/2010/main" val="0"/>
                        </a:ext>
                      </a:extLst>
                    </a:blip>
                    <a:srcRect l="4533" t="3298" r="4274" b="4762"/>
                    <a:stretch>
                      <a:fillRect/>
                    </a:stretch>
                  </pic:blipFill>
                  <pic:spPr>
                    <a:xfrm>
                      <a:off x="0" y="0"/>
                      <a:ext cx="5190298" cy="3700190"/>
                    </a:xfrm>
                    <a:prstGeom prst="rect">
                      <a:avLst/>
                    </a:prstGeom>
                    <a:noFill/>
                    <a:ln>
                      <a:noFill/>
                    </a:ln>
                  </pic:spPr>
                </pic:pic>
              </a:graphicData>
            </a:graphic>
          </wp:inline>
        </w:drawing>
      </w:r>
    </w:p>
    <w:p>
      <w:pPr>
        <w:pStyle w:val="5"/>
        <w:ind w:firstLine="0" w:firstLineChars="0"/>
        <w:jc w:val="center"/>
        <w:rPr>
          <w:rFonts w:ascii="Times New Roman" w:hAnsi="Times New Roman"/>
          <w:bCs/>
          <w:color w:val="000000" w:themeColor="text1"/>
          <w:sz w:val="24"/>
          <w:szCs w:val="24"/>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 xml:space="preserve">图 </w:t>
      </w:r>
      <w:r>
        <w:rPr>
          <w:rFonts w:ascii="Times New Roman" w:hAnsi="Times New Roman"/>
          <w:bCs/>
          <w:color w:val="000000" w:themeColor="text1"/>
          <w:sz w:val="24"/>
          <w:szCs w:val="24"/>
          <w14:textFill>
            <w14:solidFill>
              <w14:schemeClr w14:val="tx1"/>
            </w14:solidFill>
          </w14:textFill>
        </w:rPr>
        <w:fldChar w:fldCharType="begin"/>
      </w:r>
      <w:r>
        <w:rPr>
          <w:rFonts w:ascii="Times New Roman" w:hAnsi="Times New Roman"/>
          <w:bCs/>
          <w:color w:val="000000" w:themeColor="text1"/>
          <w:sz w:val="24"/>
          <w:szCs w:val="24"/>
          <w14:textFill>
            <w14:solidFill>
              <w14:schemeClr w14:val="tx1"/>
            </w14:solidFill>
          </w14:textFill>
        </w:rPr>
        <w:instrText xml:space="preserve"> SEQ 图 \* ARABIC </w:instrText>
      </w:r>
      <w:r>
        <w:rPr>
          <w:rFonts w:ascii="Times New Roman" w:hAnsi="Times New Roman"/>
          <w:bCs/>
          <w:color w:val="000000" w:themeColor="text1"/>
          <w:sz w:val="24"/>
          <w:szCs w:val="24"/>
          <w14:textFill>
            <w14:solidFill>
              <w14:schemeClr w14:val="tx1"/>
            </w14:solidFill>
          </w14:textFill>
        </w:rPr>
        <w:fldChar w:fldCharType="separate"/>
      </w:r>
      <w:r>
        <w:rPr>
          <w:rFonts w:ascii="Times New Roman" w:hAnsi="Times New Roman"/>
          <w:bCs/>
          <w:color w:val="000000" w:themeColor="text1"/>
          <w:sz w:val="24"/>
          <w:szCs w:val="24"/>
          <w14:textFill>
            <w14:solidFill>
              <w14:schemeClr w14:val="tx1"/>
            </w14:solidFill>
          </w14:textFill>
        </w:rPr>
        <w:t>7</w:t>
      </w:r>
      <w:r>
        <w:rPr>
          <w:rFonts w:ascii="Times New Roman" w:hAnsi="Times New Roman"/>
          <w:bCs/>
          <w:color w:val="000000" w:themeColor="text1"/>
          <w:sz w:val="24"/>
          <w:szCs w:val="24"/>
          <w14:textFill>
            <w14:solidFill>
              <w14:schemeClr w14:val="tx1"/>
            </w14:solidFill>
          </w14:textFill>
        </w:rPr>
        <w:fldChar w:fldCharType="end"/>
      </w:r>
      <w:r>
        <w:rPr>
          <w:rFonts w:ascii="Times New Roman" w:hAnsi="Times New Roman"/>
          <w:bCs/>
          <w:color w:val="000000" w:themeColor="text1"/>
          <w:sz w:val="24"/>
          <w:szCs w:val="24"/>
          <w14:textFill>
            <w14:solidFill>
              <w14:schemeClr w14:val="tx1"/>
            </w14:solidFill>
          </w14:textFill>
        </w:rPr>
        <w:t xml:space="preserve"> 雨水工程规划图</w:t>
      </w:r>
    </w:p>
    <w:p>
      <w:pPr>
        <w:ind w:firstLine="562"/>
        <w:rPr>
          <w:rFonts w:ascii="Times New Roman" w:hAnsi="Times New Roman"/>
          <w:b/>
        </w:rPr>
      </w:pPr>
      <w:r>
        <w:rPr>
          <w:rFonts w:ascii="Times New Roman" w:hAnsi="Times New Roman"/>
          <w:b/>
        </w:rPr>
        <w:t>（5）电力工程条件</w:t>
      </w:r>
    </w:p>
    <w:p>
      <w:pPr>
        <w:ind w:firstLine="562"/>
        <w:rPr>
          <w:rFonts w:ascii="Times New Roman" w:hAnsi="Times New Roman"/>
        </w:rPr>
      </w:pPr>
      <w:r>
        <w:rPr>
          <w:rFonts w:ascii="Times New Roman" w:hAnsi="Times New Roman"/>
          <w:b/>
        </w:rPr>
        <w:t>电源：</w:t>
      </w:r>
      <w:r>
        <w:rPr>
          <w:rFonts w:ascii="Times New Roman" w:hAnsi="Times New Roman"/>
        </w:rPr>
        <w:t>杨田镇镇区片区采用青阳县城南变及杨田变双电源供电。</w:t>
      </w:r>
    </w:p>
    <w:p>
      <w:pPr>
        <w:ind w:firstLine="562"/>
        <w:rPr>
          <w:rFonts w:ascii="Times New Roman" w:hAnsi="Times New Roman"/>
        </w:rPr>
      </w:pPr>
      <w:r>
        <w:rPr>
          <w:rFonts w:ascii="Times New Roman" w:hAnsi="Times New Roman"/>
          <w:b/>
        </w:rPr>
        <w:t>电压等级：</w:t>
      </w:r>
      <w:r>
        <w:rPr>
          <w:rFonts w:ascii="Times New Roman" w:hAnsi="Times New Roman"/>
        </w:rPr>
        <w:t>根据杨田镇总体规划及实际情况，规划电压等级为35kV/10kV二级供电网。片区内10kV开闭所用电负荷主要通过35千伏杨田变转供。10kV开闭所一般附设在建筑单体内，有条件时可单独占地，10kV开闭所约需100-200平方米建筑面积，本规划区内不单独布点规划。</w:t>
      </w:r>
    </w:p>
    <w:p>
      <w:pPr>
        <w:ind w:firstLine="562"/>
        <w:rPr>
          <w:rFonts w:ascii="Times New Roman" w:hAnsi="Times New Roman"/>
        </w:rPr>
      </w:pPr>
      <w:r>
        <w:rPr>
          <w:rFonts w:ascii="Times New Roman" w:hAnsi="Times New Roman"/>
          <w:b/>
        </w:rPr>
        <w:t>电网敷设：</w:t>
      </w:r>
      <w:r>
        <w:rPr>
          <w:rFonts w:ascii="Times New Roman" w:hAnsi="Times New Roman"/>
        </w:rPr>
        <w:t>10kV电力线路采用架空敷设；规划10KV及以下电力线路以单环网形式为主，开环运行，形成辐射互联。为提高供电的可靠性，10KV配电干线上应设分级开关。</w:t>
      </w:r>
    </w:p>
    <w:p>
      <w:pPr>
        <w:keepNext/>
        <w:ind w:firstLine="0" w:firstLineChars="0"/>
        <w:jc w:val="center"/>
        <w:rPr>
          <w:rFonts w:ascii="Times New Roman" w:hAnsi="Times New Roman"/>
        </w:rPr>
      </w:pPr>
      <w:r>
        <w:rPr>
          <w:rFonts w:ascii="Times New Roman" w:hAnsi="Times New Roman"/>
          <w:bCs/>
          <w:color w:val="000000" w:themeColor="text1"/>
          <w:sz w:val="24"/>
          <w14:textFill>
            <w14:solidFill>
              <w14:schemeClr w14:val="tx1"/>
            </w14:solidFill>
          </w14:textFill>
        </w:rPr>
        <w:drawing>
          <wp:anchor distT="0" distB="0" distL="114300" distR="114300" simplePos="0" relativeHeight="251664384" behindDoc="0" locked="0" layoutInCell="1" allowOverlap="1">
            <wp:simplePos x="0" y="0"/>
            <wp:positionH relativeFrom="column">
              <wp:posOffset>490220</wp:posOffset>
            </wp:positionH>
            <wp:positionV relativeFrom="paragraph">
              <wp:posOffset>23495</wp:posOffset>
            </wp:positionV>
            <wp:extent cx="3174365" cy="3394075"/>
            <wp:effectExtent l="0" t="0" r="0" b="0"/>
            <wp:wrapNone/>
            <wp:docPr id="7" name="图片 7" descr="C:\Users\Lenovo\Desktop\土地征收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Lenovo\Desktop\土地征收2.png"/>
                    <pic:cNvPicPr>
                      <a:picLocks noChangeAspect="1" noChangeArrowheads="1"/>
                    </pic:cNvPicPr>
                  </pic:nvPicPr>
                  <pic:blipFill>
                    <a:blip r:embed="rId16" cstate="print">
                      <a:extLst>
                        <a:ext uri="{28A0092B-C50C-407E-A947-70E740481C1C}">
                          <a14:useLocalDpi xmlns:a14="http://schemas.microsoft.com/office/drawing/2010/main" val="0"/>
                        </a:ext>
                      </a:extLst>
                    </a:blip>
                    <a:srcRect l="23424" r="23901"/>
                    <a:stretch>
                      <a:fillRect/>
                    </a:stretch>
                  </pic:blipFill>
                  <pic:spPr>
                    <a:xfrm>
                      <a:off x="0" y="0"/>
                      <a:ext cx="3174365" cy="3394075"/>
                    </a:xfrm>
                    <a:prstGeom prst="rect">
                      <a:avLst/>
                    </a:prstGeom>
                    <a:noFill/>
                    <a:ln>
                      <a:noFill/>
                    </a:ln>
                  </pic:spPr>
                </pic:pic>
              </a:graphicData>
            </a:graphic>
          </wp:anchor>
        </w:drawing>
      </w:r>
      <w:r>
        <w:rPr>
          <w:rFonts w:ascii="Times New Roman" w:hAnsi="Times New Roman"/>
        </w:rPr>
        <w:drawing>
          <wp:inline distT="0" distB="0" distL="0" distR="0">
            <wp:extent cx="5253990" cy="3721100"/>
            <wp:effectExtent l="0" t="0" r="3810" b="0"/>
            <wp:docPr id="18" name="图片 18" descr="E:\倪田品\2.成片开发\6.杨田\2023-11-13\杨田控规2023-11-06\27 电力工程规划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倪田品\2.成片开发\6.杨田\2023-11-13\杨田控规2023-11-06\27 电力工程规划图.jpg"/>
                    <pic:cNvPicPr>
                      <a:picLocks noChangeAspect="1" noChangeArrowheads="1"/>
                    </pic:cNvPicPr>
                  </pic:nvPicPr>
                  <pic:blipFill>
                    <a:blip r:embed="rId21" cstate="print">
                      <a:extLst>
                        <a:ext uri="{28A0092B-C50C-407E-A947-70E740481C1C}">
                          <a14:useLocalDpi xmlns:a14="http://schemas.microsoft.com/office/drawing/2010/main" val="0"/>
                        </a:ext>
                      </a:extLst>
                    </a:blip>
                    <a:srcRect l="4533" t="4030" r="4404" b="4762"/>
                    <a:stretch>
                      <a:fillRect/>
                    </a:stretch>
                  </pic:blipFill>
                  <pic:spPr>
                    <a:xfrm>
                      <a:off x="0" y="0"/>
                      <a:ext cx="5267334" cy="3730480"/>
                    </a:xfrm>
                    <a:prstGeom prst="rect">
                      <a:avLst/>
                    </a:prstGeom>
                    <a:noFill/>
                    <a:ln>
                      <a:noFill/>
                    </a:ln>
                  </pic:spPr>
                </pic:pic>
              </a:graphicData>
            </a:graphic>
          </wp:inline>
        </w:drawing>
      </w:r>
    </w:p>
    <w:p>
      <w:pPr>
        <w:pStyle w:val="5"/>
        <w:ind w:firstLine="0" w:firstLineChars="0"/>
        <w:jc w:val="center"/>
        <w:rPr>
          <w:rFonts w:ascii="Times New Roman" w:hAnsi="Times New Roman"/>
          <w:bCs/>
          <w:color w:val="000000" w:themeColor="text1"/>
          <w:sz w:val="24"/>
          <w:szCs w:val="24"/>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 xml:space="preserve">图 </w:t>
      </w:r>
      <w:r>
        <w:rPr>
          <w:rFonts w:ascii="Times New Roman" w:hAnsi="Times New Roman"/>
          <w:bCs/>
          <w:color w:val="000000" w:themeColor="text1"/>
          <w:sz w:val="24"/>
          <w:szCs w:val="24"/>
          <w14:textFill>
            <w14:solidFill>
              <w14:schemeClr w14:val="tx1"/>
            </w14:solidFill>
          </w14:textFill>
        </w:rPr>
        <w:fldChar w:fldCharType="begin"/>
      </w:r>
      <w:r>
        <w:rPr>
          <w:rFonts w:ascii="Times New Roman" w:hAnsi="Times New Roman"/>
          <w:bCs/>
          <w:color w:val="000000" w:themeColor="text1"/>
          <w:sz w:val="24"/>
          <w:szCs w:val="24"/>
          <w14:textFill>
            <w14:solidFill>
              <w14:schemeClr w14:val="tx1"/>
            </w14:solidFill>
          </w14:textFill>
        </w:rPr>
        <w:instrText xml:space="preserve"> SEQ 图 \* ARABIC </w:instrText>
      </w:r>
      <w:r>
        <w:rPr>
          <w:rFonts w:ascii="Times New Roman" w:hAnsi="Times New Roman"/>
          <w:bCs/>
          <w:color w:val="000000" w:themeColor="text1"/>
          <w:sz w:val="24"/>
          <w:szCs w:val="24"/>
          <w14:textFill>
            <w14:solidFill>
              <w14:schemeClr w14:val="tx1"/>
            </w14:solidFill>
          </w14:textFill>
        </w:rPr>
        <w:fldChar w:fldCharType="separate"/>
      </w:r>
      <w:r>
        <w:rPr>
          <w:rFonts w:ascii="Times New Roman" w:hAnsi="Times New Roman"/>
          <w:bCs/>
          <w:color w:val="000000" w:themeColor="text1"/>
          <w:sz w:val="24"/>
          <w:szCs w:val="24"/>
          <w14:textFill>
            <w14:solidFill>
              <w14:schemeClr w14:val="tx1"/>
            </w14:solidFill>
          </w14:textFill>
        </w:rPr>
        <w:t>8</w:t>
      </w:r>
      <w:r>
        <w:rPr>
          <w:rFonts w:ascii="Times New Roman" w:hAnsi="Times New Roman"/>
          <w:bCs/>
          <w:color w:val="000000" w:themeColor="text1"/>
          <w:sz w:val="24"/>
          <w:szCs w:val="24"/>
          <w14:textFill>
            <w14:solidFill>
              <w14:schemeClr w14:val="tx1"/>
            </w14:solidFill>
          </w14:textFill>
        </w:rPr>
        <w:fldChar w:fldCharType="end"/>
      </w:r>
      <w:r>
        <w:rPr>
          <w:rFonts w:ascii="Times New Roman" w:hAnsi="Times New Roman"/>
          <w:bCs/>
          <w:color w:val="000000" w:themeColor="text1"/>
          <w:sz w:val="24"/>
          <w:szCs w:val="24"/>
          <w14:textFill>
            <w14:solidFill>
              <w14:schemeClr w14:val="tx1"/>
            </w14:solidFill>
          </w14:textFill>
        </w:rPr>
        <w:t xml:space="preserve"> 电力工程规划图</w:t>
      </w:r>
    </w:p>
    <w:p>
      <w:pPr>
        <w:ind w:firstLine="562"/>
        <w:rPr>
          <w:rFonts w:ascii="Times New Roman" w:hAnsi="Times New Roman"/>
          <w:b/>
        </w:rPr>
      </w:pPr>
      <w:r>
        <w:rPr>
          <w:rFonts w:ascii="Times New Roman" w:hAnsi="Times New Roman"/>
          <w:b/>
        </w:rPr>
        <w:t>（6）电信工程条件</w:t>
      </w:r>
    </w:p>
    <w:p>
      <w:pPr>
        <w:ind w:firstLine="562"/>
        <w:rPr>
          <w:rFonts w:ascii="Times New Roman" w:hAnsi="Times New Roman"/>
        </w:rPr>
      </w:pPr>
      <w:r>
        <w:rPr>
          <w:rFonts w:ascii="Times New Roman" w:hAnsi="Times New Roman"/>
          <w:b/>
        </w:rPr>
        <w:t>邮政设施：</w:t>
      </w:r>
      <w:r>
        <w:rPr>
          <w:rFonts w:ascii="Times New Roman" w:hAnsi="Times New Roman"/>
        </w:rPr>
        <w:t>镇区设置邮政所，位于综合服务组团。</w:t>
      </w:r>
    </w:p>
    <w:p>
      <w:pPr>
        <w:ind w:firstLine="562"/>
        <w:rPr>
          <w:rFonts w:ascii="Times New Roman" w:hAnsi="Times New Roman"/>
        </w:rPr>
      </w:pPr>
      <w:r>
        <w:rPr>
          <w:rFonts w:ascii="Times New Roman" w:hAnsi="Times New Roman"/>
          <w:b/>
        </w:rPr>
        <w:t>电信设施：</w:t>
      </w:r>
      <w:r>
        <w:rPr>
          <w:rFonts w:ascii="Times New Roman" w:hAnsi="Times New Roman"/>
        </w:rPr>
        <w:t>镇区设置电信支局，位于综合服务组团。</w:t>
      </w:r>
    </w:p>
    <w:p>
      <w:pPr>
        <w:ind w:firstLine="562"/>
        <w:rPr>
          <w:rFonts w:ascii="Times New Roman" w:hAnsi="Times New Roman"/>
        </w:rPr>
      </w:pPr>
      <w:r>
        <w:rPr>
          <w:rFonts w:ascii="Times New Roman" w:hAnsi="Times New Roman"/>
          <w:b/>
        </w:rPr>
        <w:t>通信电缆：</w:t>
      </w:r>
      <w:r>
        <w:rPr>
          <w:rFonts w:ascii="Times New Roman" w:hAnsi="Times New Roman"/>
        </w:rPr>
        <w:t>片区内通信线路基本实现地埋敷设。通信管道的建设与道路建设、改造同步进行，管道预留应充分考虑各家通讯运营公司、有线电视网络的业务发展需求，适当考虑电力、交通等其他部门的通信要求，预留合理的超前量，统一规划。</w:t>
      </w:r>
    </w:p>
    <w:p>
      <w:pPr>
        <w:keepNext/>
        <w:ind w:firstLine="0" w:firstLineChars="0"/>
        <w:jc w:val="center"/>
        <w:rPr>
          <w:rFonts w:ascii="Times New Roman" w:hAnsi="Times New Roman"/>
        </w:rPr>
      </w:pPr>
      <w:r>
        <w:rPr>
          <w:rFonts w:ascii="Times New Roman" w:hAnsi="Times New Roman"/>
          <w:bCs/>
          <w:color w:val="000000" w:themeColor="text1"/>
          <w:sz w:val="24"/>
          <w14:textFill>
            <w14:solidFill>
              <w14:schemeClr w14:val="tx1"/>
            </w14:solidFill>
          </w14:textFill>
        </w:rPr>
        <w:drawing>
          <wp:anchor distT="0" distB="0" distL="114300" distR="114300" simplePos="0" relativeHeight="251665408" behindDoc="0" locked="0" layoutInCell="1" allowOverlap="1">
            <wp:simplePos x="0" y="0"/>
            <wp:positionH relativeFrom="column">
              <wp:posOffset>508635</wp:posOffset>
            </wp:positionH>
            <wp:positionV relativeFrom="paragraph">
              <wp:posOffset>130810</wp:posOffset>
            </wp:positionV>
            <wp:extent cx="3174365" cy="3394075"/>
            <wp:effectExtent l="0" t="0" r="0" b="0"/>
            <wp:wrapNone/>
            <wp:docPr id="9" name="图片 9" descr="C:\Users\Lenovo\Desktop\土地征收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Users\Lenovo\Desktop\土地征收2.png"/>
                    <pic:cNvPicPr>
                      <a:picLocks noChangeAspect="1" noChangeArrowheads="1"/>
                    </pic:cNvPicPr>
                  </pic:nvPicPr>
                  <pic:blipFill>
                    <a:blip r:embed="rId16" cstate="print">
                      <a:extLst>
                        <a:ext uri="{28A0092B-C50C-407E-A947-70E740481C1C}">
                          <a14:useLocalDpi xmlns:a14="http://schemas.microsoft.com/office/drawing/2010/main" val="0"/>
                        </a:ext>
                      </a:extLst>
                    </a:blip>
                    <a:srcRect l="23424" r="23901"/>
                    <a:stretch>
                      <a:fillRect/>
                    </a:stretch>
                  </pic:blipFill>
                  <pic:spPr>
                    <a:xfrm>
                      <a:off x="0" y="0"/>
                      <a:ext cx="3174365" cy="3394075"/>
                    </a:xfrm>
                    <a:prstGeom prst="rect">
                      <a:avLst/>
                    </a:prstGeom>
                    <a:noFill/>
                    <a:ln>
                      <a:noFill/>
                    </a:ln>
                  </pic:spPr>
                </pic:pic>
              </a:graphicData>
            </a:graphic>
          </wp:anchor>
        </w:drawing>
      </w:r>
      <w:r>
        <w:rPr>
          <w:rFonts w:ascii="Times New Roman" w:hAnsi="Times New Roman"/>
        </w:rPr>
        <w:drawing>
          <wp:inline distT="0" distB="0" distL="0" distR="0">
            <wp:extent cx="5200015" cy="3728085"/>
            <wp:effectExtent l="0" t="0" r="635" b="5715"/>
            <wp:docPr id="23" name="图片 23" descr="E:\倪田品\2.成片开发\6.杨田\2023-11-13\杨田控规2023-11-06\28 电信工程规划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E:\倪田品\2.成片开发\6.杨田\2023-11-13\杨田控规2023-11-06\28 电信工程规划图.jpg"/>
                    <pic:cNvPicPr>
                      <a:picLocks noChangeAspect="1" noChangeArrowheads="1"/>
                    </pic:cNvPicPr>
                  </pic:nvPicPr>
                  <pic:blipFill>
                    <a:blip r:embed="rId22" cstate="print">
                      <a:extLst>
                        <a:ext uri="{28A0092B-C50C-407E-A947-70E740481C1C}">
                          <a14:useLocalDpi xmlns:a14="http://schemas.microsoft.com/office/drawing/2010/main" val="0"/>
                        </a:ext>
                      </a:extLst>
                    </a:blip>
                    <a:srcRect l="4533" t="3480" r="4793" b="4578"/>
                    <a:stretch>
                      <a:fillRect/>
                    </a:stretch>
                  </pic:blipFill>
                  <pic:spPr>
                    <a:xfrm>
                      <a:off x="0" y="0"/>
                      <a:ext cx="5212557" cy="3737293"/>
                    </a:xfrm>
                    <a:prstGeom prst="rect">
                      <a:avLst/>
                    </a:prstGeom>
                    <a:noFill/>
                    <a:ln>
                      <a:noFill/>
                    </a:ln>
                  </pic:spPr>
                </pic:pic>
              </a:graphicData>
            </a:graphic>
          </wp:inline>
        </w:drawing>
      </w:r>
    </w:p>
    <w:p>
      <w:pPr>
        <w:pStyle w:val="5"/>
        <w:ind w:firstLine="0" w:firstLineChars="0"/>
        <w:jc w:val="center"/>
        <w:rPr>
          <w:rFonts w:ascii="Times New Roman" w:hAnsi="Times New Roman"/>
          <w:bCs/>
          <w:color w:val="000000" w:themeColor="text1"/>
          <w:sz w:val="24"/>
          <w:szCs w:val="24"/>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 xml:space="preserve">图 </w:t>
      </w:r>
      <w:r>
        <w:rPr>
          <w:rFonts w:ascii="Times New Roman" w:hAnsi="Times New Roman"/>
          <w:bCs/>
          <w:color w:val="000000" w:themeColor="text1"/>
          <w:sz w:val="24"/>
          <w:szCs w:val="24"/>
          <w14:textFill>
            <w14:solidFill>
              <w14:schemeClr w14:val="tx1"/>
            </w14:solidFill>
          </w14:textFill>
        </w:rPr>
        <w:fldChar w:fldCharType="begin"/>
      </w:r>
      <w:r>
        <w:rPr>
          <w:rFonts w:ascii="Times New Roman" w:hAnsi="Times New Roman"/>
          <w:bCs/>
          <w:color w:val="000000" w:themeColor="text1"/>
          <w:sz w:val="24"/>
          <w:szCs w:val="24"/>
          <w14:textFill>
            <w14:solidFill>
              <w14:schemeClr w14:val="tx1"/>
            </w14:solidFill>
          </w14:textFill>
        </w:rPr>
        <w:instrText xml:space="preserve"> SEQ 图 \* ARABIC </w:instrText>
      </w:r>
      <w:r>
        <w:rPr>
          <w:rFonts w:ascii="Times New Roman" w:hAnsi="Times New Roman"/>
          <w:bCs/>
          <w:color w:val="000000" w:themeColor="text1"/>
          <w:sz w:val="24"/>
          <w:szCs w:val="24"/>
          <w14:textFill>
            <w14:solidFill>
              <w14:schemeClr w14:val="tx1"/>
            </w14:solidFill>
          </w14:textFill>
        </w:rPr>
        <w:fldChar w:fldCharType="separate"/>
      </w:r>
      <w:r>
        <w:rPr>
          <w:rFonts w:ascii="Times New Roman" w:hAnsi="Times New Roman"/>
          <w:bCs/>
          <w:color w:val="000000" w:themeColor="text1"/>
          <w:sz w:val="24"/>
          <w:szCs w:val="24"/>
          <w14:textFill>
            <w14:solidFill>
              <w14:schemeClr w14:val="tx1"/>
            </w14:solidFill>
          </w14:textFill>
        </w:rPr>
        <w:t>9</w:t>
      </w:r>
      <w:r>
        <w:rPr>
          <w:rFonts w:ascii="Times New Roman" w:hAnsi="Times New Roman"/>
          <w:bCs/>
          <w:color w:val="000000" w:themeColor="text1"/>
          <w:sz w:val="24"/>
          <w:szCs w:val="24"/>
          <w14:textFill>
            <w14:solidFill>
              <w14:schemeClr w14:val="tx1"/>
            </w14:solidFill>
          </w14:textFill>
        </w:rPr>
        <w:fldChar w:fldCharType="end"/>
      </w:r>
      <w:r>
        <w:rPr>
          <w:rFonts w:ascii="Times New Roman" w:hAnsi="Times New Roman"/>
          <w:bCs/>
          <w:color w:val="000000" w:themeColor="text1"/>
          <w:sz w:val="24"/>
          <w:szCs w:val="24"/>
          <w14:textFill>
            <w14:solidFill>
              <w14:schemeClr w14:val="tx1"/>
            </w14:solidFill>
          </w14:textFill>
        </w:rPr>
        <w:t xml:space="preserve"> 电信工程规划图</w:t>
      </w:r>
    </w:p>
    <w:p>
      <w:pPr>
        <w:ind w:firstLine="562"/>
        <w:rPr>
          <w:rFonts w:ascii="Times New Roman" w:hAnsi="Times New Roman"/>
          <w:b/>
        </w:rPr>
      </w:pPr>
      <w:r>
        <w:rPr>
          <w:rFonts w:ascii="Times New Roman" w:hAnsi="Times New Roman"/>
          <w:b/>
        </w:rPr>
        <w:t>（7）燃气工程条件</w:t>
      </w:r>
    </w:p>
    <w:p>
      <w:pPr>
        <w:ind w:firstLine="562"/>
        <w:rPr>
          <w:rFonts w:ascii="Times New Roman" w:hAnsi="Times New Roman"/>
        </w:rPr>
      </w:pPr>
      <w:r>
        <w:rPr>
          <w:rFonts w:ascii="Times New Roman" w:hAnsi="Times New Roman"/>
          <w:b/>
        </w:rPr>
        <w:t>气源条件：</w:t>
      </w:r>
      <w:r>
        <w:rPr>
          <w:rFonts w:ascii="Times New Roman" w:hAnsi="Times New Roman"/>
        </w:rPr>
        <w:t>杨田镇片区燃气气源为青阳县城区燃气管网。</w:t>
      </w:r>
    </w:p>
    <w:p>
      <w:pPr>
        <w:ind w:firstLine="562"/>
        <w:rPr>
          <w:rFonts w:ascii="Times New Roman" w:hAnsi="Times New Roman"/>
        </w:rPr>
      </w:pPr>
      <w:r>
        <w:rPr>
          <w:rFonts w:ascii="Times New Roman" w:hAnsi="Times New Roman"/>
          <w:b/>
        </w:rPr>
        <w:t>燃气管道：</w:t>
      </w:r>
      <w:r>
        <w:rPr>
          <w:rFonts w:ascii="Times New Roman" w:hAnsi="Times New Roman"/>
        </w:rPr>
        <w:t>规划要求天然气管道采用中级压力管网系统。中压管管径为DE160毫米～DE315毫米。管道尽量敷设在慢车道、人行道或绿化带下。</w:t>
      </w:r>
    </w:p>
    <w:p>
      <w:pPr>
        <w:keepNext/>
        <w:ind w:firstLine="0" w:firstLineChars="0"/>
        <w:jc w:val="center"/>
        <w:rPr>
          <w:rFonts w:ascii="Times New Roman" w:hAnsi="Times New Roman"/>
        </w:rPr>
      </w:pPr>
      <w:r>
        <w:rPr>
          <w:rFonts w:ascii="Times New Roman" w:hAnsi="Times New Roman"/>
          <w:bCs/>
          <w:color w:val="000000" w:themeColor="text1"/>
          <w:sz w:val="24"/>
          <w14:textFill>
            <w14:solidFill>
              <w14:schemeClr w14:val="tx1"/>
            </w14:solidFill>
          </w14:textFill>
        </w:rPr>
        <w:drawing>
          <wp:anchor distT="0" distB="0" distL="114300" distR="114300" simplePos="0" relativeHeight="251666432" behindDoc="0" locked="0" layoutInCell="1" allowOverlap="1">
            <wp:simplePos x="0" y="0"/>
            <wp:positionH relativeFrom="column">
              <wp:posOffset>508635</wp:posOffset>
            </wp:positionH>
            <wp:positionV relativeFrom="paragraph">
              <wp:posOffset>124460</wp:posOffset>
            </wp:positionV>
            <wp:extent cx="3174365" cy="3394075"/>
            <wp:effectExtent l="0" t="0" r="0" b="0"/>
            <wp:wrapNone/>
            <wp:docPr id="11" name="图片 11" descr="C:\Users\Lenovo\Desktop\土地征收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C:\Users\Lenovo\Desktop\土地征收2.png"/>
                    <pic:cNvPicPr>
                      <a:picLocks noChangeAspect="1" noChangeArrowheads="1"/>
                    </pic:cNvPicPr>
                  </pic:nvPicPr>
                  <pic:blipFill>
                    <a:blip r:embed="rId16" cstate="print">
                      <a:extLst>
                        <a:ext uri="{28A0092B-C50C-407E-A947-70E740481C1C}">
                          <a14:useLocalDpi xmlns:a14="http://schemas.microsoft.com/office/drawing/2010/main" val="0"/>
                        </a:ext>
                      </a:extLst>
                    </a:blip>
                    <a:srcRect l="23424" r="23901"/>
                    <a:stretch>
                      <a:fillRect/>
                    </a:stretch>
                  </pic:blipFill>
                  <pic:spPr>
                    <a:xfrm>
                      <a:off x="0" y="0"/>
                      <a:ext cx="3174365" cy="3394075"/>
                    </a:xfrm>
                    <a:prstGeom prst="rect">
                      <a:avLst/>
                    </a:prstGeom>
                    <a:noFill/>
                    <a:ln>
                      <a:noFill/>
                    </a:ln>
                  </pic:spPr>
                </pic:pic>
              </a:graphicData>
            </a:graphic>
          </wp:anchor>
        </w:drawing>
      </w:r>
      <w:r>
        <w:rPr>
          <w:rFonts w:ascii="Times New Roman" w:hAnsi="Times New Roman"/>
        </w:rPr>
        <w:drawing>
          <wp:inline distT="0" distB="0" distL="0" distR="0">
            <wp:extent cx="5198745" cy="3736975"/>
            <wp:effectExtent l="0" t="0" r="1905" b="0"/>
            <wp:docPr id="24" name="图片 24" descr="E:\倪田品\2.成片开发\6.杨田\2023-11-13\杨田控规2023-11-06\29 燃气工程规划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E:\倪田品\2.成片开发\6.杨田\2023-11-13\杨田控规2023-11-06\29 燃气工程规划图.jpg"/>
                    <pic:cNvPicPr>
                      <a:picLocks noChangeAspect="1" noChangeArrowheads="1"/>
                    </pic:cNvPicPr>
                  </pic:nvPicPr>
                  <pic:blipFill>
                    <a:blip r:embed="rId23" cstate="print">
                      <a:extLst>
                        <a:ext uri="{28A0092B-C50C-407E-A947-70E740481C1C}">
                          <a14:useLocalDpi xmlns:a14="http://schemas.microsoft.com/office/drawing/2010/main" val="0"/>
                        </a:ext>
                      </a:extLst>
                    </a:blip>
                    <a:srcRect l="4532" t="3297" r="4663" b="4396"/>
                    <a:stretch>
                      <a:fillRect/>
                    </a:stretch>
                  </pic:blipFill>
                  <pic:spPr>
                    <a:xfrm>
                      <a:off x="0" y="0"/>
                      <a:ext cx="5202304" cy="3739463"/>
                    </a:xfrm>
                    <a:prstGeom prst="rect">
                      <a:avLst/>
                    </a:prstGeom>
                    <a:noFill/>
                    <a:ln>
                      <a:noFill/>
                    </a:ln>
                  </pic:spPr>
                </pic:pic>
              </a:graphicData>
            </a:graphic>
          </wp:inline>
        </w:drawing>
      </w:r>
    </w:p>
    <w:p>
      <w:pPr>
        <w:pStyle w:val="5"/>
        <w:ind w:firstLine="0" w:firstLineChars="0"/>
        <w:jc w:val="center"/>
        <w:rPr>
          <w:rFonts w:ascii="Times New Roman" w:hAnsi="Times New Roman"/>
          <w:bCs/>
          <w:color w:val="000000" w:themeColor="text1"/>
          <w:sz w:val="24"/>
          <w:szCs w:val="24"/>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 xml:space="preserve">图 </w:t>
      </w:r>
      <w:r>
        <w:rPr>
          <w:rFonts w:ascii="Times New Roman" w:hAnsi="Times New Roman"/>
          <w:bCs/>
          <w:color w:val="000000" w:themeColor="text1"/>
          <w:sz w:val="24"/>
          <w:szCs w:val="24"/>
          <w14:textFill>
            <w14:solidFill>
              <w14:schemeClr w14:val="tx1"/>
            </w14:solidFill>
          </w14:textFill>
        </w:rPr>
        <w:fldChar w:fldCharType="begin"/>
      </w:r>
      <w:r>
        <w:rPr>
          <w:rFonts w:ascii="Times New Roman" w:hAnsi="Times New Roman"/>
          <w:bCs/>
          <w:color w:val="000000" w:themeColor="text1"/>
          <w:sz w:val="24"/>
          <w:szCs w:val="24"/>
          <w14:textFill>
            <w14:solidFill>
              <w14:schemeClr w14:val="tx1"/>
            </w14:solidFill>
          </w14:textFill>
        </w:rPr>
        <w:instrText xml:space="preserve"> SEQ 图 \* ARABIC </w:instrText>
      </w:r>
      <w:r>
        <w:rPr>
          <w:rFonts w:ascii="Times New Roman" w:hAnsi="Times New Roman"/>
          <w:bCs/>
          <w:color w:val="000000" w:themeColor="text1"/>
          <w:sz w:val="24"/>
          <w:szCs w:val="24"/>
          <w14:textFill>
            <w14:solidFill>
              <w14:schemeClr w14:val="tx1"/>
            </w14:solidFill>
          </w14:textFill>
        </w:rPr>
        <w:fldChar w:fldCharType="separate"/>
      </w:r>
      <w:r>
        <w:rPr>
          <w:rFonts w:ascii="Times New Roman" w:hAnsi="Times New Roman"/>
          <w:bCs/>
          <w:color w:val="000000" w:themeColor="text1"/>
          <w:sz w:val="24"/>
          <w:szCs w:val="24"/>
          <w14:textFill>
            <w14:solidFill>
              <w14:schemeClr w14:val="tx1"/>
            </w14:solidFill>
          </w14:textFill>
        </w:rPr>
        <w:t>10</w:t>
      </w:r>
      <w:r>
        <w:rPr>
          <w:rFonts w:ascii="Times New Roman" w:hAnsi="Times New Roman"/>
          <w:bCs/>
          <w:color w:val="000000" w:themeColor="text1"/>
          <w:sz w:val="24"/>
          <w:szCs w:val="24"/>
          <w14:textFill>
            <w14:solidFill>
              <w14:schemeClr w14:val="tx1"/>
            </w14:solidFill>
          </w14:textFill>
        </w:rPr>
        <w:fldChar w:fldCharType="end"/>
      </w:r>
      <w:r>
        <w:rPr>
          <w:rFonts w:ascii="Times New Roman" w:hAnsi="Times New Roman"/>
          <w:bCs/>
          <w:color w:val="000000" w:themeColor="text1"/>
          <w:sz w:val="24"/>
          <w:szCs w:val="24"/>
          <w14:textFill>
            <w14:solidFill>
              <w14:schemeClr w14:val="tx1"/>
            </w14:solidFill>
          </w14:textFill>
        </w:rPr>
        <w:t xml:space="preserve"> 燃气工程规划图</w:t>
      </w:r>
    </w:p>
    <w:p>
      <w:pPr>
        <w:ind w:firstLine="562"/>
        <w:rPr>
          <w:rFonts w:ascii="Times New Roman" w:hAnsi="Times New Roman"/>
          <w:b/>
        </w:rPr>
      </w:pPr>
      <w:r>
        <w:rPr>
          <w:rFonts w:ascii="Times New Roman" w:hAnsi="Times New Roman"/>
          <w:b/>
        </w:rPr>
        <w:t>（8）环卫工程条件</w:t>
      </w:r>
    </w:p>
    <w:p>
      <w:pPr>
        <w:ind w:firstLine="562"/>
        <w:rPr>
          <w:rFonts w:ascii="Times New Roman" w:hAnsi="Times New Roman"/>
        </w:rPr>
      </w:pPr>
      <w:r>
        <w:rPr>
          <w:rFonts w:ascii="Times New Roman" w:hAnsi="Times New Roman"/>
          <w:b/>
        </w:rPr>
        <w:t>垃圾转运站：</w:t>
      </w:r>
      <w:r>
        <w:rPr>
          <w:rFonts w:ascii="Times New Roman" w:hAnsi="Times New Roman"/>
        </w:rPr>
        <w:t>不单独设置地块，与排水用地合并设置，承担整个杨田镇镇区垃圾转运功能。</w:t>
      </w:r>
    </w:p>
    <w:p>
      <w:pPr>
        <w:ind w:firstLine="562"/>
        <w:rPr>
          <w:rFonts w:ascii="Times New Roman" w:hAnsi="Times New Roman"/>
        </w:rPr>
      </w:pPr>
      <w:r>
        <w:rPr>
          <w:rFonts w:ascii="Times New Roman" w:hAnsi="Times New Roman"/>
          <w:b/>
        </w:rPr>
        <w:t>生活垃圾收集点：</w:t>
      </w:r>
      <w:r>
        <w:rPr>
          <w:rFonts w:ascii="Times New Roman" w:hAnsi="Times New Roman"/>
        </w:rPr>
        <w:t>生活垃圾收集点的服务半径一般不应超过70米。</w:t>
      </w:r>
    </w:p>
    <w:p>
      <w:pPr>
        <w:ind w:firstLine="562"/>
        <w:rPr>
          <w:rFonts w:ascii="Times New Roman" w:hAnsi="Times New Roman"/>
        </w:rPr>
      </w:pPr>
      <w:r>
        <w:rPr>
          <w:rFonts w:ascii="Times New Roman" w:hAnsi="Times New Roman"/>
          <w:b/>
        </w:rPr>
        <w:t>废物箱：</w:t>
      </w:r>
      <w:r>
        <w:rPr>
          <w:rFonts w:ascii="Times New Roman" w:hAnsi="Times New Roman"/>
        </w:rPr>
        <w:t>废物箱一般设置在道路两旁和路口，应美观、卫生、耐用，并能防雨、阻燃。其设置标准；交通干道间隔50～80米设一个，一般道路间隔80～100米设一个。</w:t>
      </w:r>
    </w:p>
    <w:p>
      <w:pPr>
        <w:ind w:firstLine="562"/>
        <w:rPr>
          <w:rFonts w:ascii="Times New Roman" w:hAnsi="Times New Roman"/>
        </w:rPr>
      </w:pPr>
      <w:r>
        <w:rPr>
          <w:rFonts w:ascii="Times New Roman" w:hAnsi="Times New Roman"/>
          <w:b/>
        </w:rPr>
        <w:t>环卫职工休息处：</w:t>
      </w:r>
      <w:r>
        <w:rPr>
          <w:rFonts w:ascii="Times New Roman" w:hAnsi="Times New Roman"/>
        </w:rPr>
        <w:t>为改善环卫工人工作休息环境，本区设置环卫工人休息站1处，与垃圾中转站合建。</w:t>
      </w:r>
    </w:p>
    <w:p>
      <w:pPr>
        <w:ind w:firstLine="562"/>
        <w:rPr>
          <w:rFonts w:ascii="Times New Roman" w:hAnsi="Times New Roman"/>
        </w:rPr>
      </w:pPr>
      <w:r>
        <w:rPr>
          <w:rFonts w:ascii="Times New Roman" w:hAnsi="Times New Roman"/>
          <w:b/>
        </w:rPr>
        <w:t>洒水车供水器：</w:t>
      </w:r>
      <w:r>
        <w:rPr>
          <w:rFonts w:ascii="Times New Roman" w:hAnsi="Times New Roman"/>
        </w:rPr>
        <w:t>为节省投资，又方便洒水车给水，降低运行费用，规划在石安片区主要道路上设置部分消防栓作为环卫洒水车供水器。</w:t>
      </w:r>
    </w:p>
    <w:p>
      <w:pPr>
        <w:keepNext/>
        <w:ind w:firstLine="0" w:firstLineChars="0"/>
        <w:jc w:val="center"/>
        <w:rPr>
          <w:rFonts w:ascii="Times New Roman" w:hAnsi="Times New Roman"/>
        </w:rPr>
      </w:pPr>
      <w:r>
        <w:rPr>
          <w:rFonts w:ascii="Times New Roman" w:hAnsi="Times New Roman"/>
          <w:bCs/>
          <w:color w:val="000000" w:themeColor="text1"/>
          <w:sz w:val="24"/>
          <w14:textFill>
            <w14:solidFill>
              <w14:schemeClr w14:val="tx1"/>
            </w14:solidFill>
          </w14:textFill>
        </w:rPr>
        <w:drawing>
          <wp:anchor distT="0" distB="0" distL="114300" distR="114300" simplePos="0" relativeHeight="251667456" behindDoc="0" locked="0" layoutInCell="1" allowOverlap="1">
            <wp:simplePos x="0" y="0"/>
            <wp:positionH relativeFrom="column">
              <wp:posOffset>502285</wp:posOffset>
            </wp:positionH>
            <wp:positionV relativeFrom="paragraph">
              <wp:posOffset>135890</wp:posOffset>
            </wp:positionV>
            <wp:extent cx="3174365" cy="3394075"/>
            <wp:effectExtent l="0" t="0" r="0" b="0"/>
            <wp:wrapNone/>
            <wp:docPr id="21" name="图片 21" descr="C:\Users\Lenovo\Desktop\土地征收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C:\Users\Lenovo\Desktop\土地征收2.png"/>
                    <pic:cNvPicPr>
                      <a:picLocks noChangeAspect="1" noChangeArrowheads="1"/>
                    </pic:cNvPicPr>
                  </pic:nvPicPr>
                  <pic:blipFill>
                    <a:blip r:embed="rId16" cstate="print">
                      <a:extLst>
                        <a:ext uri="{28A0092B-C50C-407E-A947-70E740481C1C}">
                          <a14:useLocalDpi xmlns:a14="http://schemas.microsoft.com/office/drawing/2010/main" val="0"/>
                        </a:ext>
                      </a:extLst>
                    </a:blip>
                    <a:srcRect l="23424" r="23901"/>
                    <a:stretch>
                      <a:fillRect/>
                    </a:stretch>
                  </pic:blipFill>
                  <pic:spPr>
                    <a:xfrm>
                      <a:off x="0" y="0"/>
                      <a:ext cx="3174365" cy="3394075"/>
                    </a:xfrm>
                    <a:prstGeom prst="rect">
                      <a:avLst/>
                    </a:prstGeom>
                    <a:noFill/>
                    <a:ln>
                      <a:noFill/>
                    </a:ln>
                  </pic:spPr>
                </pic:pic>
              </a:graphicData>
            </a:graphic>
          </wp:anchor>
        </w:drawing>
      </w:r>
      <w:r>
        <w:rPr>
          <w:rFonts w:ascii="Times New Roman" w:hAnsi="Times New Roman"/>
        </w:rPr>
        <w:drawing>
          <wp:inline distT="0" distB="0" distL="0" distR="0">
            <wp:extent cx="5243830" cy="3736975"/>
            <wp:effectExtent l="0" t="0" r="0" b="0"/>
            <wp:docPr id="25" name="图片 25" descr="E:\倪田品\2.成片开发\6.杨田\2023-11-13\杨田控规2023-11-06\30 环卫工程规划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E:\倪田品\2.成片开发\6.杨田\2023-11-13\杨田控规2023-11-06\30 环卫工程规划图.jpg"/>
                    <pic:cNvPicPr>
                      <a:picLocks noChangeAspect="1" noChangeArrowheads="1"/>
                    </pic:cNvPicPr>
                  </pic:nvPicPr>
                  <pic:blipFill>
                    <a:blip r:embed="rId24" cstate="print">
                      <a:extLst>
                        <a:ext uri="{28A0092B-C50C-407E-A947-70E740481C1C}">
                          <a14:useLocalDpi xmlns:a14="http://schemas.microsoft.com/office/drawing/2010/main" val="0"/>
                        </a:ext>
                      </a:extLst>
                    </a:blip>
                    <a:srcRect l="4528" t="3657" r="4528" b="4732"/>
                    <a:stretch>
                      <a:fillRect/>
                    </a:stretch>
                  </pic:blipFill>
                  <pic:spPr>
                    <a:xfrm>
                      <a:off x="0" y="0"/>
                      <a:ext cx="5242890" cy="3736398"/>
                    </a:xfrm>
                    <a:prstGeom prst="rect">
                      <a:avLst/>
                    </a:prstGeom>
                    <a:noFill/>
                    <a:ln>
                      <a:noFill/>
                    </a:ln>
                  </pic:spPr>
                </pic:pic>
              </a:graphicData>
            </a:graphic>
          </wp:inline>
        </w:drawing>
      </w:r>
    </w:p>
    <w:p>
      <w:pPr>
        <w:pStyle w:val="5"/>
        <w:ind w:firstLine="0" w:firstLineChars="0"/>
        <w:jc w:val="center"/>
        <w:rPr>
          <w:rFonts w:ascii="Times New Roman" w:hAnsi="Times New Roman"/>
          <w:bCs/>
          <w:color w:val="000000" w:themeColor="text1"/>
          <w:sz w:val="24"/>
          <w:szCs w:val="24"/>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 xml:space="preserve">图 </w:t>
      </w:r>
      <w:r>
        <w:rPr>
          <w:rFonts w:ascii="Times New Roman" w:hAnsi="Times New Roman"/>
          <w:bCs/>
          <w:color w:val="000000" w:themeColor="text1"/>
          <w:sz w:val="24"/>
          <w:szCs w:val="24"/>
          <w14:textFill>
            <w14:solidFill>
              <w14:schemeClr w14:val="tx1"/>
            </w14:solidFill>
          </w14:textFill>
        </w:rPr>
        <w:fldChar w:fldCharType="begin"/>
      </w:r>
      <w:r>
        <w:rPr>
          <w:rFonts w:ascii="Times New Roman" w:hAnsi="Times New Roman"/>
          <w:bCs/>
          <w:color w:val="000000" w:themeColor="text1"/>
          <w:sz w:val="24"/>
          <w:szCs w:val="24"/>
          <w14:textFill>
            <w14:solidFill>
              <w14:schemeClr w14:val="tx1"/>
            </w14:solidFill>
          </w14:textFill>
        </w:rPr>
        <w:instrText xml:space="preserve"> SEQ 图 \* ARABIC </w:instrText>
      </w:r>
      <w:r>
        <w:rPr>
          <w:rFonts w:ascii="Times New Roman" w:hAnsi="Times New Roman"/>
          <w:bCs/>
          <w:color w:val="000000" w:themeColor="text1"/>
          <w:sz w:val="24"/>
          <w:szCs w:val="24"/>
          <w14:textFill>
            <w14:solidFill>
              <w14:schemeClr w14:val="tx1"/>
            </w14:solidFill>
          </w14:textFill>
        </w:rPr>
        <w:fldChar w:fldCharType="separate"/>
      </w:r>
      <w:r>
        <w:rPr>
          <w:rFonts w:ascii="Times New Roman" w:hAnsi="Times New Roman"/>
          <w:bCs/>
          <w:color w:val="000000" w:themeColor="text1"/>
          <w:sz w:val="24"/>
          <w:szCs w:val="24"/>
          <w14:textFill>
            <w14:solidFill>
              <w14:schemeClr w14:val="tx1"/>
            </w14:solidFill>
          </w14:textFill>
        </w:rPr>
        <w:t>11</w:t>
      </w:r>
      <w:r>
        <w:rPr>
          <w:rFonts w:ascii="Times New Roman" w:hAnsi="Times New Roman"/>
          <w:bCs/>
          <w:color w:val="000000" w:themeColor="text1"/>
          <w:sz w:val="24"/>
          <w:szCs w:val="24"/>
          <w14:textFill>
            <w14:solidFill>
              <w14:schemeClr w14:val="tx1"/>
            </w14:solidFill>
          </w14:textFill>
        </w:rPr>
        <w:fldChar w:fldCharType="end"/>
      </w:r>
      <w:r>
        <w:rPr>
          <w:rFonts w:ascii="Times New Roman" w:hAnsi="Times New Roman"/>
          <w:bCs/>
          <w:color w:val="000000" w:themeColor="text1"/>
          <w:sz w:val="24"/>
          <w:szCs w:val="24"/>
          <w14:textFill>
            <w14:solidFill>
              <w14:schemeClr w14:val="tx1"/>
            </w14:solidFill>
          </w14:textFill>
        </w:rPr>
        <w:t xml:space="preserve"> 环卫工程规划图</w:t>
      </w:r>
    </w:p>
    <w:p>
      <w:pPr>
        <w:ind w:firstLine="562"/>
        <w:rPr>
          <w:rFonts w:ascii="Times New Roman" w:hAnsi="Times New Roman"/>
        </w:rPr>
      </w:pPr>
      <w:r>
        <w:rPr>
          <w:rFonts w:ascii="Times New Roman" w:hAnsi="Times New Roman"/>
          <w:b/>
        </w:rPr>
        <w:t>（9）医疗教育设施条件</w:t>
      </w:r>
    </w:p>
    <w:p>
      <w:pPr>
        <w:ind w:firstLine="560"/>
        <w:rPr>
          <w:rFonts w:ascii="Times New Roman" w:hAnsi="Times New Roman"/>
        </w:rPr>
      </w:pPr>
      <w:r>
        <w:rPr>
          <w:rFonts w:ascii="Times New Roman" w:hAnsi="Times New Roman"/>
        </w:rPr>
        <w:t>本片区位于主城区东南部，通过G330与主城区相连。青阳县蓉城镇卫生院、青阳县人民医院新院区、蓉城社区卫生服务中心均分布在片区5公里范围内，基本满足现阶段医疗需求。片区周边5公里内有青阳县第二幼儿园、第五幼儿园、南部新区幼儿园、光明幼儿园等多座幼儿园，中学依靠杨田中学、青阳县第四中学等学校，能满足该片区居民教育需求。</w:t>
      </w:r>
    </w:p>
    <w:p>
      <w:pPr>
        <w:pStyle w:val="2"/>
        <w:jc w:val="both"/>
        <w:rPr>
          <w:rFonts w:ascii="Times New Roman" w:hAnsi="Times New Roman" w:cs="Times New Roman"/>
        </w:rPr>
      </w:pPr>
      <w:bookmarkStart w:id="3" w:name="_Toc161222809"/>
      <w:r>
        <w:rPr>
          <w:rFonts w:ascii="Times New Roman" w:hAnsi="Times New Roman" w:cs="Times New Roman"/>
        </w:rPr>
        <w:t>成片开发的必要性、主要用途和实现的功能</w:t>
      </w:r>
      <w:bookmarkEnd w:id="3"/>
    </w:p>
    <w:p>
      <w:pPr>
        <w:pStyle w:val="3"/>
        <w:rPr>
          <w:rFonts w:ascii="Times New Roman" w:hAnsi="Times New Roman"/>
        </w:rPr>
      </w:pPr>
      <w:bookmarkStart w:id="4" w:name="_Toc161222810"/>
      <w:r>
        <w:rPr>
          <w:rFonts w:ascii="Times New Roman" w:hAnsi="Times New Roman"/>
        </w:rPr>
        <w:t>必要性</w:t>
      </w:r>
      <w:bookmarkEnd w:id="4"/>
    </w:p>
    <w:p>
      <w:pPr>
        <w:ind w:firstLine="560"/>
        <w:rPr>
          <w:rFonts w:ascii="Times New Roman" w:hAnsi="Times New Roman"/>
        </w:rPr>
      </w:pPr>
      <w:r>
        <w:rPr>
          <w:rFonts w:ascii="Times New Roman" w:hAnsi="Times New Roman"/>
        </w:rPr>
        <w:t>（1）在实现国民经济和社会发展规划方面</w:t>
      </w:r>
    </w:p>
    <w:p>
      <w:pPr>
        <w:ind w:firstLine="560"/>
        <w:rPr>
          <w:rFonts w:ascii="Times New Roman" w:hAnsi="Times New Roman"/>
        </w:rPr>
      </w:pPr>
      <w:r>
        <w:rPr>
          <w:rFonts w:ascii="Times New Roman" w:hAnsi="Times New Roman"/>
        </w:rPr>
        <w:t>青阳县杨田镇片区是杨田镇发展的重要板块之一，是青阳县十四五期间重要的建设区域，与青阳县十四五发展谋划相契合。成片开发方案的编制实施可以改善地区产业结构、提升综合竞争力、促进地方发展、增加就业机会。</w:t>
      </w:r>
    </w:p>
    <w:p>
      <w:pPr>
        <w:ind w:firstLine="560"/>
        <w:rPr>
          <w:rFonts w:ascii="Times New Roman" w:hAnsi="Times New Roman"/>
        </w:rPr>
      </w:pPr>
      <w:r>
        <w:rPr>
          <w:rFonts w:ascii="Times New Roman" w:hAnsi="Times New Roman"/>
        </w:rPr>
        <w:t>《青阳县国民经济和社会发展第十四个五年规划和2035年远景目标纲要》规划指出：以集群集聚、智能转型、数字化建设为方向，以“融带、接链”为路径，优化存量、培育增量、提升质量、扩大总量，推动“双百亿”产业与现代服务业融合发展，努力构建智能、绿色、高效的新型工业经济体系。</w:t>
      </w:r>
    </w:p>
    <w:p>
      <w:pPr>
        <w:ind w:firstLine="560"/>
        <w:rPr>
          <w:rFonts w:ascii="Times New Roman" w:hAnsi="Times New Roman"/>
        </w:rPr>
      </w:pPr>
      <w:r>
        <w:rPr>
          <w:rFonts w:ascii="Times New Roman" w:hAnsi="Times New Roman"/>
        </w:rPr>
        <w:t>《青阳县国民经济和社会发展第十四个五年规划和2035年远景目标纲要》规划同时要求：加强项目用地用能等要素保障，对重大投资项目开设绿色通道。围绕中心城区、经济开发区（东河园、木镇园、新河园、童埠新区）、各乡镇中心集镇商贸及工业区等重点开发片区开发建设，编制实施土地征收成片开发方案，建立土地征收成片开发项目储备库。</w:t>
      </w:r>
    </w:p>
    <w:p>
      <w:pPr>
        <w:ind w:firstLine="560"/>
        <w:rPr>
          <w:rFonts w:ascii="Times New Roman" w:hAnsi="Times New Roman"/>
        </w:rPr>
      </w:pPr>
      <w:r>
        <w:rPr>
          <w:rFonts w:ascii="Times New Roman" w:hAnsi="Times New Roman"/>
        </w:rPr>
        <w:t>（2）在实施国土空间规划方面</w:t>
      </w:r>
    </w:p>
    <w:p>
      <w:pPr>
        <w:ind w:firstLine="560"/>
        <w:rPr>
          <w:rFonts w:ascii="Times New Roman" w:hAnsi="Times New Roman"/>
        </w:rPr>
      </w:pPr>
      <w:r>
        <w:rPr>
          <w:rFonts w:ascii="Times New Roman" w:hAnsi="Times New Roman"/>
        </w:rPr>
        <w:t>强化《青阳县国土空间总体规划（2021-2035年）》、《青阳县杨田镇镇区控制性详细规划》实施，本片区明确新材料加工、新型生物农资、轻工制造为重点配套产业，以制造业为主，培育龙头企业，配套仓储、物流、办公，工业产品孵化，引导关联产业集群发展，从而形成产业聚集，产业链配套，建成新的示范区。</w:t>
      </w:r>
    </w:p>
    <w:p>
      <w:pPr>
        <w:ind w:firstLine="560"/>
        <w:rPr>
          <w:rFonts w:ascii="Times New Roman" w:hAnsi="Times New Roman"/>
        </w:rPr>
      </w:pPr>
      <w:r>
        <w:rPr>
          <w:rFonts w:ascii="Times New Roman" w:hAnsi="Times New Roman"/>
        </w:rPr>
        <w:t>（3）在满足城镇开发需求方面</w:t>
      </w:r>
    </w:p>
    <w:p>
      <w:pPr>
        <w:ind w:firstLine="560"/>
        <w:rPr>
          <w:rFonts w:ascii="Times New Roman" w:hAnsi="Times New Roman"/>
        </w:rPr>
      </w:pPr>
      <w:r>
        <w:rPr>
          <w:rFonts w:ascii="Times New Roman" w:hAnsi="Times New Roman"/>
        </w:rPr>
        <w:t>本片区建设时间较长，长时间的发展导致片区范围内的建设用地已经无法满足新进企业的用地需求，需要通过成片开发，保障后期入驻企业的用地需求；另一方面，片区内原本基础设施、公共服务设施已经不能满足发展的需求，需要提升改进相关基础设施和公共服务设施。同时通过成片开发把片区内一些规划条件不理想以及利用效率较低的土地统一规划、统一开发，激活存量上地，提高了土地资源的配置效率和节约集约利用水平。</w:t>
      </w:r>
    </w:p>
    <w:p>
      <w:pPr>
        <w:ind w:firstLine="560"/>
        <w:rPr>
          <w:rFonts w:ascii="Times New Roman" w:hAnsi="Times New Roman"/>
        </w:rPr>
      </w:pPr>
      <w:r>
        <w:rPr>
          <w:rFonts w:ascii="Times New Roman" w:hAnsi="Times New Roman"/>
        </w:rPr>
        <w:t>（4）在实现规划所确定的主要城市功能方面</w:t>
      </w:r>
    </w:p>
    <w:p>
      <w:pPr>
        <w:ind w:firstLine="560"/>
        <w:rPr>
          <w:rFonts w:ascii="Times New Roman" w:hAnsi="Times New Roman"/>
        </w:rPr>
      </w:pPr>
      <w:r>
        <w:rPr>
          <w:rFonts w:ascii="Times New Roman" w:hAnsi="Times New Roman"/>
        </w:rPr>
        <w:t>随着杨田镇建设和招商引资力度的加大，工业企业入驻将增加地方劳动就业岗位、减少适龄劳动人口外流，同时片区的发展能够带动周边第三产业发展，也能增加国民生产总值和地方财政税收。工业企业的入驻需要有足够的土地载体，迫切要求编制片区成片开发方案，以规范推进片区建设。</w:t>
      </w:r>
    </w:p>
    <w:p>
      <w:pPr>
        <w:pStyle w:val="3"/>
        <w:rPr>
          <w:rFonts w:ascii="Times New Roman" w:hAnsi="Times New Roman"/>
        </w:rPr>
      </w:pPr>
      <w:bookmarkStart w:id="5" w:name="_Toc161222811"/>
      <w:r>
        <w:rPr>
          <w:rFonts w:ascii="Times New Roman" w:hAnsi="Times New Roman"/>
        </w:rPr>
        <w:t>主要用途</w:t>
      </w:r>
      <w:bookmarkEnd w:id="5"/>
    </w:p>
    <w:p>
      <w:pPr>
        <w:pStyle w:val="5"/>
        <w:ind w:firstLine="0" w:firstLineChars="0"/>
        <w:jc w:val="center"/>
        <w:rPr>
          <w:rFonts w:ascii="Times New Roman" w:hAnsi="Times New Roman"/>
          <w:bCs/>
          <w:color w:val="000000" w:themeColor="text1"/>
          <w:sz w:val="24"/>
          <w:szCs w:val="24"/>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 xml:space="preserve">表 </w:t>
      </w:r>
      <w:r>
        <w:rPr>
          <w:rFonts w:ascii="Times New Roman" w:hAnsi="Times New Roman"/>
          <w:bCs/>
          <w:color w:val="000000" w:themeColor="text1"/>
          <w:sz w:val="24"/>
          <w:szCs w:val="24"/>
          <w14:textFill>
            <w14:solidFill>
              <w14:schemeClr w14:val="tx1"/>
            </w14:solidFill>
          </w14:textFill>
        </w:rPr>
        <w:fldChar w:fldCharType="begin"/>
      </w:r>
      <w:r>
        <w:rPr>
          <w:rFonts w:ascii="Times New Roman" w:hAnsi="Times New Roman"/>
          <w:bCs/>
          <w:color w:val="000000" w:themeColor="text1"/>
          <w:sz w:val="24"/>
          <w:szCs w:val="24"/>
          <w14:textFill>
            <w14:solidFill>
              <w14:schemeClr w14:val="tx1"/>
            </w14:solidFill>
          </w14:textFill>
        </w:rPr>
        <w:instrText xml:space="preserve"> SEQ 表 \* ARABIC </w:instrText>
      </w:r>
      <w:r>
        <w:rPr>
          <w:rFonts w:ascii="Times New Roman" w:hAnsi="Times New Roman"/>
          <w:bCs/>
          <w:color w:val="000000" w:themeColor="text1"/>
          <w:sz w:val="24"/>
          <w:szCs w:val="24"/>
          <w14:textFill>
            <w14:solidFill>
              <w14:schemeClr w14:val="tx1"/>
            </w14:solidFill>
          </w14:textFill>
        </w:rPr>
        <w:fldChar w:fldCharType="separate"/>
      </w:r>
      <w:r>
        <w:rPr>
          <w:rFonts w:ascii="Times New Roman" w:hAnsi="Times New Roman"/>
          <w:bCs/>
          <w:color w:val="000000" w:themeColor="text1"/>
          <w:sz w:val="24"/>
          <w:szCs w:val="24"/>
          <w14:textFill>
            <w14:solidFill>
              <w14:schemeClr w14:val="tx1"/>
            </w14:solidFill>
          </w14:textFill>
        </w:rPr>
        <w:t>1</w:t>
      </w:r>
      <w:r>
        <w:rPr>
          <w:rFonts w:ascii="Times New Roman" w:hAnsi="Times New Roman"/>
          <w:bCs/>
          <w:color w:val="000000" w:themeColor="text1"/>
          <w:sz w:val="24"/>
          <w:szCs w:val="24"/>
          <w14:textFill>
            <w14:solidFill>
              <w14:schemeClr w14:val="tx1"/>
            </w14:solidFill>
          </w14:textFill>
        </w:rPr>
        <w:fldChar w:fldCharType="end"/>
      </w:r>
      <w:r>
        <w:rPr>
          <w:rFonts w:ascii="Times New Roman" w:hAnsi="Times New Roman"/>
          <w:bCs/>
          <w:color w:val="000000" w:themeColor="text1"/>
          <w:sz w:val="24"/>
          <w:szCs w:val="24"/>
          <w14:textFill>
            <w14:solidFill>
              <w14:schemeClr w14:val="tx1"/>
            </w14:solidFill>
          </w14:textFill>
        </w:rPr>
        <w:t xml:space="preserve"> 规划用途统计表</w:t>
      </w:r>
    </w:p>
    <w:tbl>
      <w:tblPr>
        <w:tblStyle w:val="16"/>
        <w:tblW w:w="5000" w:type="pct"/>
        <w:tblInd w:w="0" w:type="dxa"/>
        <w:tblLayout w:type="autofit"/>
        <w:tblCellMar>
          <w:top w:w="0" w:type="dxa"/>
          <w:left w:w="108" w:type="dxa"/>
          <w:bottom w:w="0" w:type="dxa"/>
          <w:right w:w="108" w:type="dxa"/>
        </w:tblCellMar>
      </w:tblPr>
      <w:tblGrid>
        <w:gridCol w:w="3059"/>
        <w:gridCol w:w="3059"/>
        <w:gridCol w:w="2404"/>
      </w:tblGrid>
      <w:tr>
        <w:tblPrEx>
          <w:tblCellMar>
            <w:top w:w="0" w:type="dxa"/>
            <w:left w:w="108" w:type="dxa"/>
            <w:bottom w:w="0" w:type="dxa"/>
            <w:right w:w="108" w:type="dxa"/>
          </w:tblCellMar>
        </w:tblPrEx>
        <w:trPr>
          <w:trHeight w:val="270" w:hRule="atLeast"/>
          <w:tblHeader/>
        </w:trPr>
        <w:tc>
          <w:tcPr>
            <w:tcW w:w="179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b/>
                <w:color w:val="000000"/>
                <w:kern w:val="0"/>
                <w:sz w:val="24"/>
              </w:rPr>
            </w:pPr>
            <w:r>
              <w:rPr>
                <w:rFonts w:ascii="Times New Roman" w:hAnsi="Times New Roman" w:eastAsia="宋体"/>
                <w:b/>
                <w:color w:val="000000"/>
                <w:kern w:val="0"/>
                <w:sz w:val="24"/>
              </w:rPr>
              <w:t>规划用途</w:t>
            </w:r>
          </w:p>
        </w:tc>
        <w:tc>
          <w:tcPr>
            <w:tcW w:w="1795" w:type="pct"/>
            <w:tcBorders>
              <w:top w:val="single" w:color="auto" w:sz="4" w:space="0"/>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b/>
                <w:color w:val="000000"/>
                <w:kern w:val="0"/>
                <w:sz w:val="24"/>
              </w:rPr>
            </w:pPr>
            <w:r>
              <w:rPr>
                <w:rFonts w:ascii="Times New Roman" w:hAnsi="Times New Roman" w:eastAsia="宋体"/>
                <w:b/>
                <w:color w:val="000000"/>
                <w:kern w:val="0"/>
                <w:sz w:val="24"/>
              </w:rPr>
              <w:t>面积（公顷）</w:t>
            </w:r>
          </w:p>
        </w:tc>
        <w:tc>
          <w:tcPr>
            <w:tcW w:w="1410" w:type="pct"/>
            <w:tcBorders>
              <w:top w:val="single" w:color="auto" w:sz="4" w:space="0"/>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b/>
                <w:color w:val="000000"/>
                <w:kern w:val="0"/>
                <w:sz w:val="24"/>
              </w:rPr>
            </w:pPr>
            <w:r>
              <w:rPr>
                <w:rFonts w:ascii="Times New Roman" w:hAnsi="Times New Roman" w:eastAsia="宋体"/>
                <w:b/>
                <w:color w:val="000000"/>
                <w:kern w:val="0"/>
                <w:sz w:val="24"/>
              </w:rPr>
              <w:t>占比（%）</w:t>
            </w:r>
          </w:p>
        </w:tc>
      </w:tr>
      <w:tr>
        <w:tblPrEx>
          <w:tblCellMar>
            <w:top w:w="0" w:type="dxa"/>
            <w:left w:w="108" w:type="dxa"/>
            <w:bottom w:w="0" w:type="dxa"/>
            <w:right w:w="108" w:type="dxa"/>
          </w:tblCellMar>
        </w:tblPrEx>
        <w:trPr>
          <w:trHeight w:val="270" w:hRule="atLeast"/>
        </w:trPr>
        <w:tc>
          <w:tcPr>
            <w:tcW w:w="1795" w:type="pct"/>
            <w:tcBorders>
              <w:top w:val="nil"/>
              <w:left w:val="single" w:color="auto" w:sz="4" w:space="0"/>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城镇道路用地</w:t>
            </w:r>
          </w:p>
        </w:tc>
        <w:tc>
          <w:tcPr>
            <w:tcW w:w="1795"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4.8698</w:t>
            </w:r>
          </w:p>
        </w:tc>
        <w:tc>
          <w:tcPr>
            <w:tcW w:w="1410"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11.68</w:t>
            </w:r>
          </w:p>
        </w:tc>
      </w:tr>
      <w:tr>
        <w:tblPrEx>
          <w:tblCellMar>
            <w:top w:w="0" w:type="dxa"/>
            <w:left w:w="108" w:type="dxa"/>
            <w:bottom w:w="0" w:type="dxa"/>
            <w:right w:w="108" w:type="dxa"/>
          </w:tblCellMar>
        </w:tblPrEx>
        <w:trPr>
          <w:trHeight w:val="270" w:hRule="atLeast"/>
        </w:trPr>
        <w:tc>
          <w:tcPr>
            <w:tcW w:w="1795" w:type="pct"/>
            <w:tcBorders>
              <w:top w:val="nil"/>
              <w:left w:val="single" w:color="auto" w:sz="4" w:space="0"/>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城镇住宅用地</w:t>
            </w:r>
          </w:p>
        </w:tc>
        <w:tc>
          <w:tcPr>
            <w:tcW w:w="1795"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3.8296</w:t>
            </w:r>
          </w:p>
        </w:tc>
        <w:tc>
          <w:tcPr>
            <w:tcW w:w="1410"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9.20</w:t>
            </w:r>
          </w:p>
        </w:tc>
      </w:tr>
      <w:tr>
        <w:tblPrEx>
          <w:tblCellMar>
            <w:top w:w="0" w:type="dxa"/>
            <w:left w:w="108" w:type="dxa"/>
            <w:bottom w:w="0" w:type="dxa"/>
            <w:right w:w="108" w:type="dxa"/>
          </w:tblCellMar>
        </w:tblPrEx>
        <w:trPr>
          <w:trHeight w:val="270" w:hRule="atLeast"/>
        </w:trPr>
        <w:tc>
          <w:tcPr>
            <w:tcW w:w="1795" w:type="pct"/>
            <w:tcBorders>
              <w:top w:val="nil"/>
              <w:left w:val="single" w:color="auto" w:sz="4" w:space="0"/>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工业用地</w:t>
            </w:r>
          </w:p>
        </w:tc>
        <w:tc>
          <w:tcPr>
            <w:tcW w:w="1795"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20.0831</w:t>
            </w:r>
          </w:p>
        </w:tc>
        <w:tc>
          <w:tcPr>
            <w:tcW w:w="1410"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48.22</w:t>
            </w:r>
          </w:p>
        </w:tc>
      </w:tr>
      <w:tr>
        <w:tblPrEx>
          <w:tblCellMar>
            <w:top w:w="0" w:type="dxa"/>
            <w:left w:w="108" w:type="dxa"/>
            <w:bottom w:w="0" w:type="dxa"/>
            <w:right w:w="108" w:type="dxa"/>
          </w:tblCellMar>
        </w:tblPrEx>
        <w:trPr>
          <w:trHeight w:val="270" w:hRule="atLeast"/>
        </w:trPr>
        <w:tc>
          <w:tcPr>
            <w:tcW w:w="1795" w:type="pct"/>
            <w:tcBorders>
              <w:top w:val="nil"/>
              <w:left w:val="single" w:color="auto" w:sz="4" w:space="0"/>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公路用地</w:t>
            </w:r>
          </w:p>
        </w:tc>
        <w:tc>
          <w:tcPr>
            <w:tcW w:w="1795"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4.2844</w:t>
            </w:r>
          </w:p>
        </w:tc>
        <w:tc>
          <w:tcPr>
            <w:tcW w:w="1410"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10.29</w:t>
            </w:r>
          </w:p>
        </w:tc>
      </w:tr>
      <w:tr>
        <w:tblPrEx>
          <w:tblCellMar>
            <w:top w:w="0" w:type="dxa"/>
            <w:left w:w="108" w:type="dxa"/>
            <w:bottom w:w="0" w:type="dxa"/>
            <w:right w:w="108" w:type="dxa"/>
          </w:tblCellMar>
        </w:tblPrEx>
        <w:trPr>
          <w:trHeight w:val="270" w:hRule="atLeast"/>
        </w:trPr>
        <w:tc>
          <w:tcPr>
            <w:tcW w:w="1795" w:type="pct"/>
            <w:tcBorders>
              <w:top w:val="nil"/>
              <w:left w:val="single" w:color="auto" w:sz="4" w:space="0"/>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供电用地</w:t>
            </w:r>
          </w:p>
        </w:tc>
        <w:tc>
          <w:tcPr>
            <w:tcW w:w="1795"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0.149</w:t>
            </w:r>
          </w:p>
        </w:tc>
        <w:tc>
          <w:tcPr>
            <w:tcW w:w="1410"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0.36</w:t>
            </w:r>
          </w:p>
        </w:tc>
      </w:tr>
      <w:tr>
        <w:tblPrEx>
          <w:tblCellMar>
            <w:top w:w="0" w:type="dxa"/>
            <w:left w:w="108" w:type="dxa"/>
            <w:bottom w:w="0" w:type="dxa"/>
            <w:right w:w="108" w:type="dxa"/>
          </w:tblCellMar>
        </w:tblPrEx>
        <w:trPr>
          <w:trHeight w:val="270" w:hRule="atLeast"/>
        </w:trPr>
        <w:tc>
          <w:tcPr>
            <w:tcW w:w="1795" w:type="pct"/>
            <w:tcBorders>
              <w:top w:val="nil"/>
              <w:left w:val="single" w:color="auto" w:sz="4" w:space="0"/>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广场用地</w:t>
            </w:r>
          </w:p>
        </w:tc>
        <w:tc>
          <w:tcPr>
            <w:tcW w:w="1795"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0.0888</w:t>
            </w:r>
          </w:p>
        </w:tc>
        <w:tc>
          <w:tcPr>
            <w:tcW w:w="1410"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0.21</w:t>
            </w:r>
          </w:p>
        </w:tc>
      </w:tr>
      <w:tr>
        <w:tblPrEx>
          <w:tblCellMar>
            <w:top w:w="0" w:type="dxa"/>
            <w:left w:w="108" w:type="dxa"/>
            <w:bottom w:w="0" w:type="dxa"/>
            <w:right w:w="108" w:type="dxa"/>
          </w:tblCellMar>
        </w:tblPrEx>
        <w:trPr>
          <w:trHeight w:val="270" w:hRule="atLeast"/>
        </w:trPr>
        <w:tc>
          <w:tcPr>
            <w:tcW w:w="1795" w:type="pct"/>
            <w:tcBorders>
              <w:top w:val="nil"/>
              <w:left w:val="single" w:color="auto" w:sz="4" w:space="0"/>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机关团体用地</w:t>
            </w:r>
          </w:p>
        </w:tc>
        <w:tc>
          <w:tcPr>
            <w:tcW w:w="1795"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1.2815</w:t>
            </w:r>
          </w:p>
        </w:tc>
        <w:tc>
          <w:tcPr>
            <w:tcW w:w="1410"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3.08</w:t>
            </w:r>
          </w:p>
        </w:tc>
      </w:tr>
      <w:tr>
        <w:tblPrEx>
          <w:tblCellMar>
            <w:top w:w="0" w:type="dxa"/>
            <w:left w:w="108" w:type="dxa"/>
            <w:bottom w:w="0" w:type="dxa"/>
            <w:right w:w="108" w:type="dxa"/>
          </w:tblCellMar>
        </w:tblPrEx>
        <w:trPr>
          <w:trHeight w:val="270" w:hRule="atLeast"/>
        </w:trPr>
        <w:tc>
          <w:tcPr>
            <w:tcW w:w="1795" w:type="pct"/>
            <w:tcBorders>
              <w:top w:val="nil"/>
              <w:left w:val="single" w:color="auto" w:sz="4" w:space="0"/>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教育用地</w:t>
            </w:r>
          </w:p>
        </w:tc>
        <w:tc>
          <w:tcPr>
            <w:tcW w:w="1795"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2.3749</w:t>
            </w:r>
          </w:p>
        </w:tc>
        <w:tc>
          <w:tcPr>
            <w:tcW w:w="1410"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5.70</w:t>
            </w:r>
          </w:p>
        </w:tc>
      </w:tr>
      <w:tr>
        <w:tblPrEx>
          <w:tblCellMar>
            <w:top w:w="0" w:type="dxa"/>
            <w:left w:w="108" w:type="dxa"/>
            <w:bottom w:w="0" w:type="dxa"/>
            <w:right w:w="108" w:type="dxa"/>
          </w:tblCellMar>
        </w:tblPrEx>
        <w:trPr>
          <w:trHeight w:val="270" w:hRule="atLeast"/>
        </w:trPr>
        <w:tc>
          <w:tcPr>
            <w:tcW w:w="1795" w:type="pct"/>
            <w:tcBorders>
              <w:top w:val="nil"/>
              <w:left w:val="single" w:color="auto" w:sz="4" w:space="0"/>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科研用地</w:t>
            </w:r>
          </w:p>
        </w:tc>
        <w:tc>
          <w:tcPr>
            <w:tcW w:w="1795"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1.3439</w:t>
            </w:r>
          </w:p>
        </w:tc>
        <w:tc>
          <w:tcPr>
            <w:tcW w:w="1410"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3.23</w:t>
            </w:r>
          </w:p>
        </w:tc>
      </w:tr>
      <w:tr>
        <w:tblPrEx>
          <w:tblCellMar>
            <w:top w:w="0" w:type="dxa"/>
            <w:left w:w="108" w:type="dxa"/>
            <w:bottom w:w="0" w:type="dxa"/>
            <w:right w:w="108" w:type="dxa"/>
          </w:tblCellMar>
        </w:tblPrEx>
        <w:trPr>
          <w:trHeight w:val="270" w:hRule="atLeast"/>
        </w:trPr>
        <w:tc>
          <w:tcPr>
            <w:tcW w:w="1795" w:type="pct"/>
            <w:tcBorders>
              <w:top w:val="nil"/>
              <w:left w:val="single" w:color="auto" w:sz="4" w:space="0"/>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商业用地</w:t>
            </w:r>
          </w:p>
        </w:tc>
        <w:tc>
          <w:tcPr>
            <w:tcW w:w="1795"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2.2573</w:t>
            </w:r>
          </w:p>
        </w:tc>
        <w:tc>
          <w:tcPr>
            <w:tcW w:w="1410"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5.42</w:t>
            </w:r>
          </w:p>
        </w:tc>
      </w:tr>
      <w:tr>
        <w:tblPrEx>
          <w:tblCellMar>
            <w:top w:w="0" w:type="dxa"/>
            <w:left w:w="108" w:type="dxa"/>
            <w:bottom w:w="0" w:type="dxa"/>
            <w:right w:w="108" w:type="dxa"/>
          </w:tblCellMar>
        </w:tblPrEx>
        <w:trPr>
          <w:trHeight w:val="270" w:hRule="atLeast"/>
        </w:trPr>
        <w:tc>
          <w:tcPr>
            <w:tcW w:w="1795" w:type="pct"/>
            <w:tcBorders>
              <w:top w:val="nil"/>
              <w:left w:val="single" w:color="auto" w:sz="4" w:space="0"/>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文化用地</w:t>
            </w:r>
          </w:p>
        </w:tc>
        <w:tc>
          <w:tcPr>
            <w:tcW w:w="1795"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0.4958</w:t>
            </w:r>
          </w:p>
        </w:tc>
        <w:tc>
          <w:tcPr>
            <w:tcW w:w="1410"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1.19</w:t>
            </w:r>
          </w:p>
        </w:tc>
      </w:tr>
      <w:tr>
        <w:tblPrEx>
          <w:tblCellMar>
            <w:top w:w="0" w:type="dxa"/>
            <w:left w:w="108" w:type="dxa"/>
            <w:bottom w:w="0" w:type="dxa"/>
            <w:right w:w="108" w:type="dxa"/>
          </w:tblCellMar>
        </w:tblPrEx>
        <w:trPr>
          <w:trHeight w:val="270" w:hRule="atLeast"/>
        </w:trPr>
        <w:tc>
          <w:tcPr>
            <w:tcW w:w="1795" w:type="pct"/>
            <w:tcBorders>
              <w:top w:val="nil"/>
              <w:left w:val="single" w:color="auto" w:sz="4" w:space="0"/>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物流仓储用地</w:t>
            </w:r>
          </w:p>
        </w:tc>
        <w:tc>
          <w:tcPr>
            <w:tcW w:w="1795"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0.2177</w:t>
            </w:r>
          </w:p>
        </w:tc>
        <w:tc>
          <w:tcPr>
            <w:tcW w:w="1410"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0.52</w:t>
            </w:r>
          </w:p>
        </w:tc>
      </w:tr>
      <w:tr>
        <w:tblPrEx>
          <w:tblCellMar>
            <w:top w:w="0" w:type="dxa"/>
            <w:left w:w="108" w:type="dxa"/>
            <w:bottom w:w="0" w:type="dxa"/>
            <w:right w:w="108" w:type="dxa"/>
          </w:tblCellMar>
        </w:tblPrEx>
        <w:trPr>
          <w:trHeight w:val="270" w:hRule="atLeast"/>
        </w:trPr>
        <w:tc>
          <w:tcPr>
            <w:tcW w:w="1795" w:type="pct"/>
            <w:tcBorders>
              <w:top w:val="nil"/>
              <w:left w:val="single" w:color="auto" w:sz="4" w:space="0"/>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医疗卫生用地</w:t>
            </w:r>
          </w:p>
        </w:tc>
        <w:tc>
          <w:tcPr>
            <w:tcW w:w="1795"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0.3728</w:t>
            </w:r>
          </w:p>
        </w:tc>
        <w:tc>
          <w:tcPr>
            <w:tcW w:w="1410"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0.90</w:t>
            </w:r>
          </w:p>
        </w:tc>
      </w:tr>
      <w:tr>
        <w:tblPrEx>
          <w:tblCellMar>
            <w:top w:w="0" w:type="dxa"/>
            <w:left w:w="108" w:type="dxa"/>
            <w:bottom w:w="0" w:type="dxa"/>
            <w:right w:w="108" w:type="dxa"/>
          </w:tblCellMar>
        </w:tblPrEx>
        <w:trPr>
          <w:trHeight w:val="270" w:hRule="atLeast"/>
        </w:trPr>
        <w:tc>
          <w:tcPr>
            <w:tcW w:w="1795" w:type="pct"/>
            <w:tcBorders>
              <w:top w:val="nil"/>
              <w:left w:val="single" w:color="auto" w:sz="4" w:space="0"/>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总计</w:t>
            </w:r>
          </w:p>
        </w:tc>
        <w:tc>
          <w:tcPr>
            <w:tcW w:w="1795"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41.6486</w:t>
            </w:r>
          </w:p>
        </w:tc>
        <w:tc>
          <w:tcPr>
            <w:tcW w:w="1410" w:type="pct"/>
            <w:tcBorders>
              <w:top w:val="nil"/>
              <w:left w:val="nil"/>
              <w:bottom w:val="single" w:color="auto" w:sz="4" w:space="0"/>
              <w:right w:val="single" w:color="auto" w:sz="4" w:space="0"/>
            </w:tcBorders>
            <w:shd w:val="clear" w:color="auto" w:fill="auto"/>
            <w:noWrap/>
            <w:vAlign w:val="center"/>
          </w:tcPr>
          <w:p>
            <w:pPr>
              <w:widowControl/>
              <w:adjustRightInd w:val="0"/>
              <w:snapToGrid w:val="0"/>
              <w:spacing w:line="240" w:lineRule="auto"/>
              <w:ind w:firstLine="0" w:firstLineChars="0"/>
              <w:jc w:val="center"/>
              <w:rPr>
                <w:rFonts w:ascii="Times New Roman" w:hAnsi="Times New Roman" w:eastAsia="宋体"/>
                <w:color w:val="000000"/>
                <w:kern w:val="0"/>
                <w:sz w:val="24"/>
              </w:rPr>
            </w:pPr>
            <w:r>
              <w:rPr>
                <w:rFonts w:ascii="Times New Roman" w:hAnsi="Times New Roman" w:eastAsia="宋体"/>
                <w:color w:val="000000"/>
                <w:kern w:val="0"/>
                <w:sz w:val="24"/>
              </w:rPr>
              <w:t>100</w:t>
            </w:r>
          </w:p>
        </w:tc>
      </w:tr>
    </w:tbl>
    <w:p>
      <w:pPr>
        <w:keepNext/>
        <w:ind w:firstLine="0" w:firstLineChars="0"/>
        <w:jc w:val="center"/>
        <w:rPr>
          <w:rFonts w:ascii="Times New Roman" w:hAnsi="Times New Roman"/>
        </w:rPr>
      </w:pPr>
      <w:r>
        <w:rPr>
          <w:rFonts w:ascii="Times New Roman" w:hAnsi="Times New Roman"/>
        </w:rPr>
        <w:drawing>
          <wp:inline distT="0" distB="0" distL="0" distR="0">
            <wp:extent cx="5274310" cy="5274310"/>
            <wp:effectExtent l="0" t="0" r="2540" b="2540"/>
            <wp:docPr id="28" name="图片 28" descr="E:\倪田品\2.成片开发\6.杨田\2024-1-8\图件2024-1-30\用地规划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E:\倪田品\2.成片开发\6.杨田\2024-1-8\图件2024-1-30\用地规划图.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5274310" cy="5274310"/>
                    </a:xfrm>
                    <a:prstGeom prst="rect">
                      <a:avLst/>
                    </a:prstGeom>
                    <a:noFill/>
                    <a:ln>
                      <a:noFill/>
                    </a:ln>
                  </pic:spPr>
                </pic:pic>
              </a:graphicData>
            </a:graphic>
          </wp:inline>
        </w:drawing>
      </w:r>
    </w:p>
    <w:p>
      <w:pPr>
        <w:pStyle w:val="5"/>
        <w:ind w:firstLine="0" w:firstLineChars="0"/>
        <w:jc w:val="center"/>
        <w:rPr>
          <w:rFonts w:ascii="Times New Roman" w:hAnsi="Times New Roman"/>
          <w:bCs/>
          <w:color w:val="000000" w:themeColor="text1"/>
          <w:sz w:val="24"/>
          <w:szCs w:val="24"/>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 xml:space="preserve">图 </w:t>
      </w:r>
      <w:r>
        <w:rPr>
          <w:rFonts w:ascii="Times New Roman" w:hAnsi="Times New Roman"/>
          <w:bCs/>
          <w:color w:val="000000" w:themeColor="text1"/>
          <w:sz w:val="24"/>
          <w:szCs w:val="24"/>
          <w14:textFill>
            <w14:solidFill>
              <w14:schemeClr w14:val="tx1"/>
            </w14:solidFill>
          </w14:textFill>
        </w:rPr>
        <w:fldChar w:fldCharType="begin"/>
      </w:r>
      <w:r>
        <w:rPr>
          <w:rFonts w:ascii="Times New Roman" w:hAnsi="Times New Roman"/>
          <w:bCs/>
          <w:color w:val="000000" w:themeColor="text1"/>
          <w:sz w:val="24"/>
          <w:szCs w:val="24"/>
          <w14:textFill>
            <w14:solidFill>
              <w14:schemeClr w14:val="tx1"/>
            </w14:solidFill>
          </w14:textFill>
        </w:rPr>
        <w:instrText xml:space="preserve"> SEQ 图 \* ARABIC </w:instrText>
      </w:r>
      <w:r>
        <w:rPr>
          <w:rFonts w:ascii="Times New Roman" w:hAnsi="Times New Roman"/>
          <w:bCs/>
          <w:color w:val="000000" w:themeColor="text1"/>
          <w:sz w:val="24"/>
          <w:szCs w:val="24"/>
          <w14:textFill>
            <w14:solidFill>
              <w14:schemeClr w14:val="tx1"/>
            </w14:solidFill>
          </w14:textFill>
        </w:rPr>
        <w:fldChar w:fldCharType="separate"/>
      </w:r>
      <w:r>
        <w:rPr>
          <w:rFonts w:ascii="Times New Roman" w:hAnsi="Times New Roman"/>
          <w:bCs/>
          <w:color w:val="000000" w:themeColor="text1"/>
          <w:sz w:val="24"/>
          <w:szCs w:val="24"/>
          <w14:textFill>
            <w14:solidFill>
              <w14:schemeClr w14:val="tx1"/>
            </w14:solidFill>
          </w14:textFill>
        </w:rPr>
        <w:t>12</w:t>
      </w:r>
      <w:r>
        <w:rPr>
          <w:rFonts w:ascii="Times New Roman" w:hAnsi="Times New Roman"/>
          <w:bCs/>
          <w:color w:val="000000" w:themeColor="text1"/>
          <w:sz w:val="24"/>
          <w:szCs w:val="24"/>
          <w14:textFill>
            <w14:solidFill>
              <w14:schemeClr w14:val="tx1"/>
            </w14:solidFill>
          </w14:textFill>
        </w:rPr>
        <w:fldChar w:fldCharType="end"/>
      </w:r>
      <w:r>
        <w:rPr>
          <w:rFonts w:ascii="Times New Roman" w:hAnsi="Times New Roman"/>
          <w:bCs/>
          <w:color w:val="000000" w:themeColor="text1"/>
          <w:sz w:val="24"/>
          <w:szCs w:val="24"/>
          <w14:textFill>
            <w14:solidFill>
              <w14:schemeClr w14:val="tx1"/>
            </w14:solidFill>
          </w14:textFill>
        </w:rPr>
        <w:t>青阳县杨田镇片区用地规划图</w:t>
      </w:r>
    </w:p>
    <w:p>
      <w:pPr>
        <w:pStyle w:val="3"/>
        <w:rPr>
          <w:rFonts w:ascii="Times New Roman" w:hAnsi="Times New Roman"/>
        </w:rPr>
      </w:pPr>
      <w:bookmarkStart w:id="6" w:name="_Toc161222812"/>
      <w:r>
        <w:rPr>
          <w:rFonts w:ascii="Times New Roman" w:hAnsi="Times New Roman"/>
        </w:rPr>
        <w:t>拟实现的功能</w:t>
      </w:r>
      <w:bookmarkEnd w:id="6"/>
    </w:p>
    <w:p>
      <w:pPr>
        <w:ind w:firstLine="560"/>
        <w:rPr>
          <w:rFonts w:ascii="Times New Roman" w:hAnsi="Times New Roman"/>
        </w:rPr>
      </w:pPr>
      <w:r>
        <w:rPr>
          <w:rFonts w:ascii="Times New Roman" w:hAnsi="Times New Roman"/>
        </w:rPr>
        <w:t>成片开发主要实现的功能是：拟安排的主要建设项目是：工业设施项目、交通运输设施项目、公共管理与公共服务设施项目、防护绿地等。</w:t>
      </w:r>
    </w:p>
    <w:p>
      <w:pPr>
        <w:keepNext/>
        <w:ind w:firstLine="0" w:firstLineChars="0"/>
        <w:jc w:val="center"/>
        <w:rPr>
          <w:rFonts w:ascii="Times New Roman" w:hAnsi="Times New Roman"/>
        </w:rPr>
      </w:pPr>
      <w:r>
        <w:rPr>
          <w:rFonts w:ascii="Times New Roman" w:hAnsi="Times New Roman"/>
        </w:rPr>
        <w:drawing>
          <wp:inline distT="0" distB="0" distL="0" distR="0">
            <wp:extent cx="5274310" cy="5274310"/>
            <wp:effectExtent l="0" t="0" r="2540" b="2540"/>
            <wp:docPr id="27" name="图片 27" descr="E:\倪田品\2.成片开发\6.杨田\2024-1-8\图件2024-1-30\分区规划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E:\倪田品\2.成片开发\6.杨田\2024-1-8\图件2024-1-30\分区规划图.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5274310" cy="5274310"/>
                    </a:xfrm>
                    <a:prstGeom prst="rect">
                      <a:avLst/>
                    </a:prstGeom>
                    <a:noFill/>
                    <a:ln>
                      <a:noFill/>
                    </a:ln>
                  </pic:spPr>
                </pic:pic>
              </a:graphicData>
            </a:graphic>
          </wp:inline>
        </w:drawing>
      </w:r>
    </w:p>
    <w:p>
      <w:pPr>
        <w:pStyle w:val="5"/>
        <w:ind w:firstLine="0" w:firstLineChars="0"/>
        <w:jc w:val="center"/>
        <w:rPr>
          <w:rFonts w:ascii="Times New Roman" w:hAnsi="Times New Roman"/>
          <w:bCs/>
          <w:color w:val="000000" w:themeColor="text1"/>
          <w:sz w:val="24"/>
          <w:szCs w:val="24"/>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 xml:space="preserve">图 </w:t>
      </w:r>
      <w:r>
        <w:rPr>
          <w:rFonts w:ascii="Times New Roman" w:hAnsi="Times New Roman"/>
          <w:bCs/>
          <w:color w:val="000000" w:themeColor="text1"/>
          <w:sz w:val="24"/>
          <w:szCs w:val="24"/>
          <w14:textFill>
            <w14:solidFill>
              <w14:schemeClr w14:val="tx1"/>
            </w14:solidFill>
          </w14:textFill>
        </w:rPr>
        <w:fldChar w:fldCharType="begin"/>
      </w:r>
      <w:r>
        <w:rPr>
          <w:rFonts w:ascii="Times New Roman" w:hAnsi="Times New Roman"/>
          <w:bCs/>
          <w:color w:val="000000" w:themeColor="text1"/>
          <w:sz w:val="24"/>
          <w:szCs w:val="24"/>
          <w14:textFill>
            <w14:solidFill>
              <w14:schemeClr w14:val="tx1"/>
            </w14:solidFill>
          </w14:textFill>
        </w:rPr>
        <w:instrText xml:space="preserve"> SEQ 图 \* ARABIC </w:instrText>
      </w:r>
      <w:r>
        <w:rPr>
          <w:rFonts w:ascii="Times New Roman" w:hAnsi="Times New Roman"/>
          <w:bCs/>
          <w:color w:val="000000" w:themeColor="text1"/>
          <w:sz w:val="24"/>
          <w:szCs w:val="24"/>
          <w14:textFill>
            <w14:solidFill>
              <w14:schemeClr w14:val="tx1"/>
            </w14:solidFill>
          </w14:textFill>
        </w:rPr>
        <w:fldChar w:fldCharType="separate"/>
      </w:r>
      <w:r>
        <w:rPr>
          <w:rFonts w:ascii="Times New Roman" w:hAnsi="Times New Roman"/>
          <w:bCs/>
          <w:color w:val="000000" w:themeColor="text1"/>
          <w:sz w:val="24"/>
          <w:szCs w:val="24"/>
          <w14:textFill>
            <w14:solidFill>
              <w14:schemeClr w14:val="tx1"/>
            </w14:solidFill>
          </w14:textFill>
        </w:rPr>
        <w:t>13</w:t>
      </w:r>
      <w:r>
        <w:rPr>
          <w:rFonts w:ascii="Times New Roman" w:hAnsi="Times New Roman"/>
          <w:bCs/>
          <w:color w:val="000000" w:themeColor="text1"/>
          <w:sz w:val="24"/>
          <w:szCs w:val="24"/>
          <w14:textFill>
            <w14:solidFill>
              <w14:schemeClr w14:val="tx1"/>
            </w14:solidFill>
          </w14:textFill>
        </w:rPr>
        <w:fldChar w:fldCharType="end"/>
      </w:r>
      <w:r>
        <w:rPr>
          <w:rFonts w:ascii="Times New Roman" w:hAnsi="Times New Roman"/>
          <w:bCs/>
          <w:color w:val="000000" w:themeColor="text1"/>
          <w:sz w:val="24"/>
          <w:szCs w:val="24"/>
          <w14:textFill>
            <w14:solidFill>
              <w14:schemeClr w14:val="tx1"/>
            </w14:solidFill>
          </w14:textFill>
        </w:rPr>
        <w:t>青阳县杨田镇片区分区规划图</w:t>
      </w:r>
    </w:p>
    <w:p>
      <w:pPr>
        <w:pStyle w:val="2"/>
        <w:jc w:val="both"/>
        <w:rPr>
          <w:rFonts w:ascii="Times New Roman" w:hAnsi="Times New Roman" w:cs="Times New Roman"/>
        </w:rPr>
      </w:pPr>
      <w:bookmarkStart w:id="7" w:name="_Toc161222813"/>
      <w:r>
        <w:rPr>
          <w:rFonts w:ascii="Times New Roman" w:hAnsi="Times New Roman" w:cs="Times New Roman"/>
        </w:rPr>
        <w:t>成片开发拟安排的建设项目、开发时序和年度实施计划</w:t>
      </w:r>
      <w:bookmarkEnd w:id="7"/>
    </w:p>
    <w:p>
      <w:pPr>
        <w:pStyle w:val="3"/>
        <w:rPr>
          <w:rFonts w:ascii="Times New Roman" w:hAnsi="Times New Roman"/>
        </w:rPr>
      </w:pPr>
      <w:bookmarkStart w:id="8" w:name="_Toc161222814"/>
      <w:r>
        <w:rPr>
          <w:rFonts w:ascii="Times New Roman" w:hAnsi="Times New Roman"/>
        </w:rPr>
        <w:t>拟安排的建设项目</w:t>
      </w:r>
      <w:bookmarkEnd w:id="8"/>
    </w:p>
    <w:p>
      <w:pPr>
        <w:ind w:firstLine="560"/>
        <w:rPr>
          <w:rFonts w:ascii="Times New Roman" w:hAnsi="Times New Roman"/>
        </w:rPr>
      </w:pPr>
      <w:r>
        <w:rPr>
          <w:rFonts w:ascii="Times New Roman" w:hAnsi="Times New Roman"/>
        </w:rPr>
        <w:t>拟安排的主要建设项目是：工业用地项目、商业用地项目、城镇道路用地项目、公路用地项目、城镇住宅用地项目等。</w:t>
      </w:r>
    </w:p>
    <w:p>
      <w:pPr>
        <w:pStyle w:val="5"/>
        <w:keepNext/>
        <w:ind w:firstLine="0" w:firstLineChars="0"/>
        <w:jc w:val="center"/>
        <w:rPr>
          <w:rFonts w:ascii="Times New Roman" w:hAnsi="Times New Roman"/>
          <w:bCs/>
          <w:color w:val="000000" w:themeColor="text1"/>
          <w:sz w:val="24"/>
          <w:szCs w:val="24"/>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 xml:space="preserve">表 </w:t>
      </w:r>
      <w:r>
        <w:rPr>
          <w:rFonts w:ascii="Times New Roman" w:hAnsi="Times New Roman"/>
          <w:bCs/>
          <w:color w:val="000000" w:themeColor="text1"/>
          <w:sz w:val="24"/>
          <w:szCs w:val="24"/>
          <w14:textFill>
            <w14:solidFill>
              <w14:schemeClr w14:val="tx1"/>
            </w14:solidFill>
          </w14:textFill>
        </w:rPr>
        <w:fldChar w:fldCharType="begin"/>
      </w:r>
      <w:r>
        <w:rPr>
          <w:rFonts w:ascii="Times New Roman" w:hAnsi="Times New Roman"/>
          <w:bCs/>
          <w:color w:val="000000" w:themeColor="text1"/>
          <w:sz w:val="24"/>
          <w:szCs w:val="24"/>
          <w14:textFill>
            <w14:solidFill>
              <w14:schemeClr w14:val="tx1"/>
            </w14:solidFill>
          </w14:textFill>
        </w:rPr>
        <w:instrText xml:space="preserve"> SEQ 表 \* ARABIC </w:instrText>
      </w:r>
      <w:r>
        <w:rPr>
          <w:rFonts w:ascii="Times New Roman" w:hAnsi="Times New Roman"/>
          <w:bCs/>
          <w:color w:val="000000" w:themeColor="text1"/>
          <w:sz w:val="24"/>
          <w:szCs w:val="24"/>
          <w14:textFill>
            <w14:solidFill>
              <w14:schemeClr w14:val="tx1"/>
            </w14:solidFill>
          </w14:textFill>
        </w:rPr>
        <w:fldChar w:fldCharType="separate"/>
      </w:r>
      <w:r>
        <w:rPr>
          <w:rFonts w:ascii="Times New Roman" w:hAnsi="Times New Roman"/>
          <w:bCs/>
          <w:color w:val="000000" w:themeColor="text1"/>
          <w:sz w:val="24"/>
          <w:szCs w:val="24"/>
          <w14:textFill>
            <w14:solidFill>
              <w14:schemeClr w14:val="tx1"/>
            </w14:solidFill>
          </w14:textFill>
        </w:rPr>
        <w:t>2</w:t>
      </w:r>
      <w:r>
        <w:rPr>
          <w:rFonts w:ascii="Times New Roman" w:hAnsi="Times New Roman"/>
          <w:bCs/>
          <w:color w:val="000000" w:themeColor="text1"/>
          <w:sz w:val="24"/>
          <w:szCs w:val="24"/>
          <w14:textFill>
            <w14:solidFill>
              <w14:schemeClr w14:val="tx1"/>
            </w14:solidFill>
          </w14:textFill>
        </w:rPr>
        <w:fldChar w:fldCharType="end"/>
      </w:r>
      <w:r>
        <w:rPr>
          <w:rFonts w:ascii="Times New Roman" w:hAnsi="Times New Roman"/>
          <w:bCs/>
          <w:color w:val="000000" w:themeColor="text1"/>
          <w:sz w:val="24"/>
          <w:szCs w:val="24"/>
          <w14:textFill>
            <w14:solidFill>
              <w14:schemeClr w14:val="tx1"/>
            </w14:solidFill>
          </w14:textFill>
        </w:rPr>
        <w:t>青阳县杨田镇片区规划用地结构表</w:t>
      </w:r>
    </w:p>
    <w:tbl>
      <w:tblPr>
        <w:tblStyle w:val="16"/>
        <w:tblW w:w="86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1"/>
        <w:gridCol w:w="2432"/>
        <w:gridCol w:w="2126"/>
        <w:gridCol w:w="26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91" w:type="dxa"/>
            <w:shd w:val="clear" w:color="auto" w:fill="auto"/>
            <w:noWrap/>
            <w:vAlign w:val="center"/>
          </w:tcPr>
          <w:p>
            <w:pPr>
              <w:keepNext/>
              <w:widowControl/>
              <w:ind w:firstLine="0" w:firstLineChars="0"/>
              <w:jc w:val="center"/>
              <w:rPr>
                <w:rFonts w:ascii="Times New Roman" w:hAnsi="Times New Roman"/>
                <w:b/>
                <w:bCs/>
                <w:color w:val="000000" w:themeColor="text1"/>
                <w:kern w:val="0"/>
                <w:sz w:val="22"/>
                <w:szCs w:val="22"/>
                <w14:textFill>
                  <w14:solidFill>
                    <w14:schemeClr w14:val="tx1"/>
                  </w14:solidFill>
                </w14:textFill>
              </w:rPr>
            </w:pPr>
            <w:r>
              <w:rPr>
                <w:rFonts w:ascii="Times New Roman" w:hAnsi="Times New Roman"/>
                <w:b/>
                <w:bCs/>
                <w:color w:val="000000" w:themeColor="text1"/>
                <w:kern w:val="0"/>
                <w:sz w:val="22"/>
                <w:szCs w:val="22"/>
                <w14:textFill>
                  <w14:solidFill>
                    <w14:schemeClr w14:val="tx1"/>
                  </w14:solidFill>
                </w14:textFill>
              </w:rPr>
              <w:t>序号</w:t>
            </w:r>
          </w:p>
        </w:tc>
        <w:tc>
          <w:tcPr>
            <w:tcW w:w="2432" w:type="dxa"/>
            <w:shd w:val="clear" w:color="auto" w:fill="auto"/>
            <w:noWrap/>
            <w:vAlign w:val="center"/>
          </w:tcPr>
          <w:p>
            <w:pPr>
              <w:keepNext/>
              <w:widowControl/>
              <w:ind w:firstLine="0" w:firstLineChars="0"/>
              <w:jc w:val="center"/>
              <w:rPr>
                <w:rFonts w:ascii="Times New Roman" w:hAnsi="Times New Roman"/>
                <w:b/>
                <w:bCs/>
                <w:color w:val="000000" w:themeColor="text1"/>
                <w:kern w:val="0"/>
                <w:sz w:val="22"/>
                <w:szCs w:val="22"/>
                <w14:textFill>
                  <w14:solidFill>
                    <w14:schemeClr w14:val="tx1"/>
                  </w14:solidFill>
                </w14:textFill>
              </w:rPr>
            </w:pPr>
            <w:r>
              <w:rPr>
                <w:rFonts w:ascii="Times New Roman" w:hAnsi="Times New Roman"/>
                <w:b/>
                <w:bCs/>
                <w:color w:val="000000" w:themeColor="text1"/>
                <w:kern w:val="0"/>
                <w:sz w:val="22"/>
                <w:szCs w:val="22"/>
                <w14:textFill>
                  <w14:solidFill>
                    <w14:schemeClr w14:val="tx1"/>
                  </w14:solidFill>
                </w14:textFill>
              </w:rPr>
              <w:t>规划分区</w:t>
            </w:r>
          </w:p>
        </w:tc>
        <w:tc>
          <w:tcPr>
            <w:tcW w:w="2126" w:type="dxa"/>
            <w:shd w:val="clear" w:color="auto" w:fill="auto"/>
            <w:noWrap/>
            <w:vAlign w:val="center"/>
          </w:tcPr>
          <w:p>
            <w:pPr>
              <w:keepNext/>
              <w:widowControl/>
              <w:ind w:firstLine="0" w:firstLineChars="0"/>
              <w:jc w:val="center"/>
              <w:rPr>
                <w:rFonts w:ascii="Times New Roman" w:hAnsi="Times New Roman"/>
                <w:b/>
                <w:bCs/>
                <w:color w:val="000000" w:themeColor="text1"/>
                <w:kern w:val="0"/>
                <w:sz w:val="22"/>
                <w:szCs w:val="22"/>
                <w14:textFill>
                  <w14:solidFill>
                    <w14:schemeClr w14:val="tx1"/>
                  </w14:solidFill>
                </w14:textFill>
              </w:rPr>
            </w:pPr>
            <w:r>
              <w:rPr>
                <w:rFonts w:ascii="Times New Roman" w:hAnsi="Times New Roman"/>
                <w:b/>
                <w:bCs/>
                <w:color w:val="000000" w:themeColor="text1"/>
                <w:kern w:val="0"/>
                <w:sz w:val="22"/>
                <w:szCs w:val="22"/>
                <w14:textFill>
                  <w14:solidFill>
                    <w14:schemeClr w14:val="tx1"/>
                  </w14:solidFill>
                </w14:textFill>
              </w:rPr>
              <w:t>地块数</w:t>
            </w:r>
          </w:p>
        </w:tc>
        <w:tc>
          <w:tcPr>
            <w:tcW w:w="2687" w:type="dxa"/>
            <w:shd w:val="clear" w:color="auto" w:fill="auto"/>
            <w:noWrap/>
            <w:vAlign w:val="center"/>
          </w:tcPr>
          <w:p>
            <w:pPr>
              <w:keepNext/>
              <w:widowControl/>
              <w:ind w:firstLine="0" w:firstLineChars="0"/>
              <w:jc w:val="center"/>
              <w:rPr>
                <w:rFonts w:ascii="Times New Roman" w:hAnsi="Times New Roman"/>
                <w:b/>
                <w:bCs/>
                <w:color w:val="000000" w:themeColor="text1"/>
                <w:kern w:val="0"/>
                <w:sz w:val="22"/>
                <w:szCs w:val="22"/>
                <w14:textFill>
                  <w14:solidFill>
                    <w14:schemeClr w14:val="tx1"/>
                  </w14:solidFill>
                </w14:textFill>
              </w:rPr>
            </w:pPr>
            <w:r>
              <w:rPr>
                <w:rFonts w:ascii="Times New Roman" w:hAnsi="Times New Roman"/>
                <w:b/>
                <w:bCs/>
                <w:color w:val="000000" w:themeColor="text1"/>
                <w:kern w:val="0"/>
                <w:sz w:val="22"/>
                <w:szCs w:val="22"/>
                <w14:textFill>
                  <w14:solidFill>
                    <w14:schemeClr w14:val="tx1"/>
                  </w14:solidFill>
                </w14:textFill>
              </w:rPr>
              <w:t>规模（公顷）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91" w:type="dxa"/>
            <w:shd w:val="clear" w:color="auto" w:fill="auto"/>
            <w:noWrap/>
            <w:vAlign w:val="center"/>
          </w:tcPr>
          <w:p>
            <w:pPr>
              <w:keepNext/>
              <w:ind w:firstLine="0" w:firstLineChars="0"/>
              <w:jc w:val="center"/>
              <w:rPr>
                <w:rFonts w:ascii="Times New Roman" w:hAnsi="Times New Roman"/>
                <w:sz w:val="24"/>
              </w:rPr>
            </w:pPr>
            <w:r>
              <w:rPr>
                <w:rFonts w:ascii="Times New Roman" w:hAnsi="Times New Roman"/>
                <w:sz w:val="24"/>
              </w:rPr>
              <w:t>1</w:t>
            </w:r>
          </w:p>
        </w:tc>
        <w:tc>
          <w:tcPr>
            <w:tcW w:w="2432" w:type="dxa"/>
            <w:shd w:val="clear" w:color="auto" w:fill="auto"/>
            <w:noWrap/>
            <w:vAlign w:val="center"/>
          </w:tcPr>
          <w:p>
            <w:pPr>
              <w:keepNext/>
              <w:ind w:firstLine="0" w:firstLineChars="0"/>
              <w:jc w:val="center"/>
              <w:rPr>
                <w:rFonts w:ascii="Times New Roman" w:hAnsi="Times New Roman"/>
                <w:sz w:val="24"/>
              </w:rPr>
            </w:pPr>
            <w:r>
              <w:rPr>
                <w:rFonts w:ascii="Times New Roman" w:hAnsi="Times New Roman"/>
                <w:sz w:val="24"/>
              </w:rPr>
              <w:t>工业发展区</w:t>
            </w:r>
          </w:p>
        </w:tc>
        <w:tc>
          <w:tcPr>
            <w:tcW w:w="2126" w:type="dxa"/>
            <w:shd w:val="clear" w:color="auto" w:fill="auto"/>
            <w:noWrap/>
            <w:vAlign w:val="center"/>
          </w:tcPr>
          <w:p>
            <w:pPr>
              <w:keepNext/>
              <w:ind w:firstLine="0" w:firstLineChars="0"/>
              <w:jc w:val="center"/>
              <w:rPr>
                <w:rFonts w:ascii="Times New Roman" w:hAnsi="Times New Roman"/>
                <w:sz w:val="24"/>
              </w:rPr>
            </w:pPr>
            <w:r>
              <w:rPr>
                <w:rFonts w:ascii="Times New Roman" w:hAnsi="Times New Roman"/>
                <w:sz w:val="24"/>
              </w:rPr>
              <w:t>6</w:t>
            </w:r>
          </w:p>
        </w:tc>
        <w:tc>
          <w:tcPr>
            <w:tcW w:w="2687" w:type="dxa"/>
            <w:shd w:val="clear" w:color="auto" w:fill="auto"/>
            <w:noWrap/>
            <w:vAlign w:val="center"/>
          </w:tcPr>
          <w:p>
            <w:pPr>
              <w:keepNext/>
              <w:ind w:firstLine="0" w:firstLineChars="0"/>
              <w:jc w:val="center"/>
              <w:rPr>
                <w:rFonts w:ascii="Times New Roman" w:hAnsi="Times New Roman"/>
                <w:sz w:val="24"/>
              </w:rPr>
            </w:pPr>
            <w:r>
              <w:rPr>
                <w:rFonts w:ascii="Times New Roman" w:hAnsi="Times New Roman"/>
                <w:sz w:val="24"/>
              </w:rPr>
              <w:t>20.0831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91" w:type="dxa"/>
            <w:shd w:val="clear" w:color="auto" w:fill="auto"/>
            <w:noWrap/>
            <w:vAlign w:val="center"/>
          </w:tcPr>
          <w:p>
            <w:pPr>
              <w:keepNext/>
              <w:ind w:firstLine="0" w:firstLineChars="0"/>
              <w:jc w:val="center"/>
              <w:rPr>
                <w:rFonts w:ascii="Times New Roman" w:hAnsi="Times New Roman"/>
                <w:bCs/>
                <w:color w:val="000000" w:themeColor="text1"/>
                <w:kern w:val="0"/>
                <w:sz w:val="22"/>
                <w:szCs w:val="22"/>
                <w14:textFill>
                  <w14:solidFill>
                    <w14:schemeClr w14:val="tx1"/>
                  </w14:solidFill>
                </w14:textFill>
              </w:rPr>
            </w:pPr>
            <w:r>
              <w:rPr>
                <w:rFonts w:ascii="Times New Roman" w:hAnsi="Times New Roman"/>
                <w:sz w:val="24"/>
              </w:rPr>
              <w:t>2</w:t>
            </w:r>
          </w:p>
        </w:tc>
        <w:tc>
          <w:tcPr>
            <w:tcW w:w="2432" w:type="dxa"/>
            <w:shd w:val="clear" w:color="auto" w:fill="auto"/>
            <w:noWrap/>
            <w:vAlign w:val="center"/>
          </w:tcPr>
          <w:p>
            <w:pPr>
              <w:keepNext/>
              <w:ind w:firstLine="0" w:firstLineChars="0"/>
              <w:jc w:val="center"/>
              <w:rPr>
                <w:rFonts w:ascii="Times New Roman" w:hAnsi="Times New Roman"/>
                <w:sz w:val="24"/>
              </w:rPr>
            </w:pPr>
            <w:r>
              <w:rPr>
                <w:rFonts w:ascii="Times New Roman" w:hAnsi="Times New Roman"/>
                <w:sz w:val="24"/>
              </w:rPr>
              <w:t>交通枢纽区</w:t>
            </w:r>
          </w:p>
        </w:tc>
        <w:tc>
          <w:tcPr>
            <w:tcW w:w="2126" w:type="dxa"/>
            <w:shd w:val="clear" w:color="auto" w:fill="auto"/>
            <w:noWrap/>
            <w:vAlign w:val="center"/>
          </w:tcPr>
          <w:p>
            <w:pPr>
              <w:keepNext/>
              <w:ind w:firstLine="0" w:firstLineChars="0"/>
              <w:jc w:val="center"/>
              <w:rPr>
                <w:rFonts w:ascii="Times New Roman" w:hAnsi="Times New Roman"/>
                <w:sz w:val="24"/>
              </w:rPr>
            </w:pPr>
            <w:r>
              <w:rPr>
                <w:rFonts w:ascii="Times New Roman" w:hAnsi="Times New Roman"/>
                <w:sz w:val="24"/>
              </w:rPr>
              <w:t>12</w:t>
            </w:r>
          </w:p>
        </w:tc>
        <w:tc>
          <w:tcPr>
            <w:tcW w:w="2687" w:type="dxa"/>
            <w:shd w:val="clear" w:color="auto" w:fill="auto"/>
            <w:noWrap/>
            <w:vAlign w:val="center"/>
          </w:tcPr>
          <w:p>
            <w:pPr>
              <w:keepNext/>
              <w:ind w:firstLine="0" w:firstLineChars="0"/>
              <w:jc w:val="center"/>
              <w:rPr>
                <w:rFonts w:ascii="Times New Roman" w:hAnsi="Times New Roman"/>
                <w:sz w:val="24"/>
              </w:rPr>
            </w:pPr>
            <w:r>
              <w:rPr>
                <w:rFonts w:ascii="Times New Roman" w:hAnsi="Times New Roman"/>
                <w:sz w:val="24"/>
              </w:rPr>
              <w:t>9.1542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91" w:type="dxa"/>
            <w:shd w:val="clear" w:color="auto" w:fill="auto"/>
            <w:noWrap/>
            <w:vAlign w:val="center"/>
          </w:tcPr>
          <w:p>
            <w:pPr>
              <w:keepNext/>
              <w:ind w:firstLine="0" w:firstLineChars="0"/>
              <w:jc w:val="center"/>
              <w:rPr>
                <w:rFonts w:ascii="Times New Roman" w:hAnsi="Times New Roman"/>
                <w:bCs/>
                <w:color w:val="000000" w:themeColor="text1"/>
                <w:kern w:val="0"/>
                <w:sz w:val="22"/>
                <w:szCs w:val="22"/>
                <w14:textFill>
                  <w14:solidFill>
                    <w14:schemeClr w14:val="tx1"/>
                  </w14:solidFill>
                </w14:textFill>
              </w:rPr>
            </w:pPr>
            <w:r>
              <w:rPr>
                <w:rFonts w:ascii="Times New Roman" w:hAnsi="Times New Roman"/>
                <w:sz w:val="24"/>
              </w:rPr>
              <w:t>3</w:t>
            </w:r>
          </w:p>
        </w:tc>
        <w:tc>
          <w:tcPr>
            <w:tcW w:w="2432" w:type="dxa"/>
            <w:shd w:val="clear" w:color="auto" w:fill="auto"/>
            <w:noWrap/>
            <w:vAlign w:val="center"/>
          </w:tcPr>
          <w:p>
            <w:pPr>
              <w:keepNext/>
              <w:ind w:firstLine="0" w:firstLineChars="0"/>
              <w:jc w:val="center"/>
              <w:rPr>
                <w:rFonts w:ascii="Times New Roman" w:hAnsi="Times New Roman"/>
                <w:sz w:val="24"/>
              </w:rPr>
            </w:pPr>
            <w:r>
              <w:rPr>
                <w:rFonts w:ascii="Times New Roman" w:hAnsi="Times New Roman"/>
                <w:sz w:val="24"/>
              </w:rPr>
              <w:t>居住生活区</w:t>
            </w:r>
          </w:p>
        </w:tc>
        <w:tc>
          <w:tcPr>
            <w:tcW w:w="2126" w:type="dxa"/>
            <w:shd w:val="clear" w:color="auto" w:fill="auto"/>
            <w:noWrap/>
            <w:vAlign w:val="center"/>
          </w:tcPr>
          <w:p>
            <w:pPr>
              <w:keepNext/>
              <w:ind w:firstLine="0" w:firstLineChars="0"/>
              <w:jc w:val="center"/>
              <w:rPr>
                <w:rFonts w:ascii="Times New Roman" w:hAnsi="Times New Roman"/>
                <w:sz w:val="24"/>
              </w:rPr>
            </w:pPr>
            <w:r>
              <w:rPr>
                <w:rFonts w:ascii="Times New Roman" w:hAnsi="Times New Roman"/>
                <w:sz w:val="24"/>
              </w:rPr>
              <w:t>10</w:t>
            </w:r>
          </w:p>
        </w:tc>
        <w:tc>
          <w:tcPr>
            <w:tcW w:w="2687" w:type="dxa"/>
            <w:shd w:val="clear" w:color="auto" w:fill="auto"/>
            <w:noWrap/>
            <w:vAlign w:val="center"/>
          </w:tcPr>
          <w:p>
            <w:pPr>
              <w:keepNext/>
              <w:ind w:firstLine="0" w:firstLineChars="0"/>
              <w:jc w:val="center"/>
              <w:rPr>
                <w:rFonts w:ascii="Times New Roman" w:hAnsi="Times New Roman"/>
                <w:sz w:val="24"/>
              </w:rPr>
            </w:pPr>
            <w:r>
              <w:rPr>
                <w:rFonts w:ascii="Times New Roman" w:hAnsi="Times New Roman"/>
                <w:sz w:val="24"/>
              </w:rPr>
              <w:t>3.8296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91" w:type="dxa"/>
            <w:shd w:val="clear" w:color="auto" w:fill="auto"/>
            <w:noWrap/>
            <w:vAlign w:val="center"/>
          </w:tcPr>
          <w:p>
            <w:pPr>
              <w:keepNext/>
              <w:ind w:firstLine="0" w:firstLineChars="0"/>
              <w:jc w:val="center"/>
              <w:rPr>
                <w:rFonts w:ascii="Times New Roman" w:hAnsi="Times New Roman"/>
                <w:sz w:val="24"/>
              </w:rPr>
            </w:pPr>
            <w:r>
              <w:rPr>
                <w:rFonts w:ascii="Times New Roman" w:hAnsi="Times New Roman"/>
                <w:sz w:val="24"/>
              </w:rPr>
              <w:t>4</w:t>
            </w:r>
          </w:p>
        </w:tc>
        <w:tc>
          <w:tcPr>
            <w:tcW w:w="2432" w:type="dxa"/>
            <w:shd w:val="clear" w:color="auto" w:fill="auto"/>
            <w:noWrap/>
            <w:vAlign w:val="center"/>
          </w:tcPr>
          <w:p>
            <w:pPr>
              <w:keepNext/>
              <w:ind w:firstLine="0" w:firstLineChars="0"/>
              <w:jc w:val="center"/>
              <w:rPr>
                <w:rFonts w:ascii="Times New Roman" w:hAnsi="Times New Roman"/>
                <w:sz w:val="24"/>
              </w:rPr>
            </w:pPr>
            <w:r>
              <w:rPr>
                <w:rFonts w:ascii="Times New Roman" w:hAnsi="Times New Roman"/>
                <w:sz w:val="24"/>
              </w:rPr>
              <w:t>商业商务区</w:t>
            </w:r>
          </w:p>
        </w:tc>
        <w:tc>
          <w:tcPr>
            <w:tcW w:w="2126" w:type="dxa"/>
            <w:shd w:val="clear" w:color="auto" w:fill="auto"/>
            <w:noWrap/>
            <w:vAlign w:val="center"/>
          </w:tcPr>
          <w:p>
            <w:pPr>
              <w:keepNext/>
              <w:ind w:firstLine="0" w:firstLineChars="0"/>
              <w:jc w:val="center"/>
              <w:rPr>
                <w:rFonts w:ascii="Times New Roman" w:hAnsi="Times New Roman"/>
                <w:sz w:val="24"/>
              </w:rPr>
            </w:pPr>
            <w:r>
              <w:rPr>
                <w:rFonts w:ascii="Times New Roman" w:hAnsi="Times New Roman"/>
                <w:sz w:val="24"/>
              </w:rPr>
              <w:t>7</w:t>
            </w:r>
          </w:p>
        </w:tc>
        <w:tc>
          <w:tcPr>
            <w:tcW w:w="2687" w:type="dxa"/>
            <w:shd w:val="clear" w:color="auto" w:fill="auto"/>
            <w:noWrap/>
            <w:vAlign w:val="center"/>
          </w:tcPr>
          <w:p>
            <w:pPr>
              <w:keepNext/>
              <w:ind w:firstLine="0" w:firstLineChars="0"/>
              <w:jc w:val="center"/>
              <w:rPr>
                <w:rFonts w:ascii="Times New Roman" w:hAnsi="Times New Roman"/>
                <w:sz w:val="24"/>
              </w:rPr>
            </w:pPr>
            <w:r>
              <w:rPr>
                <w:rFonts w:ascii="Times New Roman" w:hAnsi="Times New Roman"/>
                <w:sz w:val="24"/>
              </w:rPr>
              <w:t>2.2573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91" w:type="dxa"/>
            <w:shd w:val="clear" w:color="auto" w:fill="auto"/>
            <w:noWrap/>
            <w:vAlign w:val="center"/>
          </w:tcPr>
          <w:p>
            <w:pPr>
              <w:keepNext/>
              <w:ind w:firstLine="0" w:firstLineChars="0"/>
              <w:jc w:val="center"/>
              <w:rPr>
                <w:rFonts w:ascii="Times New Roman" w:hAnsi="Times New Roman"/>
                <w:sz w:val="24"/>
              </w:rPr>
            </w:pPr>
            <w:r>
              <w:rPr>
                <w:rFonts w:ascii="Times New Roman" w:hAnsi="Times New Roman"/>
                <w:sz w:val="24"/>
              </w:rPr>
              <w:t>5</w:t>
            </w:r>
          </w:p>
        </w:tc>
        <w:tc>
          <w:tcPr>
            <w:tcW w:w="2432" w:type="dxa"/>
            <w:shd w:val="clear" w:color="auto" w:fill="auto"/>
            <w:noWrap/>
            <w:vAlign w:val="center"/>
          </w:tcPr>
          <w:p>
            <w:pPr>
              <w:keepNext/>
              <w:ind w:firstLine="0" w:firstLineChars="0"/>
              <w:jc w:val="center"/>
              <w:rPr>
                <w:rFonts w:ascii="Times New Roman" w:hAnsi="Times New Roman"/>
                <w:sz w:val="24"/>
              </w:rPr>
            </w:pPr>
            <w:r>
              <w:rPr>
                <w:rFonts w:ascii="Times New Roman" w:hAnsi="Times New Roman"/>
                <w:sz w:val="24"/>
              </w:rPr>
              <w:t>物流仓储区</w:t>
            </w:r>
          </w:p>
        </w:tc>
        <w:tc>
          <w:tcPr>
            <w:tcW w:w="2126" w:type="dxa"/>
            <w:shd w:val="clear" w:color="auto" w:fill="auto"/>
            <w:noWrap/>
            <w:vAlign w:val="center"/>
          </w:tcPr>
          <w:p>
            <w:pPr>
              <w:keepNext/>
              <w:ind w:firstLine="0" w:firstLineChars="0"/>
              <w:jc w:val="center"/>
              <w:rPr>
                <w:rFonts w:ascii="Times New Roman" w:hAnsi="Times New Roman"/>
                <w:sz w:val="24"/>
              </w:rPr>
            </w:pPr>
            <w:r>
              <w:rPr>
                <w:rFonts w:ascii="Times New Roman" w:hAnsi="Times New Roman"/>
                <w:sz w:val="24"/>
              </w:rPr>
              <w:t>1</w:t>
            </w:r>
          </w:p>
        </w:tc>
        <w:tc>
          <w:tcPr>
            <w:tcW w:w="2687" w:type="dxa"/>
            <w:shd w:val="clear" w:color="auto" w:fill="auto"/>
            <w:noWrap/>
            <w:vAlign w:val="center"/>
          </w:tcPr>
          <w:p>
            <w:pPr>
              <w:keepNext/>
              <w:ind w:firstLine="0" w:firstLineChars="0"/>
              <w:jc w:val="center"/>
              <w:rPr>
                <w:rFonts w:ascii="Times New Roman" w:hAnsi="Times New Roman"/>
                <w:sz w:val="24"/>
              </w:rPr>
            </w:pPr>
            <w:r>
              <w:rPr>
                <w:rFonts w:ascii="Times New Roman" w:hAnsi="Times New Roman"/>
                <w:sz w:val="24"/>
              </w:rPr>
              <w:t>0.2177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91" w:type="dxa"/>
            <w:shd w:val="clear" w:color="auto" w:fill="auto"/>
            <w:noWrap/>
            <w:vAlign w:val="center"/>
          </w:tcPr>
          <w:p>
            <w:pPr>
              <w:keepNext/>
              <w:ind w:firstLine="0" w:firstLineChars="0"/>
              <w:jc w:val="center"/>
              <w:rPr>
                <w:rFonts w:ascii="Times New Roman" w:hAnsi="Times New Roman"/>
                <w:sz w:val="24"/>
              </w:rPr>
            </w:pPr>
            <w:r>
              <w:rPr>
                <w:rFonts w:ascii="Times New Roman" w:hAnsi="Times New Roman"/>
                <w:sz w:val="24"/>
              </w:rPr>
              <w:t>6</w:t>
            </w:r>
          </w:p>
        </w:tc>
        <w:tc>
          <w:tcPr>
            <w:tcW w:w="2432" w:type="dxa"/>
            <w:shd w:val="clear" w:color="auto" w:fill="auto"/>
            <w:noWrap/>
            <w:vAlign w:val="center"/>
          </w:tcPr>
          <w:p>
            <w:pPr>
              <w:keepNext/>
              <w:ind w:firstLine="0" w:firstLineChars="0"/>
              <w:jc w:val="center"/>
              <w:rPr>
                <w:rFonts w:ascii="Times New Roman" w:hAnsi="Times New Roman"/>
                <w:sz w:val="24"/>
              </w:rPr>
            </w:pPr>
            <w:r>
              <w:rPr>
                <w:rFonts w:ascii="Times New Roman" w:hAnsi="Times New Roman"/>
                <w:sz w:val="24"/>
              </w:rPr>
              <w:t>综合服务区</w:t>
            </w:r>
          </w:p>
        </w:tc>
        <w:tc>
          <w:tcPr>
            <w:tcW w:w="2126" w:type="dxa"/>
            <w:shd w:val="clear" w:color="auto" w:fill="auto"/>
            <w:noWrap/>
            <w:vAlign w:val="center"/>
          </w:tcPr>
          <w:p>
            <w:pPr>
              <w:keepNext/>
              <w:ind w:firstLine="0" w:firstLineChars="0"/>
              <w:jc w:val="center"/>
              <w:rPr>
                <w:rFonts w:ascii="Times New Roman" w:hAnsi="Times New Roman"/>
                <w:sz w:val="24"/>
              </w:rPr>
            </w:pPr>
            <w:r>
              <w:rPr>
                <w:rFonts w:ascii="Times New Roman" w:hAnsi="Times New Roman"/>
                <w:sz w:val="24"/>
              </w:rPr>
              <w:t>9</w:t>
            </w:r>
          </w:p>
        </w:tc>
        <w:tc>
          <w:tcPr>
            <w:tcW w:w="2687" w:type="dxa"/>
            <w:shd w:val="clear" w:color="auto" w:fill="auto"/>
            <w:noWrap/>
            <w:vAlign w:val="center"/>
          </w:tcPr>
          <w:p>
            <w:pPr>
              <w:keepNext/>
              <w:ind w:firstLine="0" w:firstLineChars="0"/>
              <w:jc w:val="center"/>
              <w:rPr>
                <w:rFonts w:ascii="Times New Roman" w:hAnsi="Times New Roman"/>
                <w:sz w:val="24"/>
              </w:rPr>
            </w:pPr>
            <w:r>
              <w:rPr>
                <w:rFonts w:ascii="Times New Roman" w:hAnsi="Times New Roman"/>
                <w:sz w:val="24"/>
              </w:rPr>
              <w:t>6.1067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823" w:type="dxa"/>
            <w:gridSpan w:val="2"/>
            <w:shd w:val="clear" w:color="auto" w:fill="auto"/>
            <w:noWrap/>
            <w:vAlign w:val="center"/>
          </w:tcPr>
          <w:p>
            <w:pPr>
              <w:keepNext/>
              <w:ind w:firstLine="0" w:firstLineChars="0"/>
              <w:jc w:val="center"/>
              <w:rPr>
                <w:rFonts w:ascii="Times New Roman" w:hAnsi="Times New Roman"/>
                <w:sz w:val="24"/>
              </w:rPr>
            </w:pPr>
            <w:r>
              <w:rPr>
                <w:rFonts w:ascii="Times New Roman" w:hAnsi="Times New Roman"/>
                <w:sz w:val="24"/>
              </w:rPr>
              <w:t>合计</w:t>
            </w:r>
          </w:p>
        </w:tc>
        <w:tc>
          <w:tcPr>
            <w:tcW w:w="2126" w:type="dxa"/>
            <w:shd w:val="clear" w:color="auto" w:fill="auto"/>
            <w:noWrap/>
            <w:vAlign w:val="center"/>
          </w:tcPr>
          <w:p>
            <w:pPr>
              <w:keepNext/>
              <w:ind w:firstLine="0" w:firstLineChars="0"/>
              <w:jc w:val="center"/>
              <w:rPr>
                <w:rFonts w:ascii="Times New Roman" w:hAnsi="Times New Roman"/>
                <w:sz w:val="24"/>
              </w:rPr>
            </w:pPr>
            <w:r>
              <w:rPr>
                <w:rFonts w:ascii="Times New Roman" w:hAnsi="Times New Roman"/>
                <w:sz w:val="24"/>
              </w:rPr>
              <w:t>45</w:t>
            </w:r>
          </w:p>
        </w:tc>
        <w:tc>
          <w:tcPr>
            <w:tcW w:w="2687" w:type="dxa"/>
            <w:shd w:val="clear" w:color="auto" w:fill="auto"/>
            <w:noWrap/>
            <w:vAlign w:val="center"/>
          </w:tcPr>
          <w:p>
            <w:pPr>
              <w:keepNext/>
              <w:ind w:firstLine="0" w:firstLineChars="0"/>
              <w:jc w:val="center"/>
              <w:rPr>
                <w:rFonts w:ascii="Times New Roman" w:hAnsi="Times New Roman"/>
                <w:sz w:val="24"/>
              </w:rPr>
            </w:pPr>
            <w:r>
              <w:rPr>
                <w:rFonts w:ascii="Times New Roman" w:hAnsi="Times New Roman"/>
                <w:sz w:val="24"/>
              </w:rPr>
              <w:t>41.6486</w:t>
            </w:r>
          </w:p>
        </w:tc>
      </w:tr>
    </w:tbl>
    <w:p>
      <w:pPr>
        <w:pStyle w:val="3"/>
        <w:rPr>
          <w:rFonts w:ascii="Times New Roman" w:hAnsi="Times New Roman"/>
        </w:rPr>
      </w:pPr>
      <w:bookmarkStart w:id="9" w:name="_Toc161222815"/>
      <w:r>
        <w:rPr>
          <w:rFonts w:ascii="Times New Roman" w:hAnsi="Times New Roman"/>
        </w:rPr>
        <w:t>年度实施计划</w:t>
      </w:r>
      <w:bookmarkEnd w:id="9"/>
    </w:p>
    <w:p>
      <w:pPr>
        <w:ind w:firstLine="560"/>
        <w:rPr>
          <w:rFonts w:ascii="Times New Roman" w:hAnsi="Times New Roman"/>
        </w:rPr>
      </w:pPr>
      <w:r>
        <w:rPr>
          <w:rFonts w:ascii="Times New Roman" w:hAnsi="Times New Roman"/>
        </w:rPr>
        <w:t>本片区拟5年内完成土地征收和供地，具体如下：</w:t>
      </w:r>
    </w:p>
    <w:p>
      <w:pPr>
        <w:ind w:firstLine="560"/>
        <w:rPr>
          <w:rFonts w:ascii="Times New Roman" w:hAnsi="Times New Roman"/>
        </w:rPr>
      </w:pPr>
      <w:r>
        <w:rPr>
          <w:rFonts w:ascii="Times New Roman" w:hAnsi="Times New Roman"/>
        </w:rPr>
        <w:t>2024年完成土地征收3.0412公顷，土地供应3.0412公顷，主要用于完善片区工业发展用地需求；</w:t>
      </w:r>
    </w:p>
    <w:p>
      <w:pPr>
        <w:ind w:firstLine="560"/>
        <w:rPr>
          <w:rFonts w:ascii="Times New Roman" w:hAnsi="Times New Roman"/>
        </w:rPr>
      </w:pPr>
      <w:r>
        <w:rPr>
          <w:rFonts w:ascii="Times New Roman" w:hAnsi="Times New Roman"/>
        </w:rPr>
        <w:t>2025年完成土地征收2.2495公顷，土地供应2.2495公顷，主要用于完善片区工业发展用地需求；</w:t>
      </w:r>
    </w:p>
    <w:p>
      <w:pPr>
        <w:ind w:firstLine="560"/>
        <w:rPr>
          <w:rFonts w:ascii="Times New Roman" w:hAnsi="Times New Roman"/>
        </w:rPr>
      </w:pPr>
      <w:r>
        <w:rPr>
          <w:rFonts w:ascii="Times New Roman" w:hAnsi="Times New Roman"/>
        </w:rPr>
        <w:t>2026年完成土地征收0.6755公顷，土地供应0.6755公顷，主要用于完善片区工业发展用地需求；</w:t>
      </w:r>
    </w:p>
    <w:p>
      <w:pPr>
        <w:ind w:firstLine="560"/>
        <w:rPr>
          <w:rFonts w:ascii="Times New Roman" w:hAnsi="Times New Roman"/>
        </w:rPr>
      </w:pPr>
      <w:r>
        <w:rPr>
          <w:rFonts w:ascii="Times New Roman" w:hAnsi="Times New Roman"/>
        </w:rPr>
        <w:t>2027年完成土地征收0.1654公顷，土地供应0.1654公顷，主要用于完善片区工业发展用地需求。</w:t>
      </w:r>
    </w:p>
    <w:p>
      <w:pPr>
        <w:ind w:firstLine="560"/>
        <w:rPr>
          <w:rFonts w:ascii="Times New Roman" w:hAnsi="Times New Roman"/>
        </w:rPr>
      </w:pPr>
      <w:r>
        <w:rPr>
          <w:rFonts w:ascii="Times New Roman" w:hAnsi="Times New Roman"/>
        </w:rPr>
        <w:t>2028年完成土地征收3.1914公顷，土地供应3.1914公顷，主要用于完善片区工业发展用地需求。</w:t>
      </w:r>
    </w:p>
    <w:p>
      <w:pPr>
        <w:ind w:firstLine="560"/>
        <w:rPr>
          <w:rFonts w:ascii="Times New Roman" w:hAnsi="Times New Roman"/>
        </w:rPr>
      </w:pPr>
    </w:p>
    <w:p>
      <w:pPr>
        <w:pStyle w:val="2"/>
        <w:jc w:val="both"/>
        <w:rPr>
          <w:rFonts w:ascii="Times New Roman" w:hAnsi="Times New Roman" w:cs="Times New Roman"/>
        </w:rPr>
      </w:pPr>
      <w:bookmarkStart w:id="10" w:name="_Toc161222816"/>
      <w:r>
        <w:rPr>
          <w:rFonts w:ascii="Times New Roman" w:hAnsi="Times New Roman" w:cs="Times New Roman"/>
        </w:rPr>
        <w:t>成片开发范围内基础设施、公共服务设施以及其他公益性用地比例</w:t>
      </w:r>
      <w:bookmarkEnd w:id="10"/>
    </w:p>
    <w:p>
      <w:pPr>
        <w:pStyle w:val="3"/>
        <w:rPr>
          <w:rFonts w:ascii="Times New Roman" w:hAnsi="Times New Roman"/>
        </w:rPr>
      </w:pPr>
      <w:bookmarkStart w:id="11" w:name="_Toc161222817"/>
      <w:r>
        <w:rPr>
          <w:rFonts w:ascii="Times New Roman" w:hAnsi="Times New Roman"/>
        </w:rPr>
        <w:t>公益性用地比例</w:t>
      </w:r>
      <w:bookmarkEnd w:id="11"/>
    </w:p>
    <w:p>
      <w:pPr>
        <w:ind w:firstLine="560"/>
        <w:rPr>
          <w:rFonts w:ascii="Times New Roman" w:hAnsi="Times New Roman"/>
        </w:rPr>
      </w:pPr>
      <w:r>
        <w:rPr>
          <w:rFonts w:ascii="Times New Roman" w:hAnsi="Times New Roman"/>
        </w:rPr>
        <w:t>成片开发范围内，基础设施用地、公共服务设施以及其他公益性用地比例为45.84 %。其中，基础设施用地比例为31.17%，公共服务设施比例为14.67%。</w:t>
      </w:r>
    </w:p>
    <w:p>
      <w:pPr>
        <w:keepNext/>
        <w:ind w:firstLine="0" w:firstLineChars="0"/>
        <w:rPr>
          <w:rFonts w:ascii="Times New Roman" w:hAnsi="Times New Roman"/>
        </w:rPr>
      </w:pPr>
      <w:r>
        <w:rPr>
          <w:rFonts w:ascii="Times New Roman" w:hAnsi="Times New Roman"/>
        </w:rPr>
        <w:drawing>
          <wp:inline distT="0" distB="0" distL="0" distR="0">
            <wp:extent cx="5274310" cy="5274310"/>
            <wp:effectExtent l="0" t="0" r="2540" b="2540"/>
            <wp:docPr id="30" name="图片 30" descr="E:\倪田品\2.成片开发\6.杨田\2024-1-8\图件2024-1-30\公益性.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E:\倪田品\2.成片开发\6.杨田\2024-1-8\图件2024-1-30\公益性.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5274310" cy="5274310"/>
                    </a:xfrm>
                    <a:prstGeom prst="rect">
                      <a:avLst/>
                    </a:prstGeom>
                    <a:noFill/>
                    <a:ln>
                      <a:noFill/>
                    </a:ln>
                  </pic:spPr>
                </pic:pic>
              </a:graphicData>
            </a:graphic>
          </wp:inline>
        </w:drawing>
      </w:r>
    </w:p>
    <w:p>
      <w:pPr>
        <w:pStyle w:val="5"/>
        <w:ind w:firstLine="0" w:firstLineChars="0"/>
        <w:jc w:val="center"/>
        <w:rPr>
          <w:rFonts w:ascii="Times New Roman" w:hAnsi="Times New Roman"/>
          <w:bCs/>
          <w:color w:val="000000" w:themeColor="text1"/>
          <w:sz w:val="24"/>
          <w:szCs w:val="24"/>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 xml:space="preserve">图 </w:t>
      </w:r>
      <w:r>
        <w:rPr>
          <w:rFonts w:ascii="Times New Roman" w:hAnsi="Times New Roman"/>
          <w:bCs/>
          <w:color w:val="000000" w:themeColor="text1"/>
          <w:sz w:val="24"/>
          <w:szCs w:val="24"/>
          <w14:textFill>
            <w14:solidFill>
              <w14:schemeClr w14:val="tx1"/>
            </w14:solidFill>
          </w14:textFill>
        </w:rPr>
        <w:fldChar w:fldCharType="begin"/>
      </w:r>
      <w:r>
        <w:rPr>
          <w:rFonts w:ascii="Times New Roman" w:hAnsi="Times New Roman"/>
          <w:bCs/>
          <w:color w:val="000000" w:themeColor="text1"/>
          <w:sz w:val="24"/>
          <w:szCs w:val="24"/>
          <w14:textFill>
            <w14:solidFill>
              <w14:schemeClr w14:val="tx1"/>
            </w14:solidFill>
          </w14:textFill>
        </w:rPr>
        <w:instrText xml:space="preserve"> SEQ 图 \* ARABIC </w:instrText>
      </w:r>
      <w:r>
        <w:rPr>
          <w:rFonts w:ascii="Times New Roman" w:hAnsi="Times New Roman"/>
          <w:bCs/>
          <w:color w:val="000000" w:themeColor="text1"/>
          <w:sz w:val="24"/>
          <w:szCs w:val="24"/>
          <w14:textFill>
            <w14:solidFill>
              <w14:schemeClr w14:val="tx1"/>
            </w14:solidFill>
          </w14:textFill>
        </w:rPr>
        <w:fldChar w:fldCharType="separate"/>
      </w:r>
      <w:r>
        <w:rPr>
          <w:rFonts w:ascii="Times New Roman" w:hAnsi="Times New Roman"/>
          <w:bCs/>
          <w:color w:val="000000" w:themeColor="text1"/>
          <w:sz w:val="24"/>
          <w:szCs w:val="24"/>
          <w14:textFill>
            <w14:solidFill>
              <w14:schemeClr w14:val="tx1"/>
            </w14:solidFill>
          </w14:textFill>
        </w:rPr>
        <w:t>14</w:t>
      </w:r>
      <w:r>
        <w:rPr>
          <w:rFonts w:ascii="Times New Roman" w:hAnsi="Times New Roman"/>
          <w:bCs/>
          <w:color w:val="000000" w:themeColor="text1"/>
          <w:sz w:val="24"/>
          <w:szCs w:val="24"/>
          <w14:textFill>
            <w14:solidFill>
              <w14:schemeClr w14:val="tx1"/>
            </w14:solidFill>
          </w14:textFill>
        </w:rPr>
        <w:fldChar w:fldCharType="end"/>
      </w:r>
      <w:r>
        <w:rPr>
          <w:rFonts w:ascii="Times New Roman" w:hAnsi="Times New Roman"/>
          <w:bCs/>
          <w:color w:val="000000" w:themeColor="text1"/>
          <w:sz w:val="24"/>
          <w:szCs w:val="24"/>
          <w14:textFill>
            <w14:solidFill>
              <w14:schemeClr w14:val="tx1"/>
            </w14:solidFill>
          </w14:textFill>
        </w:rPr>
        <w:t>青阳县杨田镇片区公益性用地分布图</w:t>
      </w:r>
    </w:p>
    <w:p>
      <w:pPr>
        <w:pStyle w:val="2"/>
        <w:jc w:val="both"/>
        <w:rPr>
          <w:rFonts w:ascii="Times New Roman" w:hAnsi="Times New Roman" w:cs="Times New Roman"/>
        </w:rPr>
      </w:pPr>
      <w:bookmarkStart w:id="12" w:name="_Toc161222818"/>
      <w:r>
        <w:rPr>
          <w:rFonts w:ascii="Times New Roman" w:hAnsi="Times New Roman" w:cs="Times New Roman"/>
        </w:rPr>
        <w:t>成片开发的土地利用效益以及经济、社会、生态效益评估</w:t>
      </w:r>
      <w:bookmarkEnd w:id="12"/>
    </w:p>
    <w:p>
      <w:pPr>
        <w:pStyle w:val="3"/>
        <w:rPr>
          <w:rFonts w:ascii="Times New Roman" w:hAnsi="Times New Roman"/>
        </w:rPr>
      </w:pPr>
      <w:bookmarkStart w:id="13" w:name="_Toc161222819"/>
      <w:r>
        <w:rPr>
          <w:rFonts w:ascii="Times New Roman" w:hAnsi="Times New Roman"/>
        </w:rPr>
        <w:t>土地利用效益</w:t>
      </w:r>
      <w:bookmarkEnd w:id="13"/>
    </w:p>
    <w:p>
      <w:pPr>
        <w:ind w:firstLine="560"/>
        <w:rPr>
          <w:rFonts w:ascii="Times New Roman" w:hAnsi="Times New Roman"/>
        </w:rPr>
      </w:pPr>
      <w:r>
        <w:rPr>
          <w:rFonts w:ascii="Times New Roman" w:hAnsi="Times New Roman"/>
        </w:rPr>
        <w:t>本片区开发将严格落实《青阳县杨田镇镇区控制性详细规划》中确定的地块性质及使用强度等各项指标，并通过合理安排用地规模、结构和布局，优化土地利用空间格局，因地制宜配置基础设施、公共配套设施用地，提高现有用地使用效益，促进土地集约、节约、高效发展。</w:t>
      </w:r>
    </w:p>
    <w:p>
      <w:pPr>
        <w:ind w:firstLine="560"/>
        <w:rPr>
          <w:rFonts w:ascii="Times New Roman" w:hAnsi="Times New Roman"/>
        </w:rPr>
      </w:pPr>
      <w:r>
        <w:rPr>
          <w:rFonts w:ascii="Times New Roman" w:hAnsi="Times New Roman"/>
        </w:rPr>
        <w:t>预计本片区的土地开发利用率将达到100.00%，综合容积率将达到1.0以上（其中工业用地容积率不少于1.2），建筑系数将达到30%左右，亩均建设用地固定资产投资强度为150万元。</w:t>
      </w:r>
    </w:p>
    <w:p>
      <w:pPr>
        <w:pStyle w:val="3"/>
        <w:rPr>
          <w:rFonts w:ascii="Times New Roman" w:hAnsi="Times New Roman"/>
        </w:rPr>
      </w:pPr>
      <w:bookmarkStart w:id="14" w:name="_Toc161222820"/>
      <w:r>
        <w:rPr>
          <w:rFonts w:ascii="Times New Roman" w:hAnsi="Times New Roman"/>
        </w:rPr>
        <w:t>成片开发的经济效益评估</w:t>
      </w:r>
      <w:bookmarkEnd w:id="14"/>
    </w:p>
    <w:p>
      <w:pPr>
        <w:ind w:firstLine="560"/>
        <w:rPr>
          <w:rFonts w:ascii="Times New Roman" w:hAnsi="Times New Roman"/>
        </w:rPr>
      </w:pPr>
      <w:r>
        <w:rPr>
          <w:rFonts w:ascii="Times New Roman" w:hAnsi="Times New Roman"/>
        </w:rPr>
        <w:t>（1）投入分析。</w:t>
      </w:r>
    </w:p>
    <w:p>
      <w:pPr>
        <w:ind w:firstLine="560"/>
        <w:rPr>
          <w:rFonts w:ascii="Times New Roman" w:hAnsi="Times New Roman"/>
        </w:rPr>
      </w:pPr>
      <w:r>
        <w:rPr>
          <w:rFonts w:ascii="Times New Roman" w:hAnsi="Times New Roman"/>
        </w:rPr>
        <w:t>片区建设范围内投资主要包括征地相关费用、部分居民点拆迁费用、景观绿化等基础设施投入费用。</w:t>
      </w:r>
    </w:p>
    <w:p>
      <w:pPr>
        <w:ind w:firstLine="560"/>
        <w:rPr>
          <w:rFonts w:ascii="Times New Roman" w:hAnsi="Times New Roman"/>
        </w:rPr>
      </w:pPr>
      <w:r>
        <w:rPr>
          <w:rFonts w:ascii="Times New Roman" w:hAnsi="Times New Roman"/>
        </w:rPr>
        <w:t>（2）产出分析。‬‬‬‬‬‬‬‬‬‬‬‬‬‬</w:t>
      </w:r>
    </w:p>
    <w:p>
      <w:pPr>
        <w:ind w:firstLine="560"/>
        <w:rPr>
          <w:rFonts w:ascii="Times New Roman" w:hAnsi="Times New Roman"/>
        </w:rPr>
      </w:pPr>
      <w:r>
        <w:rPr>
          <w:rFonts w:ascii="Times New Roman" w:hAnsi="Times New Roman"/>
        </w:rPr>
        <w:t>拟征收及供应土地中非公益性用地（工业用地7.7944公顷，物流仓储用地0.2177公顷，亩均建设用地固定资产投资强度为150万元，青阳县同类型园区用地基准地价105元/平方米）估算，预计新增固定资产投资约1.80亿元，产生土地出让金收益约841万元。片区建成后，按同类型用地亩均用地税收10万元/亩计算，年财政收入增加约3384万元。</w:t>
      </w:r>
    </w:p>
    <w:p>
      <w:pPr>
        <w:pStyle w:val="3"/>
        <w:rPr>
          <w:rFonts w:ascii="Times New Roman" w:hAnsi="Times New Roman"/>
        </w:rPr>
      </w:pPr>
      <w:bookmarkStart w:id="15" w:name="_Toc161222821"/>
      <w:r>
        <w:rPr>
          <w:rFonts w:ascii="Times New Roman" w:hAnsi="Times New Roman"/>
        </w:rPr>
        <w:t>社会效益评估</w:t>
      </w:r>
      <w:bookmarkEnd w:id="15"/>
    </w:p>
    <w:p>
      <w:pPr>
        <w:ind w:firstLine="560"/>
        <w:rPr>
          <w:rFonts w:ascii="Times New Roman" w:hAnsi="Times New Roman"/>
        </w:rPr>
      </w:pPr>
      <w:r>
        <w:rPr>
          <w:rFonts w:ascii="Times New Roman" w:hAnsi="Times New Roman"/>
        </w:rPr>
        <w:t>成片开发的实施在促进产业发展的同时，也将创造新的就业机会。成片开发的建设和投产有利于吸收当地周边农业剩余劳动力。</w:t>
      </w:r>
    </w:p>
    <w:p>
      <w:pPr>
        <w:ind w:firstLine="560"/>
        <w:rPr>
          <w:rFonts w:ascii="Times New Roman" w:hAnsi="Times New Roman"/>
        </w:rPr>
      </w:pPr>
      <w:r>
        <w:rPr>
          <w:rFonts w:ascii="Times New Roman" w:hAnsi="Times New Roman"/>
        </w:rPr>
        <w:t>本方案成片开发项目的实施会对社会、经济、环境等各方面都产生重大影响，对土地利用、环境改善、增加就业等方面有巨大的促进作用，能够真正实现统一规划、统一配套、统一开发、统一建设、统一管理，激活了存量土地利用价值。</w:t>
      </w:r>
    </w:p>
    <w:p>
      <w:pPr>
        <w:pStyle w:val="3"/>
        <w:rPr>
          <w:rFonts w:ascii="Times New Roman" w:hAnsi="Times New Roman"/>
        </w:rPr>
      </w:pPr>
      <w:bookmarkStart w:id="16" w:name="_Toc161222822"/>
      <w:r>
        <w:rPr>
          <w:rFonts w:ascii="Times New Roman" w:hAnsi="Times New Roman"/>
        </w:rPr>
        <w:t>生态效益评估</w:t>
      </w:r>
      <w:bookmarkEnd w:id="16"/>
    </w:p>
    <w:p>
      <w:pPr>
        <w:ind w:firstLine="560"/>
        <w:rPr>
          <w:rFonts w:ascii="Times New Roman" w:hAnsi="Times New Roman"/>
        </w:rPr>
      </w:pPr>
      <w:r>
        <w:rPr>
          <w:rFonts w:ascii="Times New Roman" w:hAnsi="Times New Roman"/>
        </w:rPr>
        <w:t>通过强化交通沿线生态修复，打造拟开发区域蓝绿交织的多样化景观开发空间，通过加强开发片区绿色交通体系、绿色建筑体系，建设绿色产业园区。</w:t>
      </w:r>
    </w:p>
    <w:p>
      <w:pPr>
        <w:ind w:firstLine="560"/>
        <w:rPr>
          <w:rFonts w:ascii="Times New Roman" w:hAnsi="Times New Roman"/>
        </w:rPr>
      </w:pPr>
      <w:r>
        <w:rPr>
          <w:rFonts w:ascii="Times New Roman" w:hAnsi="Times New Roman"/>
        </w:rPr>
        <w:t>本方案成片开发范围内，成片开发范围与周边良好的生态本底相互融合，按照控制性详细规划等相关指标要求，工业企业入驻要符合“三线一单”和主导产业等相关要求，不降低区域生态环境质量，使项目区域生态环境实现良性循环，实现人与自然、经济发展与资源环境协调、可持续发展。</w:t>
      </w:r>
    </w:p>
    <w:p>
      <w:pPr>
        <w:pStyle w:val="2"/>
        <w:jc w:val="both"/>
        <w:rPr>
          <w:rFonts w:ascii="Times New Roman" w:hAnsi="Times New Roman" w:cs="Times New Roman"/>
        </w:rPr>
      </w:pPr>
      <w:bookmarkStart w:id="17" w:name="_Toc161222823"/>
      <w:r>
        <w:rPr>
          <w:rFonts w:ascii="Times New Roman" w:hAnsi="Times New Roman" w:cs="Times New Roman"/>
        </w:rPr>
        <w:t>其他需要说明的情况</w:t>
      </w:r>
      <w:bookmarkEnd w:id="17"/>
    </w:p>
    <w:p>
      <w:pPr>
        <w:pStyle w:val="3"/>
        <w:rPr>
          <w:rFonts w:ascii="Times New Roman" w:hAnsi="Times New Roman"/>
        </w:rPr>
      </w:pPr>
      <w:bookmarkStart w:id="18" w:name="_Toc161222824"/>
      <w:r>
        <w:rPr>
          <w:rFonts w:ascii="Times New Roman" w:hAnsi="Times New Roman"/>
        </w:rPr>
        <w:t>规划符合性</w:t>
      </w:r>
      <w:bookmarkEnd w:id="18"/>
    </w:p>
    <w:p>
      <w:pPr>
        <w:ind w:firstLine="560"/>
        <w:rPr>
          <w:rFonts w:ascii="Times New Roman" w:hAnsi="Times New Roman"/>
        </w:rPr>
      </w:pPr>
      <w:r>
        <w:rPr>
          <w:rFonts w:ascii="Times New Roman" w:hAnsi="Times New Roman"/>
        </w:rPr>
        <w:t>本方案符合《青阳县国民经济和社会发展第十四个五年规划纲要》、《青阳县国土空间总体规划（2021-2035年）》。本片区地块规划用途符合《青阳县杨田镇镇区控制性详细规划》。已将当年实施计划纳入2024年国民经济和社会发展年度计划，并承诺将后续实施计划纳入当年度国民经济和社会发展年度计划。经套合分析，该片区全部位于城镇开发边界内，不涉及占用生态保护红线、永久基本农田。</w:t>
      </w:r>
    </w:p>
    <w:p>
      <w:pPr>
        <w:keepNext/>
        <w:ind w:firstLine="0" w:firstLineChars="0"/>
        <w:rPr>
          <w:rFonts w:ascii="Times New Roman" w:hAnsi="Times New Roman"/>
        </w:rPr>
      </w:pPr>
      <w:r>
        <w:rPr>
          <w:rFonts w:ascii="Times New Roman" w:hAnsi="Times New Roman"/>
        </w:rPr>
        <w:drawing>
          <wp:inline distT="0" distB="0" distL="0" distR="0">
            <wp:extent cx="5274310" cy="3729990"/>
            <wp:effectExtent l="0" t="0" r="2540" b="3810"/>
            <wp:docPr id="31" name="图片 31" descr="E:\倪田品\2.成片开发\6.杨田\2024-1-8\图件2024-1-30\三区三线套合.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E:\倪田品\2.成片开发\6.杨田\2024-1-8\图件2024-1-30\三区三线套合.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a:xfrm>
                      <a:off x="0" y="0"/>
                      <a:ext cx="5274310" cy="3730411"/>
                    </a:xfrm>
                    <a:prstGeom prst="rect">
                      <a:avLst/>
                    </a:prstGeom>
                    <a:noFill/>
                    <a:ln>
                      <a:noFill/>
                    </a:ln>
                  </pic:spPr>
                </pic:pic>
              </a:graphicData>
            </a:graphic>
          </wp:inline>
        </w:drawing>
      </w:r>
    </w:p>
    <w:p>
      <w:pPr>
        <w:pStyle w:val="5"/>
        <w:ind w:firstLine="0" w:firstLineChars="0"/>
        <w:jc w:val="center"/>
        <w:rPr>
          <w:rFonts w:ascii="Times New Roman" w:hAnsi="Times New Roman"/>
          <w:bCs/>
          <w:color w:val="000000" w:themeColor="text1"/>
          <w:sz w:val="24"/>
          <w:szCs w:val="24"/>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 xml:space="preserve">图 </w:t>
      </w:r>
      <w:r>
        <w:rPr>
          <w:rFonts w:ascii="Times New Roman" w:hAnsi="Times New Roman"/>
          <w:bCs/>
          <w:color w:val="000000" w:themeColor="text1"/>
          <w:sz w:val="24"/>
          <w:szCs w:val="24"/>
          <w14:textFill>
            <w14:solidFill>
              <w14:schemeClr w14:val="tx1"/>
            </w14:solidFill>
          </w14:textFill>
        </w:rPr>
        <w:fldChar w:fldCharType="begin"/>
      </w:r>
      <w:r>
        <w:rPr>
          <w:rFonts w:ascii="Times New Roman" w:hAnsi="Times New Roman"/>
          <w:bCs/>
          <w:color w:val="000000" w:themeColor="text1"/>
          <w:sz w:val="24"/>
          <w:szCs w:val="24"/>
          <w14:textFill>
            <w14:solidFill>
              <w14:schemeClr w14:val="tx1"/>
            </w14:solidFill>
          </w14:textFill>
        </w:rPr>
        <w:instrText xml:space="preserve"> SEQ 图 \* ARABIC </w:instrText>
      </w:r>
      <w:r>
        <w:rPr>
          <w:rFonts w:ascii="Times New Roman" w:hAnsi="Times New Roman"/>
          <w:bCs/>
          <w:color w:val="000000" w:themeColor="text1"/>
          <w:sz w:val="24"/>
          <w:szCs w:val="24"/>
          <w14:textFill>
            <w14:solidFill>
              <w14:schemeClr w14:val="tx1"/>
            </w14:solidFill>
          </w14:textFill>
        </w:rPr>
        <w:fldChar w:fldCharType="separate"/>
      </w:r>
      <w:r>
        <w:rPr>
          <w:rFonts w:ascii="Times New Roman" w:hAnsi="Times New Roman"/>
          <w:bCs/>
          <w:color w:val="000000" w:themeColor="text1"/>
          <w:sz w:val="24"/>
          <w:szCs w:val="24"/>
          <w14:textFill>
            <w14:solidFill>
              <w14:schemeClr w14:val="tx1"/>
            </w14:solidFill>
          </w14:textFill>
        </w:rPr>
        <w:t>15</w:t>
      </w:r>
      <w:r>
        <w:rPr>
          <w:rFonts w:ascii="Times New Roman" w:hAnsi="Times New Roman"/>
          <w:bCs/>
          <w:color w:val="000000" w:themeColor="text1"/>
          <w:sz w:val="24"/>
          <w:szCs w:val="24"/>
          <w14:textFill>
            <w14:solidFill>
              <w14:schemeClr w14:val="tx1"/>
            </w14:solidFill>
          </w14:textFill>
        </w:rPr>
        <w:fldChar w:fldCharType="end"/>
      </w:r>
      <w:r>
        <w:rPr>
          <w:rFonts w:ascii="Times New Roman" w:hAnsi="Times New Roman"/>
          <w:bCs/>
          <w:color w:val="000000" w:themeColor="text1"/>
          <w:sz w:val="24"/>
          <w:szCs w:val="24"/>
          <w14:textFill>
            <w14:solidFill>
              <w14:schemeClr w14:val="tx1"/>
            </w14:solidFill>
          </w14:textFill>
        </w:rPr>
        <w:t xml:space="preserve"> 青阳县杨田镇片区“三区三线划定成果图”</w:t>
      </w:r>
    </w:p>
    <w:p>
      <w:pPr>
        <w:pStyle w:val="3"/>
        <w:rPr>
          <w:rFonts w:ascii="Times New Roman" w:hAnsi="Times New Roman"/>
        </w:rPr>
      </w:pPr>
      <w:bookmarkStart w:id="19" w:name="_Toc161222825"/>
      <w:r>
        <w:rPr>
          <w:rFonts w:ascii="Times New Roman" w:hAnsi="Times New Roman"/>
        </w:rPr>
        <w:t>本地土地节约集约利用情况</w:t>
      </w:r>
      <w:bookmarkEnd w:id="19"/>
    </w:p>
    <w:p>
      <w:pPr>
        <w:ind w:firstLine="560"/>
        <w:rPr>
          <w:rFonts w:ascii="Times New Roman" w:hAnsi="Times New Roman"/>
        </w:rPr>
      </w:pPr>
      <w:r>
        <w:rPr>
          <w:rFonts w:ascii="Times New Roman" w:hAnsi="Times New Roman"/>
        </w:rPr>
        <w:t>不存在县域内上一年度批而未供土地或者闲置土地处置率未达到15%，且本年度按季度统计处置率仍未达到15%。</w:t>
      </w:r>
    </w:p>
    <w:p>
      <w:pPr>
        <w:ind w:firstLine="560"/>
        <w:rPr>
          <w:rFonts w:ascii="Times New Roman" w:hAnsi="Times New Roman"/>
        </w:rPr>
      </w:pPr>
      <w:r>
        <w:rPr>
          <w:rFonts w:ascii="Times New Roman" w:hAnsi="Times New Roman"/>
        </w:rPr>
        <w:t>不存在省级以上开发区土地建成率、亩均固定资产投资总额、亩均税收、综合容积率等指标均低于同级别、同类型开发区平均指标值50%。</w:t>
      </w:r>
    </w:p>
    <w:p>
      <w:pPr>
        <w:ind w:firstLine="560"/>
        <w:rPr>
          <w:rFonts w:ascii="Times New Roman" w:hAnsi="Times New Roman"/>
        </w:rPr>
      </w:pPr>
      <w:r>
        <w:rPr>
          <w:rFonts w:ascii="Times New Roman" w:hAnsi="Times New Roman"/>
        </w:rPr>
        <w:t>不存在城市新区经土地集约利用程度评价认定效率低下。</w:t>
      </w:r>
    </w:p>
    <w:p>
      <w:pPr>
        <w:pStyle w:val="3"/>
        <w:rPr>
          <w:rFonts w:ascii="Times New Roman" w:hAnsi="Times New Roman"/>
        </w:rPr>
      </w:pPr>
      <w:bookmarkStart w:id="20" w:name="_Toc161222826"/>
      <w:r>
        <w:rPr>
          <w:rFonts w:ascii="Times New Roman" w:hAnsi="Times New Roman"/>
        </w:rPr>
        <w:t>其他有关情况</w:t>
      </w:r>
      <w:bookmarkEnd w:id="20"/>
    </w:p>
    <w:p>
      <w:pPr>
        <w:ind w:firstLine="560"/>
        <w:rPr>
          <w:rFonts w:ascii="Times New Roman" w:hAnsi="Times New Roman"/>
        </w:rPr>
      </w:pPr>
      <w:r>
        <w:rPr>
          <w:rFonts w:ascii="Times New Roman" w:hAnsi="Times New Roman"/>
        </w:rPr>
        <w:t>不存在已批准实施的土地征收成片开发连续两年未完成方案安排的年度实施计划。</w:t>
      </w:r>
    </w:p>
    <w:p>
      <w:pPr>
        <w:ind w:firstLine="560"/>
        <w:rPr>
          <w:rFonts w:ascii="Times New Roman" w:hAnsi="Times New Roman"/>
        </w:rPr>
      </w:pPr>
      <w:r>
        <w:rPr>
          <w:rFonts w:ascii="Times New Roman" w:hAnsi="Times New Roman"/>
        </w:rPr>
        <w:t>不存在集中建设区内具有土壤污染风险的建设用地地块未达到土壤污染风险管控、修复目标。</w:t>
      </w:r>
    </w:p>
    <w:p>
      <w:pPr>
        <w:ind w:firstLine="560"/>
        <w:rPr>
          <w:rFonts w:ascii="Times New Roman" w:hAnsi="Times New Roman"/>
        </w:rPr>
      </w:pPr>
      <w:r>
        <w:rPr>
          <w:rFonts w:ascii="Times New Roman" w:hAnsi="Times New Roman"/>
        </w:rPr>
        <w:t>不涉及化工园区。</w:t>
      </w:r>
    </w:p>
    <w:p>
      <w:pPr>
        <w:ind w:firstLine="560"/>
        <w:rPr>
          <w:rFonts w:ascii="Times New Roman" w:hAnsi="Times New Roman"/>
        </w:rPr>
        <w:sectPr>
          <w:footerReference r:id="rId11" w:type="default"/>
          <w:pgSz w:w="11906" w:h="16838"/>
          <w:pgMar w:top="1440" w:right="1800" w:bottom="1440" w:left="1800" w:header="851" w:footer="992" w:gutter="0"/>
          <w:pgNumType w:start="1"/>
          <w:cols w:space="720" w:num="1"/>
          <w:docGrid w:type="lines" w:linePitch="326" w:charSpace="0"/>
        </w:sectPr>
      </w:pPr>
    </w:p>
    <w:p>
      <w:pPr>
        <w:pStyle w:val="2"/>
        <w:spacing w:line="240" w:lineRule="auto"/>
        <w:jc w:val="both"/>
        <w:rPr>
          <w:rFonts w:ascii="Times New Roman" w:hAnsi="Times New Roman" w:cs="Times New Roman"/>
        </w:rPr>
      </w:pPr>
      <w:bookmarkStart w:id="21" w:name="_Toc161222827"/>
      <w:r>
        <w:rPr>
          <w:rFonts w:ascii="Times New Roman" w:hAnsi="Times New Roman" w:cs="Times New Roman"/>
        </w:rPr>
        <w:t>附件</w:t>
      </w:r>
      <w:bookmarkEnd w:id="21"/>
    </w:p>
    <w:p>
      <w:pPr>
        <w:pStyle w:val="3"/>
        <w:numPr>
          <w:ilvl w:val="0"/>
          <w:numId w:val="0"/>
        </w:numPr>
        <w:rPr>
          <w:rFonts w:ascii="Times New Roman" w:hAnsi="Times New Roman"/>
        </w:rPr>
      </w:pPr>
      <w:bookmarkStart w:id="22" w:name="_Toc135727553"/>
      <w:bookmarkStart w:id="23" w:name="_Toc161222828"/>
      <w:r>
        <w:rPr>
          <w:rFonts w:ascii="Times New Roman" w:hAnsi="Times New Roman"/>
          <w:color w:val="FFFFFF" w:themeColor="background1"/>
          <w14:textFill>
            <w14:solidFill>
              <w14:schemeClr w14:val="bg1"/>
            </w14:solidFill>
          </w14:textFill>
        </w:rPr>
        <w:t>1.青阳县杨田镇片区（编号CZQY341723-2024-1）基本情况表</w:t>
      </w:r>
      <w:bookmarkEnd w:id="22"/>
      <w:bookmarkEnd w:id="23"/>
    </w:p>
    <w:p>
      <w:pPr>
        <w:ind w:firstLine="560"/>
        <w:rPr>
          <w:rFonts w:ascii="Times New Roman" w:hAnsi="Times New Roman"/>
        </w:rPr>
      </w:pPr>
    </w:p>
    <w:p>
      <w:pPr>
        <w:ind w:firstLine="560"/>
        <w:rPr>
          <w:rFonts w:ascii="Times New Roman" w:hAnsi="Times New Roman"/>
        </w:rPr>
      </w:pPr>
    </w:p>
    <w:p>
      <w:pPr>
        <w:ind w:firstLine="0" w:firstLineChars="0"/>
        <w:jc w:val="center"/>
        <w:rPr>
          <w:rFonts w:ascii="Times New Roman" w:hAnsi="Times New Roman"/>
          <w:b/>
          <w:color w:val="000000" w:themeColor="text1"/>
          <w:sz w:val="84"/>
          <w:szCs w:val="84"/>
          <w14:textFill>
            <w14:solidFill>
              <w14:schemeClr w14:val="tx1"/>
            </w14:solidFill>
          </w14:textFill>
        </w:rPr>
      </w:pPr>
      <w:r>
        <w:rPr>
          <w:rFonts w:ascii="Times New Roman" w:hAnsi="Times New Roman"/>
          <w:b/>
          <w:color w:val="000000" w:themeColor="text1"/>
          <w:sz w:val="84"/>
          <w:szCs w:val="84"/>
          <w14:textFill>
            <w14:solidFill>
              <w14:schemeClr w14:val="tx1"/>
            </w14:solidFill>
          </w14:textFill>
        </w:rPr>
        <w:t>附</w:t>
      </w:r>
    </w:p>
    <w:p>
      <w:pPr>
        <w:tabs>
          <w:tab w:val="center" w:pos="4323"/>
        </w:tabs>
        <w:ind w:firstLine="0" w:firstLineChars="0"/>
        <w:jc w:val="center"/>
        <w:rPr>
          <w:rFonts w:ascii="Times New Roman" w:hAnsi="Times New Roman"/>
          <w:b/>
          <w:color w:val="000000" w:themeColor="text1"/>
          <w:sz w:val="84"/>
          <w:szCs w:val="84"/>
          <w14:textFill>
            <w14:solidFill>
              <w14:schemeClr w14:val="tx1"/>
            </w14:solidFill>
          </w14:textFill>
        </w:rPr>
      </w:pPr>
      <w:r>
        <w:rPr>
          <w:rFonts w:ascii="Times New Roman" w:hAnsi="Times New Roman"/>
          <w:b/>
          <w:color w:val="000000" w:themeColor="text1"/>
          <w:sz w:val="84"/>
          <w:szCs w:val="84"/>
          <w14:textFill>
            <w14:solidFill>
              <w14:schemeClr w14:val="tx1"/>
            </w14:solidFill>
          </w14:textFill>
        </w:rPr>
        <w:t>件</w:t>
      </w:r>
    </w:p>
    <w:p>
      <w:pPr>
        <w:ind w:firstLine="0" w:firstLineChars="0"/>
        <w:jc w:val="center"/>
        <w:rPr>
          <w:rFonts w:ascii="Times New Roman" w:hAnsi="Times New Roman"/>
          <w:b/>
          <w:color w:val="000000" w:themeColor="text1"/>
          <w:sz w:val="84"/>
          <w:szCs w:val="84"/>
          <w14:textFill>
            <w14:solidFill>
              <w14:schemeClr w14:val="tx1"/>
            </w14:solidFill>
          </w14:textFill>
        </w:rPr>
      </w:pPr>
      <w:r>
        <w:rPr>
          <w:rFonts w:ascii="Times New Roman" w:hAnsi="Times New Roman"/>
          <w:b/>
          <w:color w:val="000000" w:themeColor="text1"/>
          <w:sz w:val="84"/>
          <w:szCs w:val="84"/>
          <w14:textFill>
            <w14:solidFill>
              <w14:schemeClr w14:val="tx1"/>
            </w14:solidFill>
          </w14:textFill>
        </w:rPr>
        <w:t>一</w:t>
      </w:r>
    </w:p>
    <w:p>
      <w:pPr>
        <w:ind w:firstLine="0" w:firstLineChars="0"/>
        <w:jc w:val="center"/>
        <w:rPr>
          <w:rFonts w:ascii="Times New Roman" w:hAnsi="Times New Roman"/>
          <w:b/>
          <w:color w:val="000000" w:themeColor="text1"/>
          <w:sz w:val="56"/>
          <w:szCs w:val="84"/>
          <w14:textFill>
            <w14:solidFill>
              <w14:schemeClr w14:val="tx1"/>
            </w14:solidFill>
          </w14:textFill>
        </w:rPr>
      </w:pPr>
      <w:r>
        <w:rPr>
          <w:rFonts w:ascii="Times New Roman" w:hAnsi="Times New Roman"/>
          <w:b/>
          <w:color w:val="000000" w:themeColor="text1"/>
          <w:sz w:val="56"/>
          <w:szCs w:val="84"/>
          <w14:textFill>
            <w14:solidFill>
              <w14:schemeClr w14:val="tx1"/>
            </w14:solidFill>
          </w14:textFill>
        </w:rPr>
        <w:t>青阳县杨田镇片区</w:t>
      </w:r>
    </w:p>
    <w:p>
      <w:pPr>
        <w:ind w:firstLine="0" w:firstLineChars="0"/>
        <w:jc w:val="center"/>
        <w:rPr>
          <w:rFonts w:ascii="Times New Roman" w:hAnsi="Times New Roman"/>
          <w:b/>
          <w:color w:val="000000" w:themeColor="text1"/>
          <w:sz w:val="56"/>
          <w:szCs w:val="84"/>
          <w14:textFill>
            <w14:solidFill>
              <w14:schemeClr w14:val="tx1"/>
            </w14:solidFill>
          </w14:textFill>
        </w:rPr>
      </w:pPr>
      <w:r>
        <w:rPr>
          <w:rFonts w:ascii="Times New Roman" w:hAnsi="Times New Roman"/>
          <w:b/>
          <w:color w:val="000000" w:themeColor="text1"/>
          <w:sz w:val="56"/>
          <w:szCs w:val="84"/>
          <w14:textFill>
            <w14:solidFill>
              <w14:schemeClr w14:val="tx1"/>
            </w14:solidFill>
          </w14:textFill>
        </w:rPr>
        <w:t>（编号CZQY341723-2024-1）</w:t>
      </w:r>
    </w:p>
    <w:p>
      <w:pPr>
        <w:ind w:firstLine="0" w:firstLineChars="0"/>
        <w:jc w:val="center"/>
        <w:rPr>
          <w:rFonts w:ascii="Times New Roman" w:hAnsi="Times New Roman"/>
        </w:rPr>
      </w:pPr>
      <w:r>
        <w:rPr>
          <w:rFonts w:ascii="Times New Roman" w:hAnsi="Times New Roman"/>
          <w:b/>
          <w:color w:val="000000" w:themeColor="text1"/>
          <w:sz w:val="56"/>
          <w:szCs w:val="84"/>
          <w14:textFill>
            <w14:solidFill>
              <w14:schemeClr w14:val="tx1"/>
            </w14:solidFill>
          </w14:textFill>
        </w:rPr>
        <w:t>片区基本情况表</w:t>
      </w:r>
    </w:p>
    <w:p>
      <w:pPr>
        <w:ind w:firstLine="560"/>
        <w:rPr>
          <w:rFonts w:ascii="Times New Roman" w:hAnsi="Times New Roman"/>
        </w:rPr>
      </w:pPr>
    </w:p>
    <w:p>
      <w:pPr>
        <w:ind w:firstLine="560"/>
        <w:rPr>
          <w:rFonts w:ascii="Times New Roman" w:hAnsi="Times New Roman"/>
        </w:rPr>
      </w:pPr>
    </w:p>
    <w:p>
      <w:pPr>
        <w:ind w:firstLine="560"/>
        <w:rPr>
          <w:rFonts w:ascii="Times New Roman" w:hAnsi="Times New Roman"/>
        </w:rPr>
      </w:pPr>
    </w:p>
    <w:p>
      <w:pPr>
        <w:ind w:firstLine="560"/>
        <w:rPr>
          <w:rFonts w:ascii="Times New Roman" w:hAnsi="Times New Roman"/>
        </w:rPr>
      </w:pPr>
    </w:p>
    <w:p>
      <w:pPr>
        <w:ind w:firstLine="560"/>
        <w:rPr>
          <w:rFonts w:ascii="Times New Roman" w:hAnsi="Times New Roman"/>
        </w:rPr>
      </w:pPr>
    </w:p>
    <w:p>
      <w:pPr>
        <w:ind w:firstLine="560"/>
        <w:rPr>
          <w:rFonts w:ascii="Times New Roman" w:hAnsi="Times New Roman"/>
        </w:rPr>
      </w:pPr>
    </w:p>
    <w:p>
      <w:pPr>
        <w:ind w:firstLine="560"/>
        <w:rPr>
          <w:rFonts w:ascii="Times New Roman" w:hAnsi="Times New Roman"/>
        </w:rPr>
      </w:pPr>
    </w:p>
    <w:p>
      <w:pPr>
        <w:ind w:firstLine="560"/>
        <w:rPr>
          <w:rFonts w:ascii="Times New Roman" w:hAnsi="Times New Roman"/>
        </w:rPr>
      </w:pPr>
    </w:p>
    <w:p>
      <w:pPr>
        <w:ind w:firstLine="560"/>
        <w:rPr>
          <w:rFonts w:ascii="Times New Roman" w:hAnsi="Times New Roman"/>
        </w:rPr>
      </w:pPr>
    </w:p>
    <w:p>
      <w:pPr>
        <w:adjustRightInd w:val="0"/>
        <w:snapToGrid w:val="0"/>
        <w:spacing w:line="240" w:lineRule="auto"/>
        <w:ind w:firstLine="0" w:firstLineChars="0"/>
        <w:jc w:val="center"/>
        <w:rPr>
          <w:rFonts w:ascii="Times New Roman" w:hAnsi="Times New Roman"/>
          <w:b/>
        </w:rPr>
      </w:pPr>
      <w:r>
        <w:rPr>
          <w:rFonts w:ascii="Times New Roman" w:hAnsi="Times New Roman"/>
          <w:b/>
        </w:rPr>
        <w:t>青阳县杨田镇片区（编号CZQY341723-2024-1）</w:t>
      </w:r>
    </w:p>
    <w:p>
      <w:pPr>
        <w:adjustRightInd w:val="0"/>
        <w:snapToGrid w:val="0"/>
        <w:spacing w:line="240" w:lineRule="auto"/>
        <w:ind w:firstLine="0" w:firstLineChars="0"/>
        <w:jc w:val="center"/>
        <w:rPr>
          <w:rFonts w:ascii="Times New Roman" w:hAnsi="Times New Roman"/>
          <w:b/>
        </w:rPr>
      </w:pPr>
      <w:r>
        <w:rPr>
          <w:rFonts w:ascii="Times New Roman" w:hAnsi="Times New Roman"/>
          <w:b/>
        </w:rPr>
        <w:t>片区基本情况表</w:t>
      </w:r>
    </w:p>
    <w:p>
      <w:pPr>
        <w:spacing w:line="240" w:lineRule="atLeast"/>
        <w:ind w:firstLine="0" w:firstLineChars="0"/>
        <w:jc w:val="right"/>
        <w:rPr>
          <w:rFonts w:ascii="Times New Roman" w:hAnsi="Times New Roman"/>
          <w:color w:val="000000"/>
          <w:sz w:val="21"/>
          <w:szCs w:val="21"/>
        </w:rPr>
      </w:pPr>
      <w:r>
        <w:rPr>
          <w:rFonts w:ascii="Times New Roman" w:hAnsi="Times New Roman"/>
          <w:color w:val="000000"/>
          <w:sz w:val="21"/>
          <w:szCs w:val="21"/>
        </w:rPr>
        <w:t>单位：公顷（0.0000）</w:t>
      </w:r>
    </w:p>
    <w:tbl>
      <w:tblPr>
        <w:tblStyle w:val="49"/>
        <w:tblpPr w:leftFromText="180" w:rightFromText="180" w:vertAnchor="text"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425"/>
        <w:gridCol w:w="1172"/>
        <w:gridCol w:w="1420"/>
        <w:gridCol w:w="385"/>
        <w:gridCol w:w="284"/>
        <w:gridCol w:w="752"/>
        <w:gridCol w:w="807"/>
        <w:gridCol w:w="614"/>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522" w:type="dxa"/>
            <w:gridSpan w:val="10"/>
            <w:vAlign w:val="center"/>
          </w:tcPr>
          <w:p>
            <w:pPr>
              <w:spacing w:line="240" w:lineRule="auto"/>
              <w:ind w:firstLine="0" w:firstLineChars="0"/>
              <w:rPr>
                <w:rFonts w:ascii="Times New Roman" w:hAnsi="Times New Roman"/>
                <w:b/>
                <w:color w:val="000000"/>
                <w:sz w:val="24"/>
              </w:rPr>
            </w:pPr>
            <w:r>
              <w:rPr>
                <w:rFonts w:ascii="Times New Roman" w:hAnsi="Times New Roman"/>
                <w:b/>
                <w:color w:val="000000"/>
                <w:sz w:val="24"/>
              </w:rPr>
              <w:t>一、集中建设区域现状情况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7" w:type="dxa"/>
            <w:gridSpan w:val="2"/>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位置</w:t>
            </w:r>
          </w:p>
        </w:tc>
        <w:tc>
          <w:tcPr>
            <w:tcW w:w="6855" w:type="dxa"/>
            <w:gridSpan w:val="8"/>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池州市青阳县杨田镇杨田村、仙梅村、黄泥村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67" w:type="dxa"/>
            <w:gridSpan w:val="2"/>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范围</w:t>
            </w:r>
          </w:p>
        </w:tc>
        <w:tc>
          <w:tcPr>
            <w:tcW w:w="6855" w:type="dxa"/>
            <w:gridSpan w:val="8"/>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东至G330国道，南至杨田中学，西至黄泥路，北至青阳县飞越电器厂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tcBorders>
              <w:right w:val="single" w:color="auto" w:sz="4" w:space="0"/>
            </w:tcBorders>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土地利用现状</w:t>
            </w:r>
          </w:p>
        </w:tc>
        <w:tc>
          <w:tcPr>
            <w:tcW w:w="1597" w:type="dxa"/>
            <w:gridSpan w:val="2"/>
            <w:vMerge w:val="restart"/>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地类</w:t>
            </w:r>
          </w:p>
        </w:tc>
        <w:tc>
          <w:tcPr>
            <w:tcW w:w="5683" w:type="dxa"/>
            <w:gridSpan w:val="7"/>
            <w:tcBorders>
              <w:top w:val="nil"/>
              <w:left w:val="single" w:color="auto" w:sz="4" w:space="0"/>
              <w:bottom w:val="nil"/>
              <w:right w:val="single" w:color="auto" w:sz="4" w:space="0"/>
            </w:tcBorders>
            <w:vAlign w:val="center"/>
          </w:tcPr>
          <w:p>
            <w:pPr>
              <w:spacing w:line="240" w:lineRule="auto"/>
              <w:ind w:firstLine="0" w:firstLineChars="0"/>
              <w:rPr>
                <w:rFonts w:ascii="Times New Roman" w:hAnsi="Times New Roman"/>
                <w:b/>
                <w:color w:val="000000"/>
                <w:sz w:val="24"/>
              </w:rPr>
            </w:pPr>
            <w:r>
              <w:rPr>
                <w:rFonts w:ascii="Times New Roman" w:hAnsi="Times New Roman"/>
                <w:b/>
                <w:color w:val="000000"/>
                <w:sz w:val="24"/>
              </w:rPr>
              <mc:AlternateContent>
                <mc:Choice Requires="wps">
                  <w:drawing>
                    <wp:anchor distT="0" distB="0" distL="114300" distR="114300" simplePos="0" relativeHeight="251659264" behindDoc="0" locked="0" layoutInCell="1" allowOverlap="1">
                      <wp:simplePos x="0" y="0"/>
                      <wp:positionH relativeFrom="column">
                        <wp:posOffset>99060</wp:posOffset>
                      </wp:positionH>
                      <wp:positionV relativeFrom="paragraph">
                        <wp:posOffset>45085</wp:posOffset>
                      </wp:positionV>
                      <wp:extent cx="604520" cy="354330"/>
                      <wp:effectExtent l="0" t="0" r="0" b="0"/>
                      <wp:wrapNone/>
                      <wp:docPr id="10" name="矩形 10"/>
                      <wp:cNvGraphicFramePr/>
                      <a:graphic xmlns:a="http://schemas.openxmlformats.org/drawingml/2006/main">
                        <a:graphicData uri="http://schemas.microsoft.com/office/word/2010/wordprocessingShape">
                          <wps:wsp>
                            <wps:cNvSpPr>
                              <a:spLocks noChangeArrowheads="1"/>
                            </wps:cNvSpPr>
                            <wps:spPr bwMode="auto">
                              <a:xfrm>
                                <a:off x="0" y="0"/>
                                <a:ext cx="604520" cy="354330"/>
                              </a:xfrm>
                              <a:prstGeom prst="rect">
                                <a:avLst/>
                              </a:prstGeom>
                              <a:noFill/>
                              <a:ln>
                                <a:noFill/>
                              </a:ln>
                            </wps:spPr>
                            <wps:txbx>
                              <w:txbxContent>
                                <w:p>
                                  <w:pPr>
                                    <w:spacing w:line="240" w:lineRule="auto"/>
                                    <w:ind w:firstLine="0" w:firstLineChars="0"/>
                                    <w:rPr>
                                      <w:sz w:val="24"/>
                                    </w:rPr>
                                  </w:pPr>
                                  <w:r>
                                    <w:rPr>
                                      <w:rFonts w:hint="eastAsia"/>
                                      <w:sz w:val="24"/>
                                    </w:rPr>
                                    <w:t>面积</w:t>
                                  </w: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7.8pt;margin-top:3.55pt;height:27.9pt;width:47.6pt;z-index:251659264;mso-width-relative:page;mso-height-relative:page;" filled="f" stroked="f" coordsize="21600,21600" o:gfxdata="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MXtX/jXAAAABwEAAA8AAAAAAAAAAQAgAAAA&#10;IgAAAGRycy9kb3ducmV2LnhtbFBLAQIUABQAAAAIAIdO4kAnBjcZDAIAAAkEAAAOAAAAAAAAAAEA&#10;IAAAACYBAABkcnMvZTJvRG9jLnhtbFBLBQYAAAAABgAGAFkBAACkBQAAAAA=&#10;">
                      <v:fill on="f" focussize="0,0"/>
                      <v:stroke on="f"/>
                      <v:imagedata o:title=""/>
                      <o:lock v:ext="edit" aspectratio="f"/>
                      <v:textbox>
                        <w:txbxContent>
                          <w:p>
                            <w:pPr>
                              <w:spacing w:line="240" w:lineRule="auto"/>
                              <w:ind w:firstLine="0" w:firstLineChars="0"/>
                              <w:rPr>
                                <w:sz w:val="24"/>
                              </w:rPr>
                            </w:pPr>
                            <w:r>
                              <w:rPr>
                                <w:rFonts w:hint="eastAsia"/>
                                <w:sz w:val="24"/>
                              </w:rPr>
                              <w:t>面积</w:t>
                            </w:r>
                          </w:p>
                        </w:txbxContent>
                      </v:textbox>
                    </v:rect>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tcBorders>
              <w:right w:val="single" w:color="auto" w:sz="4" w:space="0"/>
            </w:tcBorders>
            <w:vAlign w:val="center"/>
          </w:tcPr>
          <w:p>
            <w:pPr>
              <w:spacing w:line="240" w:lineRule="auto"/>
              <w:ind w:firstLine="0" w:firstLineChars="0"/>
              <w:rPr>
                <w:rFonts w:ascii="Times New Roman" w:hAnsi="Times New Roman"/>
                <w:color w:val="000000"/>
                <w:sz w:val="24"/>
              </w:rPr>
            </w:pPr>
          </w:p>
        </w:tc>
        <w:tc>
          <w:tcPr>
            <w:tcW w:w="1597" w:type="dxa"/>
            <w:gridSpan w:val="2"/>
            <w:vMerge w:val="continue"/>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rPr>
                <w:rFonts w:ascii="Times New Roman" w:hAnsi="Times New Roman"/>
                <w:color w:val="000000"/>
                <w:sz w:val="24"/>
              </w:rPr>
            </w:pPr>
          </w:p>
        </w:tc>
        <w:tc>
          <w:tcPr>
            <w:tcW w:w="1420" w:type="dxa"/>
            <w:tcBorders>
              <w:top w:val="nil"/>
              <w:left w:val="single" w:color="auto" w:sz="4" w:space="0"/>
              <w:bottom w:val="single" w:color="auto" w:sz="4" w:space="0"/>
              <w:right w:val="single" w:color="auto" w:sz="4" w:space="0"/>
            </w:tcBorders>
            <w:vAlign w:val="center"/>
          </w:tcPr>
          <w:p>
            <w:pPr>
              <w:spacing w:line="240" w:lineRule="auto"/>
              <w:ind w:firstLine="0" w:firstLineChars="0"/>
              <w:rPr>
                <w:rFonts w:ascii="Times New Roman" w:hAnsi="Times New Roman"/>
                <w:b/>
                <w:color w:val="000000"/>
                <w:sz w:val="24"/>
              </w:rPr>
            </w:pPr>
          </w:p>
        </w:tc>
        <w:tc>
          <w:tcPr>
            <w:tcW w:w="1421" w:type="dxa"/>
            <w:gridSpan w:val="3"/>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国有土地</w:t>
            </w:r>
          </w:p>
        </w:tc>
        <w:tc>
          <w:tcPr>
            <w:tcW w:w="1421" w:type="dxa"/>
            <w:gridSpan w:val="2"/>
            <w:tcBorders>
              <w:left w:val="single" w:color="auto" w:sz="4" w:space="0"/>
            </w:tcBorders>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集体土地</w:t>
            </w:r>
          </w:p>
        </w:tc>
        <w:tc>
          <w:tcPr>
            <w:tcW w:w="1421" w:type="dxa"/>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拟征收土地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vAlign w:val="center"/>
          </w:tcPr>
          <w:p>
            <w:pPr>
              <w:spacing w:line="240" w:lineRule="auto"/>
              <w:ind w:firstLine="0" w:firstLineChars="0"/>
              <w:rPr>
                <w:rFonts w:ascii="Times New Roman" w:hAnsi="Times New Roman"/>
                <w:color w:val="000000"/>
                <w:sz w:val="24"/>
              </w:rPr>
            </w:pPr>
          </w:p>
        </w:tc>
        <w:tc>
          <w:tcPr>
            <w:tcW w:w="1597" w:type="dxa"/>
            <w:gridSpan w:val="2"/>
            <w:tcBorders>
              <w:top w:val="single" w:color="auto" w:sz="4" w:space="0"/>
              <w:right w:val="single" w:color="auto" w:sz="4" w:space="0"/>
            </w:tcBorders>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农用地</w:t>
            </w:r>
          </w:p>
        </w:tc>
        <w:tc>
          <w:tcPr>
            <w:tcW w:w="1420" w:type="dxa"/>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3.0741</w:t>
            </w:r>
          </w:p>
        </w:tc>
        <w:tc>
          <w:tcPr>
            <w:tcW w:w="1421" w:type="dxa"/>
            <w:gridSpan w:val="3"/>
            <w:tcBorders>
              <w:left w:val="single" w:color="auto" w:sz="4" w:space="0"/>
            </w:tcBorders>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0.4824</w:t>
            </w:r>
          </w:p>
        </w:tc>
        <w:tc>
          <w:tcPr>
            <w:tcW w:w="1421" w:type="dxa"/>
            <w:gridSpan w:val="2"/>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2.5917</w:t>
            </w:r>
          </w:p>
        </w:tc>
        <w:tc>
          <w:tcPr>
            <w:tcW w:w="1421" w:type="dxa"/>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2.5917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vAlign w:val="center"/>
          </w:tcPr>
          <w:p>
            <w:pPr>
              <w:spacing w:line="240" w:lineRule="auto"/>
              <w:ind w:firstLine="0" w:firstLineChars="0"/>
              <w:rPr>
                <w:rFonts w:ascii="Times New Roman" w:hAnsi="Times New Roman"/>
                <w:color w:val="000000"/>
                <w:sz w:val="24"/>
              </w:rPr>
            </w:pPr>
          </w:p>
        </w:tc>
        <w:tc>
          <w:tcPr>
            <w:tcW w:w="1597" w:type="dxa"/>
            <w:gridSpan w:val="2"/>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建设用地</w:t>
            </w:r>
          </w:p>
        </w:tc>
        <w:tc>
          <w:tcPr>
            <w:tcW w:w="1420" w:type="dxa"/>
            <w:tcBorders>
              <w:top w:val="single" w:color="auto" w:sz="4" w:space="0"/>
            </w:tcBorders>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38.5745</w:t>
            </w:r>
          </w:p>
        </w:tc>
        <w:tc>
          <w:tcPr>
            <w:tcW w:w="1421" w:type="dxa"/>
            <w:gridSpan w:val="3"/>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31.8432</w:t>
            </w:r>
          </w:p>
        </w:tc>
        <w:tc>
          <w:tcPr>
            <w:tcW w:w="1421" w:type="dxa"/>
            <w:gridSpan w:val="2"/>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6.7313</w:t>
            </w:r>
          </w:p>
        </w:tc>
        <w:tc>
          <w:tcPr>
            <w:tcW w:w="1421" w:type="dxa"/>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6.7313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vAlign w:val="center"/>
          </w:tcPr>
          <w:p>
            <w:pPr>
              <w:spacing w:line="240" w:lineRule="auto"/>
              <w:ind w:firstLine="0" w:firstLineChars="0"/>
              <w:rPr>
                <w:rFonts w:ascii="Times New Roman" w:hAnsi="Times New Roman"/>
                <w:color w:val="000000"/>
                <w:sz w:val="24"/>
              </w:rPr>
            </w:pPr>
          </w:p>
        </w:tc>
        <w:tc>
          <w:tcPr>
            <w:tcW w:w="1597" w:type="dxa"/>
            <w:gridSpan w:val="2"/>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未利用地</w:t>
            </w:r>
          </w:p>
        </w:tc>
        <w:tc>
          <w:tcPr>
            <w:tcW w:w="1420" w:type="dxa"/>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0</w:t>
            </w:r>
          </w:p>
        </w:tc>
        <w:tc>
          <w:tcPr>
            <w:tcW w:w="1421" w:type="dxa"/>
            <w:gridSpan w:val="3"/>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0</w:t>
            </w:r>
          </w:p>
        </w:tc>
        <w:tc>
          <w:tcPr>
            <w:tcW w:w="1421" w:type="dxa"/>
            <w:gridSpan w:val="2"/>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0</w:t>
            </w:r>
          </w:p>
        </w:tc>
        <w:tc>
          <w:tcPr>
            <w:tcW w:w="1421" w:type="dxa"/>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vAlign w:val="center"/>
          </w:tcPr>
          <w:p>
            <w:pPr>
              <w:spacing w:line="240" w:lineRule="auto"/>
              <w:ind w:firstLine="0" w:firstLineChars="0"/>
              <w:rPr>
                <w:rFonts w:ascii="Times New Roman" w:hAnsi="Times New Roman"/>
                <w:color w:val="000000"/>
                <w:sz w:val="24"/>
              </w:rPr>
            </w:pPr>
          </w:p>
        </w:tc>
        <w:tc>
          <w:tcPr>
            <w:tcW w:w="1597" w:type="dxa"/>
            <w:gridSpan w:val="2"/>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共计</w:t>
            </w:r>
          </w:p>
        </w:tc>
        <w:tc>
          <w:tcPr>
            <w:tcW w:w="1420" w:type="dxa"/>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41.6486</w:t>
            </w:r>
          </w:p>
        </w:tc>
        <w:tc>
          <w:tcPr>
            <w:tcW w:w="1421" w:type="dxa"/>
            <w:gridSpan w:val="3"/>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32.3256</w:t>
            </w:r>
          </w:p>
        </w:tc>
        <w:tc>
          <w:tcPr>
            <w:tcW w:w="1421" w:type="dxa"/>
            <w:gridSpan w:val="2"/>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9.3230</w:t>
            </w:r>
          </w:p>
        </w:tc>
        <w:tc>
          <w:tcPr>
            <w:tcW w:w="1421" w:type="dxa"/>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9.3230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522" w:type="dxa"/>
            <w:gridSpan w:val="10"/>
            <w:vAlign w:val="center"/>
          </w:tcPr>
          <w:p>
            <w:pPr>
              <w:spacing w:line="240" w:lineRule="auto"/>
              <w:ind w:firstLine="0" w:firstLineChars="0"/>
              <w:rPr>
                <w:rFonts w:ascii="Times New Roman" w:hAnsi="Times New Roman"/>
                <w:b/>
                <w:color w:val="000000"/>
                <w:sz w:val="24"/>
              </w:rPr>
            </w:pPr>
            <w:r>
              <w:rPr>
                <w:rFonts w:ascii="Times New Roman" w:hAnsi="Times New Roman"/>
                <w:b/>
                <w:color w:val="000000"/>
                <w:sz w:val="24"/>
              </w:rPr>
              <w:t>二、集中建设区域规划情况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667" w:type="dxa"/>
            <w:gridSpan w:val="2"/>
            <w:vAlign w:val="center"/>
          </w:tcPr>
          <w:p>
            <w:pPr>
              <w:spacing w:line="240" w:lineRule="auto"/>
              <w:ind w:firstLine="0" w:firstLineChars="0"/>
              <w:rPr>
                <w:rFonts w:ascii="Times New Roman" w:hAnsi="Times New Roman"/>
                <w:b/>
                <w:color w:val="000000"/>
                <w:sz w:val="24"/>
              </w:rPr>
            </w:pPr>
            <w:r>
              <w:rPr>
                <w:rFonts w:ascii="Times New Roman" w:hAnsi="Times New Roman"/>
                <w:color w:val="000000"/>
                <w:sz w:val="24"/>
              </w:rPr>
              <w:t>依据的规划名称</w:t>
            </w:r>
          </w:p>
        </w:tc>
        <w:tc>
          <w:tcPr>
            <w:tcW w:w="6855" w:type="dxa"/>
            <w:gridSpan w:val="8"/>
            <w:vAlign w:val="center"/>
          </w:tcPr>
          <w:p>
            <w:pPr>
              <w:spacing w:line="240" w:lineRule="auto"/>
              <w:ind w:firstLine="0" w:firstLineChars="0"/>
              <w:rPr>
                <w:rFonts w:ascii="Times New Roman" w:hAnsi="Times New Roman"/>
                <w:b/>
                <w:color w:val="000000"/>
                <w:sz w:val="24"/>
              </w:rPr>
            </w:pPr>
            <w:r>
              <w:rPr>
                <w:rFonts w:ascii="Times New Roman" w:hAnsi="Times New Roman"/>
                <w:color w:val="000000"/>
                <w:sz w:val="24"/>
              </w:rPr>
              <w:t>青阳县国民经济和社会发展第十四个五年规划纲要、         青阳县国土空间总体规划（2021-2035年）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242" w:type="dxa"/>
            <w:vMerge w:val="restart"/>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片区面积</w:t>
            </w:r>
          </w:p>
        </w:tc>
        <w:tc>
          <w:tcPr>
            <w:tcW w:w="3686" w:type="dxa"/>
            <w:gridSpan w:val="5"/>
            <w:vMerge w:val="restart"/>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规划主要用途</w:t>
            </w:r>
          </w:p>
        </w:tc>
        <w:tc>
          <w:tcPr>
            <w:tcW w:w="3594" w:type="dxa"/>
            <w:gridSpan w:val="4"/>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基础设施用地、其他公益性用地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242" w:type="dxa"/>
            <w:vMerge w:val="continue"/>
            <w:vAlign w:val="center"/>
          </w:tcPr>
          <w:p>
            <w:pPr>
              <w:spacing w:line="240" w:lineRule="auto"/>
              <w:ind w:firstLine="0" w:firstLineChars="0"/>
              <w:rPr>
                <w:rFonts w:ascii="Times New Roman" w:hAnsi="Times New Roman"/>
                <w:color w:val="000000"/>
                <w:sz w:val="24"/>
              </w:rPr>
            </w:pPr>
          </w:p>
        </w:tc>
        <w:tc>
          <w:tcPr>
            <w:tcW w:w="3686" w:type="dxa"/>
            <w:gridSpan w:val="5"/>
            <w:vMerge w:val="continue"/>
            <w:vAlign w:val="center"/>
          </w:tcPr>
          <w:p>
            <w:pPr>
              <w:spacing w:line="240" w:lineRule="auto"/>
              <w:ind w:firstLine="0" w:firstLineChars="0"/>
              <w:rPr>
                <w:rFonts w:ascii="Times New Roman" w:hAnsi="Times New Roman"/>
                <w:color w:val="000000"/>
                <w:sz w:val="24"/>
              </w:rPr>
            </w:pPr>
          </w:p>
        </w:tc>
        <w:tc>
          <w:tcPr>
            <w:tcW w:w="1559" w:type="dxa"/>
            <w:gridSpan w:val="2"/>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面积</w:t>
            </w:r>
          </w:p>
        </w:tc>
        <w:tc>
          <w:tcPr>
            <w:tcW w:w="2035" w:type="dxa"/>
            <w:gridSpan w:val="2"/>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占比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242" w:type="dxa"/>
            <w:vAlign w:val="center"/>
          </w:tcPr>
          <w:p>
            <w:pPr>
              <w:spacing w:line="240" w:lineRule="auto"/>
              <w:ind w:firstLine="0" w:firstLineChars="0"/>
              <w:rPr>
                <w:rFonts w:ascii="Times New Roman" w:hAnsi="Times New Roman"/>
                <w:sz w:val="24"/>
              </w:rPr>
            </w:pPr>
            <w:r>
              <w:rPr>
                <w:rFonts w:ascii="Times New Roman" w:hAnsi="Times New Roman"/>
                <w:color w:val="000000"/>
                <w:sz w:val="24"/>
              </w:rPr>
              <w:t>41.6486</w:t>
            </w:r>
          </w:p>
        </w:tc>
        <w:tc>
          <w:tcPr>
            <w:tcW w:w="3686" w:type="dxa"/>
            <w:gridSpan w:val="5"/>
            <w:vAlign w:val="center"/>
          </w:tcPr>
          <w:p>
            <w:pPr>
              <w:spacing w:line="240" w:lineRule="auto"/>
              <w:ind w:firstLine="0" w:firstLineChars="0"/>
              <w:rPr>
                <w:rFonts w:ascii="Times New Roman" w:hAnsi="Times New Roman"/>
                <w:sz w:val="24"/>
              </w:rPr>
            </w:pPr>
            <w:r>
              <w:rPr>
                <w:rFonts w:ascii="Times New Roman" w:hAnsi="Times New Roman"/>
                <w:sz w:val="24"/>
              </w:rPr>
              <w:t>工业用地、商业用地、城镇道路用地、公路用地、教育用地、城镇住宅用地</w:t>
            </w:r>
          </w:p>
        </w:tc>
        <w:tc>
          <w:tcPr>
            <w:tcW w:w="1559" w:type="dxa"/>
            <w:gridSpan w:val="2"/>
            <w:vAlign w:val="center"/>
          </w:tcPr>
          <w:p>
            <w:pPr>
              <w:spacing w:line="240" w:lineRule="auto"/>
              <w:ind w:firstLine="0" w:firstLineChars="0"/>
              <w:rPr>
                <w:rFonts w:ascii="Times New Roman" w:hAnsi="Times New Roman"/>
                <w:color w:val="000000"/>
                <w:sz w:val="24"/>
                <w:highlight w:val="yellow"/>
              </w:rPr>
            </w:pPr>
            <w:r>
              <w:rPr>
                <w:rFonts w:ascii="Times New Roman" w:hAnsi="Times New Roman"/>
                <w:color w:val="000000"/>
                <w:sz w:val="24"/>
              </w:rPr>
              <w:t>19.0905</w:t>
            </w:r>
          </w:p>
        </w:tc>
        <w:tc>
          <w:tcPr>
            <w:tcW w:w="2035" w:type="dxa"/>
            <w:gridSpan w:val="2"/>
            <w:vAlign w:val="center"/>
          </w:tcPr>
          <w:p>
            <w:pPr>
              <w:spacing w:line="240" w:lineRule="auto"/>
              <w:ind w:firstLine="0" w:firstLineChars="0"/>
              <w:rPr>
                <w:rFonts w:ascii="Times New Roman" w:hAnsi="Times New Roman"/>
                <w:sz w:val="24"/>
                <w:highlight w:val="yellow"/>
              </w:rPr>
            </w:pPr>
            <w:r>
              <w:rPr>
                <w:rFonts w:ascii="Times New Roman" w:hAnsi="Times New Roman"/>
                <w:sz w:val="24"/>
              </w:rPr>
              <w:t>45.84%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522" w:type="dxa"/>
            <w:gridSpan w:val="10"/>
            <w:vAlign w:val="center"/>
          </w:tcPr>
          <w:p>
            <w:pPr>
              <w:spacing w:line="240" w:lineRule="auto"/>
              <w:ind w:firstLine="0" w:firstLineChars="0"/>
              <w:rPr>
                <w:rFonts w:ascii="Times New Roman" w:hAnsi="Times New Roman"/>
                <w:b/>
                <w:color w:val="000000"/>
                <w:sz w:val="24"/>
              </w:rPr>
            </w:pPr>
            <w:r>
              <w:rPr>
                <w:rFonts w:ascii="Times New Roman" w:hAnsi="Times New Roman"/>
                <w:b/>
                <w:color w:val="000000"/>
                <w:sz w:val="24"/>
              </w:rPr>
              <w:t>三、成片开发土地征收与供地年度实施计划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242" w:type="dxa"/>
            <w:vAlign w:val="center"/>
          </w:tcPr>
          <w:p>
            <w:pPr>
              <w:spacing w:line="240" w:lineRule="auto"/>
              <w:ind w:firstLine="0" w:firstLineChars="0"/>
              <w:rPr>
                <w:rFonts w:ascii="Times New Roman" w:hAnsi="Times New Roman"/>
                <w:b/>
                <w:color w:val="000000"/>
                <w:sz w:val="24"/>
              </w:rPr>
            </w:pPr>
            <w:r>
              <w:rPr>
                <w:rFonts w:ascii="Times New Roman" w:hAnsi="Times New Roman"/>
                <w:b/>
                <w:color w:val="000000"/>
                <w:sz w:val="24"/>
              </w:rPr>
              <w:t>实施年度</w:t>
            </w:r>
          </w:p>
        </w:tc>
        <w:tc>
          <w:tcPr>
            <w:tcW w:w="3402" w:type="dxa"/>
            <w:gridSpan w:val="4"/>
            <w:vAlign w:val="center"/>
          </w:tcPr>
          <w:p>
            <w:pPr>
              <w:spacing w:line="240" w:lineRule="auto"/>
              <w:ind w:firstLine="0" w:firstLineChars="0"/>
              <w:rPr>
                <w:rFonts w:ascii="Times New Roman" w:hAnsi="Times New Roman"/>
                <w:b/>
                <w:color w:val="000000"/>
                <w:sz w:val="24"/>
              </w:rPr>
            </w:pPr>
            <w:r>
              <w:rPr>
                <w:rFonts w:ascii="Times New Roman" w:hAnsi="Times New Roman"/>
                <w:b/>
                <w:color w:val="000000"/>
                <w:sz w:val="24"/>
              </w:rPr>
              <w:t>征地面积</w:t>
            </w:r>
          </w:p>
        </w:tc>
        <w:tc>
          <w:tcPr>
            <w:tcW w:w="3878" w:type="dxa"/>
            <w:gridSpan w:val="5"/>
            <w:vAlign w:val="center"/>
          </w:tcPr>
          <w:p>
            <w:pPr>
              <w:spacing w:line="240" w:lineRule="auto"/>
              <w:ind w:firstLine="0" w:firstLineChars="0"/>
              <w:rPr>
                <w:rFonts w:ascii="Times New Roman" w:hAnsi="Times New Roman"/>
                <w:b/>
                <w:color w:val="000000"/>
                <w:sz w:val="24"/>
              </w:rPr>
            </w:pPr>
            <w:r>
              <w:rPr>
                <w:rFonts w:ascii="Times New Roman" w:hAnsi="Times New Roman"/>
                <w:b/>
                <w:color w:val="000000"/>
                <w:sz w:val="24"/>
              </w:rPr>
              <w:t>供地面积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2024年</w:t>
            </w:r>
          </w:p>
        </w:tc>
        <w:tc>
          <w:tcPr>
            <w:tcW w:w="3402" w:type="dxa"/>
            <w:gridSpan w:val="4"/>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3.0412</w:t>
            </w:r>
          </w:p>
        </w:tc>
        <w:tc>
          <w:tcPr>
            <w:tcW w:w="3878" w:type="dxa"/>
            <w:gridSpan w:val="5"/>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3.0412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2025年</w:t>
            </w:r>
          </w:p>
        </w:tc>
        <w:tc>
          <w:tcPr>
            <w:tcW w:w="3402" w:type="dxa"/>
            <w:gridSpan w:val="4"/>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2.2495</w:t>
            </w:r>
          </w:p>
        </w:tc>
        <w:tc>
          <w:tcPr>
            <w:tcW w:w="3878" w:type="dxa"/>
            <w:gridSpan w:val="5"/>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2.2495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2026年</w:t>
            </w:r>
          </w:p>
        </w:tc>
        <w:tc>
          <w:tcPr>
            <w:tcW w:w="3402" w:type="dxa"/>
            <w:gridSpan w:val="4"/>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0.6755</w:t>
            </w:r>
          </w:p>
        </w:tc>
        <w:tc>
          <w:tcPr>
            <w:tcW w:w="3878" w:type="dxa"/>
            <w:gridSpan w:val="5"/>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0.6755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2027年</w:t>
            </w:r>
          </w:p>
        </w:tc>
        <w:tc>
          <w:tcPr>
            <w:tcW w:w="3402" w:type="dxa"/>
            <w:gridSpan w:val="4"/>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0.1654</w:t>
            </w:r>
          </w:p>
        </w:tc>
        <w:tc>
          <w:tcPr>
            <w:tcW w:w="3878" w:type="dxa"/>
            <w:gridSpan w:val="5"/>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0.1654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2028年</w:t>
            </w:r>
          </w:p>
        </w:tc>
        <w:tc>
          <w:tcPr>
            <w:tcW w:w="3402" w:type="dxa"/>
            <w:gridSpan w:val="4"/>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3.1914</w:t>
            </w:r>
          </w:p>
        </w:tc>
        <w:tc>
          <w:tcPr>
            <w:tcW w:w="3878" w:type="dxa"/>
            <w:gridSpan w:val="5"/>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3.1914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合计</w:t>
            </w:r>
          </w:p>
        </w:tc>
        <w:tc>
          <w:tcPr>
            <w:tcW w:w="3402" w:type="dxa"/>
            <w:gridSpan w:val="4"/>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9.3230</w:t>
            </w:r>
          </w:p>
        </w:tc>
        <w:tc>
          <w:tcPr>
            <w:tcW w:w="3878" w:type="dxa"/>
            <w:gridSpan w:val="5"/>
            <w:vAlign w:val="center"/>
          </w:tcPr>
          <w:p>
            <w:pPr>
              <w:spacing w:line="240" w:lineRule="auto"/>
              <w:ind w:firstLine="0" w:firstLineChars="0"/>
              <w:rPr>
                <w:rFonts w:ascii="Times New Roman" w:hAnsi="Times New Roman"/>
                <w:color w:val="000000"/>
                <w:sz w:val="24"/>
              </w:rPr>
            </w:pPr>
            <w:r>
              <w:rPr>
                <w:rFonts w:ascii="Times New Roman" w:hAnsi="Times New Roman"/>
                <w:color w:val="000000"/>
                <w:sz w:val="24"/>
              </w:rPr>
              <w:t>9.3230</w:t>
            </w:r>
          </w:p>
        </w:tc>
      </w:tr>
    </w:tbl>
    <w:p>
      <w:pPr>
        <w:ind w:firstLine="560"/>
        <w:rPr>
          <w:rFonts w:ascii="Times New Roman" w:hAnsi="Times New Roman"/>
        </w:rPr>
        <w:sectPr>
          <w:pgSz w:w="11906" w:h="16838"/>
          <w:pgMar w:top="1440" w:right="1800" w:bottom="1440" w:left="1800" w:header="851" w:footer="992" w:gutter="0"/>
          <w:cols w:space="720" w:num="1"/>
          <w:docGrid w:type="lines" w:linePitch="326" w:charSpace="0"/>
        </w:sectPr>
      </w:pPr>
    </w:p>
    <w:p>
      <w:pPr>
        <w:pStyle w:val="3"/>
        <w:numPr>
          <w:ilvl w:val="0"/>
          <w:numId w:val="0"/>
        </w:numPr>
        <w:rPr>
          <w:rFonts w:ascii="Times New Roman" w:hAnsi="Times New Roman"/>
          <w:color w:val="FFFFFF" w:themeColor="background1"/>
          <w14:textFill>
            <w14:solidFill>
              <w14:schemeClr w14:val="bg1"/>
            </w14:solidFill>
          </w14:textFill>
        </w:rPr>
      </w:pPr>
      <w:bookmarkStart w:id="24" w:name="_Toc161222829"/>
      <w:r>
        <w:rPr>
          <w:rFonts w:ascii="Times New Roman" w:hAnsi="Times New Roman"/>
          <w:color w:val="FFFFFF" w:themeColor="background1"/>
          <w14:textFill>
            <w14:solidFill>
              <w14:schemeClr w14:val="bg1"/>
            </w14:solidFill>
          </w14:textFill>
        </w:rPr>
        <w:t>2.青阳县杨田镇片区（编号CZQY341723-2024-1）位置图</w:t>
      </w:r>
      <w:bookmarkEnd w:id="24"/>
    </w:p>
    <w:p>
      <w:pPr>
        <w:ind w:firstLine="560"/>
        <w:rPr>
          <w:rFonts w:ascii="Times New Roman" w:hAnsi="Times New Roman"/>
        </w:rPr>
      </w:pPr>
    </w:p>
    <w:p>
      <w:pPr>
        <w:ind w:firstLine="560"/>
        <w:rPr>
          <w:rFonts w:ascii="Times New Roman" w:hAnsi="Times New Roman"/>
        </w:rPr>
      </w:pPr>
    </w:p>
    <w:p>
      <w:pPr>
        <w:ind w:firstLine="560"/>
        <w:rPr>
          <w:rFonts w:ascii="Times New Roman" w:hAnsi="Times New Roman"/>
        </w:rPr>
      </w:pPr>
    </w:p>
    <w:p>
      <w:pPr>
        <w:ind w:firstLine="0" w:firstLineChars="0"/>
        <w:jc w:val="center"/>
        <w:rPr>
          <w:rFonts w:ascii="Times New Roman" w:hAnsi="Times New Roman"/>
          <w:b/>
          <w:color w:val="000000" w:themeColor="text1"/>
          <w:sz w:val="84"/>
          <w:szCs w:val="84"/>
          <w14:textFill>
            <w14:solidFill>
              <w14:schemeClr w14:val="tx1"/>
            </w14:solidFill>
          </w14:textFill>
        </w:rPr>
      </w:pPr>
      <w:r>
        <w:rPr>
          <w:rFonts w:ascii="Times New Roman" w:hAnsi="Times New Roman"/>
          <w:b/>
          <w:color w:val="000000" w:themeColor="text1"/>
          <w:sz w:val="84"/>
          <w:szCs w:val="84"/>
          <w14:textFill>
            <w14:solidFill>
              <w14:schemeClr w14:val="tx1"/>
            </w14:solidFill>
          </w14:textFill>
        </w:rPr>
        <w:t>附</w:t>
      </w:r>
    </w:p>
    <w:p>
      <w:pPr>
        <w:tabs>
          <w:tab w:val="center" w:pos="4323"/>
        </w:tabs>
        <w:ind w:firstLine="0" w:firstLineChars="0"/>
        <w:jc w:val="center"/>
        <w:rPr>
          <w:rFonts w:ascii="Times New Roman" w:hAnsi="Times New Roman"/>
          <w:b/>
          <w:color w:val="000000" w:themeColor="text1"/>
          <w:sz w:val="84"/>
          <w:szCs w:val="84"/>
          <w14:textFill>
            <w14:solidFill>
              <w14:schemeClr w14:val="tx1"/>
            </w14:solidFill>
          </w14:textFill>
        </w:rPr>
      </w:pPr>
      <w:r>
        <w:rPr>
          <w:rFonts w:ascii="Times New Roman" w:hAnsi="Times New Roman"/>
          <w:b/>
          <w:color w:val="000000" w:themeColor="text1"/>
          <w:sz w:val="84"/>
          <w:szCs w:val="84"/>
          <w14:textFill>
            <w14:solidFill>
              <w14:schemeClr w14:val="tx1"/>
            </w14:solidFill>
          </w14:textFill>
        </w:rPr>
        <w:t>件</w:t>
      </w:r>
    </w:p>
    <w:p>
      <w:pPr>
        <w:ind w:firstLine="0" w:firstLineChars="0"/>
        <w:jc w:val="center"/>
        <w:rPr>
          <w:rFonts w:ascii="Times New Roman" w:hAnsi="Times New Roman"/>
          <w:b/>
          <w:color w:val="000000" w:themeColor="text1"/>
          <w:sz w:val="84"/>
          <w:szCs w:val="84"/>
          <w14:textFill>
            <w14:solidFill>
              <w14:schemeClr w14:val="tx1"/>
            </w14:solidFill>
          </w14:textFill>
        </w:rPr>
      </w:pPr>
      <w:r>
        <w:rPr>
          <w:rFonts w:ascii="Times New Roman" w:hAnsi="Times New Roman"/>
          <w:b/>
          <w:color w:val="000000" w:themeColor="text1"/>
          <w:sz w:val="84"/>
          <w:szCs w:val="84"/>
          <w14:textFill>
            <w14:solidFill>
              <w14:schemeClr w14:val="tx1"/>
            </w14:solidFill>
          </w14:textFill>
        </w:rPr>
        <w:t>二</w:t>
      </w:r>
    </w:p>
    <w:p>
      <w:pPr>
        <w:ind w:firstLine="0" w:firstLineChars="0"/>
        <w:jc w:val="center"/>
        <w:rPr>
          <w:rFonts w:ascii="Times New Roman" w:hAnsi="Times New Roman"/>
          <w:b/>
          <w:color w:val="000000" w:themeColor="text1"/>
          <w:sz w:val="84"/>
          <w:szCs w:val="84"/>
          <w14:textFill>
            <w14:solidFill>
              <w14:schemeClr w14:val="tx1"/>
            </w14:solidFill>
          </w14:textFill>
        </w:rPr>
      </w:pPr>
    </w:p>
    <w:p>
      <w:pPr>
        <w:ind w:firstLine="0" w:firstLineChars="0"/>
        <w:jc w:val="center"/>
        <w:rPr>
          <w:rFonts w:ascii="Times New Roman" w:hAnsi="Times New Roman"/>
          <w:b/>
          <w:color w:val="000000" w:themeColor="text1"/>
          <w:sz w:val="56"/>
          <w:szCs w:val="84"/>
          <w14:textFill>
            <w14:solidFill>
              <w14:schemeClr w14:val="tx1"/>
            </w14:solidFill>
          </w14:textFill>
        </w:rPr>
      </w:pPr>
      <w:r>
        <w:rPr>
          <w:rFonts w:ascii="Times New Roman" w:hAnsi="Times New Roman"/>
          <w:b/>
          <w:color w:val="000000" w:themeColor="text1"/>
          <w:sz w:val="56"/>
          <w:szCs w:val="84"/>
          <w14:textFill>
            <w14:solidFill>
              <w14:schemeClr w14:val="tx1"/>
            </w14:solidFill>
          </w14:textFill>
        </w:rPr>
        <w:t>青阳县杨田镇片区</w:t>
      </w:r>
    </w:p>
    <w:p>
      <w:pPr>
        <w:ind w:firstLine="0" w:firstLineChars="0"/>
        <w:jc w:val="center"/>
        <w:rPr>
          <w:rFonts w:ascii="Times New Roman" w:hAnsi="Times New Roman"/>
          <w:b/>
          <w:color w:val="000000" w:themeColor="text1"/>
          <w:sz w:val="56"/>
          <w:szCs w:val="84"/>
          <w14:textFill>
            <w14:solidFill>
              <w14:schemeClr w14:val="tx1"/>
            </w14:solidFill>
          </w14:textFill>
        </w:rPr>
      </w:pPr>
      <w:r>
        <w:rPr>
          <w:rFonts w:ascii="Times New Roman" w:hAnsi="Times New Roman"/>
          <w:b/>
          <w:color w:val="000000" w:themeColor="text1"/>
          <w:sz w:val="56"/>
          <w:szCs w:val="84"/>
          <w14:textFill>
            <w14:solidFill>
              <w14:schemeClr w14:val="tx1"/>
            </w14:solidFill>
          </w14:textFill>
        </w:rPr>
        <w:t>（编号CZQY341723-2024-1）</w:t>
      </w:r>
    </w:p>
    <w:p>
      <w:pPr>
        <w:ind w:firstLine="0" w:firstLineChars="0"/>
        <w:jc w:val="center"/>
        <w:rPr>
          <w:rFonts w:ascii="Times New Roman" w:hAnsi="Times New Roman"/>
          <w:b/>
          <w:color w:val="000000" w:themeColor="text1"/>
          <w:sz w:val="56"/>
          <w:szCs w:val="84"/>
          <w14:textFill>
            <w14:solidFill>
              <w14:schemeClr w14:val="tx1"/>
            </w14:solidFill>
          </w14:textFill>
        </w:rPr>
      </w:pPr>
      <w:r>
        <w:rPr>
          <w:rFonts w:ascii="Times New Roman" w:hAnsi="Times New Roman"/>
          <w:b/>
          <w:color w:val="000000" w:themeColor="text1"/>
          <w:sz w:val="56"/>
          <w:szCs w:val="84"/>
          <w14:textFill>
            <w14:solidFill>
              <w14:schemeClr w14:val="tx1"/>
            </w14:solidFill>
          </w14:textFill>
        </w:rPr>
        <w:t>位置图</w:t>
      </w:r>
    </w:p>
    <w:p>
      <w:pPr>
        <w:ind w:firstLine="0" w:firstLineChars="0"/>
        <w:jc w:val="center"/>
        <w:rPr>
          <w:rFonts w:ascii="Times New Roman" w:hAnsi="Times New Roman"/>
        </w:rPr>
      </w:pPr>
      <w:r>
        <w:rPr>
          <w:rFonts w:ascii="Times New Roman" w:hAnsi="Times New Roman"/>
        </w:rPr>
        <w:drawing>
          <wp:inline distT="0" distB="0" distL="0" distR="0">
            <wp:extent cx="5274945" cy="5274945"/>
            <wp:effectExtent l="0" t="0" r="1905" b="1905"/>
            <wp:docPr id="3" name="图片 3" descr="E:\倪田品\2.成片开发\6.杨田\2024-1-8\图件2024-1-30\位置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E:\倪田品\2.成片开发\6.杨田\2024-1-8\图件2024-1-30\位置图.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5274945" cy="5274945"/>
                    </a:xfrm>
                    <a:prstGeom prst="rect">
                      <a:avLst/>
                    </a:prstGeom>
                    <a:noFill/>
                    <a:ln>
                      <a:noFill/>
                    </a:ln>
                  </pic:spPr>
                </pic:pic>
              </a:graphicData>
            </a:graphic>
          </wp:inline>
        </w:drawing>
      </w:r>
    </w:p>
    <w:p>
      <w:pPr>
        <w:ind w:firstLine="0" w:firstLineChars="0"/>
        <w:rPr>
          <w:rFonts w:ascii="Times New Roman" w:hAnsi="Times New Roman"/>
        </w:rPr>
      </w:pPr>
    </w:p>
    <w:p>
      <w:pPr>
        <w:ind w:firstLine="0" w:firstLineChars="0"/>
        <w:rPr>
          <w:rFonts w:ascii="Times New Roman" w:hAnsi="Times New Roman"/>
        </w:rPr>
        <w:sectPr>
          <w:pgSz w:w="11907" w:h="16839"/>
          <w:pgMar w:top="1440" w:right="1800" w:bottom="1440" w:left="1800" w:header="851" w:footer="992" w:gutter="0"/>
          <w:cols w:space="720" w:num="1"/>
          <w:docGrid w:type="lines" w:linePitch="381" w:charSpace="0"/>
        </w:sectPr>
      </w:pPr>
    </w:p>
    <w:p>
      <w:pPr>
        <w:pStyle w:val="3"/>
        <w:numPr>
          <w:ilvl w:val="0"/>
          <w:numId w:val="0"/>
        </w:numPr>
        <w:rPr>
          <w:rFonts w:ascii="Times New Roman" w:hAnsi="Times New Roman"/>
          <w:color w:val="FFFFFF" w:themeColor="background1"/>
          <w14:textFill>
            <w14:solidFill>
              <w14:schemeClr w14:val="bg1"/>
            </w14:solidFill>
          </w14:textFill>
        </w:rPr>
      </w:pPr>
      <w:bookmarkStart w:id="25" w:name="_Toc161222830"/>
      <w:r>
        <w:rPr>
          <w:rFonts w:ascii="Times New Roman" w:hAnsi="Times New Roman"/>
          <w:color w:val="FFFFFF" w:themeColor="background1"/>
          <w14:textFill>
            <w14:solidFill>
              <w14:schemeClr w14:val="bg1"/>
            </w14:solidFill>
          </w14:textFill>
        </w:rPr>
        <w:t>3.青阳县杨田镇片区（编号CZQY341723-2024-1）分区规划图</w:t>
      </w:r>
      <w:bookmarkEnd w:id="25"/>
    </w:p>
    <w:p>
      <w:pPr>
        <w:ind w:firstLine="560"/>
        <w:rPr>
          <w:rFonts w:ascii="Times New Roman" w:hAnsi="Times New Roman"/>
        </w:rPr>
      </w:pPr>
    </w:p>
    <w:p>
      <w:pPr>
        <w:ind w:firstLine="560"/>
        <w:rPr>
          <w:rFonts w:ascii="Times New Roman" w:hAnsi="Times New Roman"/>
        </w:rPr>
      </w:pPr>
    </w:p>
    <w:p>
      <w:pPr>
        <w:ind w:firstLine="560"/>
        <w:rPr>
          <w:rFonts w:ascii="Times New Roman" w:hAnsi="Times New Roman"/>
        </w:rPr>
      </w:pPr>
    </w:p>
    <w:p>
      <w:pPr>
        <w:ind w:firstLine="0" w:firstLineChars="0"/>
        <w:jc w:val="center"/>
        <w:rPr>
          <w:rFonts w:ascii="Times New Roman" w:hAnsi="Times New Roman"/>
          <w:b/>
          <w:color w:val="000000" w:themeColor="text1"/>
          <w:sz w:val="84"/>
          <w:szCs w:val="84"/>
          <w14:textFill>
            <w14:solidFill>
              <w14:schemeClr w14:val="tx1"/>
            </w14:solidFill>
          </w14:textFill>
        </w:rPr>
      </w:pPr>
      <w:r>
        <w:rPr>
          <w:rFonts w:ascii="Times New Roman" w:hAnsi="Times New Roman"/>
          <w:b/>
          <w:color w:val="000000" w:themeColor="text1"/>
          <w:sz w:val="84"/>
          <w:szCs w:val="84"/>
          <w14:textFill>
            <w14:solidFill>
              <w14:schemeClr w14:val="tx1"/>
            </w14:solidFill>
          </w14:textFill>
        </w:rPr>
        <w:t>附</w:t>
      </w:r>
    </w:p>
    <w:p>
      <w:pPr>
        <w:tabs>
          <w:tab w:val="center" w:pos="4323"/>
        </w:tabs>
        <w:ind w:firstLine="0" w:firstLineChars="0"/>
        <w:jc w:val="center"/>
        <w:rPr>
          <w:rFonts w:ascii="Times New Roman" w:hAnsi="Times New Roman"/>
          <w:b/>
          <w:color w:val="000000" w:themeColor="text1"/>
          <w:sz w:val="84"/>
          <w:szCs w:val="84"/>
          <w14:textFill>
            <w14:solidFill>
              <w14:schemeClr w14:val="tx1"/>
            </w14:solidFill>
          </w14:textFill>
        </w:rPr>
      </w:pPr>
      <w:r>
        <w:rPr>
          <w:rFonts w:ascii="Times New Roman" w:hAnsi="Times New Roman"/>
          <w:b/>
          <w:color w:val="000000" w:themeColor="text1"/>
          <w:sz w:val="84"/>
          <w:szCs w:val="84"/>
          <w14:textFill>
            <w14:solidFill>
              <w14:schemeClr w14:val="tx1"/>
            </w14:solidFill>
          </w14:textFill>
        </w:rPr>
        <w:t>件</w:t>
      </w:r>
    </w:p>
    <w:p>
      <w:pPr>
        <w:ind w:firstLine="0" w:firstLineChars="0"/>
        <w:jc w:val="center"/>
        <w:rPr>
          <w:rFonts w:ascii="Times New Roman" w:hAnsi="Times New Roman"/>
          <w:b/>
          <w:color w:val="000000" w:themeColor="text1"/>
          <w:sz w:val="84"/>
          <w:szCs w:val="84"/>
          <w14:textFill>
            <w14:solidFill>
              <w14:schemeClr w14:val="tx1"/>
            </w14:solidFill>
          </w14:textFill>
        </w:rPr>
      </w:pPr>
      <w:r>
        <w:rPr>
          <w:rFonts w:ascii="Times New Roman" w:hAnsi="Times New Roman"/>
          <w:b/>
          <w:color w:val="000000" w:themeColor="text1"/>
          <w:sz w:val="84"/>
          <w:szCs w:val="84"/>
          <w14:textFill>
            <w14:solidFill>
              <w14:schemeClr w14:val="tx1"/>
            </w14:solidFill>
          </w14:textFill>
        </w:rPr>
        <w:t>三</w:t>
      </w:r>
    </w:p>
    <w:p>
      <w:pPr>
        <w:ind w:firstLine="0" w:firstLineChars="0"/>
        <w:jc w:val="center"/>
        <w:rPr>
          <w:rFonts w:ascii="Times New Roman" w:hAnsi="Times New Roman"/>
          <w:b/>
          <w:color w:val="000000" w:themeColor="text1"/>
          <w:sz w:val="84"/>
          <w:szCs w:val="84"/>
          <w14:textFill>
            <w14:solidFill>
              <w14:schemeClr w14:val="tx1"/>
            </w14:solidFill>
          </w14:textFill>
        </w:rPr>
      </w:pPr>
    </w:p>
    <w:p>
      <w:pPr>
        <w:ind w:firstLine="0" w:firstLineChars="0"/>
        <w:jc w:val="center"/>
        <w:rPr>
          <w:rFonts w:ascii="Times New Roman" w:hAnsi="Times New Roman"/>
          <w:b/>
          <w:color w:val="000000" w:themeColor="text1"/>
          <w:sz w:val="56"/>
          <w:szCs w:val="84"/>
          <w14:textFill>
            <w14:solidFill>
              <w14:schemeClr w14:val="tx1"/>
            </w14:solidFill>
          </w14:textFill>
        </w:rPr>
      </w:pPr>
      <w:r>
        <w:rPr>
          <w:rFonts w:ascii="Times New Roman" w:hAnsi="Times New Roman"/>
          <w:b/>
          <w:color w:val="000000" w:themeColor="text1"/>
          <w:sz w:val="56"/>
          <w:szCs w:val="84"/>
          <w14:textFill>
            <w14:solidFill>
              <w14:schemeClr w14:val="tx1"/>
            </w14:solidFill>
          </w14:textFill>
        </w:rPr>
        <w:t>青阳县杨田镇片区</w:t>
      </w:r>
    </w:p>
    <w:p>
      <w:pPr>
        <w:ind w:firstLine="0" w:firstLineChars="0"/>
        <w:jc w:val="center"/>
        <w:rPr>
          <w:rFonts w:ascii="Times New Roman" w:hAnsi="Times New Roman"/>
          <w:b/>
          <w:color w:val="000000" w:themeColor="text1"/>
          <w:sz w:val="56"/>
          <w:szCs w:val="84"/>
          <w14:textFill>
            <w14:solidFill>
              <w14:schemeClr w14:val="tx1"/>
            </w14:solidFill>
          </w14:textFill>
        </w:rPr>
      </w:pPr>
      <w:r>
        <w:rPr>
          <w:rFonts w:ascii="Times New Roman" w:hAnsi="Times New Roman"/>
          <w:b/>
          <w:color w:val="000000" w:themeColor="text1"/>
          <w:sz w:val="56"/>
          <w:szCs w:val="84"/>
          <w14:textFill>
            <w14:solidFill>
              <w14:schemeClr w14:val="tx1"/>
            </w14:solidFill>
          </w14:textFill>
        </w:rPr>
        <w:t>（编号CZQY341723-2024-1）</w:t>
      </w:r>
    </w:p>
    <w:p>
      <w:pPr>
        <w:ind w:firstLine="0" w:firstLineChars="0"/>
        <w:jc w:val="center"/>
        <w:rPr>
          <w:rFonts w:ascii="Times New Roman" w:hAnsi="Times New Roman"/>
        </w:rPr>
      </w:pPr>
      <w:r>
        <w:rPr>
          <w:rFonts w:ascii="Times New Roman" w:hAnsi="Times New Roman"/>
          <w:b/>
          <w:color w:val="000000" w:themeColor="text1"/>
          <w:sz w:val="56"/>
          <w:szCs w:val="84"/>
          <w14:textFill>
            <w14:solidFill>
              <w14:schemeClr w14:val="tx1"/>
            </w14:solidFill>
          </w14:textFill>
        </w:rPr>
        <w:t>分区规划图</w:t>
      </w:r>
    </w:p>
    <w:p>
      <w:pPr>
        <w:ind w:firstLine="560"/>
        <w:rPr>
          <w:rFonts w:ascii="Times New Roman" w:hAnsi="Times New Roman"/>
        </w:rPr>
      </w:pPr>
    </w:p>
    <w:p>
      <w:pPr>
        <w:ind w:firstLine="0" w:firstLineChars="0"/>
        <w:rPr>
          <w:rFonts w:ascii="Times New Roman" w:hAnsi="Times New Roman"/>
        </w:rPr>
      </w:pPr>
      <w:r>
        <w:rPr>
          <w:rFonts w:ascii="Times New Roman" w:hAnsi="Times New Roman"/>
        </w:rPr>
        <w:drawing>
          <wp:inline distT="0" distB="0" distL="0" distR="0">
            <wp:extent cx="5274945" cy="5274945"/>
            <wp:effectExtent l="0" t="0" r="1905" b="1905"/>
            <wp:docPr id="5" name="图片 5" descr="E:\倪田品\2.成片开发\6.杨田\2024-1-8\图件2024-1-30\分区规划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E:\倪田品\2.成片开发\6.杨田\2024-1-8\图件2024-1-30\分区规划图.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5274945" cy="5274945"/>
                    </a:xfrm>
                    <a:prstGeom prst="rect">
                      <a:avLst/>
                    </a:prstGeom>
                    <a:noFill/>
                    <a:ln>
                      <a:noFill/>
                    </a:ln>
                  </pic:spPr>
                </pic:pic>
              </a:graphicData>
            </a:graphic>
          </wp:inline>
        </w:drawing>
      </w:r>
    </w:p>
    <w:p>
      <w:pPr>
        <w:ind w:firstLine="0" w:firstLineChars="0"/>
        <w:rPr>
          <w:rFonts w:ascii="Times New Roman" w:hAnsi="Times New Roman"/>
        </w:rPr>
        <w:sectPr>
          <w:pgSz w:w="11907" w:h="16839"/>
          <w:pgMar w:top="1440" w:right="1800" w:bottom="1440" w:left="1800" w:header="851" w:footer="992" w:gutter="0"/>
          <w:cols w:space="720" w:num="1"/>
          <w:docGrid w:type="lines" w:linePitch="381" w:charSpace="0"/>
        </w:sectPr>
      </w:pPr>
    </w:p>
    <w:p>
      <w:pPr>
        <w:pStyle w:val="3"/>
        <w:numPr>
          <w:ilvl w:val="0"/>
          <w:numId w:val="0"/>
        </w:numPr>
        <w:rPr>
          <w:rFonts w:ascii="Times New Roman" w:hAnsi="Times New Roman"/>
          <w:color w:val="FFFFFF" w:themeColor="background1"/>
          <w14:textFill>
            <w14:solidFill>
              <w14:schemeClr w14:val="bg1"/>
            </w14:solidFill>
          </w14:textFill>
        </w:rPr>
      </w:pPr>
      <w:bookmarkStart w:id="26" w:name="_Toc161222831"/>
      <w:r>
        <w:rPr>
          <w:rFonts w:ascii="Times New Roman" w:hAnsi="Times New Roman"/>
          <w:color w:val="FFFFFF" w:themeColor="background1"/>
          <w14:textFill>
            <w14:solidFill>
              <w14:schemeClr w14:val="bg1"/>
            </w14:solidFill>
          </w14:textFill>
        </w:rPr>
        <w:t>4.青阳县杨田镇片区（编号CZQY341723-2024-1）用地规划图</w:t>
      </w:r>
      <w:bookmarkEnd w:id="26"/>
    </w:p>
    <w:p>
      <w:pPr>
        <w:ind w:firstLine="560"/>
        <w:rPr>
          <w:rFonts w:ascii="Times New Roman" w:hAnsi="Times New Roman"/>
        </w:rPr>
      </w:pPr>
    </w:p>
    <w:p>
      <w:pPr>
        <w:ind w:firstLine="560"/>
        <w:rPr>
          <w:rFonts w:ascii="Times New Roman" w:hAnsi="Times New Roman"/>
        </w:rPr>
      </w:pPr>
    </w:p>
    <w:p>
      <w:pPr>
        <w:ind w:firstLine="560"/>
        <w:rPr>
          <w:rFonts w:ascii="Times New Roman" w:hAnsi="Times New Roman"/>
        </w:rPr>
      </w:pPr>
    </w:p>
    <w:p>
      <w:pPr>
        <w:ind w:firstLine="0" w:firstLineChars="0"/>
        <w:jc w:val="center"/>
        <w:rPr>
          <w:rFonts w:ascii="Times New Roman" w:hAnsi="Times New Roman"/>
          <w:b/>
          <w:color w:val="000000" w:themeColor="text1"/>
          <w:sz w:val="84"/>
          <w:szCs w:val="84"/>
          <w14:textFill>
            <w14:solidFill>
              <w14:schemeClr w14:val="tx1"/>
            </w14:solidFill>
          </w14:textFill>
        </w:rPr>
      </w:pPr>
      <w:r>
        <w:rPr>
          <w:rFonts w:ascii="Times New Roman" w:hAnsi="Times New Roman"/>
          <w:b/>
          <w:color w:val="000000" w:themeColor="text1"/>
          <w:sz w:val="84"/>
          <w:szCs w:val="84"/>
          <w14:textFill>
            <w14:solidFill>
              <w14:schemeClr w14:val="tx1"/>
            </w14:solidFill>
          </w14:textFill>
        </w:rPr>
        <w:t>附</w:t>
      </w:r>
    </w:p>
    <w:p>
      <w:pPr>
        <w:tabs>
          <w:tab w:val="center" w:pos="4323"/>
        </w:tabs>
        <w:ind w:firstLine="0" w:firstLineChars="0"/>
        <w:jc w:val="center"/>
        <w:rPr>
          <w:rFonts w:ascii="Times New Roman" w:hAnsi="Times New Roman"/>
          <w:b/>
          <w:color w:val="000000" w:themeColor="text1"/>
          <w:sz w:val="84"/>
          <w:szCs w:val="84"/>
          <w14:textFill>
            <w14:solidFill>
              <w14:schemeClr w14:val="tx1"/>
            </w14:solidFill>
          </w14:textFill>
        </w:rPr>
      </w:pPr>
      <w:r>
        <w:rPr>
          <w:rFonts w:ascii="Times New Roman" w:hAnsi="Times New Roman"/>
          <w:b/>
          <w:color w:val="000000" w:themeColor="text1"/>
          <w:sz w:val="84"/>
          <w:szCs w:val="84"/>
          <w14:textFill>
            <w14:solidFill>
              <w14:schemeClr w14:val="tx1"/>
            </w14:solidFill>
          </w14:textFill>
        </w:rPr>
        <w:t>件</w:t>
      </w:r>
    </w:p>
    <w:p>
      <w:pPr>
        <w:ind w:firstLine="0" w:firstLineChars="0"/>
        <w:jc w:val="center"/>
        <w:rPr>
          <w:rFonts w:ascii="Times New Roman" w:hAnsi="Times New Roman"/>
          <w:b/>
          <w:color w:val="000000" w:themeColor="text1"/>
          <w:sz w:val="84"/>
          <w:szCs w:val="84"/>
          <w14:textFill>
            <w14:solidFill>
              <w14:schemeClr w14:val="tx1"/>
            </w14:solidFill>
          </w14:textFill>
        </w:rPr>
      </w:pPr>
      <w:r>
        <w:rPr>
          <w:rFonts w:ascii="Times New Roman" w:hAnsi="Times New Roman"/>
          <w:b/>
          <w:color w:val="000000" w:themeColor="text1"/>
          <w:sz w:val="84"/>
          <w:szCs w:val="84"/>
          <w14:textFill>
            <w14:solidFill>
              <w14:schemeClr w14:val="tx1"/>
            </w14:solidFill>
          </w14:textFill>
        </w:rPr>
        <w:t>四</w:t>
      </w:r>
    </w:p>
    <w:p>
      <w:pPr>
        <w:ind w:firstLine="0" w:firstLineChars="0"/>
        <w:jc w:val="center"/>
        <w:rPr>
          <w:rFonts w:ascii="Times New Roman" w:hAnsi="Times New Roman"/>
          <w:b/>
          <w:color w:val="000000" w:themeColor="text1"/>
          <w:sz w:val="84"/>
          <w:szCs w:val="84"/>
          <w14:textFill>
            <w14:solidFill>
              <w14:schemeClr w14:val="tx1"/>
            </w14:solidFill>
          </w14:textFill>
        </w:rPr>
      </w:pPr>
    </w:p>
    <w:p>
      <w:pPr>
        <w:ind w:firstLine="0" w:firstLineChars="0"/>
        <w:jc w:val="center"/>
        <w:rPr>
          <w:rFonts w:ascii="Times New Roman" w:hAnsi="Times New Roman"/>
          <w:b/>
          <w:color w:val="000000" w:themeColor="text1"/>
          <w:sz w:val="56"/>
          <w:szCs w:val="84"/>
          <w14:textFill>
            <w14:solidFill>
              <w14:schemeClr w14:val="tx1"/>
            </w14:solidFill>
          </w14:textFill>
        </w:rPr>
      </w:pPr>
      <w:r>
        <w:rPr>
          <w:rFonts w:ascii="Times New Roman" w:hAnsi="Times New Roman"/>
          <w:b/>
          <w:color w:val="000000" w:themeColor="text1"/>
          <w:sz w:val="56"/>
          <w:szCs w:val="84"/>
          <w14:textFill>
            <w14:solidFill>
              <w14:schemeClr w14:val="tx1"/>
            </w14:solidFill>
          </w14:textFill>
        </w:rPr>
        <w:t>青阳县杨田镇片区</w:t>
      </w:r>
    </w:p>
    <w:p>
      <w:pPr>
        <w:ind w:firstLine="0" w:firstLineChars="0"/>
        <w:jc w:val="center"/>
        <w:rPr>
          <w:rFonts w:ascii="Times New Roman" w:hAnsi="Times New Roman"/>
          <w:b/>
          <w:color w:val="000000" w:themeColor="text1"/>
          <w:sz w:val="56"/>
          <w:szCs w:val="84"/>
          <w14:textFill>
            <w14:solidFill>
              <w14:schemeClr w14:val="tx1"/>
            </w14:solidFill>
          </w14:textFill>
        </w:rPr>
      </w:pPr>
      <w:r>
        <w:rPr>
          <w:rFonts w:ascii="Times New Roman" w:hAnsi="Times New Roman"/>
          <w:b/>
          <w:color w:val="000000" w:themeColor="text1"/>
          <w:sz w:val="56"/>
          <w:szCs w:val="84"/>
          <w14:textFill>
            <w14:solidFill>
              <w14:schemeClr w14:val="tx1"/>
            </w14:solidFill>
          </w14:textFill>
        </w:rPr>
        <w:t>（编号CZQY341723-2024-1）</w:t>
      </w:r>
    </w:p>
    <w:p>
      <w:pPr>
        <w:ind w:firstLine="0" w:firstLineChars="0"/>
        <w:jc w:val="center"/>
        <w:rPr>
          <w:rFonts w:ascii="Times New Roman" w:hAnsi="Times New Roman"/>
        </w:rPr>
      </w:pPr>
      <w:r>
        <w:rPr>
          <w:rFonts w:ascii="Times New Roman" w:hAnsi="Times New Roman"/>
          <w:b/>
          <w:color w:val="000000" w:themeColor="text1"/>
          <w:sz w:val="56"/>
          <w:szCs w:val="84"/>
          <w14:textFill>
            <w14:solidFill>
              <w14:schemeClr w14:val="tx1"/>
            </w14:solidFill>
          </w14:textFill>
        </w:rPr>
        <w:t>用地规划图</w:t>
      </w:r>
    </w:p>
    <w:p>
      <w:pPr>
        <w:ind w:firstLine="0" w:firstLineChars="0"/>
        <w:rPr>
          <w:rFonts w:ascii="Times New Roman" w:hAnsi="Times New Roman"/>
        </w:rPr>
      </w:pPr>
      <w:r>
        <w:rPr>
          <w:rFonts w:ascii="Times New Roman" w:hAnsi="Times New Roman"/>
        </w:rPr>
        <w:drawing>
          <wp:inline distT="0" distB="0" distL="0" distR="0">
            <wp:extent cx="5274945" cy="5274945"/>
            <wp:effectExtent l="0" t="0" r="1905" b="1905"/>
            <wp:docPr id="8" name="图片 8" descr="E:\倪田品\2.成片开发\6.杨田\2024-1-8\图件2024-1-30\用地规划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E:\倪田品\2.成片开发\6.杨田\2024-1-8\图件2024-1-30\用地规划图.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a:xfrm>
                      <a:off x="0" y="0"/>
                      <a:ext cx="5274945" cy="5274945"/>
                    </a:xfrm>
                    <a:prstGeom prst="rect">
                      <a:avLst/>
                    </a:prstGeom>
                    <a:noFill/>
                    <a:ln>
                      <a:noFill/>
                    </a:ln>
                  </pic:spPr>
                </pic:pic>
              </a:graphicData>
            </a:graphic>
          </wp:inline>
        </w:drawing>
      </w:r>
    </w:p>
    <w:sectPr>
      <w:pgSz w:w="11907" w:h="16839"/>
      <w:pgMar w:top="1440" w:right="1800" w:bottom="1440" w:left="1800" w:header="851" w:footer="992" w:gutter="0"/>
      <w:cols w:space="720" w:num="1"/>
      <w:docGrid w:type="lines"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等线 Light">
    <w:altName w:val="宋体"/>
    <w:panose1 w:val="02010600030101010101"/>
    <w:charset w:val="86"/>
    <w:family w:val="auto"/>
    <w:pitch w:val="default"/>
    <w:sig w:usb0="00000000" w:usb1="00000000" w:usb2="00000016" w:usb3="00000000" w:csb0="0004000F" w:csb1="00000000"/>
  </w:font>
  <w:font w:name="DFKai-SB">
    <w:panose1 w:val="03000509000000000000"/>
    <w:charset w:val="88"/>
    <w:family w:val="script"/>
    <w:pitch w:val="default"/>
    <w:sig w:usb0="00000003" w:usb1="082E0000" w:usb2="00000016" w:usb3="00000000" w:csb0="0010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等线">
    <w:altName w:val="Arial Unicode MS"/>
    <w:panose1 w:val="02010600030101010101"/>
    <w:charset w:val="86"/>
    <w:family w:val="auto"/>
    <w:pitch w:val="default"/>
    <w:sig w:usb0="00000000" w:usb1="00000000" w:usb2="00000016" w:usb3="00000000" w:csb0="0004000F" w:csb1="00000000"/>
  </w:font>
  <w:font w:name="方正仿宋简体">
    <w:altName w:val="微软雅黑"/>
    <w:panose1 w:val="00000000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80F3C52" w:usb2="00000016" w:usb3="00000000" w:csb0="0004001F" w:csb1="00000000"/>
  </w:font>
  <w:font w:name="等线">
    <w:altName w:val="Arial Unicode M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40" w:lineRule="auto"/>
      <w:ind w:firstLine="0" w:firstLineChars="0"/>
      <w:jc w:val="center"/>
    </w:pPr>
    <w:r>
      <w:rPr>
        <w:rFonts w:ascii="Times New Roman" w:hAnsi="Times New Roman"/>
        <w:sz w:val="21"/>
        <w:szCs w:val="21"/>
      </w:rPr>
      <w:fldChar w:fldCharType="begin"/>
    </w:r>
    <w:r>
      <w:rPr>
        <w:rFonts w:ascii="Times New Roman" w:hAnsi="Times New Roman"/>
        <w:sz w:val="21"/>
        <w:szCs w:val="21"/>
      </w:rPr>
      <w:instrText xml:space="preserve">PAGE   \* MERGEFORMAT</w:instrText>
    </w:r>
    <w:r>
      <w:rPr>
        <w:rFonts w:ascii="Times New Roman" w:hAnsi="Times New Roman"/>
        <w:sz w:val="21"/>
        <w:szCs w:val="21"/>
      </w:rPr>
      <w:fldChar w:fldCharType="separate"/>
    </w:r>
    <w:r>
      <w:rPr>
        <w:rFonts w:ascii="Times New Roman" w:hAnsi="Times New Roman"/>
        <w:sz w:val="21"/>
        <w:szCs w:val="21"/>
        <w:lang w:val="zh-CN"/>
      </w:rPr>
      <w:t>29</w:t>
    </w:r>
    <w:r>
      <w:rPr>
        <w:rFonts w:ascii="Times New Roman" w:hAnsi="Times New Roman"/>
        <w:sz w:val="21"/>
        <w:szCs w:val="21"/>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560"/>
      </w:pPr>
      <w:r>
        <w:separator/>
      </w:r>
    </w:p>
  </w:footnote>
  <w:footnote w:type="continuationSeparator" w:id="1">
    <w:p>
      <w:pPr>
        <w:spacing w:line="36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5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200D5"/>
    <w:multiLevelType w:val="multilevel"/>
    <w:tmpl w:val="3F4200D5"/>
    <w:lvl w:ilvl="0" w:tentative="0">
      <w:start w:val="1"/>
      <w:numFmt w:val="chineseCountingThousand"/>
      <w:pStyle w:val="2"/>
      <w:suff w:val="space"/>
      <w:lvlText w:val="%1、"/>
      <w:lvlJc w:val="left"/>
      <w:pPr>
        <w:ind w:left="0" w:firstLine="0"/>
      </w:pPr>
      <w:rPr>
        <w:rFonts w:hint="eastAsia"/>
      </w:rPr>
    </w:lvl>
    <w:lvl w:ilvl="1" w:tentative="0">
      <w:start w:val="1"/>
      <w:numFmt w:val="decimal"/>
      <w:lvlRestart w:val="0"/>
      <w:pStyle w:val="3"/>
      <w:suff w:val="space"/>
      <w:lvlText w:val="%2."/>
      <w:lvlJc w:val="left"/>
      <w:pPr>
        <w:ind w:left="0" w:firstLine="0"/>
      </w:pPr>
      <w:rPr>
        <w:rFonts w:hint="eastAsia"/>
      </w:rPr>
    </w:lvl>
    <w:lvl w:ilvl="2" w:tentative="0">
      <w:start w:val="1"/>
      <w:numFmt w:val="decimal"/>
      <w:pStyle w:val="4"/>
      <w:suff w:val="space"/>
      <w:lvlText w:val="%1.%2.%3"/>
      <w:lvlJc w:val="left"/>
      <w:pPr>
        <w:ind w:left="0" w:firstLine="0"/>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bordersDoNotSurroundHeader w:val="1"/>
  <w:bordersDoNotSurroundFooter w:val="1"/>
  <w:documentProtection w:enforcement="0"/>
  <w:defaultTabStop w:val="50"/>
  <w:drawingGridHorizontalSpacing w:val="140"/>
  <w:drawingGridVerticalSpacing w:val="381"/>
  <w:displayHorizont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U0OThjN2Y1NWIyZTBmYzdhM2Q0ZDRkOWEwNmFkMDMifQ=="/>
  </w:docVars>
  <w:rsids>
    <w:rsidRoot w:val="00172A27"/>
    <w:rsid w:val="00005458"/>
    <w:rsid w:val="00012485"/>
    <w:rsid w:val="00017FA0"/>
    <w:rsid w:val="00022465"/>
    <w:rsid w:val="00024F22"/>
    <w:rsid w:val="00030DB7"/>
    <w:rsid w:val="00031514"/>
    <w:rsid w:val="00036017"/>
    <w:rsid w:val="00041943"/>
    <w:rsid w:val="0004319D"/>
    <w:rsid w:val="00045730"/>
    <w:rsid w:val="000461D3"/>
    <w:rsid w:val="000468EA"/>
    <w:rsid w:val="00047EC5"/>
    <w:rsid w:val="00050347"/>
    <w:rsid w:val="0005263F"/>
    <w:rsid w:val="000545BC"/>
    <w:rsid w:val="000633D4"/>
    <w:rsid w:val="000638C3"/>
    <w:rsid w:val="0006439E"/>
    <w:rsid w:val="00071EB7"/>
    <w:rsid w:val="000753FC"/>
    <w:rsid w:val="00092809"/>
    <w:rsid w:val="00092BA5"/>
    <w:rsid w:val="00092D91"/>
    <w:rsid w:val="00093980"/>
    <w:rsid w:val="000946A7"/>
    <w:rsid w:val="000949C5"/>
    <w:rsid w:val="000964B1"/>
    <w:rsid w:val="000A291C"/>
    <w:rsid w:val="000A3C3C"/>
    <w:rsid w:val="000B1F5E"/>
    <w:rsid w:val="000B4C42"/>
    <w:rsid w:val="000C0623"/>
    <w:rsid w:val="000C160C"/>
    <w:rsid w:val="000C277D"/>
    <w:rsid w:val="000C4767"/>
    <w:rsid w:val="000C65B2"/>
    <w:rsid w:val="000D20A1"/>
    <w:rsid w:val="000D374C"/>
    <w:rsid w:val="000D7D7B"/>
    <w:rsid w:val="000E5BA8"/>
    <w:rsid w:val="000E77D8"/>
    <w:rsid w:val="000F194B"/>
    <w:rsid w:val="000F19CA"/>
    <w:rsid w:val="000F57E1"/>
    <w:rsid w:val="000F7082"/>
    <w:rsid w:val="00101482"/>
    <w:rsid w:val="00102396"/>
    <w:rsid w:val="001030D2"/>
    <w:rsid w:val="00104974"/>
    <w:rsid w:val="001055D9"/>
    <w:rsid w:val="001064CF"/>
    <w:rsid w:val="00122CA8"/>
    <w:rsid w:val="00124CBA"/>
    <w:rsid w:val="0012601E"/>
    <w:rsid w:val="0012657F"/>
    <w:rsid w:val="00126CBB"/>
    <w:rsid w:val="001305B6"/>
    <w:rsid w:val="001317A4"/>
    <w:rsid w:val="00134C4A"/>
    <w:rsid w:val="00140130"/>
    <w:rsid w:val="0014128C"/>
    <w:rsid w:val="00145C28"/>
    <w:rsid w:val="00146741"/>
    <w:rsid w:val="00150CC4"/>
    <w:rsid w:val="001517F3"/>
    <w:rsid w:val="00153A4E"/>
    <w:rsid w:val="001542AA"/>
    <w:rsid w:val="00155A54"/>
    <w:rsid w:val="0015644C"/>
    <w:rsid w:val="00156B53"/>
    <w:rsid w:val="00156E47"/>
    <w:rsid w:val="00156EB8"/>
    <w:rsid w:val="001609FA"/>
    <w:rsid w:val="0016305B"/>
    <w:rsid w:val="00164B7C"/>
    <w:rsid w:val="00172A27"/>
    <w:rsid w:val="00175064"/>
    <w:rsid w:val="001778D6"/>
    <w:rsid w:val="00180F20"/>
    <w:rsid w:val="0018108C"/>
    <w:rsid w:val="0018521C"/>
    <w:rsid w:val="00186D40"/>
    <w:rsid w:val="00186E9A"/>
    <w:rsid w:val="0019638C"/>
    <w:rsid w:val="0019662A"/>
    <w:rsid w:val="001A0373"/>
    <w:rsid w:val="001A2112"/>
    <w:rsid w:val="001B5A4B"/>
    <w:rsid w:val="001B5DEA"/>
    <w:rsid w:val="001B708A"/>
    <w:rsid w:val="001C00F2"/>
    <w:rsid w:val="001C46DD"/>
    <w:rsid w:val="001C5737"/>
    <w:rsid w:val="001C5A21"/>
    <w:rsid w:val="001C5DC8"/>
    <w:rsid w:val="001D54D3"/>
    <w:rsid w:val="001E5A99"/>
    <w:rsid w:val="001F46C1"/>
    <w:rsid w:val="001F4AF7"/>
    <w:rsid w:val="001F4F10"/>
    <w:rsid w:val="0020228D"/>
    <w:rsid w:val="0020332B"/>
    <w:rsid w:val="00203C6A"/>
    <w:rsid w:val="00204B15"/>
    <w:rsid w:val="00210BC9"/>
    <w:rsid w:val="00210D96"/>
    <w:rsid w:val="002126C8"/>
    <w:rsid w:val="00216ADC"/>
    <w:rsid w:val="002170F2"/>
    <w:rsid w:val="002174E0"/>
    <w:rsid w:val="00227F6C"/>
    <w:rsid w:val="00237FCF"/>
    <w:rsid w:val="00240336"/>
    <w:rsid w:val="00240D94"/>
    <w:rsid w:val="00251FA2"/>
    <w:rsid w:val="00252F8E"/>
    <w:rsid w:val="00254AAA"/>
    <w:rsid w:val="00256628"/>
    <w:rsid w:val="0026334B"/>
    <w:rsid w:val="00265C74"/>
    <w:rsid w:val="00265E20"/>
    <w:rsid w:val="00273492"/>
    <w:rsid w:val="0027357D"/>
    <w:rsid w:val="00273CDC"/>
    <w:rsid w:val="00274A60"/>
    <w:rsid w:val="00277324"/>
    <w:rsid w:val="002807F8"/>
    <w:rsid w:val="00284829"/>
    <w:rsid w:val="00294ED0"/>
    <w:rsid w:val="00295523"/>
    <w:rsid w:val="002A710D"/>
    <w:rsid w:val="002B2219"/>
    <w:rsid w:val="002B4A43"/>
    <w:rsid w:val="002B6D96"/>
    <w:rsid w:val="002B769F"/>
    <w:rsid w:val="002C6F56"/>
    <w:rsid w:val="002D3C99"/>
    <w:rsid w:val="002D3D04"/>
    <w:rsid w:val="002D4EEE"/>
    <w:rsid w:val="002D7886"/>
    <w:rsid w:val="002E32F3"/>
    <w:rsid w:val="002E3736"/>
    <w:rsid w:val="002E4A7E"/>
    <w:rsid w:val="002E582D"/>
    <w:rsid w:val="002E7213"/>
    <w:rsid w:val="002F0C47"/>
    <w:rsid w:val="002F24D0"/>
    <w:rsid w:val="002F4E0E"/>
    <w:rsid w:val="002F6AC8"/>
    <w:rsid w:val="003029A2"/>
    <w:rsid w:val="00307BE2"/>
    <w:rsid w:val="0031287A"/>
    <w:rsid w:val="00316D21"/>
    <w:rsid w:val="00322F07"/>
    <w:rsid w:val="00324939"/>
    <w:rsid w:val="00327460"/>
    <w:rsid w:val="00332E83"/>
    <w:rsid w:val="00337896"/>
    <w:rsid w:val="00343BDE"/>
    <w:rsid w:val="00347F5F"/>
    <w:rsid w:val="00350A04"/>
    <w:rsid w:val="00352A77"/>
    <w:rsid w:val="00353C42"/>
    <w:rsid w:val="003552E3"/>
    <w:rsid w:val="00355930"/>
    <w:rsid w:val="0036031A"/>
    <w:rsid w:val="003614EB"/>
    <w:rsid w:val="00363BB1"/>
    <w:rsid w:val="00363D35"/>
    <w:rsid w:val="0037029D"/>
    <w:rsid w:val="00371EB3"/>
    <w:rsid w:val="0037314A"/>
    <w:rsid w:val="00374B52"/>
    <w:rsid w:val="00376320"/>
    <w:rsid w:val="003776E9"/>
    <w:rsid w:val="00386269"/>
    <w:rsid w:val="00386DD8"/>
    <w:rsid w:val="003920F1"/>
    <w:rsid w:val="00393EE4"/>
    <w:rsid w:val="00396CBC"/>
    <w:rsid w:val="003A0A60"/>
    <w:rsid w:val="003A3A31"/>
    <w:rsid w:val="003A4F5E"/>
    <w:rsid w:val="003B1805"/>
    <w:rsid w:val="003B3A77"/>
    <w:rsid w:val="003B40BF"/>
    <w:rsid w:val="003C35B8"/>
    <w:rsid w:val="003D030D"/>
    <w:rsid w:val="003D2496"/>
    <w:rsid w:val="003D2EBC"/>
    <w:rsid w:val="003E04D3"/>
    <w:rsid w:val="003E156A"/>
    <w:rsid w:val="003E4E9C"/>
    <w:rsid w:val="003E571E"/>
    <w:rsid w:val="003F0E53"/>
    <w:rsid w:val="003F158C"/>
    <w:rsid w:val="003F4703"/>
    <w:rsid w:val="003F48E6"/>
    <w:rsid w:val="003F7074"/>
    <w:rsid w:val="003F79CB"/>
    <w:rsid w:val="00402B7F"/>
    <w:rsid w:val="004048FE"/>
    <w:rsid w:val="00405FD6"/>
    <w:rsid w:val="00406170"/>
    <w:rsid w:val="00410A82"/>
    <w:rsid w:val="00412187"/>
    <w:rsid w:val="00416FB1"/>
    <w:rsid w:val="00422E17"/>
    <w:rsid w:val="00424B0E"/>
    <w:rsid w:val="00425F1B"/>
    <w:rsid w:val="00430BCE"/>
    <w:rsid w:val="00431451"/>
    <w:rsid w:val="00435D38"/>
    <w:rsid w:val="004445E9"/>
    <w:rsid w:val="00446CA9"/>
    <w:rsid w:val="004523C4"/>
    <w:rsid w:val="00453ED0"/>
    <w:rsid w:val="00454DDD"/>
    <w:rsid w:val="0045589D"/>
    <w:rsid w:val="0045744E"/>
    <w:rsid w:val="00461F65"/>
    <w:rsid w:val="00462E7F"/>
    <w:rsid w:val="004726CF"/>
    <w:rsid w:val="00480F43"/>
    <w:rsid w:val="004830C1"/>
    <w:rsid w:val="00485651"/>
    <w:rsid w:val="004865C1"/>
    <w:rsid w:val="00492518"/>
    <w:rsid w:val="004943C3"/>
    <w:rsid w:val="004A1443"/>
    <w:rsid w:val="004A14DE"/>
    <w:rsid w:val="004A2F23"/>
    <w:rsid w:val="004A4E2F"/>
    <w:rsid w:val="004A70BA"/>
    <w:rsid w:val="004B3EFD"/>
    <w:rsid w:val="004B5420"/>
    <w:rsid w:val="004B5CFD"/>
    <w:rsid w:val="004C18CC"/>
    <w:rsid w:val="004D2139"/>
    <w:rsid w:val="004D5646"/>
    <w:rsid w:val="004D6F4A"/>
    <w:rsid w:val="004D7F16"/>
    <w:rsid w:val="004E1497"/>
    <w:rsid w:val="004E1A66"/>
    <w:rsid w:val="004E1CF9"/>
    <w:rsid w:val="004E2C9D"/>
    <w:rsid w:val="004E6743"/>
    <w:rsid w:val="004F0475"/>
    <w:rsid w:val="004F3152"/>
    <w:rsid w:val="00500517"/>
    <w:rsid w:val="00503AA2"/>
    <w:rsid w:val="00510844"/>
    <w:rsid w:val="0051298C"/>
    <w:rsid w:val="00515D0A"/>
    <w:rsid w:val="00515E80"/>
    <w:rsid w:val="0052479B"/>
    <w:rsid w:val="00526E98"/>
    <w:rsid w:val="00533CF1"/>
    <w:rsid w:val="005349D8"/>
    <w:rsid w:val="00535D61"/>
    <w:rsid w:val="0054082A"/>
    <w:rsid w:val="00541190"/>
    <w:rsid w:val="005430E5"/>
    <w:rsid w:val="005474DB"/>
    <w:rsid w:val="005512A2"/>
    <w:rsid w:val="00551BE6"/>
    <w:rsid w:val="0055397E"/>
    <w:rsid w:val="00555C20"/>
    <w:rsid w:val="00557DDB"/>
    <w:rsid w:val="0056269F"/>
    <w:rsid w:val="005652B8"/>
    <w:rsid w:val="00566AC4"/>
    <w:rsid w:val="005708E8"/>
    <w:rsid w:val="00571E80"/>
    <w:rsid w:val="00573D58"/>
    <w:rsid w:val="00575A57"/>
    <w:rsid w:val="00580E9D"/>
    <w:rsid w:val="00582035"/>
    <w:rsid w:val="005835AE"/>
    <w:rsid w:val="00584374"/>
    <w:rsid w:val="00585760"/>
    <w:rsid w:val="00585990"/>
    <w:rsid w:val="00592106"/>
    <w:rsid w:val="005A2AE5"/>
    <w:rsid w:val="005A3C2E"/>
    <w:rsid w:val="005A68A6"/>
    <w:rsid w:val="005B0E54"/>
    <w:rsid w:val="005B38B8"/>
    <w:rsid w:val="005B5BC8"/>
    <w:rsid w:val="005B6472"/>
    <w:rsid w:val="005B664A"/>
    <w:rsid w:val="005B6BA7"/>
    <w:rsid w:val="005C1CE0"/>
    <w:rsid w:val="005C4582"/>
    <w:rsid w:val="005C590F"/>
    <w:rsid w:val="005D071B"/>
    <w:rsid w:val="005D26A7"/>
    <w:rsid w:val="005D4CC4"/>
    <w:rsid w:val="005D5CDE"/>
    <w:rsid w:val="005D74D4"/>
    <w:rsid w:val="005E0F07"/>
    <w:rsid w:val="005E3293"/>
    <w:rsid w:val="005E384D"/>
    <w:rsid w:val="005E3BCE"/>
    <w:rsid w:val="005E573B"/>
    <w:rsid w:val="005E6EB5"/>
    <w:rsid w:val="005E78F3"/>
    <w:rsid w:val="005F052B"/>
    <w:rsid w:val="005F2481"/>
    <w:rsid w:val="005F24C2"/>
    <w:rsid w:val="005F3F9D"/>
    <w:rsid w:val="005F68D6"/>
    <w:rsid w:val="0060201B"/>
    <w:rsid w:val="006022C9"/>
    <w:rsid w:val="00611B14"/>
    <w:rsid w:val="00613860"/>
    <w:rsid w:val="006173C0"/>
    <w:rsid w:val="00622058"/>
    <w:rsid w:val="00622EBA"/>
    <w:rsid w:val="006258A2"/>
    <w:rsid w:val="0062799F"/>
    <w:rsid w:val="00631215"/>
    <w:rsid w:val="006312F9"/>
    <w:rsid w:val="00631D69"/>
    <w:rsid w:val="00631E90"/>
    <w:rsid w:val="006338D1"/>
    <w:rsid w:val="00633EED"/>
    <w:rsid w:val="006343C9"/>
    <w:rsid w:val="00644FA1"/>
    <w:rsid w:val="006478AF"/>
    <w:rsid w:val="00652FFC"/>
    <w:rsid w:val="0065653B"/>
    <w:rsid w:val="00656F74"/>
    <w:rsid w:val="0065728E"/>
    <w:rsid w:val="00661609"/>
    <w:rsid w:val="00663D3C"/>
    <w:rsid w:val="00664B2C"/>
    <w:rsid w:val="00666DAE"/>
    <w:rsid w:val="00667939"/>
    <w:rsid w:val="00667CA9"/>
    <w:rsid w:val="00670345"/>
    <w:rsid w:val="00672C46"/>
    <w:rsid w:val="00672E14"/>
    <w:rsid w:val="00676ED0"/>
    <w:rsid w:val="006808EC"/>
    <w:rsid w:val="00681518"/>
    <w:rsid w:val="00684B2B"/>
    <w:rsid w:val="006903A8"/>
    <w:rsid w:val="00694AEB"/>
    <w:rsid w:val="006A0D53"/>
    <w:rsid w:val="006A1DA4"/>
    <w:rsid w:val="006A4717"/>
    <w:rsid w:val="006B14A8"/>
    <w:rsid w:val="006B76ED"/>
    <w:rsid w:val="006C2512"/>
    <w:rsid w:val="006C2AE1"/>
    <w:rsid w:val="006C4FDD"/>
    <w:rsid w:val="006D20D1"/>
    <w:rsid w:val="006D403D"/>
    <w:rsid w:val="006E56A6"/>
    <w:rsid w:val="006E7104"/>
    <w:rsid w:val="006E7E38"/>
    <w:rsid w:val="006F2153"/>
    <w:rsid w:val="006F4FB1"/>
    <w:rsid w:val="006F584F"/>
    <w:rsid w:val="00700B7F"/>
    <w:rsid w:val="00701741"/>
    <w:rsid w:val="0070623B"/>
    <w:rsid w:val="0070629E"/>
    <w:rsid w:val="0070727B"/>
    <w:rsid w:val="0071182B"/>
    <w:rsid w:val="00711C8D"/>
    <w:rsid w:val="00713942"/>
    <w:rsid w:val="00714D01"/>
    <w:rsid w:val="00717319"/>
    <w:rsid w:val="0071738F"/>
    <w:rsid w:val="007261F1"/>
    <w:rsid w:val="00727D5C"/>
    <w:rsid w:val="00730A25"/>
    <w:rsid w:val="007331C7"/>
    <w:rsid w:val="00740279"/>
    <w:rsid w:val="00741713"/>
    <w:rsid w:val="0074488D"/>
    <w:rsid w:val="0074500A"/>
    <w:rsid w:val="0075244E"/>
    <w:rsid w:val="0075303F"/>
    <w:rsid w:val="00754BCD"/>
    <w:rsid w:val="00755918"/>
    <w:rsid w:val="007567BC"/>
    <w:rsid w:val="00756F76"/>
    <w:rsid w:val="00757DD7"/>
    <w:rsid w:val="00760EB0"/>
    <w:rsid w:val="00761A65"/>
    <w:rsid w:val="00764CE3"/>
    <w:rsid w:val="0076660D"/>
    <w:rsid w:val="00767A8B"/>
    <w:rsid w:val="00771546"/>
    <w:rsid w:val="0077207A"/>
    <w:rsid w:val="00772351"/>
    <w:rsid w:val="00780509"/>
    <w:rsid w:val="00781462"/>
    <w:rsid w:val="00782965"/>
    <w:rsid w:val="00784C4D"/>
    <w:rsid w:val="00784EBF"/>
    <w:rsid w:val="007852C4"/>
    <w:rsid w:val="00793982"/>
    <w:rsid w:val="007962D7"/>
    <w:rsid w:val="0079780E"/>
    <w:rsid w:val="007A0B09"/>
    <w:rsid w:val="007A4538"/>
    <w:rsid w:val="007A46ED"/>
    <w:rsid w:val="007B0382"/>
    <w:rsid w:val="007B099D"/>
    <w:rsid w:val="007B3937"/>
    <w:rsid w:val="007C1EAE"/>
    <w:rsid w:val="007C303F"/>
    <w:rsid w:val="007C34FD"/>
    <w:rsid w:val="007C3B8A"/>
    <w:rsid w:val="007C4A72"/>
    <w:rsid w:val="007C53B6"/>
    <w:rsid w:val="007D1B92"/>
    <w:rsid w:val="007D4412"/>
    <w:rsid w:val="007D5617"/>
    <w:rsid w:val="007D5676"/>
    <w:rsid w:val="007D7DAC"/>
    <w:rsid w:val="007E029B"/>
    <w:rsid w:val="007E1973"/>
    <w:rsid w:val="007E2873"/>
    <w:rsid w:val="007F3F2A"/>
    <w:rsid w:val="007F4128"/>
    <w:rsid w:val="007F450C"/>
    <w:rsid w:val="007F6BE4"/>
    <w:rsid w:val="008019FE"/>
    <w:rsid w:val="008051F3"/>
    <w:rsid w:val="00807983"/>
    <w:rsid w:val="00810AA3"/>
    <w:rsid w:val="00812F3E"/>
    <w:rsid w:val="008131CA"/>
    <w:rsid w:val="008135D7"/>
    <w:rsid w:val="00814137"/>
    <w:rsid w:val="00814F1B"/>
    <w:rsid w:val="008210F1"/>
    <w:rsid w:val="00825E99"/>
    <w:rsid w:val="0082772A"/>
    <w:rsid w:val="00831A4B"/>
    <w:rsid w:val="008322BE"/>
    <w:rsid w:val="00833A40"/>
    <w:rsid w:val="00833E43"/>
    <w:rsid w:val="00834B1D"/>
    <w:rsid w:val="00834D20"/>
    <w:rsid w:val="0083736C"/>
    <w:rsid w:val="00840A72"/>
    <w:rsid w:val="00842FA7"/>
    <w:rsid w:val="00843BD3"/>
    <w:rsid w:val="0084644C"/>
    <w:rsid w:val="00846F54"/>
    <w:rsid w:val="00847D97"/>
    <w:rsid w:val="008505F6"/>
    <w:rsid w:val="008533EF"/>
    <w:rsid w:val="00855265"/>
    <w:rsid w:val="00861EF8"/>
    <w:rsid w:val="00864484"/>
    <w:rsid w:val="00867073"/>
    <w:rsid w:val="008720D9"/>
    <w:rsid w:val="00874A73"/>
    <w:rsid w:val="00874DCC"/>
    <w:rsid w:val="00874F7F"/>
    <w:rsid w:val="008758CC"/>
    <w:rsid w:val="00876FE7"/>
    <w:rsid w:val="0088160F"/>
    <w:rsid w:val="00883414"/>
    <w:rsid w:val="00885316"/>
    <w:rsid w:val="008874C5"/>
    <w:rsid w:val="00890BB4"/>
    <w:rsid w:val="00891DB0"/>
    <w:rsid w:val="00893379"/>
    <w:rsid w:val="00893BCF"/>
    <w:rsid w:val="00893D9C"/>
    <w:rsid w:val="00895C01"/>
    <w:rsid w:val="00895D18"/>
    <w:rsid w:val="008A3CBA"/>
    <w:rsid w:val="008A3E60"/>
    <w:rsid w:val="008A505A"/>
    <w:rsid w:val="008A5C96"/>
    <w:rsid w:val="008A7AE4"/>
    <w:rsid w:val="008B17D8"/>
    <w:rsid w:val="008B60D7"/>
    <w:rsid w:val="008C3A02"/>
    <w:rsid w:val="008C453A"/>
    <w:rsid w:val="008C561C"/>
    <w:rsid w:val="008C7AF0"/>
    <w:rsid w:val="008D087B"/>
    <w:rsid w:val="008D13FD"/>
    <w:rsid w:val="008D2566"/>
    <w:rsid w:val="008D370D"/>
    <w:rsid w:val="008D3F04"/>
    <w:rsid w:val="008D4D7C"/>
    <w:rsid w:val="008D5E4B"/>
    <w:rsid w:val="008E1357"/>
    <w:rsid w:val="008E7C3A"/>
    <w:rsid w:val="008F072E"/>
    <w:rsid w:val="008F5A61"/>
    <w:rsid w:val="009009E1"/>
    <w:rsid w:val="009038AC"/>
    <w:rsid w:val="009042A0"/>
    <w:rsid w:val="009055C0"/>
    <w:rsid w:val="00906099"/>
    <w:rsid w:val="00912526"/>
    <w:rsid w:val="00914E45"/>
    <w:rsid w:val="00915E99"/>
    <w:rsid w:val="00922FB2"/>
    <w:rsid w:val="00924592"/>
    <w:rsid w:val="00925345"/>
    <w:rsid w:val="0092708A"/>
    <w:rsid w:val="009301EA"/>
    <w:rsid w:val="00930F6A"/>
    <w:rsid w:val="00932800"/>
    <w:rsid w:val="0093408E"/>
    <w:rsid w:val="0093548C"/>
    <w:rsid w:val="009377E7"/>
    <w:rsid w:val="00937F65"/>
    <w:rsid w:val="00941CBB"/>
    <w:rsid w:val="00947A56"/>
    <w:rsid w:val="00951AD0"/>
    <w:rsid w:val="00954890"/>
    <w:rsid w:val="00954DF3"/>
    <w:rsid w:val="0096452D"/>
    <w:rsid w:val="00967482"/>
    <w:rsid w:val="009730BF"/>
    <w:rsid w:val="00981E15"/>
    <w:rsid w:val="00982ECA"/>
    <w:rsid w:val="00984102"/>
    <w:rsid w:val="00984BE4"/>
    <w:rsid w:val="009868C8"/>
    <w:rsid w:val="00997AF9"/>
    <w:rsid w:val="009A27FE"/>
    <w:rsid w:val="009A3A2D"/>
    <w:rsid w:val="009A4C34"/>
    <w:rsid w:val="009A7E61"/>
    <w:rsid w:val="009B3196"/>
    <w:rsid w:val="009C06CA"/>
    <w:rsid w:val="009C267F"/>
    <w:rsid w:val="009C6CCC"/>
    <w:rsid w:val="009C7B05"/>
    <w:rsid w:val="009D0C3A"/>
    <w:rsid w:val="009D394A"/>
    <w:rsid w:val="009D7E04"/>
    <w:rsid w:val="009E2DBC"/>
    <w:rsid w:val="009E3F76"/>
    <w:rsid w:val="009F34D2"/>
    <w:rsid w:val="00A002F7"/>
    <w:rsid w:val="00A008B0"/>
    <w:rsid w:val="00A03A8B"/>
    <w:rsid w:val="00A06C99"/>
    <w:rsid w:val="00A070B6"/>
    <w:rsid w:val="00A07759"/>
    <w:rsid w:val="00A117E2"/>
    <w:rsid w:val="00A23766"/>
    <w:rsid w:val="00A2633B"/>
    <w:rsid w:val="00A27FA6"/>
    <w:rsid w:val="00A325C4"/>
    <w:rsid w:val="00A33DE5"/>
    <w:rsid w:val="00A360A0"/>
    <w:rsid w:val="00A37B7F"/>
    <w:rsid w:val="00A44007"/>
    <w:rsid w:val="00A4503D"/>
    <w:rsid w:val="00A46593"/>
    <w:rsid w:val="00A51691"/>
    <w:rsid w:val="00A51A7F"/>
    <w:rsid w:val="00A531B3"/>
    <w:rsid w:val="00A533ED"/>
    <w:rsid w:val="00A60638"/>
    <w:rsid w:val="00A613E3"/>
    <w:rsid w:val="00A64292"/>
    <w:rsid w:val="00A64B20"/>
    <w:rsid w:val="00A64C38"/>
    <w:rsid w:val="00A6665C"/>
    <w:rsid w:val="00A67A98"/>
    <w:rsid w:val="00A67DF5"/>
    <w:rsid w:val="00A70AAB"/>
    <w:rsid w:val="00A71632"/>
    <w:rsid w:val="00A71F03"/>
    <w:rsid w:val="00A731C4"/>
    <w:rsid w:val="00A80EB8"/>
    <w:rsid w:val="00A80FF3"/>
    <w:rsid w:val="00A822B1"/>
    <w:rsid w:val="00A844A6"/>
    <w:rsid w:val="00A87476"/>
    <w:rsid w:val="00A9150A"/>
    <w:rsid w:val="00A97824"/>
    <w:rsid w:val="00AA5FBE"/>
    <w:rsid w:val="00AB2986"/>
    <w:rsid w:val="00AB4242"/>
    <w:rsid w:val="00AB6B88"/>
    <w:rsid w:val="00AC0583"/>
    <w:rsid w:val="00AC0CE1"/>
    <w:rsid w:val="00AC5C58"/>
    <w:rsid w:val="00AD1BE5"/>
    <w:rsid w:val="00AD2C14"/>
    <w:rsid w:val="00AE1D6F"/>
    <w:rsid w:val="00AE40B6"/>
    <w:rsid w:val="00AE4A5F"/>
    <w:rsid w:val="00AE5AA8"/>
    <w:rsid w:val="00AE7C6D"/>
    <w:rsid w:val="00AF22FA"/>
    <w:rsid w:val="00AF3DAE"/>
    <w:rsid w:val="00AF63CC"/>
    <w:rsid w:val="00B04317"/>
    <w:rsid w:val="00B06F0E"/>
    <w:rsid w:val="00B06F99"/>
    <w:rsid w:val="00B101C8"/>
    <w:rsid w:val="00B11E02"/>
    <w:rsid w:val="00B13194"/>
    <w:rsid w:val="00B136CE"/>
    <w:rsid w:val="00B16AD9"/>
    <w:rsid w:val="00B213D1"/>
    <w:rsid w:val="00B23F44"/>
    <w:rsid w:val="00B25693"/>
    <w:rsid w:val="00B27E2F"/>
    <w:rsid w:val="00B30BB9"/>
    <w:rsid w:val="00B3170F"/>
    <w:rsid w:val="00B378B1"/>
    <w:rsid w:val="00B47356"/>
    <w:rsid w:val="00B50377"/>
    <w:rsid w:val="00B53068"/>
    <w:rsid w:val="00B53BE1"/>
    <w:rsid w:val="00B61809"/>
    <w:rsid w:val="00B6194E"/>
    <w:rsid w:val="00B63962"/>
    <w:rsid w:val="00B6532E"/>
    <w:rsid w:val="00B7073C"/>
    <w:rsid w:val="00B74519"/>
    <w:rsid w:val="00B75ED2"/>
    <w:rsid w:val="00B8168A"/>
    <w:rsid w:val="00B95CAA"/>
    <w:rsid w:val="00B96847"/>
    <w:rsid w:val="00BA5753"/>
    <w:rsid w:val="00BA5C04"/>
    <w:rsid w:val="00BA6E6C"/>
    <w:rsid w:val="00BB1273"/>
    <w:rsid w:val="00BC2A33"/>
    <w:rsid w:val="00BC2B2B"/>
    <w:rsid w:val="00BD14A4"/>
    <w:rsid w:val="00BD232A"/>
    <w:rsid w:val="00BD2C4B"/>
    <w:rsid w:val="00BD6CE6"/>
    <w:rsid w:val="00BE32FB"/>
    <w:rsid w:val="00BE49A6"/>
    <w:rsid w:val="00BE55ED"/>
    <w:rsid w:val="00BE7F00"/>
    <w:rsid w:val="00BF0A0B"/>
    <w:rsid w:val="00BF26C1"/>
    <w:rsid w:val="00BF2B8E"/>
    <w:rsid w:val="00BF2F36"/>
    <w:rsid w:val="00C008AA"/>
    <w:rsid w:val="00C031EC"/>
    <w:rsid w:val="00C03720"/>
    <w:rsid w:val="00C0411A"/>
    <w:rsid w:val="00C04151"/>
    <w:rsid w:val="00C07C40"/>
    <w:rsid w:val="00C07F28"/>
    <w:rsid w:val="00C11C6F"/>
    <w:rsid w:val="00C125C5"/>
    <w:rsid w:val="00C14A23"/>
    <w:rsid w:val="00C169AF"/>
    <w:rsid w:val="00C20772"/>
    <w:rsid w:val="00C23415"/>
    <w:rsid w:val="00C26AB1"/>
    <w:rsid w:val="00C3281A"/>
    <w:rsid w:val="00C35D5E"/>
    <w:rsid w:val="00C36817"/>
    <w:rsid w:val="00C37865"/>
    <w:rsid w:val="00C37AB1"/>
    <w:rsid w:val="00C404E2"/>
    <w:rsid w:val="00C40643"/>
    <w:rsid w:val="00C45E58"/>
    <w:rsid w:val="00C4695A"/>
    <w:rsid w:val="00C470F6"/>
    <w:rsid w:val="00C478B7"/>
    <w:rsid w:val="00C529C8"/>
    <w:rsid w:val="00C54ED8"/>
    <w:rsid w:val="00C563E2"/>
    <w:rsid w:val="00C579B4"/>
    <w:rsid w:val="00C57C07"/>
    <w:rsid w:val="00C607A8"/>
    <w:rsid w:val="00C60AE9"/>
    <w:rsid w:val="00C61CBC"/>
    <w:rsid w:val="00C65755"/>
    <w:rsid w:val="00C6633E"/>
    <w:rsid w:val="00C70316"/>
    <w:rsid w:val="00C71029"/>
    <w:rsid w:val="00C7377F"/>
    <w:rsid w:val="00C73E37"/>
    <w:rsid w:val="00C801C8"/>
    <w:rsid w:val="00C80A57"/>
    <w:rsid w:val="00C856B9"/>
    <w:rsid w:val="00C86118"/>
    <w:rsid w:val="00C8723A"/>
    <w:rsid w:val="00C873C3"/>
    <w:rsid w:val="00C9276E"/>
    <w:rsid w:val="00C94F60"/>
    <w:rsid w:val="00C95A6B"/>
    <w:rsid w:val="00C9702E"/>
    <w:rsid w:val="00CB18D9"/>
    <w:rsid w:val="00CB19C6"/>
    <w:rsid w:val="00CB1F4C"/>
    <w:rsid w:val="00CB24EC"/>
    <w:rsid w:val="00CB5905"/>
    <w:rsid w:val="00CB5AD3"/>
    <w:rsid w:val="00CB7B69"/>
    <w:rsid w:val="00CC2B9D"/>
    <w:rsid w:val="00CD5B73"/>
    <w:rsid w:val="00CD5EF3"/>
    <w:rsid w:val="00CD7412"/>
    <w:rsid w:val="00CE06C0"/>
    <w:rsid w:val="00CE6539"/>
    <w:rsid w:val="00CF1AAD"/>
    <w:rsid w:val="00CF5D46"/>
    <w:rsid w:val="00CF5FDA"/>
    <w:rsid w:val="00CF70E1"/>
    <w:rsid w:val="00D02361"/>
    <w:rsid w:val="00D11241"/>
    <w:rsid w:val="00D15C2C"/>
    <w:rsid w:val="00D17700"/>
    <w:rsid w:val="00D2294A"/>
    <w:rsid w:val="00D2422F"/>
    <w:rsid w:val="00D265C2"/>
    <w:rsid w:val="00D304A9"/>
    <w:rsid w:val="00D332AB"/>
    <w:rsid w:val="00D337FB"/>
    <w:rsid w:val="00D36034"/>
    <w:rsid w:val="00D40256"/>
    <w:rsid w:val="00D514CD"/>
    <w:rsid w:val="00D51E7B"/>
    <w:rsid w:val="00D60C43"/>
    <w:rsid w:val="00D61484"/>
    <w:rsid w:val="00D64F04"/>
    <w:rsid w:val="00D66308"/>
    <w:rsid w:val="00D7011C"/>
    <w:rsid w:val="00D73B95"/>
    <w:rsid w:val="00D76830"/>
    <w:rsid w:val="00D80B6B"/>
    <w:rsid w:val="00D80FC9"/>
    <w:rsid w:val="00D8130E"/>
    <w:rsid w:val="00D81D63"/>
    <w:rsid w:val="00D841E8"/>
    <w:rsid w:val="00D869EF"/>
    <w:rsid w:val="00D93D42"/>
    <w:rsid w:val="00D96481"/>
    <w:rsid w:val="00DA2FA7"/>
    <w:rsid w:val="00DA3178"/>
    <w:rsid w:val="00DA31A0"/>
    <w:rsid w:val="00DA36E6"/>
    <w:rsid w:val="00DA3C34"/>
    <w:rsid w:val="00DA6946"/>
    <w:rsid w:val="00DA7141"/>
    <w:rsid w:val="00DB056A"/>
    <w:rsid w:val="00DB48FF"/>
    <w:rsid w:val="00DB493A"/>
    <w:rsid w:val="00DC4D18"/>
    <w:rsid w:val="00DD0259"/>
    <w:rsid w:val="00DD45A1"/>
    <w:rsid w:val="00DD5753"/>
    <w:rsid w:val="00DD63EA"/>
    <w:rsid w:val="00DE14C8"/>
    <w:rsid w:val="00DE2520"/>
    <w:rsid w:val="00DE2617"/>
    <w:rsid w:val="00DE4BAD"/>
    <w:rsid w:val="00DE69BC"/>
    <w:rsid w:val="00DE780C"/>
    <w:rsid w:val="00DF0BD7"/>
    <w:rsid w:val="00DF2D77"/>
    <w:rsid w:val="00DF42CD"/>
    <w:rsid w:val="00E00DD6"/>
    <w:rsid w:val="00E04F26"/>
    <w:rsid w:val="00E11E23"/>
    <w:rsid w:val="00E17612"/>
    <w:rsid w:val="00E27A3A"/>
    <w:rsid w:val="00E306B4"/>
    <w:rsid w:val="00E309F9"/>
    <w:rsid w:val="00E338B6"/>
    <w:rsid w:val="00E33F28"/>
    <w:rsid w:val="00E34146"/>
    <w:rsid w:val="00E355AD"/>
    <w:rsid w:val="00E37E0A"/>
    <w:rsid w:val="00E433DA"/>
    <w:rsid w:val="00E47EE8"/>
    <w:rsid w:val="00E51184"/>
    <w:rsid w:val="00E51B8F"/>
    <w:rsid w:val="00E55B5F"/>
    <w:rsid w:val="00E60A47"/>
    <w:rsid w:val="00E61266"/>
    <w:rsid w:val="00E644DE"/>
    <w:rsid w:val="00E648EF"/>
    <w:rsid w:val="00E85C94"/>
    <w:rsid w:val="00E85EDE"/>
    <w:rsid w:val="00E866E3"/>
    <w:rsid w:val="00E95F84"/>
    <w:rsid w:val="00E97124"/>
    <w:rsid w:val="00E9786D"/>
    <w:rsid w:val="00EB070B"/>
    <w:rsid w:val="00EB2453"/>
    <w:rsid w:val="00EB2549"/>
    <w:rsid w:val="00EB2A43"/>
    <w:rsid w:val="00EB43CE"/>
    <w:rsid w:val="00EB5F63"/>
    <w:rsid w:val="00EB6E08"/>
    <w:rsid w:val="00EC0614"/>
    <w:rsid w:val="00EC1089"/>
    <w:rsid w:val="00EC222F"/>
    <w:rsid w:val="00EC55DF"/>
    <w:rsid w:val="00ED1177"/>
    <w:rsid w:val="00ED599B"/>
    <w:rsid w:val="00ED6D87"/>
    <w:rsid w:val="00EE237F"/>
    <w:rsid w:val="00EE2DA3"/>
    <w:rsid w:val="00EE74DF"/>
    <w:rsid w:val="00EF2CC9"/>
    <w:rsid w:val="00EF44E5"/>
    <w:rsid w:val="00EF525B"/>
    <w:rsid w:val="00EF6076"/>
    <w:rsid w:val="00F06367"/>
    <w:rsid w:val="00F06768"/>
    <w:rsid w:val="00F06E4B"/>
    <w:rsid w:val="00F07CDC"/>
    <w:rsid w:val="00F139B9"/>
    <w:rsid w:val="00F20E45"/>
    <w:rsid w:val="00F21136"/>
    <w:rsid w:val="00F242F7"/>
    <w:rsid w:val="00F249D6"/>
    <w:rsid w:val="00F314CC"/>
    <w:rsid w:val="00F355EE"/>
    <w:rsid w:val="00F40714"/>
    <w:rsid w:val="00F4278D"/>
    <w:rsid w:val="00F46301"/>
    <w:rsid w:val="00F51BAE"/>
    <w:rsid w:val="00F54883"/>
    <w:rsid w:val="00F57D42"/>
    <w:rsid w:val="00F63CE5"/>
    <w:rsid w:val="00F64E91"/>
    <w:rsid w:val="00F70795"/>
    <w:rsid w:val="00F75C98"/>
    <w:rsid w:val="00F83283"/>
    <w:rsid w:val="00F84531"/>
    <w:rsid w:val="00F8607C"/>
    <w:rsid w:val="00F867AF"/>
    <w:rsid w:val="00F92981"/>
    <w:rsid w:val="00F93383"/>
    <w:rsid w:val="00FA1F56"/>
    <w:rsid w:val="00FA70F8"/>
    <w:rsid w:val="00FA79B5"/>
    <w:rsid w:val="00FB0B17"/>
    <w:rsid w:val="00FB38C2"/>
    <w:rsid w:val="00FB6AC5"/>
    <w:rsid w:val="00FB6EF3"/>
    <w:rsid w:val="00FC080B"/>
    <w:rsid w:val="00FC0DBA"/>
    <w:rsid w:val="00FC2E48"/>
    <w:rsid w:val="00FC4EEC"/>
    <w:rsid w:val="00FC4F01"/>
    <w:rsid w:val="00FC7467"/>
    <w:rsid w:val="00FC7AB2"/>
    <w:rsid w:val="00FD50C3"/>
    <w:rsid w:val="00FE2005"/>
    <w:rsid w:val="00FE4C28"/>
    <w:rsid w:val="00FE52F4"/>
    <w:rsid w:val="00FE5940"/>
    <w:rsid w:val="00FF0C94"/>
    <w:rsid w:val="00FF30D1"/>
    <w:rsid w:val="00FF5834"/>
    <w:rsid w:val="015645BF"/>
    <w:rsid w:val="015D765B"/>
    <w:rsid w:val="02B42A97"/>
    <w:rsid w:val="035B486D"/>
    <w:rsid w:val="049D4135"/>
    <w:rsid w:val="06DE3AA4"/>
    <w:rsid w:val="07B77ECA"/>
    <w:rsid w:val="090E2733"/>
    <w:rsid w:val="0A1B2A8F"/>
    <w:rsid w:val="0A543F82"/>
    <w:rsid w:val="0B173B3F"/>
    <w:rsid w:val="0B634CA4"/>
    <w:rsid w:val="0BBD1785"/>
    <w:rsid w:val="0C820867"/>
    <w:rsid w:val="0CCC4D7F"/>
    <w:rsid w:val="0D44044C"/>
    <w:rsid w:val="0D540F2E"/>
    <w:rsid w:val="0EC65775"/>
    <w:rsid w:val="10667D13"/>
    <w:rsid w:val="12182D95"/>
    <w:rsid w:val="13A65CFB"/>
    <w:rsid w:val="153114C8"/>
    <w:rsid w:val="162F1DE8"/>
    <w:rsid w:val="18802538"/>
    <w:rsid w:val="193A16E4"/>
    <w:rsid w:val="19981ED5"/>
    <w:rsid w:val="1AD067B7"/>
    <w:rsid w:val="1B174A6C"/>
    <w:rsid w:val="1CBC6093"/>
    <w:rsid w:val="1E1265D2"/>
    <w:rsid w:val="1EBB4EB6"/>
    <w:rsid w:val="1F9C252E"/>
    <w:rsid w:val="1FB34580"/>
    <w:rsid w:val="20774F89"/>
    <w:rsid w:val="215913B1"/>
    <w:rsid w:val="22AE6830"/>
    <w:rsid w:val="23055DCC"/>
    <w:rsid w:val="270432DE"/>
    <w:rsid w:val="28FB6465"/>
    <w:rsid w:val="29C91260"/>
    <w:rsid w:val="2C3E6B42"/>
    <w:rsid w:val="2CBE0FF0"/>
    <w:rsid w:val="2D340C4C"/>
    <w:rsid w:val="2E3A645F"/>
    <w:rsid w:val="2E74718D"/>
    <w:rsid w:val="30660CBA"/>
    <w:rsid w:val="30BC2CEA"/>
    <w:rsid w:val="320B2184"/>
    <w:rsid w:val="3514661D"/>
    <w:rsid w:val="351B68BA"/>
    <w:rsid w:val="37735BFD"/>
    <w:rsid w:val="38EB5DBD"/>
    <w:rsid w:val="39CD410F"/>
    <w:rsid w:val="3A0C44B2"/>
    <w:rsid w:val="3A6356C7"/>
    <w:rsid w:val="3BF15B76"/>
    <w:rsid w:val="3D0A3301"/>
    <w:rsid w:val="3E1336CD"/>
    <w:rsid w:val="3F08659E"/>
    <w:rsid w:val="3F153130"/>
    <w:rsid w:val="402E0381"/>
    <w:rsid w:val="40323547"/>
    <w:rsid w:val="40581EAD"/>
    <w:rsid w:val="41143752"/>
    <w:rsid w:val="41954B9E"/>
    <w:rsid w:val="42362C04"/>
    <w:rsid w:val="42A64F6E"/>
    <w:rsid w:val="43123F70"/>
    <w:rsid w:val="43A95984"/>
    <w:rsid w:val="44CE56B7"/>
    <w:rsid w:val="44EF404C"/>
    <w:rsid w:val="45467A82"/>
    <w:rsid w:val="459E1156"/>
    <w:rsid w:val="47852E4E"/>
    <w:rsid w:val="48475130"/>
    <w:rsid w:val="4A313C91"/>
    <w:rsid w:val="4D8D439B"/>
    <w:rsid w:val="4DD9350B"/>
    <w:rsid w:val="4E2E25A7"/>
    <w:rsid w:val="50CA60A8"/>
    <w:rsid w:val="51C8017B"/>
    <w:rsid w:val="51CA27B9"/>
    <w:rsid w:val="52BB4367"/>
    <w:rsid w:val="5430108F"/>
    <w:rsid w:val="5567368C"/>
    <w:rsid w:val="556D491A"/>
    <w:rsid w:val="56EF64B8"/>
    <w:rsid w:val="57AF3384"/>
    <w:rsid w:val="5B3566A8"/>
    <w:rsid w:val="5B3E4D15"/>
    <w:rsid w:val="5C036F81"/>
    <w:rsid w:val="5C9660E2"/>
    <w:rsid w:val="5CE32E9A"/>
    <w:rsid w:val="5D04249D"/>
    <w:rsid w:val="6456037B"/>
    <w:rsid w:val="65242D74"/>
    <w:rsid w:val="65C54E76"/>
    <w:rsid w:val="66E763F9"/>
    <w:rsid w:val="67385633"/>
    <w:rsid w:val="67543241"/>
    <w:rsid w:val="681812EF"/>
    <w:rsid w:val="68EB4849"/>
    <w:rsid w:val="6BB83A46"/>
    <w:rsid w:val="6C91283B"/>
    <w:rsid w:val="6D82357C"/>
    <w:rsid w:val="6EA95C77"/>
    <w:rsid w:val="70126BB0"/>
    <w:rsid w:val="707006A1"/>
    <w:rsid w:val="712945BD"/>
    <w:rsid w:val="71F35B2E"/>
    <w:rsid w:val="730C3FC2"/>
    <w:rsid w:val="74085A2E"/>
    <w:rsid w:val="751742BD"/>
    <w:rsid w:val="76130B63"/>
    <w:rsid w:val="763940BF"/>
    <w:rsid w:val="76655F31"/>
    <w:rsid w:val="77C47941"/>
    <w:rsid w:val="77F5776A"/>
    <w:rsid w:val="78EB0B43"/>
    <w:rsid w:val="79B90E6B"/>
    <w:rsid w:val="79EA71A0"/>
    <w:rsid w:val="7A257420"/>
    <w:rsid w:val="7DCB3E19"/>
    <w:rsid w:val="7DE850A9"/>
    <w:rsid w:val="7DEC7AAC"/>
    <w:rsid w:val="7F2603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nhideWhenUsed="0" w:uiPriority="39" w:semiHidden="0" w:name="toc 1"/>
    <w:lsdException w:unhideWhenUsed="0" w:uiPriority="39" w:semiHidden="0" w:name="toc 2"/>
    <w:lsdException w:unhideWhenUsed="0"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nhideWhenUsed="0" w:uiPriority="0" w:semiHidden="0" w:name="annotation text"/>
    <w:lsdException w:unhideWhenUsed="0" w:uiPriority="99" w:semiHidden="0" w:name="header"/>
    <w:lsdException w:unhideWhenUsed="0" w:uiPriority="99" w:semiHidden="0" w:name="footer"/>
    <w:lsdException w:uiPriority="0" w:name="index heading"/>
    <w:lsdException w:qFormat="1" w:uiPriority="35" w:semiHidden="0" w:name="caption"/>
    <w:lsdException w:uiPriority="0" w:name="table of figures"/>
    <w:lsdException w:uiPriority="0" w:name="envelope address"/>
    <w:lsdException w:uiPriority="0" w:name="envelope return"/>
    <w:lsdException w:uiPriority="0" w:name="footnote reference"/>
    <w:lsdException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200" w:firstLineChars="200"/>
      <w:jc w:val="both"/>
    </w:pPr>
    <w:rPr>
      <w:rFonts w:ascii="Calibri" w:hAnsi="Calibri" w:eastAsia="仿宋" w:cs="Times New Roman"/>
      <w:kern w:val="2"/>
      <w:sz w:val="28"/>
      <w:szCs w:val="24"/>
      <w:lang w:val="en-US" w:eastAsia="zh-CN" w:bidi="ar-SA"/>
    </w:rPr>
  </w:style>
  <w:style w:type="paragraph" w:styleId="2">
    <w:name w:val="heading 1"/>
    <w:basedOn w:val="1"/>
    <w:link w:val="27"/>
    <w:qFormat/>
    <w:uiPriority w:val="9"/>
    <w:pPr>
      <w:widowControl/>
      <w:numPr>
        <w:ilvl w:val="0"/>
        <w:numId w:val="1"/>
      </w:numPr>
      <w:adjustRightInd w:val="0"/>
      <w:snapToGrid w:val="0"/>
      <w:spacing w:before="100" w:beforeAutospacing="1" w:after="100" w:afterAutospacing="1"/>
      <w:ind w:firstLineChars="0"/>
      <w:jc w:val="left"/>
      <w:outlineLvl w:val="0"/>
    </w:pPr>
    <w:rPr>
      <w:rFonts w:ascii="宋体" w:hAnsi="宋体" w:eastAsia="黑体" w:cs="宋体"/>
      <w:b/>
      <w:bCs/>
      <w:kern w:val="36"/>
      <w:sz w:val="30"/>
      <w:szCs w:val="48"/>
    </w:rPr>
  </w:style>
  <w:style w:type="paragraph" w:styleId="3">
    <w:name w:val="heading 2"/>
    <w:basedOn w:val="1"/>
    <w:next w:val="1"/>
    <w:link w:val="35"/>
    <w:qFormat/>
    <w:uiPriority w:val="9"/>
    <w:pPr>
      <w:keepNext/>
      <w:keepLines/>
      <w:numPr>
        <w:ilvl w:val="1"/>
        <w:numId w:val="1"/>
      </w:numPr>
      <w:ind w:firstLineChars="0"/>
      <w:outlineLvl w:val="1"/>
    </w:pPr>
    <w:rPr>
      <w:rFonts w:ascii="Arial" w:hAnsi="Arial" w:eastAsia="黑体"/>
      <w:b/>
    </w:rPr>
  </w:style>
  <w:style w:type="paragraph" w:styleId="4">
    <w:name w:val="heading 3"/>
    <w:basedOn w:val="1"/>
    <w:next w:val="1"/>
    <w:qFormat/>
    <w:uiPriority w:val="0"/>
    <w:pPr>
      <w:keepNext/>
      <w:keepLines/>
      <w:numPr>
        <w:ilvl w:val="2"/>
        <w:numId w:val="1"/>
      </w:numPr>
      <w:ind w:firstLineChars="0"/>
      <w:outlineLvl w:val="2"/>
    </w:pPr>
    <w:rPr>
      <w:rFonts w:ascii="Times New Roman" w:hAnsi="Times New Roman" w:eastAsia="黑体"/>
      <w:b/>
    </w:rPr>
  </w:style>
  <w:style w:type="character" w:default="1" w:styleId="19">
    <w:name w:val="Default Paragraph Font"/>
    <w:semiHidden/>
    <w:unhideWhenUsed/>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5">
    <w:name w:val="caption"/>
    <w:basedOn w:val="1"/>
    <w:next w:val="1"/>
    <w:unhideWhenUsed/>
    <w:qFormat/>
    <w:uiPriority w:val="35"/>
    <w:rPr>
      <w:rFonts w:ascii="等线 Light" w:hAnsi="等线 Light" w:eastAsia="黑体"/>
      <w:sz w:val="20"/>
      <w:szCs w:val="20"/>
    </w:rPr>
  </w:style>
  <w:style w:type="paragraph" w:styleId="6">
    <w:name w:val="annotation text"/>
    <w:basedOn w:val="1"/>
    <w:link w:val="43"/>
    <w:uiPriority w:val="0"/>
    <w:pPr>
      <w:jc w:val="left"/>
    </w:pPr>
  </w:style>
  <w:style w:type="paragraph" w:styleId="7">
    <w:name w:val="toc 3"/>
    <w:basedOn w:val="1"/>
    <w:next w:val="1"/>
    <w:autoRedefine/>
    <w:uiPriority w:val="39"/>
    <w:pPr>
      <w:ind w:left="840" w:leftChars="400"/>
    </w:pPr>
  </w:style>
  <w:style w:type="paragraph" w:styleId="8">
    <w:name w:val="Date"/>
    <w:basedOn w:val="1"/>
    <w:next w:val="1"/>
    <w:link w:val="46"/>
    <w:qFormat/>
    <w:uiPriority w:val="0"/>
    <w:pPr>
      <w:ind w:left="100" w:leftChars="2500"/>
    </w:pPr>
  </w:style>
  <w:style w:type="paragraph" w:styleId="9">
    <w:name w:val="Balloon Text"/>
    <w:basedOn w:val="1"/>
    <w:link w:val="32"/>
    <w:uiPriority w:val="0"/>
    <w:rPr>
      <w:sz w:val="18"/>
      <w:szCs w:val="18"/>
    </w:rPr>
  </w:style>
  <w:style w:type="paragraph" w:styleId="10">
    <w:name w:val="footer"/>
    <w:basedOn w:val="1"/>
    <w:link w:val="25"/>
    <w:uiPriority w:val="99"/>
    <w:pPr>
      <w:tabs>
        <w:tab w:val="center" w:pos="4153"/>
        <w:tab w:val="right" w:pos="8306"/>
      </w:tabs>
      <w:snapToGrid w:val="0"/>
      <w:jc w:val="left"/>
    </w:pPr>
    <w:rPr>
      <w:sz w:val="18"/>
      <w:szCs w:val="18"/>
    </w:rPr>
  </w:style>
  <w:style w:type="paragraph" w:styleId="11">
    <w:name w:val="header"/>
    <w:basedOn w:val="1"/>
    <w:link w:val="29"/>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autoRedefine/>
    <w:uiPriority w:val="39"/>
  </w:style>
  <w:style w:type="paragraph" w:styleId="13">
    <w:name w:val="toc 2"/>
    <w:basedOn w:val="1"/>
    <w:next w:val="1"/>
    <w:autoRedefine/>
    <w:uiPriority w:val="39"/>
    <w:pPr>
      <w:tabs>
        <w:tab w:val="left" w:pos="1680"/>
        <w:tab w:val="right" w:leader="dot" w:pos="8296"/>
      </w:tabs>
      <w:ind w:left="560" w:leftChars="200" w:firstLine="0" w:firstLineChars="0"/>
    </w:pPr>
  </w:style>
  <w:style w:type="paragraph" w:styleId="14">
    <w:name w:val="Normal (Web)"/>
    <w:basedOn w:val="1"/>
    <w:unhideWhenUsed/>
    <w:qFormat/>
    <w:uiPriority w:val="0"/>
    <w:pPr>
      <w:spacing w:before="100" w:beforeAutospacing="1" w:after="100" w:afterAutospacing="1" w:line="240" w:lineRule="auto"/>
      <w:ind w:firstLine="0" w:firstLineChars="0"/>
      <w:jc w:val="left"/>
    </w:pPr>
    <w:rPr>
      <w:rFonts w:hint="eastAsia"/>
      <w:kern w:val="0"/>
      <w:szCs w:val="20"/>
    </w:rPr>
  </w:style>
  <w:style w:type="paragraph" w:styleId="15">
    <w:name w:val="annotation subject"/>
    <w:basedOn w:val="6"/>
    <w:next w:val="6"/>
    <w:link w:val="44"/>
    <w:uiPriority w:val="0"/>
    <w:rPr>
      <w:b/>
      <w:bCs/>
    </w:rPr>
  </w:style>
  <w:style w:type="table" w:styleId="17">
    <w:name w:val="Table Grid"/>
    <w:basedOn w:val="1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18">
    <w:name w:val="Table Theme"/>
    <w:basedOn w:val="16"/>
    <w:uiPriority w:val="0"/>
    <w:pPr>
      <w:widowControl w:val="0"/>
      <w:spacing w:line="360" w:lineRule="auto"/>
      <w:ind w:firstLine="20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Emphasis"/>
    <w:qFormat/>
    <w:uiPriority w:val="0"/>
    <w:rPr>
      <w:i/>
    </w:rPr>
  </w:style>
  <w:style w:type="character" w:styleId="21">
    <w:name w:val="Hyperlink"/>
    <w:unhideWhenUsed/>
    <w:uiPriority w:val="99"/>
    <w:rPr>
      <w:color w:val="0563C1"/>
      <w:u w:val="single"/>
    </w:rPr>
  </w:style>
  <w:style w:type="character" w:styleId="22">
    <w:name w:val="annotation reference"/>
    <w:uiPriority w:val="0"/>
    <w:rPr>
      <w:sz w:val="21"/>
      <w:szCs w:val="21"/>
    </w:rPr>
  </w:style>
  <w:style w:type="character" w:customStyle="1" w:styleId="23">
    <w:name w:val="font21"/>
    <w:uiPriority w:val="0"/>
    <w:rPr>
      <w:rFonts w:hint="default" w:ascii="Times New Roman" w:hAnsi="Times New Roman" w:cs="Times New Roman"/>
      <w:color w:val="000000"/>
      <w:sz w:val="20"/>
      <w:szCs w:val="20"/>
      <w:u w:val="none"/>
    </w:rPr>
  </w:style>
  <w:style w:type="character" w:customStyle="1" w:styleId="24">
    <w:name w:val="font11"/>
    <w:uiPriority w:val="0"/>
    <w:rPr>
      <w:rFonts w:hint="default" w:ascii="Times New Roman" w:hAnsi="Times New Roman" w:cs="Times New Roman"/>
      <w:color w:val="000000"/>
      <w:sz w:val="21"/>
      <w:szCs w:val="21"/>
      <w:u w:val="none"/>
    </w:rPr>
  </w:style>
  <w:style w:type="character" w:customStyle="1" w:styleId="25">
    <w:name w:val="页脚 Char"/>
    <w:link w:val="10"/>
    <w:uiPriority w:val="99"/>
    <w:rPr>
      <w:kern w:val="2"/>
      <w:sz w:val="18"/>
      <w:szCs w:val="18"/>
    </w:rPr>
  </w:style>
  <w:style w:type="character" w:customStyle="1" w:styleId="26">
    <w:name w:val="font01"/>
    <w:uiPriority w:val="0"/>
    <w:rPr>
      <w:rFonts w:hint="eastAsia" w:ascii="宋体" w:hAnsi="宋体" w:eastAsia="宋体" w:cs="宋体"/>
      <w:color w:val="000000"/>
      <w:sz w:val="20"/>
      <w:szCs w:val="20"/>
      <w:u w:val="none"/>
    </w:rPr>
  </w:style>
  <w:style w:type="character" w:customStyle="1" w:styleId="27">
    <w:name w:val="标题 1 Char"/>
    <w:link w:val="2"/>
    <w:uiPriority w:val="9"/>
    <w:rPr>
      <w:rFonts w:ascii="宋体" w:hAnsi="宋体" w:eastAsia="黑体" w:cs="宋体"/>
      <w:b/>
      <w:bCs/>
      <w:kern w:val="36"/>
      <w:sz w:val="30"/>
      <w:szCs w:val="48"/>
    </w:rPr>
  </w:style>
  <w:style w:type="character" w:customStyle="1" w:styleId="28">
    <w:name w:val="font41"/>
    <w:uiPriority w:val="0"/>
    <w:rPr>
      <w:rFonts w:hint="eastAsia" w:ascii="宋体" w:hAnsi="宋体" w:eastAsia="宋体" w:cs="宋体"/>
      <w:color w:val="000000"/>
      <w:sz w:val="20"/>
      <w:szCs w:val="20"/>
      <w:u w:val="none"/>
    </w:rPr>
  </w:style>
  <w:style w:type="character" w:customStyle="1" w:styleId="29">
    <w:name w:val="页眉 Char"/>
    <w:link w:val="11"/>
    <w:uiPriority w:val="99"/>
    <w:rPr>
      <w:kern w:val="2"/>
      <w:sz w:val="18"/>
      <w:szCs w:val="18"/>
    </w:rPr>
  </w:style>
  <w:style w:type="character" w:customStyle="1" w:styleId="30">
    <w:name w:val="font51"/>
    <w:uiPriority w:val="0"/>
    <w:rPr>
      <w:rFonts w:hint="eastAsia" w:ascii="宋体" w:hAnsi="宋体" w:eastAsia="宋体" w:cs="宋体"/>
      <w:color w:val="000000"/>
      <w:sz w:val="20"/>
      <w:szCs w:val="20"/>
      <w:u w:val="none"/>
    </w:rPr>
  </w:style>
  <w:style w:type="character" w:customStyle="1" w:styleId="31">
    <w:name w:val="font61"/>
    <w:uiPriority w:val="0"/>
    <w:rPr>
      <w:rFonts w:hint="eastAsia" w:ascii="宋体" w:hAnsi="宋体" w:eastAsia="宋体" w:cs="宋体"/>
      <w:color w:val="000000"/>
      <w:sz w:val="20"/>
      <w:szCs w:val="20"/>
      <w:u w:val="none"/>
    </w:rPr>
  </w:style>
  <w:style w:type="character" w:customStyle="1" w:styleId="32">
    <w:name w:val="批注框文本 Char"/>
    <w:link w:val="9"/>
    <w:uiPriority w:val="0"/>
    <w:rPr>
      <w:kern w:val="2"/>
      <w:sz w:val="18"/>
      <w:szCs w:val="18"/>
    </w:rPr>
  </w:style>
  <w:style w:type="character" w:customStyle="1" w:styleId="33">
    <w:name w:val="font31"/>
    <w:uiPriority w:val="0"/>
    <w:rPr>
      <w:rFonts w:hint="default" w:ascii="Times New Roman" w:hAnsi="Times New Roman" w:cs="Times New Roman"/>
      <w:color w:val="000000"/>
      <w:sz w:val="20"/>
      <w:szCs w:val="20"/>
      <w:u w:val="none"/>
    </w:rPr>
  </w:style>
  <w:style w:type="character" w:customStyle="1" w:styleId="34">
    <w:name w:val="font81"/>
    <w:uiPriority w:val="0"/>
    <w:rPr>
      <w:rFonts w:hint="default" w:ascii="Times New Roman" w:hAnsi="Times New Roman" w:cs="Times New Roman"/>
      <w:color w:val="000000"/>
      <w:sz w:val="20"/>
      <w:szCs w:val="20"/>
      <w:u w:val="none"/>
    </w:rPr>
  </w:style>
  <w:style w:type="character" w:customStyle="1" w:styleId="35">
    <w:name w:val="标题 2 Char"/>
    <w:link w:val="3"/>
    <w:uiPriority w:val="9"/>
    <w:rPr>
      <w:rFonts w:ascii="Arial" w:hAnsi="Arial" w:eastAsia="黑体"/>
      <w:b/>
      <w:kern w:val="2"/>
      <w:sz w:val="28"/>
      <w:szCs w:val="24"/>
    </w:rPr>
  </w:style>
  <w:style w:type="paragraph" w:customStyle="1" w:styleId="36">
    <w:name w:val="內容"/>
    <w:basedOn w:val="1"/>
    <w:next w:val="1"/>
    <w:qFormat/>
    <w:uiPriority w:val="0"/>
    <w:pPr>
      <w:spacing w:beforeLines="50" w:afterLines="50" w:line="480" w:lineRule="exact"/>
      <w:ind w:firstLine="482"/>
      <w:jc w:val="left"/>
    </w:pPr>
    <w:rPr>
      <w:rFonts w:ascii="Times New Roman" w:hAnsi="DFKai-SB" w:eastAsia="DFKai-SB"/>
      <w:sz w:val="26"/>
      <w:lang w:eastAsia="zh-TW"/>
    </w:rPr>
  </w:style>
  <w:style w:type="paragraph" w:customStyle="1" w:styleId="37">
    <w:name w:val="Defaul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customStyle="1" w:styleId="38">
    <w:name w:val="内容分项"/>
    <w:unhideWhenUsed/>
    <w:qFormat/>
    <w:uiPriority w:val="99"/>
    <w:pPr>
      <w:spacing w:line="360" w:lineRule="auto"/>
      <w:ind w:firstLine="420" w:firstLineChars="200"/>
    </w:pPr>
    <w:rPr>
      <w:rFonts w:ascii="Times New Roman" w:hAnsi="Times New Roman" w:eastAsia="楷体_GB2312" w:cs="Times New Roman"/>
      <w:b/>
      <w:sz w:val="30"/>
      <w:lang w:val="en-US" w:eastAsia="zh-CN" w:bidi="ar-SA"/>
    </w:rPr>
  </w:style>
  <w:style w:type="paragraph" w:customStyle="1" w:styleId="39">
    <w:name w:val="列出段落1"/>
    <w:basedOn w:val="1"/>
    <w:qFormat/>
    <w:uiPriority w:val="34"/>
    <w:pPr>
      <w:ind w:firstLine="420"/>
    </w:pPr>
    <w:rPr>
      <w:szCs w:val="20"/>
    </w:rPr>
  </w:style>
  <w:style w:type="paragraph" w:styleId="40">
    <w:name w:val="List Paragraph"/>
    <w:basedOn w:val="1"/>
    <w:qFormat/>
    <w:uiPriority w:val="34"/>
    <w:pPr>
      <w:ind w:firstLine="420"/>
    </w:pPr>
  </w:style>
  <w:style w:type="paragraph" w:customStyle="1" w:styleId="41">
    <w:name w:val="标题3"/>
    <w:basedOn w:val="4"/>
    <w:link w:val="42"/>
    <w:qFormat/>
    <w:uiPriority w:val="0"/>
    <w:rPr>
      <w:rFonts w:ascii="等线" w:hAnsi="等线"/>
      <w:bCs/>
      <w:szCs w:val="32"/>
    </w:rPr>
  </w:style>
  <w:style w:type="character" w:customStyle="1" w:styleId="42">
    <w:name w:val="标题3 字符"/>
    <w:link w:val="41"/>
    <w:uiPriority w:val="0"/>
    <w:rPr>
      <w:rFonts w:ascii="等线" w:hAnsi="等线" w:eastAsia="黑体"/>
      <w:b/>
      <w:bCs/>
      <w:kern w:val="2"/>
      <w:sz w:val="24"/>
      <w:szCs w:val="32"/>
    </w:rPr>
  </w:style>
  <w:style w:type="character" w:customStyle="1" w:styleId="43">
    <w:name w:val="批注文字 Char"/>
    <w:link w:val="6"/>
    <w:autoRedefine/>
    <w:qFormat/>
    <w:uiPriority w:val="0"/>
    <w:rPr>
      <w:kern w:val="2"/>
      <w:sz w:val="24"/>
      <w:szCs w:val="24"/>
    </w:rPr>
  </w:style>
  <w:style w:type="character" w:customStyle="1" w:styleId="44">
    <w:name w:val="批注主题 Char"/>
    <w:link w:val="15"/>
    <w:autoRedefine/>
    <w:qFormat/>
    <w:uiPriority w:val="0"/>
    <w:rPr>
      <w:b/>
      <w:bCs/>
      <w:kern w:val="2"/>
      <w:sz w:val="24"/>
      <w:szCs w:val="24"/>
    </w:rPr>
  </w:style>
  <w:style w:type="paragraph" w:customStyle="1" w:styleId="45">
    <w:name w:val="样式2"/>
    <w:basedOn w:val="1"/>
    <w:qFormat/>
    <w:uiPriority w:val="0"/>
    <w:pPr>
      <w:widowControl/>
      <w:spacing w:line="3299" w:lineRule="atLeast"/>
      <w:ind w:firstLine="198" w:firstLineChars="0"/>
      <w:textAlignment w:val="baseline"/>
    </w:pPr>
    <w:rPr>
      <w:rFonts w:ascii="方正仿宋简体" w:hAnsi="Times New Roman" w:eastAsia="方正仿宋简体"/>
      <w:color w:val="000000"/>
      <w:kern w:val="0"/>
      <w:szCs w:val="20"/>
      <w:u w:color="000000"/>
    </w:rPr>
  </w:style>
  <w:style w:type="character" w:customStyle="1" w:styleId="46">
    <w:name w:val="日期 Char"/>
    <w:link w:val="8"/>
    <w:autoRedefine/>
    <w:uiPriority w:val="0"/>
    <w:rPr>
      <w:kern w:val="2"/>
      <w:sz w:val="24"/>
      <w:szCs w:val="24"/>
    </w:rPr>
  </w:style>
  <w:style w:type="paragraph" w:customStyle="1" w:styleId="47">
    <w:name w:val="TOC Heading"/>
    <w:basedOn w:val="2"/>
    <w:next w:val="1"/>
    <w:unhideWhenUsed/>
    <w:qFormat/>
    <w:uiPriority w:val="39"/>
    <w:pPr>
      <w:keepNext/>
      <w:keepLines/>
      <w:numPr>
        <w:numId w:val="0"/>
      </w:numPr>
      <w:spacing w:before="240" w:beforeAutospacing="0" w:after="0" w:afterAutospacing="0" w:line="259" w:lineRule="auto"/>
      <w:outlineLvl w:val="9"/>
    </w:pPr>
    <w:rPr>
      <w:rFonts w:ascii="等线 Light" w:hAnsi="等线 Light" w:eastAsia="等线 Light" w:cs="Times New Roman"/>
      <w:b w:val="0"/>
      <w:bCs w:val="0"/>
      <w:color w:val="2E74B5"/>
      <w:kern w:val="0"/>
      <w:sz w:val="32"/>
      <w:szCs w:val="32"/>
    </w:rPr>
  </w:style>
  <w:style w:type="table" w:customStyle="1" w:styleId="48">
    <w:name w:val="网格型1"/>
    <w:basedOn w:val="16"/>
    <w:qFormat/>
    <w:uiPriority w:val="59"/>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9">
    <w:name w:val="网格型2"/>
    <w:basedOn w:val="16"/>
    <w:uiPriority w:val="59"/>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4" Type="http://schemas.openxmlformats.org/officeDocument/2006/relationships/fontTable" Target="fontTable.xml"/><Relationship Id="rId33" Type="http://schemas.openxmlformats.org/officeDocument/2006/relationships/customXml" Target="../customXml/item2.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image" Target="media/image18.jpeg"/><Relationship Id="rId3" Type="http://schemas.openxmlformats.org/officeDocument/2006/relationships/footnotes" Target="footnotes.xml"/><Relationship Id="rId29" Type="http://schemas.openxmlformats.org/officeDocument/2006/relationships/image" Target="media/image17.jpeg"/><Relationship Id="rId28" Type="http://schemas.openxmlformats.org/officeDocument/2006/relationships/image" Target="media/image16.jpeg"/><Relationship Id="rId27" Type="http://schemas.openxmlformats.org/officeDocument/2006/relationships/image" Target="media/image15.jpeg"/><Relationship Id="rId26" Type="http://schemas.openxmlformats.org/officeDocument/2006/relationships/image" Target="media/image14.jpeg"/><Relationship Id="rId25" Type="http://schemas.openxmlformats.org/officeDocument/2006/relationships/image" Target="media/image13.jpeg"/><Relationship Id="rId24" Type="http://schemas.openxmlformats.org/officeDocument/2006/relationships/image" Target="media/image12.jpeg"/><Relationship Id="rId23" Type="http://schemas.openxmlformats.org/officeDocument/2006/relationships/image" Target="media/image11.jpeg"/><Relationship Id="rId22" Type="http://schemas.openxmlformats.org/officeDocument/2006/relationships/image" Target="media/image10.jpeg"/><Relationship Id="rId21" Type="http://schemas.openxmlformats.org/officeDocument/2006/relationships/image" Target="media/image9.jpeg"/><Relationship Id="rId20" Type="http://schemas.openxmlformats.org/officeDocument/2006/relationships/image" Target="media/image8.jpeg"/><Relationship Id="rId2" Type="http://schemas.openxmlformats.org/officeDocument/2006/relationships/settings" Target="settings.xml"/><Relationship Id="rId19" Type="http://schemas.openxmlformats.org/officeDocument/2006/relationships/image" Target="media/image7.jpeg"/><Relationship Id="rId18" Type="http://schemas.openxmlformats.org/officeDocument/2006/relationships/image" Target="media/image6.jpeg"/><Relationship Id="rId17" Type="http://schemas.openxmlformats.org/officeDocument/2006/relationships/image" Target="media/image5.jpeg"/><Relationship Id="rId16" Type="http://schemas.openxmlformats.org/officeDocument/2006/relationships/image" Target="media/image4.png"/><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E1D49F5-C40E-46C0-BD6B-A3ECDE7E7A8F}">
  <ds:schemaRefs/>
</ds:datastoreItem>
</file>

<file path=docProps/app.xml><?xml version="1.0" encoding="utf-8"?>
<Properties xmlns="http://schemas.openxmlformats.org/officeDocument/2006/extended-properties" xmlns:vt="http://schemas.openxmlformats.org/officeDocument/2006/docPropsVTypes">
  <Template>Normal.dotm</Template>
  <Company>-PC</Company>
  <Pages>32</Pages>
  <Words>1390</Words>
  <Characters>7926</Characters>
  <Lines>66</Lines>
  <Paragraphs>18</Paragraphs>
  <TotalTime>4</TotalTime>
  <ScaleCrop>false</ScaleCrop>
  <LinksUpToDate>false</LinksUpToDate>
  <CharactersWithSpaces>9298</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2023-07-24T07:27:00Z</dcterms:created>
  <dc:creator>Y</dc:creator>
  <cp:lastModifiedBy>lenovo</cp:lastModifiedBy>
  <cp:lastPrinted>2024-01-09T08:03:00Z</cp:lastPrinted>
  <dcterms:modified xsi:type="dcterms:W3CDTF">2024-03-13T07:55:29Z</dcterms:modified>
  <cp:revision>312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FADACC718F0C458CA6EAE3884E0473FF_12</vt:lpwstr>
  </property>
</Properties>
</file>