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方正小标宋简体" w:eastAsia="方正小标宋简体"/>
          <w:color w:val="auto"/>
          <w:sz w:val="44"/>
          <w:szCs w:val="44"/>
        </w:rPr>
      </w:pPr>
      <w:bookmarkStart w:id="0" w:name="_GoBack"/>
      <w:bookmarkEnd w:id="0"/>
      <w:r>
        <w:rPr>
          <w:rFonts w:hint="eastAsia" w:ascii="方正小标宋简体" w:eastAsia="方正小标宋简体"/>
          <w:color w:val="auto"/>
          <w:sz w:val="44"/>
          <w:szCs w:val="44"/>
          <w:lang w:eastAsia="zh-CN"/>
        </w:rPr>
        <w:t>青阳</w:t>
      </w:r>
      <w:r>
        <w:rPr>
          <w:rFonts w:hint="eastAsia" w:ascii="方正小标宋简体" w:eastAsia="方正小标宋简体"/>
          <w:color w:val="auto"/>
          <w:sz w:val="44"/>
          <w:szCs w:val="44"/>
        </w:rPr>
        <w:t>县船舶污染物免费接收实施方案</w:t>
      </w:r>
    </w:p>
    <w:p>
      <w:pPr>
        <w:spacing w:line="600" w:lineRule="exact"/>
        <w:jc w:val="center"/>
        <w:rPr>
          <w:rFonts w:hint="eastAsia" w:ascii="楷体" w:hAnsi="楷体" w:eastAsia="楷体" w:cs="楷体"/>
          <w:color w:val="auto"/>
          <w:sz w:val="32"/>
          <w:szCs w:val="32"/>
        </w:rPr>
      </w:pPr>
      <w:r>
        <w:rPr>
          <w:rFonts w:hint="eastAsia" w:ascii="楷体" w:hAnsi="楷体" w:eastAsia="楷体" w:cs="楷体"/>
          <w:color w:val="auto"/>
          <w:sz w:val="32"/>
          <w:szCs w:val="32"/>
        </w:rPr>
        <w:t>（</w:t>
      </w:r>
      <w:r>
        <w:rPr>
          <w:rFonts w:hint="eastAsia" w:ascii="楷体" w:hAnsi="楷体" w:eastAsia="楷体" w:cs="楷体"/>
          <w:color w:val="auto"/>
          <w:sz w:val="32"/>
          <w:szCs w:val="32"/>
          <w:lang w:val="en-US" w:eastAsia="zh-CN"/>
        </w:rPr>
        <w:t>征求意见稿</w:t>
      </w:r>
      <w:r>
        <w:rPr>
          <w:rFonts w:hint="eastAsia" w:ascii="楷体" w:hAnsi="楷体" w:eastAsia="楷体" w:cs="楷体"/>
          <w:color w:val="auto"/>
          <w:sz w:val="32"/>
          <w:szCs w:val="32"/>
        </w:rPr>
        <w:t>）</w:t>
      </w:r>
    </w:p>
    <w:p>
      <w:pPr>
        <w:keepNext w:val="0"/>
        <w:keepLines w:val="0"/>
        <w:pageBreakBefore w:val="0"/>
        <w:kinsoku/>
        <w:wordWrap/>
        <w:overflowPunct/>
        <w:topLinePunct w:val="0"/>
        <w:bidi w:val="0"/>
        <w:snapToGrid/>
        <w:spacing w:line="240" w:lineRule="auto"/>
        <w:ind w:firstLine="640" w:firstLineChars="200"/>
        <w:textAlignment w:val="auto"/>
        <w:rPr>
          <w:rFonts w:hint="eastAsia" w:ascii="仿宋_GB2312" w:hAnsi="仿宋_GB2312" w:eastAsia="仿宋_GB2312" w:cs="仿宋_GB2312"/>
          <w:color w:val="auto"/>
          <w:sz w:val="32"/>
          <w:szCs w:val="32"/>
          <w:shd w:val="clear" w:color="auto" w:fill="FFFFFF"/>
        </w:rPr>
      </w:pPr>
    </w:p>
    <w:p>
      <w:pPr>
        <w:keepNext w:val="0"/>
        <w:keepLines w:val="0"/>
        <w:pageBreakBefore w:val="0"/>
        <w:kinsoku/>
        <w:wordWrap/>
        <w:overflowPunct/>
        <w:topLinePunct w:val="0"/>
        <w:bidi w:val="0"/>
        <w:snapToGrid/>
        <w:spacing w:line="240" w:lineRule="auto"/>
        <w:ind w:firstLine="640" w:firstLineChars="200"/>
        <w:textAlignment w:val="auto"/>
        <w:rPr>
          <w:rFonts w:hint="eastAsia" w:ascii="仿宋_GB2312" w:hAnsi="仿宋_GB2312" w:eastAsia="仿宋_GB2312" w:cs="仿宋_GB2312"/>
          <w:color w:val="auto"/>
          <w:sz w:val="32"/>
          <w:szCs w:val="32"/>
          <w:shd w:val="clear" w:color="auto" w:fill="FFFFFF"/>
        </w:rPr>
      </w:pPr>
      <w:r>
        <w:rPr>
          <w:rFonts w:hint="eastAsia" w:ascii="仿宋_GB2312" w:hAnsi="仿宋_GB2312" w:eastAsia="仿宋_GB2312" w:cs="仿宋_GB2312"/>
          <w:color w:val="auto"/>
          <w:sz w:val="32"/>
          <w:szCs w:val="32"/>
          <w:shd w:val="clear" w:color="auto" w:fill="FFFFFF"/>
        </w:rPr>
        <w:t>为加强长江水域船舶污染防治，保护长江水域生态环境，</w:t>
      </w:r>
      <w:r>
        <w:rPr>
          <w:rFonts w:hint="eastAsia" w:ascii="仿宋_GB2312" w:eastAsia="仿宋_GB2312"/>
          <w:color w:val="auto"/>
          <w:sz w:val="32"/>
          <w:szCs w:val="32"/>
        </w:rPr>
        <w:t>根据《安徽省长江船舶污染防治条例》和</w:t>
      </w:r>
      <w:r>
        <w:rPr>
          <w:rFonts w:hint="eastAsia" w:ascii="仿宋_GB2312" w:eastAsia="仿宋_GB2312"/>
          <w:color w:val="auto"/>
          <w:sz w:val="32"/>
          <w:szCs w:val="32"/>
          <w:lang w:val="en-US" w:eastAsia="zh-CN"/>
        </w:rPr>
        <w:t>池州</w:t>
      </w:r>
      <w:r>
        <w:rPr>
          <w:rFonts w:hint="eastAsia" w:ascii="仿宋_GB2312" w:hAnsi="微软雅黑" w:eastAsia="仿宋_GB2312" w:cs="仿宋_GB2312"/>
          <w:color w:val="auto"/>
          <w:kern w:val="0"/>
          <w:sz w:val="32"/>
          <w:szCs w:val="32"/>
          <w:shd w:val="clear" w:color="auto" w:fill="FFFFFF"/>
        </w:rPr>
        <w:t>市政府《2023年共建长江安徽段航运高质量发展示范区座谈会工作任务交办会议纪要》</w:t>
      </w:r>
      <w:r>
        <w:rPr>
          <w:rFonts w:hint="eastAsia" w:ascii="仿宋_GB2312" w:eastAsia="仿宋_GB2312"/>
          <w:color w:val="auto"/>
          <w:sz w:val="32"/>
          <w:szCs w:val="32"/>
        </w:rPr>
        <w:t>等法律法规、文件</w:t>
      </w:r>
      <w:r>
        <w:rPr>
          <w:rFonts w:hint="eastAsia" w:ascii="仿宋_GB2312" w:hAnsi="微软雅黑" w:eastAsia="仿宋_GB2312" w:cs="仿宋_GB2312"/>
          <w:color w:val="auto"/>
          <w:kern w:val="0"/>
          <w:sz w:val="32"/>
          <w:szCs w:val="32"/>
          <w:shd w:val="clear" w:color="auto" w:fill="FFFFFF"/>
        </w:rPr>
        <w:t>及</w:t>
      </w:r>
      <w:r>
        <w:rPr>
          <w:rFonts w:hint="eastAsia" w:ascii="仿宋_GB2312" w:eastAsia="仿宋_GB2312"/>
          <w:color w:val="auto"/>
          <w:sz w:val="32"/>
          <w:szCs w:val="32"/>
        </w:rPr>
        <w:t>省、市有关船舶污染物接收转运处置相关规定要求</w:t>
      </w:r>
      <w:r>
        <w:rPr>
          <w:rFonts w:hint="eastAsia" w:ascii="仿宋_GB2312" w:eastAsia="仿宋_GB2312"/>
          <w:color w:val="auto"/>
          <w:sz w:val="32"/>
          <w:szCs w:val="32"/>
          <w:lang w:eastAsia="zh-CN"/>
        </w:rPr>
        <w:t>，</w:t>
      </w:r>
      <w:r>
        <w:rPr>
          <w:rFonts w:hint="eastAsia" w:ascii="仿宋_GB2312" w:eastAsia="仿宋_GB2312"/>
          <w:color w:val="auto"/>
          <w:sz w:val="32"/>
          <w:szCs w:val="32"/>
        </w:rPr>
        <w:t>结合我县实际，特制定本实施方案。</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lang w:eastAsia="zh-CN"/>
        </w:rPr>
        <w:t>一、</w:t>
      </w:r>
      <w:r>
        <w:rPr>
          <w:rFonts w:hint="eastAsia" w:ascii="黑体" w:hAnsi="黑体" w:eastAsia="黑体" w:cs="黑体"/>
          <w:color w:val="auto"/>
          <w:sz w:val="32"/>
          <w:szCs w:val="32"/>
        </w:rPr>
        <w:t>工作目标</w:t>
      </w:r>
    </w:p>
    <w:p>
      <w:pPr>
        <w:keepNext w:val="0"/>
        <w:keepLines w:val="0"/>
        <w:pageBreakBefore w:val="0"/>
        <w:kinsoku/>
        <w:wordWrap/>
        <w:overflowPunct/>
        <w:topLinePunct w:val="0"/>
        <w:bidi w:val="0"/>
        <w:snapToGrid/>
        <w:spacing w:line="240" w:lineRule="auto"/>
        <w:ind w:firstLine="640" w:firstLineChars="200"/>
        <w:textAlignment w:val="auto"/>
        <w:rPr>
          <w:rFonts w:hint="eastAsia" w:ascii="仿宋_GB2312" w:eastAsia="仿宋_GB2312"/>
          <w:color w:val="auto"/>
          <w:sz w:val="32"/>
          <w:szCs w:val="32"/>
          <w:lang w:eastAsia="zh-CN"/>
        </w:rPr>
      </w:pPr>
      <w:r>
        <w:rPr>
          <w:rFonts w:hint="eastAsia" w:ascii="仿宋_GB2312" w:eastAsia="仿宋_GB2312"/>
          <w:color w:val="auto"/>
          <w:sz w:val="32"/>
          <w:szCs w:val="32"/>
          <w:lang w:eastAsia="zh-CN"/>
        </w:rPr>
        <w:t>强化对长江水域船舶污染防治工作的领导，加大长江水域船舶污染防治的支持力度，进一步提升港</w:t>
      </w:r>
      <w:r>
        <w:rPr>
          <w:rFonts w:hint="eastAsia" w:ascii="仿宋_GB2312" w:eastAsia="仿宋_GB2312"/>
          <w:color w:val="auto"/>
          <w:sz w:val="32"/>
          <w:szCs w:val="32"/>
          <w:lang w:val="en-US" w:eastAsia="zh-CN"/>
        </w:rPr>
        <w:t>口</w:t>
      </w:r>
      <w:r>
        <w:rPr>
          <w:rFonts w:hint="eastAsia" w:ascii="仿宋_GB2312" w:eastAsia="仿宋_GB2312"/>
          <w:color w:val="auto"/>
          <w:sz w:val="32"/>
          <w:szCs w:val="32"/>
          <w:lang w:eastAsia="zh-CN"/>
        </w:rPr>
        <w:t>码头企业船舶污染物接收能力，压实免费接收企业主体责任和行业监管责任，确保《条例》规定辖区</w:t>
      </w:r>
      <w:r>
        <w:rPr>
          <w:rFonts w:hint="eastAsia" w:ascii="仿宋_GB2312" w:eastAsia="仿宋_GB2312"/>
          <w:color w:val="auto"/>
          <w:sz w:val="32"/>
          <w:szCs w:val="32"/>
        </w:rPr>
        <w:t>内河船舶生活垃圾、靠港作业的内河船舶生活污水</w:t>
      </w:r>
      <w:r>
        <w:rPr>
          <w:rFonts w:hint="eastAsia" w:ascii="仿宋_GB2312" w:eastAsia="仿宋_GB2312"/>
          <w:color w:val="auto"/>
          <w:sz w:val="32"/>
          <w:szCs w:val="32"/>
          <w:lang w:eastAsia="zh-CN"/>
        </w:rPr>
        <w:t>免费接收等要求的落地落实，实现船舶污染物产生、接收、转运、处置</w:t>
      </w:r>
      <w:r>
        <w:rPr>
          <w:rFonts w:hint="eastAsia" w:ascii="仿宋_GB2312" w:eastAsia="仿宋_GB2312"/>
          <w:color w:val="auto"/>
          <w:sz w:val="32"/>
          <w:szCs w:val="32"/>
        </w:rPr>
        <w:t>全链条闭环管理</w:t>
      </w:r>
      <w:r>
        <w:rPr>
          <w:rFonts w:hint="eastAsia" w:ascii="仿宋_GB2312" w:eastAsia="仿宋_GB2312"/>
          <w:color w:val="auto"/>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lang w:val="en-US" w:eastAsia="zh-CN"/>
        </w:rPr>
        <w:t>二、</w:t>
      </w:r>
      <w:r>
        <w:rPr>
          <w:rFonts w:hint="eastAsia" w:ascii="黑体" w:hAnsi="黑体" w:eastAsia="黑体" w:cs="黑体"/>
          <w:color w:val="auto"/>
          <w:sz w:val="32"/>
          <w:szCs w:val="32"/>
        </w:rPr>
        <w:t>工作内容</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（一）船舶污染物免费接收范围和实施主体</w:t>
      </w:r>
    </w:p>
    <w:p>
      <w:pPr>
        <w:keepNext w:val="0"/>
        <w:keepLines w:val="0"/>
        <w:pageBreakBefore w:val="0"/>
        <w:kinsoku/>
        <w:wordWrap/>
        <w:overflowPunct/>
        <w:topLinePunct w:val="0"/>
        <w:bidi w:val="0"/>
        <w:snapToGrid/>
        <w:spacing w:line="240" w:lineRule="auto"/>
        <w:ind w:firstLine="643" w:firstLineChars="200"/>
        <w:textAlignment w:val="auto"/>
        <w:rPr>
          <w:rFonts w:hint="eastAsia" w:ascii="仿宋_GB2312" w:eastAsia="仿宋_GB2312"/>
          <w:color w:val="auto"/>
          <w:sz w:val="32"/>
          <w:szCs w:val="32"/>
          <w:lang w:val="en-US" w:eastAsia="zh-CN"/>
        </w:rPr>
      </w:pPr>
      <w:r>
        <w:rPr>
          <w:rFonts w:hint="eastAsia" w:ascii="楷体" w:hAnsi="楷体" w:eastAsia="楷体" w:cs="楷体"/>
          <w:b/>
          <w:bCs/>
          <w:color w:val="auto"/>
          <w:sz w:val="32"/>
          <w:szCs w:val="32"/>
          <w:lang w:eastAsia="zh-CN"/>
        </w:rPr>
        <w:t>1.免费接收范围。</w:t>
      </w:r>
      <w:r>
        <w:rPr>
          <w:rFonts w:hint="eastAsia" w:ascii="仿宋_GB2312" w:eastAsia="仿宋_GB2312"/>
          <w:color w:val="auto"/>
          <w:sz w:val="32"/>
          <w:szCs w:val="32"/>
          <w:lang w:val="en-US" w:eastAsia="zh-CN"/>
        </w:rPr>
        <w:t>青阳县辖区各港口码头靠港作业内河船舶生活垃圾、靠港作业的内河船舶生活污水。</w:t>
      </w:r>
    </w:p>
    <w:p>
      <w:pPr>
        <w:keepNext w:val="0"/>
        <w:keepLines w:val="0"/>
        <w:pageBreakBefore w:val="0"/>
        <w:widowControl w:val="0"/>
        <w:kinsoku/>
        <w:wordWrap/>
        <w:overflowPunct/>
        <w:topLinePunct w:val="0"/>
        <w:autoSpaceDE/>
        <w:autoSpaceDN/>
        <w:bidi w:val="0"/>
        <w:adjustRightInd/>
        <w:snapToGrid/>
        <w:spacing w:line="240" w:lineRule="auto"/>
        <w:ind w:firstLine="643" w:firstLineChars="200"/>
        <w:textAlignment w:val="auto"/>
        <w:rPr>
          <w:rFonts w:hint="eastAsia" w:ascii="仿宋_GB2312" w:hAnsi="微软雅黑" w:eastAsia="仿宋_GB2312" w:cs="仿宋_GB2312"/>
          <w:color w:val="auto"/>
          <w:kern w:val="0"/>
          <w:sz w:val="32"/>
          <w:szCs w:val="32"/>
          <w:shd w:val="clear" w:color="auto" w:fill="FFFFFF"/>
          <w:lang w:val="en-US" w:eastAsia="zh-CN"/>
        </w:rPr>
      </w:pPr>
      <w:r>
        <w:rPr>
          <w:rFonts w:hint="eastAsia" w:ascii="楷体" w:hAnsi="楷体" w:eastAsia="楷体" w:cs="楷体"/>
          <w:b/>
          <w:bCs/>
          <w:color w:val="auto"/>
          <w:sz w:val="32"/>
          <w:szCs w:val="32"/>
        </w:rPr>
        <w:t>2.实施主体</w:t>
      </w:r>
      <w:r>
        <w:rPr>
          <w:rFonts w:hint="eastAsia" w:ascii="楷体" w:hAnsi="楷体" w:eastAsia="楷体" w:cs="楷体"/>
          <w:b/>
          <w:bCs/>
          <w:color w:val="auto"/>
          <w:sz w:val="32"/>
          <w:szCs w:val="32"/>
          <w:lang w:eastAsia="zh-CN"/>
        </w:rPr>
        <w:t>。</w:t>
      </w:r>
      <w:r>
        <w:rPr>
          <w:rFonts w:hint="eastAsia" w:ascii="仿宋_GB2312" w:hAnsi="微软雅黑" w:eastAsia="仿宋_GB2312" w:cs="仿宋_GB2312"/>
          <w:color w:val="auto"/>
          <w:kern w:val="0"/>
          <w:sz w:val="32"/>
          <w:szCs w:val="32"/>
          <w:shd w:val="clear" w:color="auto" w:fill="FFFFFF"/>
          <w:lang w:eastAsia="zh-CN"/>
        </w:rPr>
        <w:t>青阳</w:t>
      </w:r>
      <w:r>
        <w:rPr>
          <w:rFonts w:hint="eastAsia" w:ascii="仿宋_GB2312" w:hAnsi="微软雅黑" w:eastAsia="仿宋_GB2312" w:cs="仿宋_GB2312"/>
          <w:color w:val="auto"/>
          <w:kern w:val="0"/>
          <w:sz w:val="32"/>
          <w:szCs w:val="32"/>
          <w:shd w:val="clear" w:color="auto" w:fill="FFFFFF"/>
          <w:lang w:val="en-US" w:eastAsia="zh-CN"/>
        </w:rPr>
        <w:t>县辖区各</w:t>
      </w:r>
      <w:r>
        <w:rPr>
          <w:rFonts w:hint="eastAsia" w:ascii="仿宋_GB2312" w:hAnsi="微软雅黑" w:eastAsia="仿宋_GB2312" w:cs="仿宋_GB2312"/>
          <w:color w:val="auto"/>
          <w:kern w:val="0"/>
          <w:sz w:val="32"/>
          <w:szCs w:val="32"/>
          <w:shd w:val="clear" w:color="auto" w:fill="FFFFFF"/>
          <w:lang w:eastAsia="zh-CN"/>
        </w:rPr>
        <w:t>港</w:t>
      </w:r>
      <w:r>
        <w:rPr>
          <w:rFonts w:hint="eastAsia" w:ascii="仿宋_GB2312" w:hAnsi="微软雅黑" w:eastAsia="仿宋_GB2312" w:cs="仿宋_GB2312"/>
          <w:color w:val="auto"/>
          <w:kern w:val="0"/>
          <w:sz w:val="32"/>
          <w:szCs w:val="32"/>
          <w:shd w:val="clear" w:color="auto" w:fill="FFFFFF"/>
          <w:lang w:val="en-US" w:eastAsia="zh-CN"/>
        </w:rPr>
        <w:t>口</w:t>
      </w:r>
      <w:r>
        <w:rPr>
          <w:rFonts w:hint="eastAsia" w:ascii="仿宋_GB2312" w:hAnsi="微软雅黑" w:eastAsia="仿宋_GB2312" w:cs="仿宋_GB2312"/>
          <w:color w:val="auto"/>
          <w:kern w:val="0"/>
          <w:sz w:val="32"/>
          <w:szCs w:val="32"/>
          <w:shd w:val="clear" w:color="auto" w:fill="FFFFFF"/>
          <w:lang w:eastAsia="zh-CN"/>
        </w:rPr>
        <w:t>码头企业负责免费</w:t>
      </w:r>
      <w:r>
        <w:rPr>
          <w:rFonts w:hint="eastAsia" w:ascii="仿宋_GB2312" w:hAnsi="微软雅黑" w:eastAsia="仿宋_GB2312" w:cs="仿宋_GB2312"/>
          <w:color w:val="auto"/>
          <w:kern w:val="0"/>
          <w:sz w:val="32"/>
          <w:szCs w:val="32"/>
          <w:shd w:val="clear" w:color="auto" w:fill="FFFFFF"/>
          <w:lang w:val="en-US" w:eastAsia="zh-CN"/>
        </w:rPr>
        <w:t>接收转运处置。</w:t>
      </w:r>
    </w:p>
    <w:p>
      <w:pPr>
        <w:keepNext w:val="0"/>
        <w:keepLines w:val="0"/>
        <w:pageBreakBefore w:val="0"/>
        <w:numPr>
          <w:ilvl w:val="0"/>
          <w:numId w:val="0"/>
        </w:numPr>
        <w:kinsoku/>
        <w:wordWrap/>
        <w:overflowPunct/>
        <w:topLinePunct w:val="0"/>
        <w:bidi w:val="0"/>
        <w:snapToGrid/>
        <w:spacing w:line="240" w:lineRule="auto"/>
        <w:ind w:firstLine="640" w:firstLineChars="200"/>
        <w:textAlignment w:val="auto"/>
        <w:rPr>
          <w:rFonts w:hint="eastAsia" w:ascii="仿宋_GB2312" w:hAnsi="微软雅黑" w:eastAsia="仿宋_GB2312" w:cs="仿宋_GB2312"/>
          <w:color w:val="auto"/>
          <w:kern w:val="0"/>
          <w:sz w:val="32"/>
          <w:szCs w:val="32"/>
          <w:shd w:val="clear" w:color="auto" w:fill="FFFFFF"/>
        </w:rPr>
      </w:pPr>
      <w:r>
        <w:rPr>
          <w:rFonts w:hint="eastAsia" w:ascii="仿宋_GB2312" w:hAnsi="微软雅黑" w:eastAsia="仿宋_GB2312" w:cs="仿宋_GB2312"/>
          <w:color w:val="auto"/>
          <w:kern w:val="0"/>
          <w:sz w:val="32"/>
          <w:szCs w:val="32"/>
          <w:shd w:val="clear" w:color="auto" w:fill="FFFFFF"/>
          <w:lang w:val="en-US" w:eastAsia="zh-CN"/>
        </w:rPr>
        <w:t xml:space="preserve"> 从事船舶污染物接收的港口码头企业应当具备与其运营规模相适应的能力，建立污染防治管理制度，加强作业人员培训。从事船舶污染物接收的单位应当为固定接收设施、接收船舶安装视频监控系统，对接收活动实施动态监控。监控视频数据保存期限不少于三个月。</w:t>
      </w:r>
    </w:p>
    <w:p>
      <w:pPr>
        <w:keepNext w:val="0"/>
        <w:keepLines w:val="0"/>
        <w:pageBreakBefore w:val="0"/>
        <w:numPr>
          <w:ilvl w:val="0"/>
          <w:numId w:val="1"/>
        </w:numPr>
        <w:kinsoku/>
        <w:wordWrap/>
        <w:overflowPunct/>
        <w:topLinePunct w:val="0"/>
        <w:bidi w:val="0"/>
        <w:snapToGrid/>
        <w:spacing w:line="240" w:lineRule="auto"/>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船舶污染物免费接收补贴</w:t>
      </w:r>
      <w:r>
        <w:rPr>
          <w:rFonts w:hint="eastAsia" w:ascii="黑体" w:hAnsi="黑体" w:eastAsia="黑体" w:cs="黑体"/>
          <w:color w:val="auto"/>
          <w:sz w:val="32"/>
          <w:szCs w:val="32"/>
          <w:lang w:eastAsia="zh-CN"/>
        </w:rPr>
        <w:t>对象和</w:t>
      </w:r>
      <w:r>
        <w:rPr>
          <w:rFonts w:hint="eastAsia" w:ascii="黑体" w:hAnsi="黑体" w:eastAsia="黑体" w:cs="黑体"/>
          <w:color w:val="auto"/>
          <w:sz w:val="32"/>
          <w:szCs w:val="32"/>
        </w:rPr>
        <w:t>标准</w:t>
      </w:r>
    </w:p>
    <w:p>
      <w:pPr>
        <w:numPr>
          <w:ilvl w:val="0"/>
          <w:numId w:val="0"/>
        </w:numPr>
        <w:ind w:firstLine="643" w:firstLineChars="200"/>
        <w:rPr>
          <w:rFonts w:hint="eastAsia" w:ascii="仿宋_GB2312" w:hAnsi="微软雅黑" w:eastAsia="仿宋_GB2312" w:cs="仿宋_GB2312"/>
          <w:color w:val="auto"/>
          <w:kern w:val="0"/>
          <w:sz w:val="32"/>
          <w:szCs w:val="32"/>
          <w:shd w:val="clear" w:color="auto" w:fill="FFFFFF"/>
          <w:lang w:eastAsia="zh-CN"/>
        </w:rPr>
      </w:pPr>
      <w:r>
        <w:rPr>
          <w:rFonts w:hint="eastAsia" w:ascii="楷体" w:hAnsi="楷体" w:eastAsia="楷体" w:cs="楷体"/>
          <w:b/>
          <w:bCs/>
          <w:color w:val="auto"/>
          <w:sz w:val="32"/>
          <w:szCs w:val="32"/>
          <w:lang w:eastAsia="zh-CN"/>
        </w:rPr>
        <w:t>1.</w:t>
      </w:r>
      <w:r>
        <w:rPr>
          <w:rFonts w:hint="eastAsia" w:ascii="楷体" w:hAnsi="楷体" w:eastAsia="楷体" w:cs="楷体"/>
          <w:b/>
          <w:bCs/>
          <w:color w:val="auto"/>
          <w:sz w:val="32"/>
          <w:szCs w:val="32"/>
        </w:rPr>
        <w:t>补贴对象。</w:t>
      </w:r>
      <w:r>
        <w:rPr>
          <w:rFonts w:hint="eastAsia" w:ascii="仿宋_GB2312" w:hAnsi="微软雅黑" w:eastAsia="仿宋_GB2312" w:cs="仿宋_GB2312"/>
          <w:color w:val="auto"/>
          <w:kern w:val="0"/>
          <w:sz w:val="32"/>
          <w:szCs w:val="32"/>
          <w:shd w:val="clear" w:color="auto" w:fill="FFFFFF"/>
        </w:rPr>
        <w:t>对免费接收转运处置</w:t>
      </w:r>
      <w:r>
        <w:rPr>
          <w:rFonts w:hint="eastAsia" w:ascii="仿宋_GB2312" w:hAnsi="微软雅黑" w:eastAsia="仿宋_GB2312" w:cs="仿宋_GB2312"/>
          <w:color w:val="auto"/>
          <w:kern w:val="0"/>
          <w:sz w:val="32"/>
          <w:szCs w:val="32"/>
          <w:shd w:val="clear" w:color="auto" w:fill="FFFFFF"/>
          <w:lang w:eastAsia="zh-CN"/>
        </w:rPr>
        <w:t>内河船舶生活垃圾、</w:t>
      </w:r>
    </w:p>
    <w:p>
      <w:pPr>
        <w:numPr>
          <w:ilvl w:val="0"/>
          <w:numId w:val="0"/>
        </w:numPr>
        <w:rPr>
          <w:rFonts w:hint="eastAsia" w:ascii="仿宋_GB2312" w:hAnsi="微软雅黑" w:eastAsia="仿宋_GB2312" w:cs="仿宋_GB2312"/>
          <w:color w:val="auto"/>
          <w:kern w:val="0"/>
          <w:sz w:val="32"/>
          <w:szCs w:val="32"/>
          <w:shd w:val="clear" w:color="auto" w:fill="FFFFFF"/>
        </w:rPr>
      </w:pPr>
      <w:r>
        <w:rPr>
          <w:rFonts w:hint="eastAsia" w:ascii="仿宋_GB2312" w:hAnsi="微软雅黑" w:eastAsia="仿宋_GB2312" w:cs="仿宋_GB2312"/>
          <w:color w:val="auto"/>
          <w:kern w:val="0"/>
          <w:sz w:val="32"/>
          <w:szCs w:val="32"/>
          <w:shd w:val="clear" w:color="auto" w:fill="FFFFFF"/>
          <w:lang w:eastAsia="zh-CN"/>
        </w:rPr>
        <w:t>靠港作业的内河船舶生活污水</w:t>
      </w:r>
      <w:r>
        <w:rPr>
          <w:rFonts w:hint="eastAsia" w:ascii="仿宋_GB2312" w:hAnsi="微软雅黑" w:eastAsia="仿宋_GB2312" w:cs="仿宋_GB2312"/>
          <w:color w:val="auto"/>
          <w:kern w:val="0"/>
          <w:sz w:val="32"/>
          <w:szCs w:val="32"/>
          <w:shd w:val="clear" w:color="auto" w:fill="FFFFFF"/>
        </w:rPr>
        <w:t>的青阳</w:t>
      </w:r>
      <w:r>
        <w:rPr>
          <w:rFonts w:hint="eastAsia" w:ascii="仿宋_GB2312" w:hAnsi="微软雅黑" w:eastAsia="仿宋_GB2312" w:cs="仿宋_GB2312"/>
          <w:color w:val="auto"/>
          <w:kern w:val="0"/>
          <w:sz w:val="32"/>
          <w:szCs w:val="32"/>
          <w:shd w:val="clear" w:color="auto" w:fill="FFFFFF"/>
          <w:lang w:val="en-US" w:eastAsia="zh-CN"/>
        </w:rPr>
        <w:t>辖区</w:t>
      </w:r>
      <w:r>
        <w:rPr>
          <w:rFonts w:hint="eastAsia" w:ascii="仿宋_GB2312" w:hAnsi="微软雅黑" w:eastAsia="仿宋_GB2312" w:cs="仿宋_GB2312"/>
          <w:color w:val="auto"/>
          <w:kern w:val="0"/>
          <w:sz w:val="32"/>
          <w:szCs w:val="32"/>
          <w:shd w:val="clear" w:color="auto" w:fill="FFFFFF"/>
        </w:rPr>
        <w:t>各港口码头企业予以财政补贴。</w:t>
      </w:r>
    </w:p>
    <w:p>
      <w:pPr>
        <w:keepNext w:val="0"/>
        <w:keepLines w:val="0"/>
        <w:pageBreakBefore w:val="0"/>
        <w:numPr>
          <w:ilvl w:val="0"/>
          <w:numId w:val="0"/>
        </w:numPr>
        <w:kinsoku/>
        <w:wordWrap/>
        <w:overflowPunct/>
        <w:topLinePunct w:val="0"/>
        <w:bidi w:val="0"/>
        <w:snapToGrid/>
        <w:spacing w:line="240" w:lineRule="auto"/>
        <w:ind w:firstLine="643" w:firstLineChars="200"/>
        <w:textAlignment w:val="auto"/>
        <w:rPr>
          <w:rFonts w:hint="eastAsia" w:ascii="仿宋_GB2312" w:hAnsi="微软雅黑" w:eastAsia="仿宋_GB2312" w:cs="仿宋_GB2312"/>
          <w:color w:val="auto"/>
          <w:kern w:val="0"/>
          <w:sz w:val="32"/>
          <w:szCs w:val="32"/>
          <w:shd w:val="clear" w:color="auto" w:fill="FFFFFF"/>
        </w:rPr>
      </w:pPr>
      <w:r>
        <w:rPr>
          <w:rFonts w:hint="eastAsia" w:ascii="楷体" w:hAnsi="楷体" w:eastAsia="楷体" w:cs="楷体"/>
          <w:b/>
          <w:bCs/>
          <w:color w:val="auto"/>
          <w:sz w:val="32"/>
          <w:szCs w:val="32"/>
        </w:rPr>
        <w:t>2.补贴标准。</w:t>
      </w:r>
      <w:r>
        <w:rPr>
          <w:rFonts w:hint="eastAsia" w:ascii="仿宋_GB2312" w:hAnsi="微软雅黑" w:eastAsia="仿宋_GB2312" w:cs="仿宋_GB2312"/>
          <w:color w:val="auto"/>
          <w:kern w:val="0"/>
          <w:sz w:val="32"/>
          <w:szCs w:val="32"/>
          <w:shd w:val="clear" w:color="auto" w:fill="FFFFFF"/>
        </w:rPr>
        <w:t>依据第三方编制的《青阳县船舶污染物接收费用测算书》中</w:t>
      </w:r>
      <w:r>
        <w:rPr>
          <w:rFonts w:hint="eastAsia" w:ascii="仿宋_GB2312" w:hAnsi="微软雅黑" w:eastAsia="仿宋_GB2312" w:cs="仿宋_GB2312"/>
          <w:color w:val="auto"/>
          <w:kern w:val="0"/>
          <w:sz w:val="32"/>
          <w:szCs w:val="32"/>
          <w:shd w:val="clear" w:color="auto" w:fill="FFFFFF"/>
          <w:lang w:val="en-US" w:eastAsia="zh-CN"/>
        </w:rPr>
        <w:t>建议</w:t>
      </w:r>
      <w:r>
        <w:rPr>
          <w:rFonts w:hint="eastAsia" w:ascii="仿宋_GB2312" w:hAnsi="微软雅黑" w:eastAsia="仿宋_GB2312" w:cs="仿宋_GB2312"/>
          <w:color w:val="auto"/>
          <w:kern w:val="0"/>
          <w:sz w:val="32"/>
          <w:szCs w:val="32"/>
          <w:shd w:val="clear" w:color="auto" w:fill="FFFFFF"/>
        </w:rPr>
        <w:t>船舶污染物接收费用</w:t>
      </w:r>
      <w:r>
        <w:rPr>
          <w:rFonts w:hint="eastAsia" w:ascii="仿宋_GB2312" w:hAnsi="微软雅黑" w:eastAsia="仿宋_GB2312" w:cs="仿宋_GB2312"/>
          <w:color w:val="auto"/>
          <w:kern w:val="0"/>
          <w:sz w:val="32"/>
          <w:szCs w:val="32"/>
          <w:shd w:val="clear" w:color="auto" w:fill="FFFFFF"/>
          <w:lang w:val="en-US" w:eastAsia="zh-CN"/>
        </w:rPr>
        <w:t>为</w:t>
      </w:r>
      <w:r>
        <w:rPr>
          <w:rFonts w:hint="eastAsia" w:ascii="仿宋_GB2312" w:hAnsi="微软雅黑" w:eastAsia="仿宋_GB2312" w:cs="仿宋_GB2312"/>
          <w:color w:val="auto"/>
          <w:kern w:val="0"/>
          <w:sz w:val="32"/>
          <w:szCs w:val="32"/>
          <w:shd w:val="clear" w:color="auto" w:fill="FFFFFF"/>
        </w:rPr>
        <w:t>100元/航次</w:t>
      </w:r>
      <w:r>
        <w:rPr>
          <w:rFonts w:hint="eastAsia" w:ascii="仿宋_GB2312" w:hAnsi="微软雅黑" w:eastAsia="仿宋_GB2312" w:cs="仿宋_GB2312"/>
          <w:color w:val="auto"/>
          <w:kern w:val="0"/>
          <w:sz w:val="32"/>
          <w:szCs w:val="32"/>
          <w:shd w:val="clear" w:color="auto" w:fill="FFFFFF"/>
          <w:lang w:val="en-US" w:eastAsia="zh-CN"/>
        </w:rPr>
        <w:t>标准和我县实际情况</w:t>
      </w:r>
      <w:r>
        <w:rPr>
          <w:rFonts w:hint="eastAsia" w:ascii="仿宋_GB2312" w:hAnsi="微软雅黑" w:eastAsia="仿宋_GB2312" w:cs="仿宋_GB2312"/>
          <w:color w:val="auto"/>
          <w:kern w:val="0"/>
          <w:sz w:val="32"/>
          <w:szCs w:val="32"/>
          <w:shd w:val="clear" w:color="auto" w:fill="FFFFFF"/>
          <w:lang w:eastAsia="zh-CN"/>
        </w:rPr>
        <w:t>，</w:t>
      </w:r>
      <w:r>
        <w:rPr>
          <w:rFonts w:hint="eastAsia" w:ascii="仿宋_GB2312" w:hAnsi="微软雅黑" w:eastAsia="仿宋_GB2312" w:cs="仿宋_GB2312"/>
          <w:color w:val="auto"/>
          <w:kern w:val="0"/>
          <w:sz w:val="32"/>
          <w:szCs w:val="32"/>
          <w:shd w:val="clear" w:color="auto" w:fill="FFFFFF"/>
        </w:rPr>
        <w:t>暂按《测算书》测算费用的80%予以补贴，剩余20%由各港口码头企业承担，即对免费接收转运处置</w:t>
      </w:r>
      <w:r>
        <w:rPr>
          <w:rFonts w:hint="eastAsia" w:ascii="仿宋_GB2312" w:hAnsi="微软雅黑" w:eastAsia="仿宋_GB2312" w:cs="仿宋_GB2312"/>
          <w:color w:val="auto"/>
          <w:kern w:val="0"/>
          <w:sz w:val="32"/>
          <w:szCs w:val="32"/>
          <w:shd w:val="clear" w:color="auto" w:fill="FFFFFF"/>
          <w:lang w:val="en-US" w:eastAsia="zh-CN"/>
        </w:rPr>
        <w:t>内河</w:t>
      </w:r>
      <w:r>
        <w:rPr>
          <w:rFonts w:hint="eastAsia" w:ascii="仿宋_GB2312" w:hAnsi="微软雅黑" w:eastAsia="仿宋_GB2312" w:cs="仿宋_GB2312"/>
          <w:color w:val="auto"/>
          <w:kern w:val="0"/>
          <w:sz w:val="32"/>
          <w:szCs w:val="32"/>
          <w:shd w:val="clear" w:color="auto" w:fill="FFFFFF"/>
        </w:rPr>
        <w:t>船舶生活垃圾、</w:t>
      </w:r>
      <w:r>
        <w:rPr>
          <w:rFonts w:hint="eastAsia" w:ascii="仿宋_GB2312" w:hAnsi="微软雅黑" w:eastAsia="仿宋_GB2312" w:cs="仿宋_GB2312"/>
          <w:color w:val="auto"/>
          <w:kern w:val="0"/>
          <w:sz w:val="32"/>
          <w:szCs w:val="32"/>
          <w:shd w:val="clear" w:color="auto" w:fill="FFFFFF"/>
          <w:lang w:val="en-US" w:eastAsia="zh-CN"/>
        </w:rPr>
        <w:t>靠港作业的内河船舶</w:t>
      </w:r>
      <w:r>
        <w:rPr>
          <w:rFonts w:hint="eastAsia" w:ascii="仿宋_GB2312" w:hAnsi="微软雅黑" w:eastAsia="仿宋_GB2312" w:cs="仿宋_GB2312"/>
          <w:color w:val="auto"/>
          <w:kern w:val="0"/>
          <w:sz w:val="32"/>
          <w:szCs w:val="32"/>
          <w:shd w:val="clear" w:color="auto" w:fill="FFFFFF"/>
        </w:rPr>
        <w:t>生活污水的港口码头企业补贴80元/航次。</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ascii="黑体" w:hAnsi="黑体" w:eastAsia="黑体" w:cs="黑体"/>
          <w:bCs/>
          <w:color w:val="auto"/>
          <w:sz w:val="32"/>
          <w:szCs w:val="32"/>
        </w:rPr>
      </w:pPr>
      <w:r>
        <w:rPr>
          <w:rFonts w:hint="eastAsia" w:ascii="黑体" w:hAnsi="黑体" w:eastAsia="黑体" w:cs="黑体"/>
          <w:bCs/>
          <w:color w:val="auto"/>
          <w:sz w:val="32"/>
          <w:szCs w:val="32"/>
        </w:rPr>
        <w:t>（三）船舶污染物免费接收补贴结算</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shd w:val="clear" w:color="auto" w:fill="FFFFFF"/>
        </w:rPr>
      </w:pPr>
      <w:r>
        <w:rPr>
          <w:rFonts w:hint="eastAsia" w:ascii="仿宋_GB2312" w:eastAsia="仿宋_GB2312"/>
          <w:color w:val="auto"/>
          <w:sz w:val="32"/>
          <w:szCs w:val="32"/>
        </w:rPr>
        <w:t>自2023年10月1日起每</w:t>
      </w:r>
      <w:r>
        <w:rPr>
          <w:rFonts w:hint="eastAsia" w:ascii="仿宋_GB2312" w:eastAsia="仿宋_GB2312"/>
          <w:color w:val="auto"/>
          <w:sz w:val="32"/>
          <w:szCs w:val="32"/>
          <w:lang w:val="en-US" w:eastAsia="zh-CN"/>
        </w:rPr>
        <w:t>季度</w:t>
      </w:r>
      <w:r>
        <w:rPr>
          <w:rFonts w:hint="eastAsia" w:ascii="仿宋_GB2312" w:hAnsi="仿宋_GB2312" w:eastAsia="仿宋_GB2312" w:cs="仿宋_GB2312"/>
          <w:color w:val="auto"/>
          <w:sz w:val="32"/>
          <w:szCs w:val="32"/>
          <w:shd w:val="clear" w:color="auto" w:fill="FFFFFF"/>
        </w:rPr>
        <w:t>由</w:t>
      </w:r>
      <w:r>
        <w:rPr>
          <w:rFonts w:hint="eastAsia" w:ascii="仿宋_GB2312" w:hAnsi="微软雅黑" w:eastAsia="仿宋_GB2312" w:cs="微软雅黑"/>
          <w:color w:val="auto"/>
          <w:sz w:val="32"/>
          <w:szCs w:val="32"/>
        </w:rPr>
        <w:t>实施主体向</w:t>
      </w:r>
      <w:r>
        <w:rPr>
          <w:rFonts w:hint="eastAsia" w:ascii="仿宋_GB2312" w:hAnsi="仿宋_GB2312" w:eastAsia="仿宋_GB2312" w:cs="仿宋_GB2312"/>
          <w:color w:val="auto"/>
          <w:sz w:val="32"/>
          <w:szCs w:val="32"/>
          <w:shd w:val="clear" w:color="auto" w:fill="FFFFFF"/>
        </w:rPr>
        <w:t>市地方海事（港航）管理服务中心</w:t>
      </w:r>
      <w:r>
        <w:rPr>
          <w:rFonts w:hint="eastAsia" w:ascii="仿宋_GB2312" w:hAnsi="仿宋_GB2312" w:eastAsia="仿宋_GB2312" w:cs="仿宋_GB2312"/>
          <w:color w:val="auto"/>
          <w:sz w:val="32"/>
          <w:szCs w:val="32"/>
          <w:shd w:val="clear" w:color="auto" w:fill="FFFFFF"/>
          <w:lang w:eastAsia="zh-CN"/>
        </w:rPr>
        <w:t>青阳</w:t>
      </w:r>
      <w:r>
        <w:rPr>
          <w:rFonts w:hint="eastAsia" w:ascii="仿宋_GB2312" w:hAnsi="仿宋_GB2312" w:eastAsia="仿宋_GB2312" w:cs="仿宋_GB2312"/>
          <w:color w:val="auto"/>
          <w:sz w:val="32"/>
          <w:szCs w:val="32"/>
          <w:shd w:val="clear" w:color="auto" w:fill="FFFFFF"/>
        </w:rPr>
        <w:t>站提</w:t>
      </w:r>
      <w:r>
        <w:rPr>
          <w:rFonts w:hint="eastAsia" w:ascii="仿宋_GB2312" w:hAnsi="仿宋_GB2312" w:eastAsia="仿宋_GB2312" w:cs="仿宋_GB2312"/>
          <w:color w:val="auto"/>
          <w:sz w:val="32"/>
          <w:szCs w:val="32"/>
          <w:shd w:val="clear" w:color="auto" w:fill="FFFFFF"/>
          <w:lang w:val="en-US" w:eastAsia="zh-CN"/>
        </w:rPr>
        <w:t>交</w:t>
      </w:r>
      <w:r>
        <w:rPr>
          <w:rFonts w:hint="eastAsia" w:ascii="仿宋_GB2312" w:hAnsi="仿宋_GB2312" w:eastAsia="仿宋_GB2312" w:cs="仿宋_GB2312"/>
          <w:color w:val="auto"/>
          <w:sz w:val="32"/>
          <w:szCs w:val="32"/>
          <w:shd w:val="clear" w:color="auto" w:fill="FFFFFF"/>
        </w:rPr>
        <w:t>补贴申请材料，市地方海事（港航）管理服务中心</w:t>
      </w:r>
      <w:r>
        <w:rPr>
          <w:rFonts w:hint="eastAsia" w:ascii="仿宋_GB2312" w:hAnsi="仿宋_GB2312" w:eastAsia="仿宋_GB2312" w:cs="仿宋_GB2312"/>
          <w:color w:val="auto"/>
          <w:sz w:val="32"/>
          <w:szCs w:val="32"/>
          <w:shd w:val="clear" w:color="auto" w:fill="FFFFFF"/>
          <w:lang w:eastAsia="zh-CN"/>
        </w:rPr>
        <w:t>青阳</w:t>
      </w:r>
      <w:r>
        <w:rPr>
          <w:rFonts w:hint="eastAsia" w:ascii="仿宋_GB2312" w:hAnsi="仿宋_GB2312" w:eastAsia="仿宋_GB2312" w:cs="仿宋_GB2312"/>
          <w:color w:val="auto"/>
          <w:sz w:val="32"/>
          <w:szCs w:val="32"/>
          <w:shd w:val="clear" w:color="auto" w:fill="FFFFFF"/>
        </w:rPr>
        <w:t>站会同</w:t>
      </w:r>
      <w:r>
        <w:rPr>
          <w:rFonts w:hint="eastAsia" w:ascii="仿宋_GB2312" w:hAnsi="ˎ̥" w:eastAsia="仿宋_GB2312"/>
          <w:color w:val="auto"/>
          <w:sz w:val="32"/>
          <w:szCs w:val="32"/>
        </w:rPr>
        <w:t>市交通运输综合行政执法支队四大队</w:t>
      </w:r>
      <w:r>
        <w:rPr>
          <w:rFonts w:hint="eastAsia" w:ascii="仿宋_GB2312" w:hAnsi="ˎ̥" w:eastAsia="仿宋_GB2312"/>
          <w:color w:val="auto"/>
          <w:sz w:val="32"/>
          <w:szCs w:val="32"/>
          <w:lang w:val="en-US" w:eastAsia="zh-CN"/>
        </w:rPr>
        <w:t>一</w:t>
      </w:r>
      <w:r>
        <w:rPr>
          <w:rFonts w:hint="eastAsia" w:ascii="仿宋_GB2312" w:hAnsi="ˎ̥" w:eastAsia="仿宋_GB2312"/>
          <w:color w:val="auto"/>
          <w:sz w:val="32"/>
          <w:szCs w:val="32"/>
        </w:rPr>
        <w:t>中</w:t>
      </w:r>
      <w:r>
        <w:rPr>
          <w:rFonts w:hint="eastAsia" w:ascii="仿宋_GB2312" w:eastAsia="仿宋_GB2312"/>
          <w:color w:val="auto"/>
          <w:sz w:val="32"/>
          <w:szCs w:val="32"/>
        </w:rPr>
        <w:t>队、</w:t>
      </w:r>
      <w:r>
        <w:rPr>
          <w:rFonts w:hint="eastAsia" w:ascii="仿宋_GB2312" w:eastAsia="仿宋_GB2312"/>
          <w:color w:val="auto"/>
          <w:sz w:val="32"/>
          <w:szCs w:val="32"/>
          <w:lang w:val="en-US" w:eastAsia="zh-CN"/>
        </w:rPr>
        <w:t>县交通运输局</w:t>
      </w:r>
      <w:r>
        <w:rPr>
          <w:rFonts w:hint="eastAsia" w:ascii="仿宋_GB2312" w:eastAsia="仿宋_GB2312"/>
          <w:color w:val="auto"/>
          <w:sz w:val="32"/>
          <w:szCs w:val="32"/>
        </w:rPr>
        <w:t>依据</w:t>
      </w:r>
      <w:r>
        <w:rPr>
          <w:rFonts w:hint="eastAsia" w:ascii="仿宋_GB2312" w:hAnsi="仿宋_GB2312" w:eastAsia="仿宋_GB2312" w:cs="仿宋_GB2312"/>
          <w:color w:val="auto"/>
          <w:sz w:val="32"/>
          <w:szCs w:val="32"/>
        </w:rPr>
        <w:t>“船E行”系统监控数据核定的船舶</w:t>
      </w:r>
      <w:r>
        <w:rPr>
          <w:rFonts w:hint="eastAsia" w:ascii="仿宋_GB2312" w:hAnsi="微软雅黑" w:eastAsia="仿宋_GB2312" w:cs="仿宋_GB2312"/>
          <w:color w:val="auto"/>
          <w:kern w:val="0"/>
          <w:sz w:val="32"/>
          <w:szCs w:val="32"/>
          <w:shd w:val="clear" w:color="auto" w:fill="FFFFFF"/>
        </w:rPr>
        <w:t>航</w:t>
      </w:r>
      <w:r>
        <w:rPr>
          <w:rFonts w:hint="eastAsia" w:ascii="仿宋_GB2312" w:hAnsi="仿宋_GB2312" w:eastAsia="仿宋_GB2312" w:cs="仿宋_GB2312"/>
          <w:color w:val="auto"/>
          <w:sz w:val="32"/>
          <w:szCs w:val="32"/>
        </w:rPr>
        <w:t>次，</w:t>
      </w:r>
      <w:r>
        <w:rPr>
          <w:rFonts w:hint="eastAsia" w:ascii="仿宋_GB2312" w:hAnsi="ˎ̥" w:eastAsia="仿宋_GB2312" w:cs="宋体"/>
          <w:color w:val="auto"/>
          <w:kern w:val="0"/>
          <w:sz w:val="32"/>
          <w:szCs w:val="32"/>
        </w:rPr>
        <w:t>共同</w:t>
      </w:r>
      <w:r>
        <w:rPr>
          <w:rFonts w:hint="eastAsia" w:ascii="仿宋_GB2312" w:hAnsi="ˎ̥" w:eastAsia="仿宋_GB2312"/>
          <w:color w:val="auto"/>
          <w:sz w:val="32"/>
          <w:szCs w:val="32"/>
        </w:rPr>
        <w:t>对数据进行审核</w:t>
      </w:r>
      <w:r>
        <w:rPr>
          <w:rFonts w:hint="eastAsia" w:ascii="仿宋_GB2312" w:hAnsi="仿宋_GB2312" w:eastAsia="仿宋_GB2312" w:cs="仿宋_GB2312"/>
          <w:color w:val="auto"/>
          <w:sz w:val="32"/>
          <w:szCs w:val="32"/>
          <w:shd w:val="clear" w:color="auto" w:fill="FFFFFF"/>
        </w:rPr>
        <w:t>，审核后由县交通运输局</w:t>
      </w:r>
      <w:r>
        <w:rPr>
          <w:rFonts w:hint="eastAsia" w:ascii="仿宋_GB2312" w:hAnsi="仿宋_GB2312" w:eastAsia="仿宋_GB2312" w:cs="仿宋_GB2312"/>
          <w:color w:val="auto"/>
          <w:sz w:val="32"/>
          <w:szCs w:val="32"/>
          <w:shd w:val="clear" w:color="auto" w:fill="FFFFFF"/>
          <w:lang w:val="en-US" w:eastAsia="zh-CN"/>
        </w:rPr>
        <w:t>支</w:t>
      </w:r>
      <w:r>
        <w:rPr>
          <w:rFonts w:hint="eastAsia" w:ascii="仿宋_GB2312" w:hAnsi="仿宋_GB2312" w:eastAsia="仿宋_GB2312" w:cs="仿宋_GB2312"/>
          <w:color w:val="auto"/>
          <w:sz w:val="32"/>
          <w:szCs w:val="32"/>
          <w:shd w:val="clear" w:color="auto" w:fill="FFFFFF"/>
        </w:rPr>
        <w:t>付至相关单位。</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三、责任分工</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shd w:val="clear" w:color="auto" w:fill="FFFFFF"/>
        </w:rPr>
      </w:pPr>
      <w:r>
        <w:rPr>
          <w:rFonts w:hint="eastAsia" w:ascii="仿宋_GB2312" w:hAnsi="仿宋_GB2312" w:eastAsia="仿宋_GB2312" w:cs="仿宋_GB2312"/>
          <w:color w:val="auto"/>
          <w:sz w:val="32"/>
          <w:szCs w:val="32"/>
          <w:shd w:val="clear" w:color="auto" w:fill="FFFFFF"/>
        </w:rPr>
        <w:t>1、县交通运输局负责根据上一年度（2024年根据前两年统计数据）实际补贴费用</w:t>
      </w:r>
      <w:r>
        <w:rPr>
          <w:rFonts w:hint="eastAsia" w:ascii="仿宋_GB2312" w:hAnsi="ˎ̥" w:eastAsia="仿宋_GB2312" w:cs="宋体"/>
          <w:color w:val="auto"/>
          <w:kern w:val="0"/>
          <w:sz w:val="32"/>
          <w:szCs w:val="32"/>
          <w:lang w:val="en-US" w:eastAsia="zh-CN" w:bidi="ar-SA"/>
        </w:rPr>
        <w:t>和《测算书》中测</w:t>
      </w:r>
      <w:r>
        <w:rPr>
          <w:rFonts w:hint="eastAsia" w:ascii="仿宋_GB2312" w:hAnsi="仿宋_GB2312" w:eastAsia="仿宋_GB2312" w:cs="仿宋_GB2312"/>
          <w:color w:val="auto"/>
          <w:sz w:val="32"/>
          <w:szCs w:val="32"/>
          <w:shd w:val="clear" w:color="auto" w:fill="FFFFFF"/>
          <w:lang w:val="en-US" w:eastAsia="zh-CN"/>
        </w:rPr>
        <w:t>算的下一年度停靠船舶数量及补贴费用，编制年</w:t>
      </w:r>
      <w:r>
        <w:rPr>
          <w:rFonts w:hint="eastAsia" w:ascii="仿宋_GB2312" w:hAnsi="仿宋_GB2312" w:eastAsia="仿宋_GB2312" w:cs="仿宋_GB2312"/>
          <w:color w:val="auto"/>
          <w:sz w:val="32"/>
          <w:szCs w:val="32"/>
          <w:shd w:val="clear" w:color="auto" w:fill="FFFFFF"/>
        </w:rPr>
        <w:t>度财政补贴预算，做好补贴资金</w:t>
      </w:r>
      <w:r>
        <w:rPr>
          <w:rFonts w:hint="eastAsia" w:ascii="仿宋_GB2312" w:hAnsi="仿宋_GB2312" w:eastAsia="仿宋_GB2312" w:cs="仿宋_GB2312"/>
          <w:color w:val="auto"/>
          <w:sz w:val="32"/>
          <w:szCs w:val="32"/>
          <w:shd w:val="clear" w:color="auto" w:fill="FFFFFF"/>
          <w:lang w:val="en-US" w:eastAsia="zh-CN"/>
        </w:rPr>
        <w:t>支</w:t>
      </w:r>
      <w:r>
        <w:rPr>
          <w:rFonts w:hint="eastAsia" w:ascii="仿宋_GB2312" w:hAnsi="仿宋_GB2312" w:eastAsia="仿宋_GB2312" w:cs="仿宋_GB2312"/>
          <w:color w:val="auto"/>
          <w:sz w:val="32"/>
          <w:szCs w:val="32"/>
          <w:shd w:val="clear" w:color="auto" w:fill="FFFFFF"/>
        </w:rPr>
        <w:t>付工作。</w:t>
      </w:r>
    </w:p>
    <w:p>
      <w:pPr>
        <w:pStyle w:val="2"/>
        <w:keepNext w:val="0"/>
        <w:keepLines w:val="0"/>
        <w:pageBreakBefore w:val="0"/>
        <w:kinsoku/>
        <w:wordWrap/>
        <w:overflowPunct/>
        <w:topLinePunct w:val="0"/>
        <w:bidi w:val="0"/>
        <w:snapToGrid/>
        <w:spacing w:before="0" w:beforeAutospacing="0" w:after="0" w:afterAutospacing="0" w:line="240" w:lineRule="auto"/>
        <w:ind w:firstLine="640" w:firstLineChars="200"/>
        <w:textAlignment w:val="auto"/>
        <w:rPr>
          <w:rFonts w:hint="eastAsia" w:ascii="仿宋_GB2312" w:hAnsi="ˎ̥" w:eastAsia="仿宋_GB2312"/>
          <w:color w:val="auto"/>
          <w:sz w:val="32"/>
          <w:szCs w:val="32"/>
          <w:lang w:val="en-US" w:eastAsia="zh-CN"/>
        </w:rPr>
      </w:pPr>
      <w:r>
        <w:rPr>
          <w:rFonts w:hint="eastAsia" w:ascii="仿宋_GB2312" w:hAnsi="ˎ̥" w:eastAsia="仿宋_GB2312"/>
          <w:color w:val="auto"/>
          <w:sz w:val="32"/>
          <w:szCs w:val="32"/>
        </w:rPr>
        <w:t>2、县财政局</w:t>
      </w:r>
      <w:r>
        <w:rPr>
          <w:rFonts w:hint="eastAsia" w:ascii="仿宋_GB2312" w:hAnsi="ˎ̥" w:eastAsia="仿宋_GB2312"/>
          <w:color w:val="auto"/>
          <w:sz w:val="32"/>
          <w:szCs w:val="32"/>
          <w:lang w:val="en-US" w:eastAsia="zh-CN"/>
        </w:rPr>
        <w:t>负责船舶污染物免费接收专项资金保障。</w:t>
      </w:r>
    </w:p>
    <w:p>
      <w:pPr>
        <w:pStyle w:val="2"/>
        <w:keepNext w:val="0"/>
        <w:keepLines w:val="0"/>
        <w:pageBreakBefore w:val="0"/>
        <w:kinsoku/>
        <w:wordWrap/>
        <w:overflowPunct/>
        <w:topLinePunct w:val="0"/>
        <w:bidi w:val="0"/>
        <w:snapToGrid/>
        <w:spacing w:before="0" w:beforeAutospacing="0" w:after="0" w:afterAutospacing="0" w:line="240" w:lineRule="auto"/>
        <w:ind w:firstLine="640" w:firstLineChars="200"/>
        <w:textAlignment w:val="auto"/>
        <w:rPr>
          <w:rFonts w:hint="eastAsia" w:ascii="仿宋_GB2312" w:hAnsi="ˎ̥" w:eastAsia="仿宋_GB2312"/>
          <w:color w:val="auto"/>
          <w:sz w:val="32"/>
          <w:szCs w:val="32"/>
        </w:rPr>
      </w:pPr>
      <w:r>
        <w:rPr>
          <w:rFonts w:hint="eastAsia" w:ascii="仿宋_GB2312" w:hAnsi="ˎ̥" w:eastAsia="仿宋_GB2312"/>
          <w:color w:val="auto"/>
          <w:sz w:val="32"/>
          <w:szCs w:val="32"/>
        </w:rPr>
        <w:t>3、市地方海事（港航）管理服务中心</w:t>
      </w:r>
      <w:r>
        <w:rPr>
          <w:rFonts w:hint="eastAsia" w:ascii="仿宋_GB2312" w:hAnsi="ˎ̥" w:eastAsia="仿宋_GB2312"/>
          <w:color w:val="auto"/>
          <w:sz w:val="32"/>
          <w:szCs w:val="32"/>
          <w:lang w:eastAsia="zh-CN"/>
        </w:rPr>
        <w:t>青阳</w:t>
      </w:r>
      <w:r>
        <w:rPr>
          <w:rFonts w:hint="eastAsia" w:ascii="仿宋_GB2312" w:hAnsi="ˎ̥" w:eastAsia="仿宋_GB2312"/>
          <w:color w:val="auto"/>
          <w:sz w:val="32"/>
          <w:szCs w:val="32"/>
        </w:rPr>
        <w:t>站、市交通运输行政综合执法支队四大队</w:t>
      </w:r>
      <w:r>
        <w:rPr>
          <w:rFonts w:hint="eastAsia" w:ascii="仿宋_GB2312" w:hAnsi="ˎ̥" w:eastAsia="仿宋_GB2312"/>
          <w:color w:val="auto"/>
          <w:sz w:val="32"/>
          <w:szCs w:val="32"/>
          <w:lang w:val="en-US" w:eastAsia="zh-CN"/>
        </w:rPr>
        <w:t>一</w:t>
      </w:r>
      <w:r>
        <w:rPr>
          <w:rFonts w:hint="eastAsia" w:ascii="仿宋_GB2312" w:hAnsi="ˎ̥" w:eastAsia="仿宋_GB2312"/>
          <w:color w:val="auto"/>
          <w:sz w:val="32"/>
          <w:szCs w:val="32"/>
        </w:rPr>
        <w:t>中队依照职责负责对</w:t>
      </w:r>
      <w:r>
        <w:rPr>
          <w:rFonts w:hint="eastAsia" w:ascii="仿宋_GB2312" w:hAnsi="ˎ̥" w:eastAsia="仿宋_GB2312"/>
          <w:color w:val="auto"/>
          <w:sz w:val="32"/>
          <w:szCs w:val="32"/>
          <w:lang w:val="en-US" w:eastAsia="zh-CN"/>
        </w:rPr>
        <w:t>辖区</w:t>
      </w:r>
      <w:r>
        <w:rPr>
          <w:rFonts w:hint="eastAsia" w:ascii="仿宋_GB2312" w:hAnsi="ˎ̥" w:eastAsia="仿宋_GB2312"/>
          <w:color w:val="auto"/>
          <w:sz w:val="32"/>
          <w:szCs w:val="32"/>
        </w:rPr>
        <w:t>船舶污染防治监督管理，督促指导港</w:t>
      </w:r>
      <w:r>
        <w:rPr>
          <w:rFonts w:hint="eastAsia" w:ascii="仿宋_GB2312" w:hAnsi="ˎ̥" w:eastAsia="仿宋_GB2312"/>
          <w:color w:val="auto"/>
          <w:sz w:val="32"/>
          <w:szCs w:val="32"/>
          <w:lang w:val="en-US" w:eastAsia="zh-CN"/>
        </w:rPr>
        <w:t>口</w:t>
      </w:r>
      <w:r>
        <w:rPr>
          <w:rFonts w:hint="eastAsia" w:ascii="仿宋_GB2312" w:hAnsi="ˎ̥" w:eastAsia="仿宋_GB2312"/>
          <w:color w:val="auto"/>
          <w:sz w:val="32"/>
          <w:szCs w:val="32"/>
        </w:rPr>
        <w:t>码头企业建立船舶污染物免费接收等基础数据</w:t>
      </w:r>
      <w:r>
        <w:rPr>
          <w:rFonts w:hint="eastAsia" w:ascii="仿宋_GB2312" w:hAnsi="ˎ̥" w:eastAsia="仿宋_GB2312"/>
          <w:color w:val="auto"/>
          <w:sz w:val="32"/>
          <w:szCs w:val="32"/>
          <w:lang w:eastAsia="zh-CN"/>
        </w:rPr>
        <w:t>台账</w:t>
      </w:r>
      <w:r>
        <w:rPr>
          <w:rFonts w:hint="eastAsia" w:ascii="仿宋_GB2312" w:hAnsi="ˎ̥" w:eastAsia="仿宋_GB2312"/>
          <w:color w:val="auto"/>
          <w:sz w:val="32"/>
          <w:szCs w:val="32"/>
        </w:rPr>
        <w:t>，并对数据台账和申请补贴资金进行审核。</w:t>
      </w:r>
    </w:p>
    <w:p>
      <w:pPr>
        <w:pStyle w:val="2"/>
        <w:keepNext w:val="0"/>
        <w:keepLines w:val="0"/>
        <w:pageBreakBefore w:val="0"/>
        <w:kinsoku/>
        <w:wordWrap/>
        <w:overflowPunct/>
        <w:topLinePunct w:val="0"/>
        <w:bidi w:val="0"/>
        <w:snapToGrid/>
        <w:spacing w:before="0" w:beforeAutospacing="0" w:after="0" w:afterAutospacing="0" w:line="240" w:lineRule="auto"/>
        <w:ind w:firstLine="640" w:firstLineChars="200"/>
        <w:textAlignment w:val="auto"/>
        <w:rPr>
          <w:rFonts w:hint="eastAsia" w:ascii="仿宋_GB2312" w:hAnsi="ˎ̥" w:eastAsia="仿宋_GB2312"/>
          <w:color w:val="auto"/>
          <w:sz w:val="32"/>
          <w:szCs w:val="32"/>
        </w:rPr>
      </w:pPr>
      <w:r>
        <w:rPr>
          <w:rFonts w:hint="eastAsia" w:ascii="仿宋_GB2312" w:hAnsi="ˎ̥" w:eastAsia="仿宋_GB2312"/>
          <w:color w:val="auto"/>
          <w:sz w:val="32"/>
          <w:szCs w:val="32"/>
        </w:rPr>
        <w:t>4、港</w:t>
      </w:r>
      <w:r>
        <w:rPr>
          <w:rFonts w:hint="eastAsia" w:ascii="仿宋_GB2312" w:hAnsi="ˎ̥" w:eastAsia="仿宋_GB2312"/>
          <w:color w:val="auto"/>
          <w:sz w:val="32"/>
          <w:szCs w:val="32"/>
          <w:lang w:val="en-US" w:eastAsia="zh-CN"/>
        </w:rPr>
        <w:t>口</w:t>
      </w:r>
      <w:r>
        <w:rPr>
          <w:rFonts w:hint="eastAsia" w:ascii="仿宋_GB2312" w:hAnsi="ˎ̥" w:eastAsia="仿宋_GB2312"/>
          <w:color w:val="auto"/>
          <w:sz w:val="32"/>
          <w:szCs w:val="32"/>
        </w:rPr>
        <w:t>码头企业认真落实免费接收转运处置主体责任，建立</w:t>
      </w:r>
      <w:r>
        <w:rPr>
          <w:rFonts w:hint="eastAsia" w:ascii="仿宋_GB2312" w:hAnsi="微软雅黑" w:eastAsia="仿宋_GB2312" w:cs="微软雅黑"/>
          <w:color w:val="auto"/>
          <w:sz w:val="32"/>
          <w:szCs w:val="32"/>
        </w:rPr>
        <w:t>免费接收</w:t>
      </w:r>
      <w:r>
        <w:rPr>
          <w:rFonts w:hint="eastAsia" w:ascii="仿宋_GB2312" w:hAnsi="ˎ̥" w:eastAsia="仿宋_GB2312"/>
          <w:color w:val="auto"/>
          <w:sz w:val="32"/>
          <w:szCs w:val="32"/>
        </w:rPr>
        <w:t>船舶污染物的船舶等基础数据台账（含船E行数据），</w:t>
      </w:r>
      <w:r>
        <w:rPr>
          <w:rFonts w:hint="eastAsia" w:ascii="仿宋_GB2312" w:hAnsi="ˎ̥" w:eastAsia="仿宋_GB2312"/>
          <w:color w:val="auto"/>
          <w:sz w:val="32"/>
          <w:szCs w:val="32"/>
          <w:lang w:val="en-US" w:eastAsia="zh-CN"/>
        </w:rPr>
        <w:t>按月</w:t>
      </w:r>
      <w:r>
        <w:rPr>
          <w:rFonts w:hint="eastAsia" w:ascii="仿宋_GB2312" w:hAnsi="ˎ̥" w:eastAsia="仿宋_GB2312"/>
          <w:color w:val="auto"/>
          <w:sz w:val="32"/>
          <w:szCs w:val="32"/>
        </w:rPr>
        <w:t>向监管单位报送数据台账；同时对提供的相关数据准确性、真实性负责，不得虚报、冒领财政补贴资金。</w:t>
      </w:r>
    </w:p>
    <w:p>
      <w:pPr>
        <w:keepNext w:val="0"/>
        <w:keepLines w:val="0"/>
        <w:pageBreakBefore w:val="0"/>
        <w:kinsoku/>
        <w:wordWrap/>
        <w:overflowPunct/>
        <w:topLinePunct w:val="0"/>
        <w:bidi w:val="0"/>
        <w:snapToGrid/>
        <w:spacing w:line="240" w:lineRule="auto"/>
        <w:ind w:firstLine="640" w:firstLineChars="200"/>
        <w:textAlignment w:val="auto"/>
        <w:rPr>
          <w:rFonts w:hint="eastAsia" w:ascii="仿宋_GB2312" w:eastAsia="仿宋_GB2312"/>
          <w:color w:val="auto"/>
          <w:sz w:val="32"/>
          <w:szCs w:val="32"/>
        </w:rPr>
      </w:pPr>
      <w:r>
        <w:rPr>
          <w:rFonts w:hint="eastAsia" w:ascii="仿宋_GB2312" w:eastAsia="仿宋_GB2312"/>
          <w:color w:val="auto"/>
          <w:sz w:val="32"/>
          <w:szCs w:val="32"/>
        </w:rPr>
        <w:t>5、县生态环境分局负责属于危险废物的船舶污染物及其预处理产物在岸上贮存、转移、利用、处置的监督管理。</w:t>
      </w:r>
    </w:p>
    <w:p>
      <w:pPr>
        <w:keepNext w:val="0"/>
        <w:keepLines w:val="0"/>
        <w:pageBreakBefore w:val="0"/>
        <w:kinsoku/>
        <w:wordWrap/>
        <w:overflowPunct/>
        <w:topLinePunct w:val="0"/>
        <w:bidi w:val="0"/>
        <w:snapToGrid/>
        <w:spacing w:line="240" w:lineRule="auto"/>
        <w:ind w:firstLine="640" w:firstLineChars="200"/>
        <w:textAlignment w:val="auto"/>
        <w:rPr>
          <w:rFonts w:hint="eastAsia" w:ascii="仿宋_GB2312" w:eastAsia="仿宋_GB2312"/>
          <w:color w:val="auto"/>
          <w:sz w:val="32"/>
          <w:szCs w:val="32"/>
        </w:rPr>
      </w:pPr>
      <w:r>
        <w:rPr>
          <w:rFonts w:hint="eastAsia" w:ascii="仿宋_GB2312" w:eastAsia="仿宋_GB2312"/>
          <w:color w:val="auto"/>
          <w:sz w:val="32"/>
          <w:szCs w:val="32"/>
        </w:rPr>
        <w:t>6、县住房城乡建设局负责船舶生活污水在岸上转运处置的监督管理。</w:t>
      </w:r>
    </w:p>
    <w:p>
      <w:pPr>
        <w:keepNext w:val="0"/>
        <w:keepLines w:val="0"/>
        <w:pageBreakBefore w:val="0"/>
        <w:kinsoku/>
        <w:wordWrap/>
        <w:overflowPunct/>
        <w:topLinePunct w:val="0"/>
        <w:bidi w:val="0"/>
        <w:snapToGrid/>
        <w:spacing w:line="240" w:lineRule="auto"/>
        <w:ind w:firstLine="640" w:firstLineChars="200"/>
        <w:textAlignment w:val="auto"/>
        <w:rPr>
          <w:rFonts w:hint="eastAsia" w:ascii="仿宋_GB2312" w:eastAsia="仿宋_GB2312"/>
          <w:color w:val="auto"/>
          <w:sz w:val="32"/>
          <w:szCs w:val="32"/>
        </w:rPr>
      </w:pPr>
      <w:r>
        <w:rPr>
          <w:rFonts w:hint="eastAsia" w:ascii="仿宋_GB2312" w:eastAsia="仿宋_GB2312"/>
          <w:color w:val="auto"/>
          <w:sz w:val="32"/>
          <w:szCs w:val="32"/>
        </w:rPr>
        <w:t>7、县城市管理行政执法局负责船舶生活垃圾在岸上转运处置的监督管理。</w:t>
      </w:r>
    </w:p>
    <w:p>
      <w:pPr>
        <w:keepNext w:val="0"/>
        <w:keepLines w:val="0"/>
        <w:pageBreakBefore w:val="0"/>
        <w:kinsoku/>
        <w:wordWrap/>
        <w:overflowPunct/>
        <w:topLinePunct w:val="0"/>
        <w:bidi w:val="0"/>
        <w:snapToGrid/>
        <w:spacing w:line="240" w:lineRule="auto"/>
        <w:ind w:firstLine="640" w:firstLineChars="200"/>
        <w:textAlignment w:val="auto"/>
      </w:pPr>
      <w:r>
        <w:rPr>
          <w:rFonts w:hint="eastAsia" w:ascii="仿宋_GB2312" w:hAnsi="ˎ̥" w:eastAsia="仿宋_GB2312"/>
          <w:color w:val="auto"/>
          <w:sz w:val="32"/>
          <w:szCs w:val="32"/>
        </w:rPr>
        <w:t>8、各单位和属地政府</w:t>
      </w:r>
      <w:r>
        <w:rPr>
          <w:rFonts w:hint="eastAsia" w:ascii="仿宋_GB2312" w:eastAsia="仿宋_GB2312"/>
          <w:color w:val="auto"/>
          <w:sz w:val="32"/>
          <w:szCs w:val="32"/>
        </w:rPr>
        <w:t>按照各自职责加强</w:t>
      </w:r>
      <w:r>
        <w:rPr>
          <w:rFonts w:hint="eastAsia" w:ascii="仿宋_GB2312" w:eastAsia="仿宋_GB2312"/>
          <w:color w:val="auto"/>
          <w:sz w:val="32"/>
          <w:szCs w:val="32"/>
          <w:lang w:eastAsia="zh-CN"/>
        </w:rPr>
        <w:t>日常</w:t>
      </w:r>
      <w:r>
        <w:rPr>
          <w:rFonts w:hint="eastAsia" w:ascii="仿宋_GB2312" w:eastAsia="仿宋_GB2312"/>
          <w:color w:val="auto"/>
          <w:sz w:val="32"/>
          <w:szCs w:val="32"/>
        </w:rPr>
        <w:t>监督管理，适时开展联合监管行动。</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ˎ̥">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367BEF"/>
    <w:multiLevelType w:val="singleLevel"/>
    <w:tmpl w:val="1C367BEF"/>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FiMWUyMDhjZmE4ZGRiNzlhNDNhY2UwMzk3YjU1ODAifQ=="/>
  </w:docVars>
  <w:rsids>
    <w:rsidRoot w:val="06CB08F6"/>
    <w:rsid w:val="06CB08F6"/>
    <w:rsid w:val="0B615F9A"/>
    <w:rsid w:val="0B6B1A8A"/>
    <w:rsid w:val="188B015F"/>
    <w:rsid w:val="2BEC14DE"/>
    <w:rsid w:val="3CFE679F"/>
    <w:rsid w:val="40502BF2"/>
    <w:rsid w:val="40747DF6"/>
    <w:rsid w:val="46B71412"/>
    <w:rsid w:val="4A267485"/>
    <w:rsid w:val="53132E6F"/>
    <w:rsid w:val="60FC7A2F"/>
    <w:rsid w:val="65FA69A9"/>
    <w:rsid w:val="667E72FC"/>
    <w:rsid w:val="698C2B93"/>
    <w:rsid w:val="6A7A777F"/>
    <w:rsid w:val="6AD7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widowControl/>
      <w:spacing w:before="100" w:beforeAutospacing="1" w:after="100" w:afterAutospacing="1"/>
      <w:jc w:val="left"/>
    </w:pPr>
    <w:rPr>
      <w:rFonts w:ascii="宋体" w:hAnsi="宋体" w:cs="宋体"/>
      <w:kern w:val="0"/>
      <w:sz w:val="24"/>
    </w:rPr>
  </w:style>
  <w:style w:type="paragraph" w:customStyle="1" w:styleId="5">
    <w:name w:val="BodyTextIndent2"/>
    <w:basedOn w:val="1"/>
    <w:next w:val="1"/>
    <w:qFormat/>
    <w:uiPriority w:val="0"/>
    <w:pPr>
      <w:spacing w:line="590" w:lineRule="exact"/>
      <w:ind w:firstLine="880" w:firstLineChars="200"/>
    </w:pPr>
    <w:rPr>
      <w:rFonts w:ascii="Calibri" w:hAnsi="Calibri" w:eastAsia="方正仿宋_GBK" w:cs="Times New Roman"/>
      <w:sz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1360</Words>
  <Characters>1381</Characters>
  <Lines>0</Lines>
  <Paragraphs>0</Paragraphs>
  <TotalTime>1067</TotalTime>
  <ScaleCrop>false</ScaleCrop>
  <LinksUpToDate>false</LinksUpToDate>
  <CharactersWithSpaces>1382</CharactersWithSpaces>
  <Application>WPS Office_11.8.2.11978_F1E327BC-269C-435d-A152-05C5408002CA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2024-05-23T01:19:00Z</dcterms:created>
  <dc:creator>玲</dc:creator>
  <cp:lastModifiedBy>Administrator</cp:lastModifiedBy>
  <cp:lastPrinted>2024-06-04T02:12:00Z</cp:lastPrinted>
  <dcterms:modified xsi:type="dcterms:W3CDTF">2024-06-05T01:45:16Z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2052-11.8.2.11978</vt:lpwstr>
  </property>
  <property fmtid="{D5CDD505-2E9C-101B-9397-08002B2CF9AE}" pid="3" name="ICV">
    <vt:lpwstr>C147F30D0BA84CDF889453C712F30094</vt:lpwstr>
  </property>
</Properties>
</file>