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val="0"/>
        <w:topLinePunct w:val="0"/>
        <w:autoSpaceDE/>
        <w:autoSpaceDN/>
        <w:bidi w:val="0"/>
        <w:adjustRightInd/>
        <w:snapToGrid/>
        <w:spacing w:line="560" w:lineRule="exact"/>
        <w:ind w:right="0" w:right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lang w:eastAsia="zh-CN"/>
        </w:rPr>
        <w:t>县</w:t>
      </w:r>
      <w:r>
        <w:rPr>
          <w:rFonts w:hint="eastAsia" w:ascii="方正小标宋简体" w:hAnsi="方正小标宋简体" w:eastAsia="方正小标宋简体" w:cs="方正小标宋简体"/>
          <w:sz w:val="44"/>
          <w:szCs w:val="44"/>
        </w:rPr>
        <w:t>交通运输局202</w:t>
      </w:r>
      <w:r>
        <w:rPr>
          <w:rFonts w:hint="eastAsia" w:ascii="方正小标宋简体" w:hAnsi="方正小标宋简体" w:eastAsia="方正小标宋简体" w:cs="方正小标宋简体"/>
          <w:sz w:val="44"/>
          <w:szCs w:val="44"/>
          <w:lang w:val="en-US" w:eastAsia="zh-CN"/>
        </w:rPr>
        <w:t>4</w:t>
      </w:r>
      <w:r>
        <w:rPr>
          <w:rFonts w:hint="eastAsia" w:ascii="方正小标宋简体" w:hAnsi="方正小标宋简体" w:eastAsia="方正小标宋简体" w:cs="方正小标宋简体"/>
          <w:sz w:val="44"/>
          <w:szCs w:val="44"/>
        </w:rPr>
        <w:t>年安全生产和消防</w:t>
      </w:r>
    </w:p>
    <w:p>
      <w:pPr>
        <w:keepNext w:val="0"/>
        <w:keepLines w:val="0"/>
        <w:pageBreakBefore w:val="0"/>
        <w:widowControl w:val="0"/>
        <w:kinsoku/>
        <w:wordWrap/>
        <w:overflowPunct w:val="0"/>
        <w:topLinePunct w:val="0"/>
        <w:autoSpaceDE/>
        <w:autoSpaceDN/>
        <w:bidi w:val="0"/>
        <w:adjustRightInd/>
        <w:snapToGrid/>
        <w:spacing w:line="560" w:lineRule="exact"/>
        <w:ind w:right="0" w:right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工作目标管理责任书</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textAlignment w:val="auto"/>
        <w:outlineLvl w:val="9"/>
        <w:rPr>
          <w:rFonts w:ascii="仿宋_GB2312" w:eastAsia="仿宋_GB2312"/>
          <w:sz w:val="32"/>
          <w:szCs w:val="32"/>
        </w:rPr>
      </w:pPr>
      <w:r>
        <w:rPr>
          <w:rFonts w:hint="eastAsia" w:ascii="仿宋_GB2312" w:eastAsia="仿宋_GB2312"/>
          <w:sz w:val="32"/>
          <w:szCs w:val="32"/>
        </w:rPr>
        <w:t>为落实安全生产和消防工作责任，防范各类生产安全和火灾事故，依据《地方党政领导干部安全生产责任制规定》和省、市</w:t>
      </w:r>
      <w:r>
        <w:rPr>
          <w:rFonts w:hint="eastAsia" w:ascii="仿宋_GB2312" w:eastAsia="仿宋_GB2312"/>
          <w:sz w:val="32"/>
          <w:szCs w:val="32"/>
          <w:lang w:eastAsia="zh-CN"/>
        </w:rPr>
        <w:t>、县</w:t>
      </w:r>
      <w:r>
        <w:rPr>
          <w:rFonts w:hint="eastAsia" w:ascii="仿宋_GB2312" w:eastAsia="仿宋_GB2312"/>
          <w:sz w:val="32"/>
          <w:szCs w:val="32"/>
        </w:rPr>
        <w:t>实施细则及《</w:t>
      </w:r>
      <w:r>
        <w:rPr>
          <w:rFonts w:hint="eastAsia" w:ascii="仿宋_GB2312" w:eastAsia="仿宋_GB2312"/>
          <w:sz w:val="32"/>
          <w:szCs w:val="32"/>
          <w:lang w:eastAsia="zh-CN"/>
        </w:rPr>
        <w:t>安徽省</w:t>
      </w:r>
      <w:r>
        <w:rPr>
          <w:rFonts w:hint="eastAsia" w:ascii="仿宋_GB2312" w:eastAsia="仿宋_GB2312"/>
          <w:sz w:val="32"/>
          <w:szCs w:val="32"/>
        </w:rPr>
        <w:t>消防安全责任制规定》，</w:t>
      </w:r>
      <w:r>
        <w:rPr>
          <w:rFonts w:hint="eastAsia" w:ascii="黑体" w:hAnsi="黑体" w:eastAsia="黑体"/>
          <w:sz w:val="32"/>
          <w:szCs w:val="32"/>
          <w:lang w:eastAsia="zh-CN"/>
        </w:rPr>
        <w:t>青阳县</w:t>
      </w:r>
      <w:r>
        <w:rPr>
          <w:rFonts w:hint="eastAsia" w:ascii="黑体" w:hAnsi="黑体" w:eastAsia="黑体"/>
          <w:sz w:val="32"/>
          <w:szCs w:val="32"/>
        </w:rPr>
        <w:t>人民政府</w:t>
      </w:r>
      <w:r>
        <w:rPr>
          <w:rFonts w:hint="eastAsia" w:ascii="仿宋_GB2312" w:eastAsia="仿宋_GB2312"/>
          <w:sz w:val="32"/>
          <w:szCs w:val="32"/>
        </w:rPr>
        <w:t>与</w:t>
      </w:r>
      <w:r>
        <w:rPr>
          <w:rFonts w:hint="eastAsia" w:ascii="黑体" w:hAnsi="黑体" w:eastAsia="黑体"/>
          <w:sz w:val="32"/>
          <w:szCs w:val="32"/>
          <w:lang w:eastAsia="zh-CN"/>
        </w:rPr>
        <w:t>青阳县</w:t>
      </w:r>
      <w:r>
        <w:rPr>
          <w:rFonts w:hint="eastAsia" w:ascii="黑体" w:hAnsi="黑体" w:eastAsia="黑体"/>
          <w:sz w:val="32"/>
          <w:szCs w:val="32"/>
        </w:rPr>
        <w:t>交通运输局</w:t>
      </w:r>
      <w:r>
        <w:rPr>
          <w:rFonts w:hint="eastAsia" w:ascii="仿宋_GB2312" w:eastAsia="仿宋_GB2312"/>
          <w:sz w:val="32"/>
          <w:szCs w:val="32"/>
        </w:rPr>
        <w:t>签订202</w:t>
      </w:r>
      <w:r>
        <w:rPr>
          <w:rFonts w:hint="eastAsia" w:ascii="仿宋_GB2312" w:eastAsia="仿宋_GB2312"/>
          <w:sz w:val="32"/>
          <w:szCs w:val="32"/>
          <w:lang w:val="en-US" w:eastAsia="zh-CN"/>
        </w:rPr>
        <w:t>4</w:t>
      </w:r>
      <w:r>
        <w:rPr>
          <w:rFonts w:hint="eastAsia" w:ascii="仿宋_GB2312" w:eastAsia="仿宋_GB2312"/>
          <w:sz w:val="32"/>
          <w:szCs w:val="32"/>
        </w:rPr>
        <w:t>年安全生产和消防工作目标管理责任书。</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textAlignment w:val="auto"/>
        <w:rPr>
          <w:rFonts w:eastAsia="仿宋_GB2312"/>
          <w:sz w:val="32"/>
          <w:szCs w:val="32"/>
        </w:rPr>
      </w:pPr>
      <w:r>
        <w:rPr>
          <w:rFonts w:eastAsia="黑体"/>
          <w:sz w:val="32"/>
          <w:szCs w:val="32"/>
        </w:rPr>
        <w:t>一、确保实现工作目标。</w:t>
      </w:r>
      <w:r>
        <w:rPr>
          <w:rFonts w:eastAsia="仿宋_GB2312"/>
          <w:sz w:val="32"/>
          <w:szCs w:val="32"/>
        </w:rPr>
        <w:t>坚决遏制涉及交通运输行业的重特大生产安全和火灾事故，有效防范生产安全和火灾较大事故，努力减少生产安全和火灾一般事故。</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textAlignment w:val="auto"/>
        <w:rPr>
          <w:rFonts w:hint="eastAsia" w:ascii="仿宋_GB2312" w:hAnsi="仿宋_GB2312" w:eastAsia="仿宋_GB2312" w:cs="仿宋_GB2312"/>
          <w:spacing w:val="-4"/>
          <w:sz w:val="32"/>
          <w:szCs w:val="32"/>
          <w:highlight w:val="none"/>
        </w:rPr>
      </w:pPr>
      <w:r>
        <w:rPr>
          <w:rFonts w:eastAsia="黑体"/>
          <w:sz w:val="32"/>
          <w:szCs w:val="32"/>
        </w:rPr>
        <w:t>二、树牢安全发展理念。</w:t>
      </w:r>
      <w:r>
        <w:rPr>
          <w:rFonts w:hint="eastAsia" w:ascii="仿宋_GB2312" w:hAnsi="仿宋_GB2312" w:eastAsia="仿宋_GB2312" w:cs="仿宋_GB2312"/>
          <w:sz w:val="32"/>
          <w:szCs w:val="32"/>
          <w:highlight w:val="none"/>
        </w:rPr>
        <w:t>深入学习宣传贯彻习近平总书记关于安全生产、应急管理、防灾减灾救灾的重要论述，</w:t>
      </w:r>
      <w:r>
        <w:rPr>
          <w:rFonts w:hint="eastAsia" w:ascii="仿宋_GB2312" w:hAnsi="仿宋_GB2312" w:eastAsia="仿宋_GB2312" w:cs="仿宋_GB2312"/>
          <w:spacing w:val="-4"/>
          <w:sz w:val="32"/>
          <w:szCs w:val="32"/>
          <w:highlight w:val="none"/>
        </w:rPr>
        <w:t>贯彻落实党的二十大报告中关于安全生产的重要部署，坚持人民至上、生命至上，更好统筹发展和安全，</w:t>
      </w:r>
      <w:r>
        <w:rPr>
          <w:rFonts w:hint="eastAsia" w:ascii="仿宋_GB2312" w:hAnsi="仿宋_GB2312" w:eastAsia="仿宋_GB2312" w:cs="仿宋_GB2312"/>
          <w:spacing w:val="-4"/>
          <w:sz w:val="32"/>
          <w:szCs w:val="32"/>
          <w:highlight w:val="none"/>
          <w:lang w:eastAsia="zh-CN"/>
        </w:rPr>
        <w:t>深入开展</w:t>
      </w:r>
      <w:r>
        <w:rPr>
          <w:rFonts w:hint="eastAsia" w:ascii="仿宋_GB2312" w:hAnsi="仿宋_GB2312" w:eastAsia="仿宋_GB2312" w:cs="仿宋_GB2312"/>
          <w:spacing w:val="-4"/>
          <w:sz w:val="32"/>
          <w:szCs w:val="32"/>
          <w:highlight w:val="none"/>
        </w:rPr>
        <w:t>安全生产</w:t>
      </w:r>
      <w:r>
        <w:rPr>
          <w:rFonts w:hint="eastAsia" w:ascii="仿宋_GB2312" w:hAnsi="仿宋_GB2312" w:eastAsia="仿宋_GB2312" w:cs="仿宋_GB2312"/>
          <w:spacing w:val="-4"/>
          <w:sz w:val="32"/>
          <w:szCs w:val="32"/>
          <w:highlight w:val="none"/>
          <w:lang w:eastAsia="zh-CN"/>
        </w:rPr>
        <w:t>治本攻坚三年行动，</w:t>
      </w:r>
      <w:r>
        <w:rPr>
          <w:rFonts w:hint="eastAsia" w:ascii="仿宋_GB2312" w:hAnsi="仿宋_GB2312" w:eastAsia="仿宋_GB2312" w:cs="仿宋_GB2312"/>
          <w:spacing w:val="-4"/>
          <w:sz w:val="32"/>
          <w:szCs w:val="32"/>
          <w:highlight w:val="none"/>
        </w:rPr>
        <w:t>推动安全生产治理模式向事前预防转型。</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textAlignment w:val="auto"/>
        <w:rPr>
          <w:rFonts w:hint="eastAsia" w:ascii="仿宋_GB2312" w:hAnsi="仿宋_GB2312" w:eastAsia="仿宋_GB2312" w:cs="仿宋_GB2312"/>
          <w:kern w:val="0"/>
          <w:sz w:val="32"/>
          <w:szCs w:val="32"/>
          <w:highlight w:val="none"/>
        </w:rPr>
      </w:pPr>
      <w:r>
        <w:rPr>
          <w:rFonts w:eastAsia="黑体"/>
          <w:sz w:val="32"/>
          <w:szCs w:val="32"/>
        </w:rPr>
        <w:t>三、落实安全工作责任。</w:t>
      </w:r>
      <w:r>
        <w:rPr>
          <w:rFonts w:hint="eastAsia" w:ascii="仿宋_GB2312" w:hAnsi="仿宋_GB2312" w:eastAsia="仿宋_GB2312" w:cs="仿宋_GB2312"/>
          <w:sz w:val="32"/>
          <w:szCs w:val="32"/>
          <w:highlight w:val="none"/>
        </w:rPr>
        <w:t>落实《党政领导干部安全生产责任制实施细则》《安徽省消防安全责任制规定》，</w:t>
      </w:r>
      <w:r>
        <w:rPr>
          <w:rFonts w:hint="eastAsia" w:ascii="仿宋_GB2312" w:hAnsi="仿宋_GB2312" w:eastAsia="仿宋_GB2312" w:cs="仿宋_GB2312"/>
          <w:sz w:val="32"/>
          <w:szCs w:val="32"/>
          <w:highlight w:val="none"/>
          <w:lang w:val="en-US" w:eastAsia="zh-CN"/>
        </w:rPr>
        <w:t>严格</w:t>
      </w:r>
      <w:r>
        <w:rPr>
          <w:rFonts w:hint="eastAsia" w:ascii="仿宋_GB2312" w:hAnsi="仿宋_GB2312" w:eastAsia="仿宋_GB2312" w:cs="仿宋_GB2312"/>
          <w:sz w:val="32"/>
          <w:szCs w:val="32"/>
          <w:highlight w:val="none"/>
        </w:rPr>
        <w:t>执行</w:t>
      </w:r>
      <w:r>
        <w:rPr>
          <w:rFonts w:hint="eastAsia" w:ascii="仿宋_GB2312" w:hAnsi="仿宋_GB2312" w:eastAsia="仿宋_GB2312" w:cs="仿宋_GB2312"/>
          <w:sz w:val="32"/>
          <w:szCs w:val="32"/>
          <w:highlight w:val="none"/>
          <w:lang w:eastAsia="zh-CN"/>
        </w:rPr>
        <w:t>《青阳县</w:t>
      </w:r>
      <w:r>
        <w:rPr>
          <w:rFonts w:hint="eastAsia" w:ascii="仿宋_GB2312" w:hAnsi="仿宋_GB2312" w:eastAsia="仿宋_GB2312" w:cs="仿宋_GB2312"/>
          <w:sz w:val="32"/>
          <w:szCs w:val="32"/>
          <w:highlight w:val="none"/>
        </w:rPr>
        <w:t>安全生产“三管三必须”责任清单</w:t>
      </w:r>
      <w:r>
        <w:rPr>
          <w:rFonts w:hint="eastAsia" w:ascii="仿宋_GB2312" w:hAnsi="仿宋_GB2312" w:eastAsia="仿宋_GB2312" w:cs="仿宋_GB2312"/>
          <w:sz w:val="32"/>
          <w:szCs w:val="32"/>
          <w:highlight w:val="none"/>
          <w:lang w:eastAsia="zh-CN"/>
        </w:rPr>
        <w:t>》</w:t>
      </w:r>
      <w:r>
        <w:rPr>
          <w:rFonts w:hint="eastAsia" w:ascii="仿宋_GB2312" w:hAnsi="仿宋_GB2312" w:eastAsia="仿宋_GB2312" w:cs="仿宋_GB2312"/>
          <w:sz w:val="32"/>
          <w:szCs w:val="32"/>
          <w:highlight w:val="none"/>
          <w:lang w:val="en-US" w:eastAsia="zh-CN"/>
        </w:rPr>
        <w:t>及《实施意见》</w:t>
      </w:r>
      <w:r>
        <w:rPr>
          <w:rFonts w:hint="eastAsia" w:ascii="仿宋_GB2312" w:hAnsi="仿宋_GB2312" w:eastAsia="仿宋_GB2312" w:cs="仿宋_GB2312"/>
          <w:sz w:val="32"/>
          <w:szCs w:val="32"/>
          <w:highlight w:val="none"/>
        </w:rPr>
        <w:t>。</w:t>
      </w:r>
      <w:r>
        <w:rPr>
          <w:rFonts w:hint="eastAsia" w:ascii="仿宋_GB2312" w:hAnsi="仿宋_GB2312" w:eastAsia="仿宋_GB2312" w:cs="仿宋_GB2312"/>
          <w:kern w:val="0"/>
          <w:sz w:val="32"/>
          <w:szCs w:val="32"/>
          <w:highlight w:val="none"/>
        </w:rPr>
        <w:t>指导公路、水路行业安全生产和应急管理工作。负责职责范围内的水上交通安全监管工作。负责</w:t>
      </w:r>
      <w:r>
        <w:rPr>
          <w:rFonts w:hint="eastAsia" w:ascii="仿宋_GB2312" w:hAnsi="仿宋_GB2312" w:eastAsia="仿宋_GB2312" w:cs="仿宋_GB2312"/>
          <w:kern w:val="0"/>
          <w:sz w:val="32"/>
          <w:szCs w:val="32"/>
          <w:highlight w:val="none"/>
          <w:lang w:val="en-US" w:eastAsia="zh-CN"/>
        </w:rPr>
        <w:t>职责范围内</w:t>
      </w:r>
      <w:r>
        <w:rPr>
          <w:rFonts w:hint="eastAsia" w:ascii="仿宋_GB2312" w:hAnsi="仿宋_GB2312" w:eastAsia="仿宋_GB2312" w:cs="仿宋_GB2312"/>
          <w:kern w:val="0"/>
          <w:sz w:val="32"/>
          <w:szCs w:val="32"/>
          <w:highlight w:val="none"/>
        </w:rPr>
        <w:t>港口安全生产监督管理工作。负责道路运输管理工作。负责职责范围内公路、水路建设工程质量和安全生产监督工作。负责职责范围内的危险化学品运输监管。指导通航水域采砂影响航道及通航安全工作，承担权限范围内有关安全管理工作。</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textAlignment w:val="auto"/>
        <w:rPr>
          <w:rFonts w:eastAsia="黑体"/>
          <w:sz w:val="32"/>
          <w:szCs w:val="32"/>
        </w:rPr>
      </w:pPr>
      <w:r>
        <w:rPr>
          <w:rFonts w:eastAsia="黑体"/>
          <w:sz w:val="32"/>
          <w:szCs w:val="32"/>
        </w:rPr>
        <w:t>四、防范化解重大风险。</w:t>
      </w:r>
      <w:r>
        <w:rPr>
          <w:rFonts w:hint="eastAsia" w:ascii="仿宋_GB2312" w:hAnsi="仿宋_GB2312" w:eastAsia="仿宋_GB2312" w:cs="仿宋_GB2312"/>
          <w:sz w:val="32"/>
          <w:szCs w:val="32"/>
          <w:highlight w:val="none"/>
          <w:lang w:val="en-US" w:eastAsia="zh-CN"/>
        </w:rPr>
        <w:t>聚焦</w:t>
      </w:r>
      <w:r>
        <w:rPr>
          <w:rFonts w:hint="eastAsia" w:ascii="仿宋_GB2312" w:hAnsi="仿宋_GB2312" w:eastAsia="仿宋_GB2312" w:cs="仿宋_GB2312"/>
          <w:sz w:val="32"/>
          <w:szCs w:val="32"/>
          <w:highlight w:val="none"/>
        </w:rPr>
        <w:t>重点行业领域</w:t>
      </w:r>
      <w:r>
        <w:rPr>
          <w:rFonts w:hint="eastAsia" w:ascii="仿宋_GB2312" w:hAnsi="仿宋_GB2312" w:eastAsia="仿宋_GB2312" w:cs="仿宋_GB2312"/>
          <w:sz w:val="32"/>
          <w:szCs w:val="32"/>
          <w:highlight w:val="none"/>
          <w:lang w:val="en-US" w:eastAsia="zh-CN"/>
        </w:rPr>
        <w:t>专项治理，深化</w:t>
      </w:r>
      <w:r>
        <w:rPr>
          <w:rFonts w:hint="eastAsia" w:ascii="仿宋_GB2312" w:hAnsi="仿宋_GB2312" w:eastAsia="仿宋_GB2312" w:cs="仿宋_GB2312"/>
          <w:sz w:val="32"/>
          <w:szCs w:val="32"/>
          <w:highlight w:val="none"/>
        </w:rPr>
        <w:t>重大事故隐患排查整治</w:t>
      </w:r>
      <w:r>
        <w:rPr>
          <w:rFonts w:hint="eastAsia" w:ascii="仿宋_GB2312" w:hAnsi="仿宋_GB2312" w:eastAsia="仿宋_GB2312" w:cs="仿宋_GB2312"/>
          <w:sz w:val="32"/>
          <w:szCs w:val="32"/>
          <w:highlight w:val="none"/>
          <w:lang w:eastAsia="zh-CN"/>
        </w:rPr>
        <w:t>。在重大活动、重大节日期间，采取“四不两直”执法检查、专家指导服务、媒体曝光等措施，组织开展安全生产常态化明查暗访。</w:t>
      </w:r>
      <w:r>
        <w:rPr>
          <w:rFonts w:hint="eastAsia" w:ascii="仿宋_GB2312" w:hAnsi="仿宋_GB2312" w:eastAsia="仿宋_GB2312" w:cs="仿宋_GB2312"/>
          <w:sz w:val="32"/>
          <w:szCs w:val="32"/>
          <w:highlight w:val="none"/>
        </w:rPr>
        <w:t>深刻汲取有关生产安全事故教训，主动排查整改问题。</w:t>
      </w:r>
      <w:r>
        <w:rPr>
          <w:rFonts w:hint="eastAsia" w:ascii="仿宋_GB2312" w:hAnsi="仿宋_GB2312" w:eastAsia="仿宋_GB2312" w:cs="仿宋_GB2312"/>
          <w:kern w:val="0"/>
          <w:sz w:val="32"/>
          <w:szCs w:val="32"/>
          <w:highlight w:val="none"/>
        </w:rPr>
        <w:t>强化道路运输安全整治</w:t>
      </w:r>
      <w:r>
        <w:rPr>
          <w:rFonts w:hint="eastAsia" w:ascii="仿宋_GB2312" w:hAnsi="仿宋_GB2312" w:eastAsia="仿宋_GB2312" w:cs="仿宋_GB2312"/>
          <w:kern w:val="0"/>
          <w:sz w:val="32"/>
          <w:szCs w:val="32"/>
          <w:highlight w:val="none"/>
          <w:lang w:val="en-US" w:eastAsia="zh-CN"/>
        </w:rPr>
        <w:t>，协同有关部门</w:t>
      </w:r>
      <w:r>
        <w:rPr>
          <w:rFonts w:hint="eastAsia" w:ascii="仿宋_GB2312" w:hAnsi="仿宋_GB2312" w:eastAsia="仿宋_GB2312" w:cs="仿宋_GB2312"/>
          <w:kern w:val="0"/>
          <w:sz w:val="32"/>
          <w:szCs w:val="32"/>
          <w:highlight w:val="none"/>
        </w:rPr>
        <w:t>健全货车安全协同监管机制，推进车辆动态监控网上巡查常态化开展。以网约车、网络货运平台等为重点，推动落实互联网平台企业安全生产主体责任。严厉打击机动车维修企业非法改装货车等行为。持续推进铁路沿线安全环境治理。压实水上安全属地管理责任，加强“四类重点船舶”安全管理，</w:t>
      </w:r>
      <w:r>
        <w:rPr>
          <w:rFonts w:hint="eastAsia" w:ascii="仿宋_GB2312" w:hAnsi="仿宋_GB2312" w:eastAsia="仿宋_GB2312" w:cs="仿宋_GB2312"/>
          <w:kern w:val="0"/>
          <w:sz w:val="32"/>
          <w:szCs w:val="32"/>
          <w:highlight w:val="none"/>
          <w:lang w:val="en-US" w:eastAsia="zh-CN"/>
        </w:rPr>
        <w:t>严厉打击</w:t>
      </w:r>
      <w:r>
        <w:rPr>
          <w:rFonts w:hint="eastAsia" w:ascii="仿宋_GB2312" w:hAnsi="仿宋_GB2312" w:eastAsia="仿宋_GB2312" w:cs="仿宋_GB2312"/>
          <w:kern w:val="0"/>
          <w:sz w:val="32"/>
          <w:szCs w:val="32"/>
          <w:highlight w:val="none"/>
        </w:rPr>
        <w:t>内河船舶非法涉海运输等行为。强化公路、水运等重大交通基础设施工程施工安全风险管控，开展公路危旧桥梁改造，压实建设单位安全生产首要责任和施工单位主体责任，严厉打击转包、违法分包等违法违规行为。</w:t>
      </w:r>
      <w:r>
        <w:rPr>
          <w:rFonts w:hint="eastAsia" w:ascii="仿宋_GB2312" w:hAnsi="仿宋_GB2312" w:eastAsia="仿宋_GB2312" w:cs="仿宋_GB2312"/>
          <w:kern w:val="0"/>
          <w:sz w:val="32"/>
          <w:szCs w:val="32"/>
          <w:highlight w:val="none"/>
          <w:lang w:val="en-US" w:eastAsia="zh-CN"/>
        </w:rPr>
        <w:t>配合相关部门</w:t>
      </w:r>
      <w:bookmarkStart w:id="0" w:name="_GoBack"/>
      <w:bookmarkEnd w:id="0"/>
      <w:r>
        <w:rPr>
          <w:rFonts w:hint="eastAsia" w:ascii="仿宋_GB2312" w:hAnsi="仿宋_GB2312" w:eastAsia="仿宋_GB2312" w:cs="仿宋_GB2312"/>
          <w:kern w:val="0"/>
          <w:sz w:val="32"/>
          <w:szCs w:val="32"/>
          <w:highlight w:val="none"/>
        </w:rPr>
        <w:t>港口营运安全整治</w:t>
      </w:r>
      <w:r>
        <w:rPr>
          <w:rFonts w:hint="eastAsia" w:ascii="仿宋_GB2312" w:hAnsi="仿宋_GB2312" w:eastAsia="仿宋_GB2312" w:cs="仿宋_GB2312"/>
          <w:kern w:val="0"/>
          <w:sz w:val="32"/>
          <w:szCs w:val="32"/>
          <w:highlight w:val="none"/>
          <w:lang w:eastAsia="zh-CN"/>
        </w:rPr>
        <w:t>，</w:t>
      </w:r>
      <w:r>
        <w:rPr>
          <w:rFonts w:hint="eastAsia" w:ascii="仿宋_GB2312" w:hAnsi="仿宋_GB2312" w:eastAsia="仿宋_GB2312" w:cs="仿宋_GB2312"/>
          <w:kern w:val="0"/>
          <w:sz w:val="32"/>
          <w:szCs w:val="32"/>
          <w:highlight w:val="none"/>
        </w:rPr>
        <w:t>加强港口机械设备伤害、大型机械防阵风防台风倾覆、有限空间作业等风险辨识管控和隐患排查治理</w:t>
      </w:r>
      <w:r>
        <w:rPr>
          <w:rFonts w:hint="eastAsia" w:ascii="仿宋_GB2312" w:hAnsi="仿宋_GB2312" w:eastAsia="仿宋_GB2312" w:cs="仿宋_GB2312"/>
          <w:kern w:val="0"/>
          <w:sz w:val="32"/>
          <w:szCs w:val="32"/>
          <w:highlight w:val="none"/>
          <w:lang w:eastAsia="zh-CN"/>
        </w:rPr>
        <w:t>。</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textAlignment w:val="auto"/>
        <w:rPr>
          <w:rFonts w:hint="eastAsia" w:ascii="仿宋_GB2312" w:hAnsi="仿宋_GB2312" w:eastAsia="仿宋_GB2312" w:cs="仿宋_GB2312"/>
          <w:sz w:val="32"/>
          <w:szCs w:val="32"/>
        </w:rPr>
      </w:pPr>
      <w:r>
        <w:rPr>
          <w:rFonts w:eastAsia="黑体"/>
          <w:sz w:val="32"/>
          <w:szCs w:val="32"/>
        </w:rPr>
        <w:t>五、夯实安全工作基础。</w:t>
      </w:r>
      <w:r>
        <w:rPr>
          <w:rFonts w:hint="eastAsia" w:ascii="仿宋_GB2312" w:hAnsi="仿宋_GB2312" w:eastAsia="仿宋_GB2312" w:cs="仿宋_GB2312"/>
          <w:sz w:val="32"/>
          <w:szCs w:val="32"/>
          <w:lang w:val="en-US" w:eastAsia="zh-CN"/>
        </w:rPr>
        <w:t>用好案例教育法，</w:t>
      </w:r>
      <w:r>
        <w:rPr>
          <w:rFonts w:hint="eastAsia" w:ascii="仿宋_GB2312" w:hAnsi="仿宋_GB2312" w:eastAsia="仿宋_GB2312" w:cs="仿宋_GB2312"/>
          <w:sz w:val="32"/>
          <w:szCs w:val="32"/>
        </w:rPr>
        <w:t>扎实开展“安全生产月”</w:t>
      </w:r>
      <w:r>
        <w:rPr>
          <w:rFonts w:hint="eastAsia" w:ascii="仿宋_GB2312" w:hAnsi="仿宋_GB2312" w:eastAsia="仿宋_GB2312" w:cs="仿宋_GB2312"/>
          <w:sz w:val="32"/>
          <w:szCs w:val="32"/>
          <w:lang w:eastAsia="zh-CN"/>
        </w:rPr>
        <w:t>、消防宣传月</w:t>
      </w:r>
      <w:r>
        <w:rPr>
          <w:rFonts w:hint="eastAsia" w:ascii="仿宋_GB2312" w:hAnsi="仿宋_GB2312" w:eastAsia="仿宋_GB2312" w:cs="仿宋_GB2312"/>
          <w:sz w:val="32"/>
          <w:szCs w:val="32"/>
        </w:rPr>
        <w:t>等安全宣传教育活动。持续推进公路安全设施精细化提升行动，加强公路路网设施运行监测。指导有关交通运输企业安全生产标准化建设和从业人员的安全生产教育培训工作。负责</w:t>
      </w:r>
      <w:r>
        <w:rPr>
          <w:rFonts w:hint="eastAsia" w:ascii="仿宋_GB2312" w:hAnsi="仿宋_GB2312" w:eastAsia="仿宋_GB2312" w:cs="仿宋_GB2312"/>
          <w:sz w:val="32"/>
          <w:szCs w:val="32"/>
          <w:lang w:eastAsia="zh-CN"/>
        </w:rPr>
        <w:t>交通运输行业</w:t>
      </w:r>
      <w:r>
        <w:rPr>
          <w:rFonts w:hint="eastAsia" w:ascii="仿宋_GB2312" w:hAnsi="仿宋_GB2312" w:eastAsia="仿宋_GB2312" w:cs="仿宋_GB2312"/>
          <w:sz w:val="32"/>
          <w:szCs w:val="32"/>
        </w:rPr>
        <w:t>安全管理统计分析。依法参加有关事故调查处理。修订完成有关专项预案或部门预案，组织预案演练和应急能力测试，督促完成本系统应急资源填报。建立健全内设安委会或安全生产工作领导小组，主要负责同志任主任或组长，每季度研究一次安全生产工作。发挥</w:t>
      </w:r>
      <w:r>
        <w:rPr>
          <w:rFonts w:hint="eastAsia" w:ascii="仿宋_GB2312" w:hAnsi="仿宋_GB2312" w:eastAsia="仿宋_GB2312" w:cs="仿宋_GB2312"/>
          <w:sz w:val="32"/>
          <w:szCs w:val="32"/>
          <w:lang w:eastAsia="zh-CN"/>
        </w:rPr>
        <w:t>综合交通运输</w:t>
      </w:r>
      <w:r>
        <w:rPr>
          <w:rFonts w:hint="eastAsia" w:ascii="仿宋_GB2312" w:hAnsi="仿宋_GB2312" w:eastAsia="仿宋_GB2312" w:cs="仿宋_GB2312"/>
          <w:sz w:val="32"/>
          <w:szCs w:val="32"/>
        </w:rPr>
        <w:t>安全专项领导小组办公室职能，组织开展信息通报、联合执法、会商研判。</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textAlignment w:val="auto"/>
        <w:rPr>
          <w:rFonts w:hint="eastAsia" w:ascii="仿宋_GB2312" w:hAnsi="仿宋_GB2312" w:eastAsia="仿宋_GB2312" w:cs="仿宋_GB2312"/>
          <w:kern w:val="0"/>
          <w:sz w:val="32"/>
          <w:szCs w:val="32"/>
        </w:rPr>
      </w:pPr>
      <w:r>
        <w:rPr>
          <w:rFonts w:hint="eastAsia" w:ascii="仿宋_GB2312" w:hAnsi="仿宋_GB2312" w:eastAsia="仿宋_GB2312" w:cs="仿宋_GB2312"/>
          <w:sz w:val="32"/>
          <w:szCs w:val="32"/>
        </w:rPr>
        <w:t>本责任书将作为202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年度安全生产和消防工作考核依据</w:t>
      </w:r>
      <w:r>
        <w:rPr>
          <w:rFonts w:hint="eastAsia" w:ascii="仿宋_GB2312" w:hAnsi="仿宋_GB2312" w:eastAsia="仿宋_GB2312" w:cs="仿宋_GB2312"/>
          <w:kern w:val="0"/>
          <w:sz w:val="32"/>
          <w:szCs w:val="32"/>
        </w:rPr>
        <w:t xml:space="preserve">。 </w:t>
      </w:r>
    </w:p>
    <w:p>
      <w:pPr>
        <w:keepNext w:val="0"/>
        <w:keepLines w:val="0"/>
        <w:pageBreakBefore w:val="0"/>
        <w:widowControl w:val="0"/>
        <w:kinsoku/>
        <w:wordWrap/>
        <w:overflowPunct w:val="0"/>
        <w:topLinePunct w:val="0"/>
        <w:autoSpaceDE/>
        <w:autoSpaceDN/>
        <w:bidi w:val="0"/>
        <w:adjustRightInd/>
        <w:snapToGrid/>
        <w:spacing w:line="560" w:lineRule="exact"/>
        <w:ind w:right="0" w:rightChars="0"/>
        <w:textAlignment w:val="auto"/>
        <w:outlineLvl w:val="9"/>
        <w:rPr>
          <w:rFonts w:hint="eastAsia" w:ascii="仿宋_GB2312" w:eastAsia="仿宋_GB2312"/>
          <w:kern w:val="0"/>
          <w:sz w:val="32"/>
          <w:szCs w:val="32"/>
        </w:rPr>
      </w:pPr>
    </w:p>
    <w:p>
      <w:pPr>
        <w:keepNext w:val="0"/>
        <w:keepLines w:val="0"/>
        <w:pageBreakBefore w:val="0"/>
        <w:widowControl w:val="0"/>
        <w:kinsoku/>
        <w:wordWrap/>
        <w:overflowPunct w:val="0"/>
        <w:topLinePunct w:val="0"/>
        <w:autoSpaceDE/>
        <w:autoSpaceDN/>
        <w:bidi w:val="0"/>
        <w:adjustRightInd/>
        <w:snapToGrid/>
        <w:spacing w:line="560" w:lineRule="exact"/>
        <w:ind w:right="0" w:rightChars="0"/>
        <w:textAlignment w:val="auto"/>
        <w:outlineLvl w:val="9"/>
        <w:rPr>
          <w:rFonts w:hint="eastAsia" w:ascii="仿宋_GB2312" w:eastAsia="仿宋_GB2312"/>
          <w:kern w:val="0"/>
          <w:sz w:val="32"/>
          <w:szCs w:val="32"/>
        </w:rPr>
      </w:pP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960" w:firstLineChars="300"/>
        <w:textAlignment w:val="auto"/>
        <w:rPr>
          <w:rFonts w:ascii="黑体" w:hAnsi="黑体" w:eastAsia="黑体"/>
          <w:sz w:val="32"/>
          <w:szCs w:val="32"/>
        </w:rPr>
      </w:pPr>
      <w:r>
        <w:rPr>
          <w:rFonts w:hint="eastAsia" w:ascii="黑体" w:hAnsi="黑体" w:eastAsia="黑体"/>
          <w:sz w:val="32"/>
          <w:szCs w:val="32"/>
          <w:lang w:eastAsia="zh-CN"/>
        </w:rPr>
        <w:t>青阳县</w:t>
      </w:r>
      <w:r>
        <w:rPr>
          <w:rFonts w:hint="eastAsia" w:ascii="黑体" w:hAnsi="黑体" w:eastAsia="黑体"/>
          <w:sz w:val="32"/>
          <w:szCs w:val="32"/>
        </w:rPr>
        <w:t xml:space="preserve">人民政府          </w:t>
      </w:r>
      <w:r>
        <w:rPr>
          <w:rFonts w:hint="eastAsia" w:ascii="黑体" w:hAnsi="黑体" w:eastAsia="黑体"/>
          <w:sz w:val="32"/>
          <w:szCs w:val="32"/>
          <w:lang w:val="en-US" w:eastAsia="zh-CN"/>
        </w:rPr>
        <w:t xml:space="preserve">   </w:t>
      </w:r>
      <w:r>
        <w:rPr>
          <w:rFonts w:hint="eastAsia" w:ascii="黑体" w:hAnsi="黑体" w:eastAsia="黑体"/>
          <w:sz w:val="32"/>
          <w:szCs w:val="32"/>
        </w:rPr>
        <w:t xml:space="preserve">  </w:t>
      </w:r>
      <w:r>
        <w:rPr>
          <w:rFonts w:hint="eastAsia" w:ascii="黑体" w:hAnsi="黑体" w:eastAsia="黑体"/>
          <w:sz w:val="32"/>
          <w:szCs w:val="32"/>
          <w:lang w:eastAsia="zh-CN"/>
        </w:rPr>
        <w:t>青阳县</w:t>
      </w:r>
      <w:r>
        <w:rPr>
          <w:rFonts w:hint="eastAsia" w:ascii="黑体" w:hAnsi="黑体" w:eastAsia="黑体"/>
          <w:sz w:val="32"/>
          <w:szCs w:val="32"/>
        </w:rPr>
        <w:t>交通运输局</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960" w:firstLineChars="300"/>
        <w:textAlignment w:val="auto"/>
        <w:rPr>
          <w:rFonts w:hint="eastAsia" w:ascii="黑体" w:hAnsi="黑体" w:eastAsia="黑体"/>
          <w:sz w:val="32"/>
          <w:szCs w:val="32"/>
        </w:rPr>
      </w:pP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960" w:firstLineChars="300"/>
        <w:textAlignment w:val="auto"/>
        <w:rPr>
          <w:rFonts w:ascii="黑体" w:hAnsi="黑体" w:eastAsia="黑体"/>
          <w:sz w:val="32"/>
          <w:szCs w:val="32"/>
        </w:rPr>
      </w:pPr>
      <w:r>
        <w:rPr>
          <w:rFonts w:hint="eastAsia" w:ascii="黑体" w:hAnsi="黑体" w:eastAsia="黑体"/>
          <w:sz w:val="32"/>
          <w:szCs w:val="32"/>
        </w:rPr>
        <w:t xml:space="preserve">签字人：                 </w:t>
      </w:r>
      <w:r>
        <w:rPr>
          <w:rFonts w:hint="eastAsia" w:ascii="黑体" w:hAnsi="黑体" w:eastAsia="黑体"/>
          <w:sz w:val="32"/>
          <w:szCs w:val="32"/>
          <w:lang w:val="en-US" w:eastAsia="zh-CN"/>
        </w:rPr>
        <w:t xml:space="preserve">   </w:t>
      </w:r>
      <w:r>
        <w:rPr>
          <w:rFonts w:hint="eastAsia" w:ascii="黑体" w:hAnsi="黑体" w:eastAsia="黑体"/>
          <w:sz w:val="32"/>
          <w:szCs w:val="32"/>
        </w:rPr>
        <w:t xml:space="preserve"> 签字人：</w:t>
      </w:r>
    </w:p>
    <w:p>
      <w:pPr>
        <w:keepNext w:val="0"/>
        <w:keepLines w:val="0"/>
        <w:pageBreakBefore w:val="0"/>
        <w:widowControl w:val="0"/>
        <w:kinsoku/>
        <w:wordWrap/>
        <w:overflowPunct w:val="0"/>
        <w:topLinePunct w:val="0"/>
        <w:autoSpaceDE/>
        <w:autoSpaceDN/>
        <w:bidi w:val="0"/>
        <w:adjustRightInd/>
        <w:snapToGrid/>
        <w:spacing w:line="560" w:lineRule="exact"/>
        <w:ind w:right="0" w:rightChars="0"/>
        <w:jc w:val="right"/>
        <w:textAlignment w:val="auto"/>
        <w:rPr>
          <w:rFonts w:ascii="仿宋_GB2312" w:eastAsia="仿宋_GB2312"/>
          <w:sz w:val="32"/>
          <w:szCs w:val="32"/>
        </w:rPr>
      </w:pPr>
    </w:p>
    <w:p>
      <w:pPr>
        <w:keepNext w:val="0"/>
        <w:keepLines w:val="0"/>
        <w:pageBreakBefore w:val="0"/>
        <w:widowControl w:val="0"/>
        <w:kinsoku/>
        <w:wordWrap/>
        <w:overflowPunct w:val="0"/>
        <w:topLinePunct w:val="0"/>
        <w:autoSpaceDE/>
        <w:autoSpaceDN/>
        <w:bidi w:val="0"/>
        <w:adjustRightInd/>
        <w:snapToGrid/>
        <w:spacing w:line="560" w:lineRule="exact"/>
        <w:ind w:right="0" w:rightChars="0"/>
        <w:jc w:val="right"/>
        <w:textAlignment w:val="auto"/>
        <w:rPr>
          <w:rFonts w:ascii="黑体" w:hAnsi="黑体" w:eastAsia="黑体"/>
          <w:sz w:val="32"/>
          <w:szCs w:val="32"/>
        </w:rPr>
      </w:pPr>
      <w:r>
        <w:rPr>
          <w:rFonts w:hint="eastAsia" w:ascii="黑体" w:hAnsi="黑体" w:eastAsia="黑体"/>
          <w:sz w:val="32"/>
          <w:szCs w:val="32"/>
        </w:rPr>
        <w:t>202</w:t>
      </w:r>
      <w:r>
        <w:rPr>
          <w:rFonts w:hint="eastAsia" w:ascii="黑体" w:hAnsi="黑体" w:eastAsia="黑体"/>
          <w:sz w:val="32"/>
          <w:szCs w:val="32"/>
          <w:lang w:val="en-US" w:eastAsia="zh-CN"/>
        </w:rPr>
        <w:t>4</w:t>
      </w:r>
      <w:r>
        <w:rPr>
          <w:rFonts w:hint="eastAsia" w:ascii="黑体" w:hAnsi="黑体" w:eastAsia="黑体"/>
          <w:sz w:val="32"/>
          <w:szCs w:val="32"/>
        </w:rPr>
        <w:t>年</w:t>
      </w:r>
      <w:r>
        <w:rPr>
          <w:rFonts w:hint="eastAsia" w:ascii="黑体" w:hAnsi="黑体" w:eastAsia="黑体"/>
          <w:sz w:val="32"/>
          <w:szCs w:val="32"/>
          <w:lang w:val="en-US" w:eastAsia="zh-CN"/>
        </w:rPr>
        <w:t>5</w:t>
      </w:r>
      <w:r>
        <w:rPr>
          <w:rFonts w:hint="eastAsia" w:ascii="黑体" w:hAnsi="黑体" w:eastAsia="黑体"/>
          <w:sz w:val="32"/>
          <w:szCs w:val="32"/>
        </w:rPr>
        <w:t>月</w:t>
      </w:r>
    </w:p>
    <w:sectPr>
      <w:pgSz w:w="11906" w:h="16838"/>
      <w:pgMar w:top="1701" w:right="1418" w:bottom="1134" w:left="1418" w:header="851" w:footer="992" w:gutter="0"/>
      <w:paperSrc/>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ED032E86-ED96-4846-809C-0FD1981FF2EE}"/>
  </w:font>
  <w:font w:name="Arial">
    <w:panose1 w:val="020B0604020202020204"/>
    <w:charset w:val="01"/>
    <w:family w:val="swiss"/>
    <w:pitch w:val="default"/>
    <w:sig w:usb0="E0002EFF" w:usb1="C000785B" w:usb2="00000009" w:usb3="00000000" w:csb0="400001FF" w:csb1="FFFF0000"/>
    <w:embedRegular r:id="rId2" w:fontKey="{DBE46E2A-6259-43DB-8329-512056E18443}"/>
  </w:font>
  <w:font w:name="黑体">
    <w:panose1 w:val="02010609060101010101"/>
    <w:charset w:val="86"/>
    <w:family w:val="auto"/>
    <w:pitch w:val="default"/>
    <w:sig w:usb0="800002BF" w:usb1="38CF7CFA" w:usb2="00000016" w:usb3="00000000" w:csb0="00040001" w:csb1="00000000"/>
    <w:embedRegular r:id="rId3" w:fontKey="{2083990B-6B00-45A5-B3FE-C09EF469E1F5}"/>
  </w:font>
  <w:font w:name="Courier New">
    <w:panose1 w:val="02070309020205020404"/>
    <w:charset w:val="01"/>
    <w:family w:val="modern"/>
    <w:pitch w:val="default"/>
    <w:sig w:usb0="E0002EFF" w:usb1="C0007843" w:usb2="00000009" w:usb3="00000000" w:csb0="400001FF" w:csb1="FFFF0000"/>
    <w:embedRegular r:id="rId4" w:fontKey="{360A135B-7413-442B-8303-E7CB0F036572}"/>
  </w:font>
  <w:font w:name="Symbol">
    <w:panose1 w:val="05050102010706020507"/>
    <w:charset w:val="02"/>
    <w:family w:val="roman"/>
    <w:pitch w:val="default"/>
    <w:sig w:usb0="00000000" w:usb1="00000000" w:usb2="00000000" w:usb3="00000000" w:csb0="80000000" w:csb1="00000000"/>
    <w:embedRegular r:id="rId5" w:fontKey="{9BEB9ECB-CC61-4E9B-BFEF-B64540D8B79F}"/>
  </w:font>
  <w:font w:name="Calibri">
    <w:panose1 w:val="020F0502020204030204"/>
    <w:charset w:val="00"/>
    <w:family w:val="swiss"/>
    <w:pitch w:val="default"/>
    <w:sig w:usb0="E4002EFF" w:usb1="C000247B" w:usb2="00000009" w:usb3="00000000" w:csb0="200001FF" w:csb1="00000000"/>
    <w:embedRegular r:id="rId6" w:fontKey="{68BA2D37-9F9C-4750-86EF-9EBA7A166A02}"/>
  </w:font>
  <w:font w:name="方正小标宋简体">
    <w:panose1 w:val="02000000000000000000"/>
    <w:charset w:val="86"/>
    <w:family w:val="auto"/>
    <w:pitch w:val="default"/>
    <w:sig w:usb0="00000001" w:usb1="080E0000" w:usb2="00000000" w:usb3="00000000" w:csb0="00040000" w:csb1="00000000"/>
    <w:embedRegular r:id="rId7" w:fontKey="{ED9721E9-0BF6-42EC-9A1B-7FB8AD227710}"/>
  </w:font>
  <w:font w:name="仿宋_GB2312">
    <w:panose1 w:val="02010609030101010101"/>
    <w:charset w:val="86"/>
    <w:family w:val="modern"/>
    <w:pitch w:val="default"/>
    <w:sig w:usb0="00000001" w:usb1="080E0000" w:usb2="00000000" w:usb3="00000000" w:csb0="00040000" w:csb1="00000000"/>
    <w:embedRegular r:id="rId8" w:fontKey="{C5807F01-B44B-42C3-A95B-783E4783624E}"/>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M3NDk0MWYyNjgwMzk4N2QyZTA1NTg4ODE3YzA2ZTgifQ=="/>
  </w:docVars>
  <w:rsids>
    <w:rsidRoot w:val="001063B8"/>
    <w:rsid w:val="000274D5"/>
    <w:rsid w:val="001063B8"/>
    <w:rsid w:val="0018234B"/>
    <w:rsid w:val="001A1294"/>
    <w:rsid w:val="001C17FC"/>
    <w:rsid w:val="001F426A"/>
    <w:rsid w:val="00341CF4"/>
    <w:rsid w:val="0035516F"/>
    <w:rsid w:val="00434BFF"/>
    <w:rsid w:val="004A29E5"/>
    <w:rsid w:val="005D73CB"/>
    <w:rsid w:val="00635822"/>
    <w:rsid w:val="006716A1"/>
    <w:rsid w:val="006846F6"/>
    <w:rsid w:val="006A6935"/>
    <w:rsid w:val="006A7F71"/>
    <w:rsid w:val="00711C04"/>
    <w:rsid w:val="00794797"/>
    <w:rsid w:val="007B769E"/>
    <w:rsid w:val="007E79FE"/>
    <w:rsid w:val="00832FE0"/>
    <w:rsid w:val="0085219E"/>
    <w:rsid w:val="0085579B"/>
    <w:rsid w:val="00870DF1"/>
    <w:rsid w:val="00927595"/>
    <w:rsid w:val="009B53B7"/>
    <w:rsid w:val="00A7687D"/>
    <w:rsid w:val="00B01418"/>
    <w:rsid w:val="00C72F80"/>
    <w:rsid w:val="00C7469A"/>
    <w:rsid w:val="00D5451C"/>
    <w:rsid w:val="00DA2833"/>
    <w:rsid w:val="00F65E92"/>
    <w:rsid w:val="00FF722B"/>
    <w:rsid w:val="03976C2A"/>
    <w:rsid w:val="0523710F"/>
    <w:rsid w:val="068F24F4"/>
    <w:rsid w:val="0AB45D1D"/>
    <w:rsid w:val="0B3156F7"/>
    <w:rsid w:val="0D815DD4"/>
    <w:rsid w:val="12242551"/>
    <w:rsid w:val="12DE7825"/>
    <w:rsid w:val="16E7651B"/>
    <w:rsid w:val="17E132D3"/>
    <w:rsid w:val="21022C79"/>
    <w:rsid w:val="25311A36"/>
    <w:rsid w:val="27311E13"/>
    <w:rsid w:val="282910EA"/>
    <w:rsid w:val="2E1F65CF"/>
    <w:rsid w:val="3274354B"/>
    <w:rsid w:val="339C1E45"/>
    <w:rsid w:val="33F00D0E"/>
    <w:rsid w:val="34093BC0"/>
    <w:rsid w:val="35084F78"/>
    <w:rsid w:val="35DA3DD7"/>
    <w:rsid w:val="37841E99"/>
    <w:rsid w:val="3D891FB8"/>
    <w:rsid w:val="41652D3C"/>
    <w:rsid w:val="459B6D2C"/>
    <w:rsid w:val="4B6E37D9"/>
    <w:rsid w:val="51D87259"/>
    <w:rsid w:val="54904507"/>
    <w:rsid w:val="54FE1085"/>
    <w:rsid w:val="56E602DF"/>
    <w:rsid w:val="5D445AA3"/>
    <w:rsid w:val="5DD869F1"/>
    <w:rsid w:val="60D900D3"/>
    <w:rsid w:val="677D22DE"/>
    <w:rsid w:val="6C046B2A"/>
    <w:rsid w:val="6E214D44"/>
    <w:rsid w:val="6EFD5A0E"/>
    <w:rsid w:val="705C2F6F"/>
    <w:rsid w:val="70880E42"/>
    <w:rsid w:val="746B5AD7"/>
    <w:rsid w:val="76AE59C3"/>
    <w:rsid w:val="782456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rFonts w:ascii="Times New Roman" w:hAnsi="Times New Roman" w:eastAsia="宋体" w:cs="Times New Roman"/>
      <w:sz w:val="18"/>
      <w:szCs w:val="18"/>
    </w:rPr>
  </w:style>
  <w:style w:type="character" w:customStyle="1" w:styleId="7">
    <w:name w:val="页脚 Char"/>
    <w:basedOn w:val="5"/>
    <w:link w:val="2"/>
    <w:qFormat/>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4" Type="http://schemas.openxmlformats.org/officeDocument/2006/relationships/fontTable" Target="fontTable.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Pages>
  <Words>1320</Words>
  <Characters>1332</Characters>
  <Lines>10</Lines>
  <Paragraphs>3</Paragraphs>
  <TotalTime>47</TotalTime>
  <ScaleCrop>false</ScaleCrop>
  <LinksUpToDate>false</LinksUpToDate>
  <CharactersWithSpaces>1369</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2020-04-15T07:40:00Z</dcterms:created>
  <dc:creator>vvv</dc:creator>
  <cp:lastModifiedBy>白马骨</cp:lastModifiedBy>
  <cp:lastPrinted>2020-05-18T01:12:00Z</cp:lastPrinted>
  <dcterms:modified xsi:type="dcterms:W3CDTF">2024-05-30T07:41:23Z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KSOSaveFontToCloudKey">
    <vt:lpwstr>1152252418_embed</vt:lpwstr>
  </property>
  <property fmtid="{D5CDD505-2E9C-101B-9397-08002B2CF9AE}" pid="4" name="ICV">
    <vt:lpwstr>69E28854362E4B66807AB1821F13613B_13</vt:lpwstr>
  </property>
</Properties>
</file>