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val="0"/>
        <w:topLinePunct w:val="0"/>
        <w:autoSpaceDE/>
        <w:autoSpaceDN/>
        <w:bidi w:val="0"/>
        <w:adjustRightInd/>
        <w:snapToGrid/>
        <w:spacing w:line="560" w:lineRule="exact"/>
        <w:ind w:right="0" w:right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lang w:eastAsia="zh-CN"/>
        </w:rPr>
        <w:t>县</w:t>
      </w:r>
      <w:r>
        <w:rPr>
          <w:rFonts w:hint="eastAsia" w:ascii="方正小标宋简体" w:hAnsi="方正小标宋简体" w:eastAsia="方正小标宋简体" w:cs="方正小标宋简体"/>
          <w:sz w:val="44"/>
          <w:szCs w:val="44"/>
        </w:rPr>
        <w:t>水利局202</w:t>
      </w:r>
      <w:r>
        <w:rPr>
          <w:rFonts w:hint="eastAsia" w:ascii="方正小标宋简体" w:hAnsi="方正小标宋简体" w:eastAsia="方正小标宋简体" w:cs="方正小标宋简体"/>
          <w:sz w:val="44"/>
          <w:szCs w:val="44"/>
          <w:lang w:val="en-US" w:eastAsia="zh-CN"/>
        </w:rPr>
        <w:t>4</w:t>
      </w:r>
      <w:r>
        <w:rPr>
          <w:rFonts w:hint="eastAsia" w:ascii="方正小标宋简体" w:hAnsi="方正小标宋简体" w:eastAsia="方正小标宋简体" w:cs="方正小标宋简体"/>
          <w:sz w:val="44"/>
          <w:szCs w:val="44"/>
        </w:rPr>
        <w:t>年安全生产和消防</w:t>
      </w:r>
    </w:p>
    <w:p>
      <w:pPr>
        <w:keepNext w:val="0"/>
        <w:keepLines w:val="0"/>
        <w:pageBreakBefore w:val="0"/>
        <w:widowControl w:val="0"/>
        <w:kinsoku/>
        <w:wordWrap/>
        <w:overflowPunct w:val="0"/>
        <w:topLinePunct w:val="0"/>
        <w:autoSpaceDE/>
        <w:autoSpaceDN/>
        <w:bidi w:val="0"/>
        <w:adjustRightInd/>
        <w:snapToGrid/>
        <w:spacing w:line="560" w:lineRule="exact"/>
        <w:ind w:right="0" w:right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工作目标管理责任书</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jc w:val="both"/>
        <w:textAlignment w:val="auto"/>
        <w:rPr>
          <w:rFonts w:hint="eastAsia" w:ascii="仿宋_GB2312" w:eastAsia="仿宋_GB2312"/>
          <w:sz w:val="32"/>
          <w:szCs w:val="32"/>
        </w:rPr>
      </w:pP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jc w:val="both"/>
        <w:textAlignment w:val="auto"/>
        <w:rPr>
          <w:rFonts w:ascii="仿宋_GB2312" w:eastAsia="仿宋_GB2312"/>
          <w:sz w:val="32"/>
          <w:szCs w:val="32"/>
        </w:rPr>
      </w:pPr>
      <w:r>
        <w:rPr>
          <w:rFonts w:hint="eastAsia" w:ascii="仿宋_GB2312" w:eastAsia="仿宋_GB2312"/>
          <w:sz w:val="32"/>
          <w:szCs w:val="32"/>
        </w:rPr>
        <w:t>为落实安全生产和消防工作责任，防范各类生产安全和火灾事故，依据《地方党政领导干部安全生产责任制规定》和省、市</w:t>
      </w:r>
      <w:r>
        <w:rPr>
          <w:rFonts w:hint="eastAsia" w:ascii="仿宋_GB2312" w:eastAsia="仿宋_GB2312"/>
          <w:sz w:val="32"/>
          <w:szCs w:val="32"/>
          <w:lang w:eastAsia="zh-CN"/>
        </w:rPr>
        <w:t>、县</w:t>
      </w:r>
      <w:r>
        <w:rPr>
          <w:rFonts w:hint="eastAsia" w:ascii="仿宋_GB2312" w:eastAsia="仿宋_GB2312"/>
          <w:sz w:val="32"/>
          <w:szCs w:val="32"/>
        </w:rPr>
        <w:t>实施细则及《</w:t>
      </w:r>
      <w:r>
        <w:rPr>
          <w:rFonts w:hint="eastAsia" w:ascii="仿宋_GB2312" w:eastAsia="仿宋_GB2312"/>
          <w:sz w:val="32"/>
          <w:szCs w:val="32"/>
          <w:lang w:eastAsia="zh-CN"/>
        </w:rPr>
        <w:t>安徽省</w:t>
      </w:r>
      <w:r>
        <w:rPr>
          <w:rFonts w:hint="eastAsia" w:ascii="仿宋_GB2312" w:eastAsia="仿宋_GB2312"/>
          <w:sz w:val="32"/>
          <w:szCs w:val="32"/>
        </w:rPr>
        <w:t>消防安全责任制规定》，</w:t>
      </w:r>
      <w:r>
        <w:rPr>
          <w:rFonts w:hint="eastAsia" w:ascii="黑体" w:hAnsi="黑体" w:eastAsia="黑体"/>
          <w:sz w:val="32"/>
          <w:szCs w:val="32"/>
          <w:lang w:eastAsia="zh-CN"/>
        </w:rPr>
        <w:t>青阳县</w:t>
      </w:r>
      <w:r>
        <w:rPr>
          <w:rFonts w:hint="eastAsia" w:ascii="黑体" w:hAnsi="黑体" w:eastAsia="黑体"/>
          <w:sz w:val="32"/>
          <w:szCs w:val="32"/>
        </w:rPr>
        <w:t>人民政府</w:t>
      </w:r>
      <w:r>
        <w:rPr>
          <w:rFonts w:hint="eastAsia" w:ascii="仿宋_GB2312" w:eastAsia="仿宋_GB2312"/>
          <w:sz w:val="32"/>
          <w:szCs w:val="32"/>
        </w:rPr>
        <w:t>与</w:t>
      </w:r>
      <w:r>
        <w:rPr>
          <w:rFonts w:hint="eastAsia" w:ascii="黑体" w:hAnsi="黑体" w:eastAsia="黑体"/>
          <w:sz w:val="32"/>
          <w:szCs w:val="32"/>
          <w:lang w:eastAsia="zh-CN"/>
        </w:rPr>
        <w:t>青阳县</w:t>
      </w:r>
      <w:r>
        <w:rPr>
          <w:rFonts w:hint="eastAsia" w:ascii="黑体" w:hAnsi="黑体" w:eastAsia="黑体"/>
          <w:sz w:val="32"/>
          <w:szCs w:val="32"/>
        </w:rPr>
        <w:t>水利局</w:t>
      </w:r>
      <w:r>
        <w:rPr>
          <w:rFonts w:hint="eastAsia" w:ascii="仿宋_GB2312" w:eastAsia="仿宋_GB2312"/>
          <w:sz w:val="32"/>
          <w:szCs w:val="32"/>
        </w:rPr>
        <w:t>签订202</w:t>
      </w:r>
      <w:r>
        <w:rPr>
          <w:rFonts w:hint="eastAsia" w:ascii="仿宋_GB2312" w:eastAsia="仿宋_GB2312"/>
          <w:sz w:val="32"/>
          <w:szCs w:val="32"/>
          <w:lang w:val="en-US" w:eastAsia="zh-CN"/>
        </w:rPr>
        <w:t>4</w:t>
      </w:r>
      <w:r>
        <w:rPr>
          <w:rFonts w:hint="eastAsia" w:ascii="仿宋_GB2312" w:eastAsia="仿宋_GB2312"/>
          <w:sz w:val="32"/>
          <w:szCs w:val="32"/>
        </w:rPr>
        <w:t>年安全生产和消防工作目标管理责任书</w:t>
      </w: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textAlignment w:val="auto"/>
        <w:rPr>
          <w:rFonts w:eastAsia="仿宋_GB2312"/>
          <w:sz w:val="32"/>
          <w:szCs w:val="32"/>
        </w:rPr>
      </w:pPr>
      <w:r>
        <w:rPr>
          <w:rFonts w:eastAsia="黑体"/>
          <w:sz w:val="32"/>
          <w:szCs w:val="32"/>
        </w:rPr>
        <w:t>一、确保实现工作目标。</w:t>
      </w:r>
      <w:r>
        <w:rPr>
          <w:rFonts w:eastAsia="仿宋_GB2312"/>
          <w:sz w:val="32"/>
          <w:szCs w:val="32"/>
        </w:rPr>
        <w:t>坚决遏制水利行业重特大生产安全和火灾事故，有效防范生产安全和火灾较大事故，努力减少生产安全和火灾一般事故。</w:t>
      </w: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textAlignment w:val="auto"/>
        <w:rPr>
          <w:rFonts w:eastAsia="仿宋_GB2312"/>
          <w:sz w:val="32"/>
          <w:szCs w:val="32"/>
        </w:rPr>
      </w:pPr>
      <w:r>
        <w:rPr>
          <w:rFonts w:eastAsia="黑体"/>
          <w:sz w:val="32"/>
          <w:szCs w:val="32"/>
        </w:rPr>
        <w:t>二、树牢安全发展理念。</w:t>
      </w:r>
      <w:r>
        <w:rPr>
          <w:rFonts w:hint="eastAsia" w:ascii="仿宋_GB2312" w:hAnsi="仿宋_GB2312" w:eastAsia="仿宋_GB2312" w:cs="仿宋_GB2312"/>
          <w:sz w:val="32"/>
          <w:szCs w:val="32"/>
        </w:rPr>
        <w:t>深入学习宣传贯彻习近平总书记关于安全生产、应急管理、防灾减灾救灾的重要论述，贯彻落实党的二十大报告中关于安全生产的重要部署，坚持人民至上、生命至上，更好统筹发展和安全，深入开展安全生产治本攻坚三年行动，推动安全生产治理模式向事前预防转型。</w:t>
      </w: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textAlignment w:val="auto"/>
        <w:rPr>
          <w:rFonts w:hint="eastAsia" w:ascii="仿宋_GB2312" w:hAnsi="仿宋_GB2312" w:eastAsia="仿宋_GB2312" w:cs="仿宋_GB2312"/>
          <w:sz w:val="32"/>
          <w:szCs w:val="32"/>
        </w:rPr>
      </w:pPr>
      <w:r>
        <w:rPr>
          <w:rFonts w:eastAsia="黑体"/>
          <w:sz w:val="32"/>
          <w:szCs w:val="32"/>
        </w:rPr>
        <w:t>三、落实安全工作责任。</w:t>
      </w:r>
      <w:r>
        <w:rPr>
          <w:rFonts w:hint="eastAsia" w:ascii="仿宋_GB2312" w:hAnsi="仿宋_GB2312" w:eastAsia="仿宋_GB2312" w:cs="仿宋_GB2312"/>
          <w:sz w:val="32"/>
          <w:szCs w:val="32"/>
        </w:rPr>
        <w:t>落实《党政领导干部安全生产责任制实施细则》《安徽省消防安全责任制规定》，严格执行《</w:t>
      </w:r>
      <w:r>
        <w:rPr>
          <w:rFonts w:hint="eastAsia" w:ascii="仿宋_GB2312" w:hAnsi="仿宋_GB2312" w:eastAsia="仿宋_GB2312" w:cs="仿宋_GB2312"/>
          <w:sz w:val="32"/>
          <w:szCs w:val="32"/>
          <w:lang w:eastAsia="zh-CN"/>
        </w:rPr>
        <w:t>青阳县</w:t>
      </w:r>
      <w:r>
        <w:rPr>
          <w:rFonts w:hint="eastAsia" w:ascii="仿宋_GB2312" w:hAnsi="仿宋_GB2312" w:eastAsia="仿宋_GB2312" w:cs="仿宋_GB2312"/>
          <w:sz w:val="32"/>
          <w:szCs w:val="32"/>
        </w:rPr>
        <w:t>安全生产“三管三必须”责任清单》及《实施意见》。依法负责水利行业安全生产工作，组织指导水库、水电站大坝、农村水电站的安全监督管理。组织实施水利建设工程质量和安全生产监督管理工作。监督管理河道采砂工作</w:t>
      </w:r>
      <w:r>
        <w:rPr>
          <w:rFonts w:hint="eastAsia" w:ascii="仿宋_GB2312" w:hAnsi="仿宋_GB2312" w:eastAsia="仿宋_GB2312" w:cs="仿宋_GB2312"/>
          <w:color w:val="000000" w:themeColor="text1"/>
          <w:sz w:val="32"/>
          <w:szCs w:val="32"/>
          <w14:textFill>
            <w14:solidFill>
              <w14:schemeClr w14:val="tx1"/>
            </w14:solidFill>
          </w14:textFill>
        </w:rPr>
        <w:t>。负责组织开展</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县域范围内</w:t>
      </w:r>
      <w:r>
        <w:rPr>
          <w:rFonts w:hint="eastAsia" w:ascii="仿宋_GB2312" w:hAnsi="仿宋_GB2312" w:eastAsia="仿宋_GB2312" w:cs="仿宋_GB2312"/>
          <w:color w:val="000000" w:themeColor="text1"/>
          <w:sz w:val="32"/>
          <w:szCs w:val="32"/>
          <w14:textFill>
            <w14:solidFill>
              <w14:schemeClr w14:val="tx1"/>
            </w14:solidFill>
          </w14:textFill>
        </w:rPr>
        <w:t>河道采砂管理工作。</w:t>
      </w:r>
      <w:r>
        <w:rPr>
          <w:rFonts w:hint="eastAsia" w:ascii="仿宋_GB2312" w:hAnsi="仿宋_GB2312" w:eastAsia="仿宋_GB2312" w:cs="仿宋_GB2312"/>
          <w:sz w:val="32"/>
          <w:szCs w:val="32"/>
        </w:rPr>
        <w:t>组织指导水利工程蓄水安全鉴定和验收，指导</w:t>
      </w:r>
      <w:r>
        <w:rPr>
          <w:rFonts w:hint="eastAsia" w:ascii="仿宋_GB2312" w:hAnsi="仿宋_GB2312" w:eastAsia="仿宋_GB2312" w:cs="仿宋_GB2312"/>
          <w:sz w:val="32"/>
          <w:szCs w:val="32"/>
          <w:lang w:val="en-US" w:eastAsia="zh-CN"/>
        </w:rPr>
        <w:t>县域范围内堤防</w:t>
      </w:r>
      <w:r>
        <w:rPr>
          <w:rFonts w:hint="eastAsia" w:ascii="仿宋_GB2312" w:hAnsi="仿宋_GB2312" w:eastAsia="仿宋_GB2312" w:cs="仿宋_GB2312"/>
          <w:sz w:val="32"/>
          <w:szCs w:val="32"/>
        </w:rPr>
        <w:t>、重要病险水库、重要水闸的除险加固。</w:t>
      </w: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textAlignment w:val="auto"/>
        <w:rPr>
          <w:rFonts w:eastAsia="仿宋_GB2312"/>
          <w:sz w:val="32"/>
          <w:szCs w:val="32"/>
        </w:rPr>
      </w:pPr>
      <w:r>
        <w:rPr>
          <w:rFonts w:eastAsia="黑体"/>
          <w:sz w:val="32"/>
          <w:szCs w:val="32"/>
        </w:rPr>
        <w:t>四、防范化解重大风险。</w:t>
      </w:r>
      <w:r>
        <w:rPr>
          <w:rFonts w:hint="eastAsia" w:ascii="仿宋_GB2312" w:hAnsi="仿宋_GB2312" w:eastAsia="仿宋_GB2312" w:cs="仿宋_GB2312"/>
          <w:sz w:val="32"/>
          <w:szCs w:val="32"/>
        </w:rPr>
        <w:t>聚焦重点行业领域专项治理，深化重大事故隐患排查整治。在重大活动、重大节日期间，采取“四不两直”执法检查、专家指导服务、媒体曝光等措施，组织开展安全生产常态化明查暗访。深刻汲取有关生产安全事故教训，主动排查整改问题。开展水库除险加固工程治理行动，认真排查和消除中小水电站安全隐患。强化水利等重大基础设施工程施工安全风险管控，严格</w:t>
      </w:r>
      <w:r>
        <w:rPr>
          <w:rFonts w:hint="eastAsia" w:ascii="仿宋_GB2312" w:hAnsi="仿宋_GB2312" w:eastAsia="仿宋_GB2312" w:cs="仿宋_GB2312"/>
          <w:spacing w:val="-6"/>
          <w:sz w:val="32"/>
          <w:szCs w:val="32"/>
        </w:rPr>
        <w:t>落实建设单位安全生产首要责任和施工单位主体责任，强化建筑市场和施工现场监管，严厉打击转包、违法分包等违法违规行为。依法依规加强管辖水域的巡查管理，对私自进入管辖水域活动的联合公安部门严肃</w:t>
      </w:r>
      <w:r>
        <w:rPr>
          <w:rFonts w:hint="eastAsia" w:ascii="仿宋_GB2312" w:hAnsi="仿宋_GB2312" w:eastAsia="仿宋_GB2312" w:cs="仿宋_GB2312"/>
          <w:sz w:val="32"/>
          <w:szCs w:val="32"/>
        </w:rPr>
        <w:t>查处。</w:t>
      </w: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textAlignment w:val="auto"/>
        <w:rPr>
          <w:rFonts w:eastAsia="黑体"/>
          <w:sz w:val="32"/>
          <w:szCs w:val="32"/>
        </w:rPr>
      </w:pPr>
      <w:r>
        <w:rPr>
          <w:rFonts w:eastAsia="黑体"/>
          <w:sz w:val="32"/>
          <w:szCs w:val="32"/>
        </w:rPr>
        <w:t>五、做好安全生产基础工作。</w:t>
      </w:r>
      <w:r>
        <w:rPr>
          <w:rFonts w:hint="eastAsia" w:ascii="仿宋_GB2312" w:hAnsi="仿宋_GB2312" w:eastAsia="仿宋_GB2312" w:cs="仿宋_GB2312"/>
          <w:sz w:val="32"/>
          <w:szCs w:val="32"/>
        </w:rPr>
        <w:t>用好案例教育法，扎实开展“安全生产月”、消防宣传月等安全宣传教育活动。督促所属企事业单位认真组织开展安全生产和消防法律法规知识的宣传教育，严格执行岗前培训。规范水利水电工程施工企业安全生产“三类管理人员”考核。按照职责和有关规定及时报告事故信息。负责水利行业安全生产统计分析。依法参与有关事故调查处理。</w:t>
      </w:r>
      <w:r>
        <w:rPr>
          <w:rFonts w:hint="eastAsia" w:ascii="仿宋_GB2312" w:hAnsi="仿宋_GB2312" w:eastAsia="仿宋_GB2312" w:cs="仿宋_GB2312"/>
          <w:kern w:val="0"/>
          <w:sz w:val="32"/>
          <w:szCs w:val="32"/>
        </w:rPr>
        <w:t>修订完成有关专项预案或部门预案，组织预案演练和应急能力测试，推动应急能力建设，督促完成本系统应急资源填报。建立健全内设安委会或安全生产工作领导小组，主要负责同志任主任或组长，每季度研究一次安全生产工作，遇重大问题，及时研究解决。</w:t>
      </w: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textAlignment w:val="auto"/>
        <w:rPr>
          <w:rFonts w:hint="eastAsia" w:ascii="仿宋_GB2312" w:hAnsi="仿宋_GB2312" w:eastAsia="仿宋_GB2312" w:cs="仿宋_GB2312"/>
          <w:sz w:val="32"/>
          <w:szCs w:val="32"/>
        </w:rPr>
      </w:pP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本责任书将作为202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年度安全生产和消防工作考核依据</w:t>
      </w:r>
      <w:r>
        <w:rPr>
          <w:rFonts w:hint="eastAsia" w:ascii="仿宋_GB2312" w:hAnsi="仿宋_GB2312" w:eastAsia="仿宋_GB2312" w:cs="仿宋_GB2312"/>
          <w:kern w:val="0"/>
          <w:sz w:val="32"/>
          <w:szCs w:val="32"/>
        </w:rPr>
        <w:t>。</w:t>
      </w: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jc w:val="both"/>
        <w:textAlignment w:val="auto"/>
        <w:rPr>
          <w:rFonts w:ascii="仿宋_GB2312" w:eastAsia="仿宋_GB2312"/>
          <w:sz w:val="32"/>
          <w:szCs w:val="32"/>
        </w:rPr>
      </w:pPr>
      <w:bookmarkStart w:id="0" w:name="_GoBack"/>
      <w:bookmarkEnd w:id="0"/>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jc w:val="both"/>
        <w:textAlignment w:val="auto"/>
        <w:rPr>
          <w:rFonts w:ascii="仿宋_GB2312" w:eastAsia="仿宋_GB2312"/>
          <w:sz w:val="32"/>
          <w:szCs w:val="32"/>
        </w:rPr>
      </w:pPr>
      <w:r>
        <w:rPr>
          <w:rFonts w:hint="eastAsia" w:ascii="仿宋_GB2312" w:eastAsia="仿宋_GB2312"/>
          <w:sz w:val="32"/>
          <w:szCs w:val="32"/>
        </w:rPr>
        <w:t xml:space="preserve"> </w:t>
      </w: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jc w:val="both"/>
        <w:textAlignment w:val="auto"/>
        <w:rPr>
          <w:rFonts w:ascii="黑体" w:hAnsi="黑体" w:eastAsia="黑体"/>
          <w:sz w:val="32"/>
          <w:szCs w:val="32"/>
        </w:rPr>
      </w:pPr>
      <w:r>
        <w:rPr>
          <w:rFonts w:hint="eastAsia" w:ascii="黑体" w:hAnsi="黑体" w:eastAsia="黑体"/>
          <w:sz w:val="32"/>
          <w:szCs w:val="32"/>
          <w:lang w:eastAsia="zh-CN"/>
        </w:rPr>
        <w:t>青阳县</w:t>
      </w:r>
      <w:r>
        <w:rPr>
          <w:rFonts w:hint="eastAsia" w:ascii="黑体" w:hAnsi="黑体" w:eastAsia="黑体"/>
          <w:sz w:val="32"/>
          <w:szCs w:val="32"/>
        </w:rPr>
        <w:t xml:space="preserve">人民政府          </w:t>
      </w:r>
      <w:r>
        <w:rPr>
          <w:rFonts w:hint="eastAsia" w:ascii="黑体" w:hAnsi="黑体" w:eastAsia="黑体"/>
          <w:sz w:val="32"/>
          <w:szCs w:val="32"/>
          <w:lang w:val="en-US" w:eastAsia="zh-CN"/>
        </w:rPr>
        <w:t xml:space="preserve">      青阳县</w:t>
      </w:r>
      <w:r>
        <w:rPr>
          <w:rFonts w:hint="eastAsia" w:ascii="黑体" w:hAnsi="黑体" w:eastAsia="黑体"/>
          <w:sz w:val="32"/>
          <w:szCs w:val="32"/>
        </w:rPr>
        <w:t>水利局</w:t>
      </w: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jc w:val="both"/>
        <w:textAlignment w:val="auto"/>
        <w:rPr>
          <w:rFonts w:hint="eastAsia" w:ascii="黑体" w:hAnsi="黑体" w:eastAsia="黑体"/>
          <w:sz w:val="32"/>
          <w:szCs w:val="32"/>
        </w:rPr>
      </w:pP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jc w:val="both"/>
        <w:textAlignment w:val="auto"/>
        <w:rPr>
          <w:rFonts w:ascii="黑体" w:hAnsi="黑体" w:eastAsia="黑体"/>
          <w:sz w:val="32"/>
          <w:szCs w:val="32"/>
        </w:rPr>
      </w:pPr>
      <w:r>
        <w:rPr>
          <w:rFonts w:hint="eastAsia" w:ascii="黑体" w:hAnsi="黑体" w:eastAsia="黑体"/>
          <w:sz w:val="32"/>
          <w:szCs w:val="32"/>
        </w:rPr>
        <w:t xml:space="preserve">签字人：                </w:t>
      </w:r>
      <w:r>
        <w:rPr>
          <w:rFonts w:hint="eastAsia" w:ascii="黑体" w:hAnsi="黑体" w:eastAsia="黑体"/>
          <w:sz w:val="32"/>
          <w:szCs w:val="32"/>
          <w:lang w:val="en-US" w:eastAsia="zh-CN"/>
        </w:rPr>
        <w:t xml:space="preserve">     </w:t>
      </w:r>
      <w:r>
        <w:rPr>
          <w:rFonts w:hint="eastAsia" w:ascii="黑体" w:hAnsi="黑体" w:eastAsia="黑体"/>
          <w:sz w:val="32"/>
          <w:szCs w:val="32"/>
        </w:rPr>
        <w:t xml:space="preserve"> 签字人：</w:t>
      </w: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640" w:firstLineChars="200"/>
        <w:jc w:val="both"/>
        <w:textAlignment w:val="auto"/>
        <w:rPr>
          <w:rFonts w:hint="eastAsia" w:ascii="黑体" w:hAnsi="黑体" w:eastAsia="黑体"/>
          <w:sz w:val="32"/>
          <w:szCs w:val="32"/>
        </w:rPr>
      </w:pPr>
      <w:r>
        <w:rPr>
          <w:rFonts w:hint="eastAsia" w:ascii="仿宋_GB2312" w:eastAsia="仿宋_GB2312"/>
          <w:sz w:val="32"/>
          <w:szCs w:val="32"/>
        </w:rPr>
        <w:t xml:space="preserve">              </w:t>
      </w:r>
    </w:p>
    <w:p>
      <w:pPr>
        <w:keepNext w:val="0"/>
        <w:keepLines w:val="0"/>
        <w:pageBreakBefore w:val="0"/>
        <w:widowControl w:val="0"/>
        <w:kinsoku/>
        <w:wordWrap/>
        <w:overflowPunct w:val="0"/>
        <w:topLinePunct w:val="0"/>
        <w:autoSpaceDE/>
        <w:autoSpaceDN/>
        <w:bidi w:val="0"/>
        <w:adjustRightInd/>
        <w:snapToGrid/>
        <w:spacing w:line="620" w:lineRule="exact"/>
        <w:ind w:right="0" w:rightChars="0" w:firstLine="0" w:firstLineChars="0"/>
        <w:jc w:val="right"/>
        <w:textAlignment w:val="auto"/>
        <w:rPr>
          <w:rFonts w:ascii="黑体" w:hAnsi="黑体" w:eastAsia="黑体"/>
          <w:sz w:val="32"/>
          <w:szCs w:val="32"/>
        </w:rPr>
      </w:pPr>
      <w:r>
        <w:rPr>
          <w:rFonts w:hint="eastAsia" w:ascii="黑体" w:hAnsi="黑体" w:eastAsia="黑体"/>
          <w:sz w:val="32"/>
          <w:szCs w:val="32"/>
        </w:rPr>
        <w:t>202</w:t>
      </w:r>
      <w:r>
        <w:rPr>
          <w:rFonts w:hint="eastAsia" w:ascii="黑体" w:hAnsi="黑体" w:eastAsia="黑体"/>
          <w:sz w:val="32"/>
          <w:szCs w:val="32"/>
          <w:lang w:val="en-US" w:eastAsia="zh-CN"/>
        </w:rPr>
        <w:t>4</w:t>
      </w:r>
      <w:r>
        <w:rPr>
          <w:rFonts w:hint="eastAsia" w:ascii="黑体" w:hAnsi="黑体" w:eastAsia="黑体"/>
          <w:sz w:val="32"/>
          <w:szCs w:val="32"/>
        </w:rPr>
        <w:t>年</w:t>
      </w:r>
      <w:r>
        <w:rPr>
          <w:rFonts w:hint="eastAsia" w:ascii="黑体" w:hAnsi="黑体" w:eastAsia="黑体"/>
          <w:sz w:val="32"/>
          <w:szCs w:val="32"/>
          <w:lang w:val="en-US" w:eastAsia="zh-CN"/>
        </w:rPr>
        <w:t>5</w:t>
      </w:r>
      <w:r>
        <w:rPr>
          <w:rFonts w:hint="eastAsia" w:ascii="黑体" w:hAnsi="黑体" w:eastAsia="黑体"/>
          <w:sz w:val="32"/>
          <w:szCs w:val="32"/>
        </w:rPr>
        <w:t>月</w:t>
      </w:r>
    </w:p>
    <w:sectPr>
      <w:pgSz w:w="11906" w:h="16838"/>
      <w:pgMar w:top="1701" w:right="1418" w:bottom="1134"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46CC409E-215A-4235-BE61-5E86EBE5D056}"/>
  </w:font>
  <w:font w:name="Arial">
    <w:panose1 w:val="020B0604020202020204"/>
    <w:charset w:val="01"/>
    <w:family w:val="swiss"/>
    <w:pitch w:val="default"/>
    <w:sig w:usb0="E0002EFF" w:usb1="C000785B" w:usb2="00000009" w:usb3="00000000" w:csb0="400001FF" w:csb1="FFFF0000"/>
    <w:embedRegular r:id="rId2" w:fontKey="{33ECCAA2-8645-495F-8243-465ABF707B87}"/>
  </w:font>
  <w:font w:name="黑体">
    <w:panose1 w:val="02010609060101010101"/>
    <w:charset w:val="86"/>
    <w:family w:val="auto"/>
    <w:pitch w:val="default"/>
    <w:sig w:usb0="800002BF" w:usb1="38CF7CFA" w:usb2="00000016" w:usb3="00000000" w:csb0="00040001" w:csb1="00000000"/>
    <w:embedRegular r:id="rId3" w:fontKey="{94EAD6AF-66D6-410A-AEA1-E0E25247D290}"/>
  </w:font>
  <w:font w:name="Courier New">
    <w:panose1 w:val="02070309020205020404"/>
    <w:charset w:val="01"/>
    <w:family w:val="modern"/>
    <w:pitch w:val="default"/>
    <w:sig w:usb0="E0002EFF" w:usb1="C0007843" w:usb2="00000009" w:usb3="00000000" w:csb0="400001FF" w:csb1="FFFF0000"/>
    <w:embedRegular r:id="rId4" w:fontKey="{E01F7F6A-C976-4FC2-984D-01913E0F98BC}"/>
  </w:font>
  <w:font w:name="Symbol">
    <w:panose1 w:val="05050102010706020507"/>
    <w:charset w:val="02"/>
    <w:family w:val="roman"/>
    <w:pitch w:val="default"/>
    <w:sig w:usb0="00000000" w:usb1="00000000" w:usb2="00000000" w:usb3="00000000" w:csb0="80000000" w:csb1="00000000"/>
    <w:embedRegular r:id="rId5" w:fontKey="{1E94F612-DFBD-4B29-A550-352DD8E748ED}"/>
  </w:font>
  <w:font w:name="Calibri">
    <w:panose1 w:val="020F0502020204030204"/>
    <w:charset w:val="00"/>
    <w:family w:val="swiss"/>
    <w:pitch w:val="default"/>
    <w:sig w:usb0="E4002EFF" w:usb1="C000247B" w:usb2="00000009" w:usb3="00000000" w:csb0="200001FF" w:csb1="00000000"/>
    <w:embedRegular r:id="rId6" w:fontKey="{A0A4D0AE-028F-4196-B595-6CE894503B29}"/>
  </w:font>
  <w:font w:name="方正小标宋简体">
    <w:panose1 w:val="02000000000000000000"/>
    <w:charset w:val="86"/>
    <w:family w:val="auto"/>
    <w:pitch w:val="default"/>
    <w:sig w:usb0="00000001" w:usb1="080E0000" w:usb2="00000000" w:usb3="00000000" w:csb0="00040000" w:csb1="00000000"/>
    <w:embedRegular r:id="rId7" w:fontKey="{9231A213-4310-4021-A8F1-34E9D9F469E0}"/>
  </w:font>
  <w:font w:name="仿宋_GB2312">
    <w:panose1 w:val="02010609030101010101"/>
    <w:charset w:val="86"/>
    <w:family w:val="modern"/>
    <w:pitch w:val="default"/>
    <w:sig w:usb0="00000001" w:usb1="080E0000" w:usb2="00000000" w:usb3="00000000" w:csb0="00040000" w:csb1="00000000"/>
    <w:embedRegular r:id="rId8" w:fontKey="{22C95434-EB84-440C-904A-04A872A5F81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M3NDk0MWYyNjgwMzk4N2QyZTA1NTg4ODE3YzA2ZTgifQ=="/>
  </w:docVars>
  <w:rsids>
    <w:rsidRoot w:val="00A170A6"/>
    <w:rsid w:val="00064D08"/>
    <w:rsid w:val="000F424E"/>
    <w:rsid w:val="001265F4"/>
    <w:rsid w:val="00142321"/>
    <w:rsid w:val="002150B3"/>
    <w:rsid w:val="0031748A"/>
    <w:rsid w:val="003B5662"/>
    <w:rsid w:val="004D41CD"/>
    <w:rsid w:val="005535B9"/>
    <w:rsid w:val="006A1587"/>
    <w:rsid w:val="006D5154"/>
    <w:rsid w:val="006F4287"/>
    <w:rsid w:val="00741059"/>
    <w:rsid w:val="008969CC"/>
    <w:rsid w:val="008C0DC8"/>
    <w:rsid w:val="00952718"/>
    <w:rsid w:val="009E4F8C"/>
    <w:rsid w:val="00A170A6"/>
    <w:rsid w:val="00A20C39"/>
    <w:rsid w:val="00AB6A33"/>
    <w:rsid w:val="00C232AA"/>
    <w:rsid w:val="00C71F0B"/>
    <w:rsid w:val="00C87576"/>
    <w:rsid w:val="00CD2FD5"/>
    <w:rsid w:val="00E55CF1"/>
    <w:rsid w:val="00FB0D54"/>
    <w:rsid w:val="00FF722B"/>
    <w:rsid w:val="032E2870"/>
    <w:rsid w:val="04024AB8"/>
    <w:rsid w:val="17137425"/>
    <w:rsid w:val="190E65F7"/>
    <w:rsid w:val="23136917"/>
    <w:rsid w:val="27FA5E74"/>
    <w:rsid w:val="2EFE77FD"/>
    <w:rsid w:val="33A1281D"/>
    <w:rsid w:val="3E5D3459"/>
    <w:rsid w:val="47A21795"/>
    <w:rsid w:val="49E34575"/>
    <w:rsid w:val="4B362BD6"/>
    <w:rsid w:val="4EDE4654"/>
    <w:rsid w:val="55CB3137"/>
    <w:rsid w:val="5C1C4B70"/>
    <w:rsid w:val="5C824CE8"/>
    <w:rsid w:val="719A65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rFonts w:ascii="Times New Roman" w:hAnsi="Times New Roman" w:eastAsia="宋体" w:cs="Times New Roman"/>
      <w:sz w:val="18"/>
      <w:szCs w:val="18"/>
    </w:rPr>
  </w:style>
  <w:style w:type="character" w:customStyle="1" w:styleId="7">
    <w:name w:val="页脚 Char"/>
    <w:basedOn w:val="5"/>
    <w:link w:val="2"/>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1143</Words>
  <Characters>1155</Characters>
  <Lines>8</Lines>
  <Paragraphs>2</Paragraphs>
  <TotalTime>48</TotalTime>
  <ScaleCrop>false</ScaleCrop>
  <LinksUpToDate>false</LinksUpToDate>
  <CharactersWithSpaces>1208</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2020-04-15T07:59:00Z</dcterms:created>
  <dc:creator>vvv</dc:creator>
  <cp:lastModifiedBy>白马骨</cp:lastModifiedBy>
  <cp:lastPrinted>2020-05-18T01:18:00Z</cp:lastPrinted>
  <dcterms:modified xsi:type="dcterms:W3CDTF">2024-05-30T07:35:55Z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1152252418_embed</vt:lpwstr>
  </property>
  <property fmtid="{D5CDD505-2E9C-101B-9397-08002B2CF9AE}" pid="4" name="ICV">
    <vt:lpwstr>EDD8D98BC8BC42D1AEB778C6860C4E80_13</vt:lpwstr>
  </property>
</Properties>
</file>