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4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kern w:val="0"/>
          <w:sz w:val="44"/>
          <w:szCs w:val="44"/>
          <w:lang w:eastAsia="zh-CN"/>
        </w:rPr>
        <w:t>县</w:t>
      </w:r>
      <w:r>
        <w:rPr>
          <w:rFonts w:hint="eastAsia" w:ascii="方正小标宋简体" w:hAnsi="方正小标宋简体" w:eastAsia="方正小标宋简体" w:cs="方正小标宋简体"/>
          <w:kern w:val="0"/>
          <w:sz w:val="44"/>
          <w:szCs w:val="44"/>
        </w:rPr>
        <w:t>商务局202</w:t>
      </w:r>
      <w:r>
        <w:rPr>
          <w:rFonts w:hint="eastAsia" w:ascii="方正小标宋简体" w:hAnsi="方正小标宋简体" w:eastAsia="方正小标宋简体" w:cs="方正小标宋简体"/>
          <w:kern w:val="0"/>
          <w:sz w:val="44"/>
          <w:szCs w:val="44"/>
          <w:lang w:val="en-US" w:eastAsia="zh-CN"/>
        </w:rPr>
        <w:t>4</w:t>
      </w:r>
      <w:r>
        <w:rPr>
          <w:rFonts w:hint="eastAsia" w:ascii="方正小标宋简体" w:hAnsi="方正小标宋简体" w:eastAsia="方正小标宋简体" w:cs="方正小标宋简体"/>
          <w:kern w:val="0"/>
          <w:sz w:val="44"/>
          <w:szCs w:val="44"/>
        </w:rPr>
        <w:t>年</w:t>
      </w:r>
      <w:r>
        <w:rPr>
          <w:rFonts w:hint="eastAsia" w:ascii="方正小标宋简体" w:hAnsi="方正小标宋简体" w:eastAsia="方正小标宋简体" w:cs="方正小标宋简体"/>
          <w:sz w:val="44"/>
          <w:szCs w:val="44"/>
        </w:rPr>
        <w:t>安全生产和消防</w:t>
      </w:r>
    </w:p>
    <w:p>
      <w:pPr>
        <w:keepNext w:val="0"/>
        <w:keepLines w:val="0"/>
        <w:pageBreakBefore w:val="0"/>
        <w:widowControl w:val="0"/>
        <w:kinsoku/>
        <w:wordWrap/>
        <w:overflowPunct/>
        <w:topLinePunct w:val="0"/>
        <w:autoSpaceDE/>
        <w:autoSpaceDN/>
        <w:bidi w:val="0"/>
        <w:adjustRightInd/>
        <w:snapToGrid/>
        <w:spacing w:line="54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工作目标管理责任书</w:t>
      </w:r>
    </w:p>
    <w:p>
      <w:pPr>
        <w:keepNext w:val="0"/>
        <w:keepLines w:val="0"/>
        <w:pageBreakBefore w:val="0"/>
        <w:widowControl w:val="0"/>
        <w:kinsoku/>
        <w:wordWrap/>
        <w:overflowPunct/>
        <w:topLinePunct w:val="0"/>
        <w:autoSpaceDE/>
        <w:autoSpaceDN/>
        <w:bidi w:val="0"/>
        <w:adjustRightInd/>
        <w:snapToGrid/>
        <w:spacing w:line="540" w:lineRule="exact"/>
        <w:ind w:right="0" w:rightChars="0" w:firstLine="640" w:firstLineChars="200"/>
        <w:textAlignment w:val="auto"/>
        <w:rPr>
          <w:rFonts w:hint="eastAsia" w:ascii="仿宋_GB2312" w:eastAsia="仿宋_GB2312"/>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rPr>
          <w:rFonts w:ascii="仿宋_GB2312" w:eastAsia="仿宋_GB2312"/>
          <w:sz w:val="32"/>
          <w:szCs w:val="32"/>
        </w:rPr>
      </w:pPr>
      <w:r>
        <w:rPr>
          <w:rFonts w:hint="eastAsia" w:ascii="仿宋_GB2312" w:eastAsia="仿宋_GB2312"/>
          <w:sz w:val="32"/>
          <w:szCs w:val="32"/>
        </w:rPr>
        <w:t>为落实安全生产和消防工作责任，防范各类生产安全和火灾事故，依据《地方党政领导干部安全生产责任制规定》和省、市</w:t>
      </w:r>
      <w:r>
        <w:rPr>
          <w:rFonts w:hint="eastAsia" w:ascii="仿宋_GB2312" w:eastAsia="仿宋_GB2312"/>
          <w:sz w:val="32"/>
          <w:szCs w:val="32"/>
          <w:lang w:eastAsia="zh-CN"/>
        </w:rPr>
        <w:t>、县</w:t>
      </w:r>
      <w:r>
        <w:rPr>
          <w:rFonts w:hint="eastAsia" w:ascii="仿宋_GB2312" w:eastAsia="仿宋_GB2312"/>
          <w:sz w:val="32"/>
          <w:szCs w:val="32"/>
        </w:rPr>
        <w:t>实施细则及《</w:t>
      </w:r>
      <w:r>
        <w:rPr>
          <w:rFonts w:hint="eastAsia" w:ascii="仿宋_GB2312" w:eastAsia="仿宋_GB2312"/>
          <w:sz w:val="32"/>
          <w:szCs w:val="32"/>
          <w:lang w:eastAsia="zh-CN"/>
        </w:rPr>
        <w:t>安徽省</w:t>
      </w:r>
      <w:r>
        <w:rPr>
          <w:rFonts w:hint="eastAsia" w:ascii="仿宋_GB2312" w:eastAsia="仿宋_GB2312"/>
          <w:sz w:val="32"/>
          <w:szCs w:val="32"/>
        </w:rPr>
        <w:t>消防安全责任制规定》，</w:t>
      </w:r>
      <w:r>
        <w:rPr>
          <w:rFonts w:hint="eastAsia" w:ascii="黑体" w:hAnsi="黑体" w:eastAsia="黑体"/>
          <w:sz w:val="32"/>
          <w:szCs w:val="32"/>
          <w:lang w:eastAsia="zh-CN"/>
        </w:rPr>
        <w:t>青阳县</w:t>
      </w:r>
      <w:r>
        <w:rPr>
          <w:rFonts w:hint="eastAsia" w:ascii="黑体" w:hAnsi="黑体" w:eastAsia="黑体"/>
          <w:sz w:val="32"/>
          <w:szCs w:val="32"/>
        </w:rPr>
        <w:t>人民政府</w:t>
      </w:r>
      <w:r>
        <w:rPr>
          <w:rFonts w:hint="eastAsia" w:ascii="仿宋_GB2312" w:eastAsia="仿宋_GB2312"/>
          <w:sz w:val="32"/>
          <w:szCs w:val="32"/>
        </w:rPr>
        <w:t>与</w:t>
      </w:r>
      <w:r>
        <w:rPr>
          <w:rFonts w:hint="eastAsia" w:ascii="黑体" w:hAnsi="黑体" w:eastAsia="黑体"/>
          <w:sz w:val="32"/>
          <w:szCs w:val="32"/>
          <w:lang w:eastAsia="zh-CN"/>
        </w:rPr>
        <w:t>青阳县</w:t>
      </w:r>
      <w:r>
        <w:rPr>
          <w:rFonts w:hint="eastAsia" w:ascii="黑体" w:hAnsi="黑体" w:eastAsia="黑体"/>
          <w:sz w:val="32"/>
          <w:szCs w:val="32"/>
        </w:rPr>
        <w:t>商务局</w:t>
      </w:r>
      <w:r>
        <w:rPr>
          <w:rFonts w:hint="eastAsia" w:ascii="仿宋_GB2312" w:eastAsia="仿宋_GB2312"/>
          <w:sz w:val="32"/>
          <w:szCs w:val="32"/>
        </w:rPr>
        <w:t>签订202</w:t>
      </w:r>
      <w:r>
        <w:rPr>
          <w:rFonts w:hint="eastAsia" w:ascii="仿宋_GB2312" w:eastAsia="仿宋_GB2312"/>
          <w:sz w:val="32"/>
          <w:szCs w:val="32"/>
          <w:lang w:val="en-US" w:eastAsia="zh-CN"/>
        </w:rPr>
        <w:t>4</w:t>
      </w:r>
      <w:r>
        <w:rPr>
          <w:rFonts w:hint="eastAsia" w:ascii="仿宋_GB2312" w:eastAsia="仿宋_GB2312"/>
          <w:sz w:val="32"/>
          <w:szCs w:val="32"/>
        </w:rPr>
        <w:t>年安全生产和消防工作目标管理责任书。</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hint="default" w:ascii="Times New Roman" w:hAnsi="Times New Roman" w:eastAsia="方正仿宋_GBK" w:cs="Times New Roman"/>
          <w:sz w:val="30"/>
          <w:szCs w:val="30"/>
        </w:rPr>
      </w:pPr>
      <w:r>
        <w:rPr>
          <w:rFonts w:eastAsia="黑体"/>
          <w:sz w:val="32"/>
          <w:szCs w:val="32"/>
        </w:rPr>
        <w:t>一、确保实现工作目标。</w:t>
      </w:r>
      <w:r>
        <w:rPr>
          <w:rFonts w:hint="eastAsia" w:ascii="仿宋_GB2312" w:hAnsi="仿宋_GB2312" w:eastAsia="仿宋_GB2312" w:cs="仿宋_GB2312"/>
          <w:sz w:val="32"/>
          <w:szCs w:val="32"/>
        </w:rPr>
        <w:t>坚决遏制商贸服务业（含餐饮业、住宿业）领域重特大生产安全和火灾事故，有效防范生产安全和火灾较大事故，努力减少生产安全和火灾一般事故。</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黑体"/>
          <w:sz w:val="32"/>
          <w:szCs w:val="32"/>
        </w:rPr>
      </w:pPr>
      <w:r>
        <w:rPr>
          <w:rFonts w:eastAsia="黑体"/>
          <w:sz w:val="32"/>
          <w:szCs w:val="32"/>
        </w:rPr>
        <w:t>二、树牢安全发展理念。</w:t>
      </w:r>
      <w:r>
        <w:rPr>
          <w:rFonts w:hint="eastAsia" w:ascii="仿宋_GB2312" w:hAnsi="仿宋_GB2312" w:eastAsia="仿宋_GB2312" w:cs="仿宋_GB2312"/>
          <w:sz w:val="32"/>
          <w:szCs w:val="32"/>
        </w:rPr>
        <w:t>深入学习宣传贯彻习近平总书记关于安全生产、应急管理、防灾减灾救灾的重要论述，贯彻落实党的二十大报告中关于安全生产的重要部署，坚持人民至上、生命至上，更好统筹发展和安全，深入开展安全生产治本攻坚三年行动，推动安全生产治理模式向事前预防转型。</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hint="default" w:ascii="Times New Roman" w:hAnsi="Times New Roman" w:eastAsia="方正仿宋_GBK" w:cs="Times New Roman"/>
          <w:sz w:val="30"/>
          <w:szCs w:val="30"/>
        </w:rPr>
      </w:pPr>
      <w:r>
        <w:rPr>
          <w:rFonts w:eastAsia="黑体"/>
          <w:sz w:val="32"/>
          <w:szCs w:val="32"/>
        </w:rPr>
        <w:t>三、落实安全工作责任。</w:t>
      </w:r>
      <w:r>
        <w:rPr>
          <w:rFonts w:hint="eastAsia" w:ascii="仿宋_GB2312" w:hAnsi="仿宋_GB2312" w:eastAsia="仿宋_GB2312" w:cs="仿宋_GB2312"/>
          <w:sz w:val="32"/>
          <w:szCs w:val="32"/>
        </w:rPr>
        <w:t>落实《党政领导干部安全生产责任制实施细则》《安徽省消防安全责任制规定》，严格执行《</w:t>
      </w:r>
      <w:r>
        <w:rPr>
          <w:rFonts w:hint="eastAsia" w:ascii="仿宋_GB2312" w:hAnsi="仿宋_GB2312" w:eastAsia="仿宋_GB2312" w:cs="仿宋_GB2312"/>
          <w:sz w:val="32"/>
          <w:szCs w:val="32"/>
          <w:lang w:val="en-US" w:eastAsia="zh-CN"/>
        </w:rPr>
        <w:t>青阳县</w:t>
      </w:r>
      <w:r>
        <w:rPr>
          <w:rFonts w:hint="eastAsia" w:ascii="仿宋_GB2312" w:hAnsi="仿宋_GB2312" w:eastAsia="仿宋_GB2312" w:cs="仿宋_GB2312"/>
          <w:sz w:val="32"/>
          <w:szCs w:val="32"/>
        </w:rPr>
        <w:t>安全生产“三管三必须”责任清单》及《实施意见》。承担商贸服务业（含餐饮业、住宿业）行业管理工作，配合有关部门做好商贸服务业（含餐饮业、住宿业）安全生产管理工作，按有关规定对拍卖、展览、汽车流通、旧货流通等行业进行安全生产管理，指导再生资源回收行业安全生产工作。督促指导商贸服务、流通等企业贯彻执行安全生产法律法规，加强安全管理，落实安全防范措施。按有关规定对成品油流通行业进行安全生产管理。会同有关部门指导督促对外投资合作企业境内主体加强境外投资合作项目安全生产工作。</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黑体"/>
          <w:color w:val="auto"/>
          <w:sz w:val="32"/>
          <w:szCs w:val="32"/>
        </w:rPr>
      </w:pPr>
      <w:r>
        <w:rPr>
          <w:rFonts w:eastAsia="黑体"/>
          <w:sz w:val="32"/>
          <w:szCs w:val="32"/>
        </w:rPr>
        <w:t>四</w:t>
      </w:r>
      <w:r>
        <w:rPr>
          <w:rFonts w:eastAsia="黑体"/>
          <w:color w:val="auto"/>
          <w:sz w:val="32"/>
          <w:szCs w:val="32"/>
        </w:rPr>
        <w:t>、防范化解重大风险。</w:t>
      </w:r>
      <w:r>
        <w:rPr>
          <w:rFonts w:hint="eastAsia" w:ascii="仿宋_GB2312" w:hAnsi="仿宋_GB2312" w:eastAsia="仿宋_GB2312" w:cs="仿宋_GB2312"/>
          <w:color w:val="auto"/>
          <w:sz w:val="32"/>
          <w:szCs w:val="32"/>
        </w:rPr>
        <w:t>聚焦重点行业领域专项治理，深化重大事故隐患排查整治。在重大活动、重大节日期间，组织开展安全生产常态化明查暗访。深刻汲取有关生产安全事故教训，主动排查整改问题。</w:t>
      </w:r>
      <w:bookmarkStart w:id="0" w:name="_Hlk126230751"/>
      <w:r>
        <w:rPr>
          <w:rFonts w:hint="eastAsia" w:ascii="仿宋_GB2312" w:hAnsi="仿宋_GB2312" w:eastAsia="仿宋_GB2312" w:cs="仿宋_GB2312"/>
          <w:color w:val="auto"/>
          <w:sz w:val="32"/>
          <w:szCs w:val="32"/>
        </w:rPr>
        <w:t>指导督促餐饮企业做好醇基燃料安全管理。</w:t>
      </w:r>
      <w:r>
        <w:rPr>
          <w:rFonts w:hint="eastAsia" w:ascii="仿宋_GB2312" w:hAnsi="仿宋_GB2312" w:eastAsia="仿宋_GB2312" w:cs="仿宋_GB2312"/>
          <w:color w:val="auto"/>
          <w:sz w:val="32"/>
          <w:szCs w:val="32"/>
          <w:lang w:val="en-US" w:eastAsia="zh-CN"/>
        </w:rPr>
        <w:t>配合有关部门</w:t>
      </w:r>
      <w:r>
        <w:rPr>
          <w:rFonts w:hint="eastAsia" w:ascii="仿宋_GB2312" w:hAnsi="仿宋_GB2312" w:eastAsia="仿宋_GB2312" w:cs="仿宋_GB2312"/>
          <w:color w:val="auto"/>
          <w:sz w:val="32"/>
          <w:szCs w:val="32"/>
        </w:rPr>
        <w:t>督促电子商务平台企业安全落实生产主体责任。深化城镇燃气安全排查整治</w:t>
      </w:r>
      <w:bookmarkEnd w:id="0"/>
      <w:r>
        <w:rPr>
          <w:rFonts w:hint="eastAsia" w:ascii="仿宋_GB2312" w:hAnsi="仿宋_GB2312" w:eastAsia="仿宋_GB2312" w:cs="仿宋_GB2312"/>
          <w:color w:val="auto"/>
          <w:sz w:val="32"/>
          <w:szCs w:val="32"/>
        </w:rPr>
        <w:t>。做好由</w:t>
      </w:r>
      <w:r>
        <w:rPr>
          <w:rFonts w:hint="eastAsia" w:ascii="仿宋_GB2312" w:hAnsi="仿宋_GB2312" w:eastAsia="仿宋_GB2312" w:cs="仿宋_GB2312"/>
          <w:color w:val="auto"/>
          <w:sz w:val="32"/>
          <w:szCs w:val="32"/>
          <w:lang w:eastAsia="zh-CN"/>
        </w:rPr>
        <w:t>县</w:t>
      </w:r>
      <w:r>
        <w:rPr>
          <w:rFonts w:hint="eastAsia" w:ascii="仿宋_GB2312" w:hAnsi="仿宋_GB2312" w:eastAsia="仿宋_GB2312" w:cs="仿宋_GB2312"/>
          <w:color w:val="auto"/>
          <w:sz w:val="32"/>
          <w:szCs w:val="32"/>
        </w:rPr>
        <w:t>商务</w:t>
      </w:r>
      <w:r>
        <w:rPr>
          <w:rFonts w:hint="eastAsia" w:ascii="仿宋_GB2312" w:hAnsi="仿宋_GB2312" w:eastAsia="仿宋_GB2312" w:cs="仿宋_GB2312"/>
          <w:color w:val="auto"/>
          <w:sz w:val="32"/>
          <w:szCs w:val="32"/>
          <w:lang w:val="en-US" w:eastAsia="zh-CN"/>
        </w:rPr>
        <w:t>局</w:t>
      </w:r>
      <w:r>
        <w:rPr>
          <w:rFonts w:hint="eastAsia" w:ascii="仿宋_GB2312" w:hAnsi="仿宋_GB2312" w:eastAsia="仿宋_GB2312" w:cs="仿宋_GB2312"/>
          <w:color w:val="auto"/>
          <w:sz w:val="32"/>
          <w:szCs w:val="32"/>
        </w:rPr>
        <w:t>牵头组织的各类展览展销活动的消防安全管理工作。严格执行《商务部门消防安全标准化管理规定》。</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黑体"/>
          <w:color w:val="auto"/>
          <w:sz w:val="32"/>
          <w:szCs w:val="32"/>
        </w:rPr>
      </w:pPr>
      <w:r>
        <w:rPr>
          <w:rFonts w:eastAsia="黑体"/>
          <w:color w:val="auto"/>
          <w:sz w:val="32"/>
          <w:szCs w:val="32"/>
        </w:rPr>
        <w:t>五、夯实安全工作基础。</w:t>
      </w:r>
      <w:r>
        <w:rPr>
          <w:rFonts w:hint="eastAsia" w:ascii="仿宋_GB2312" w:hAnsi="仿宋_GB2312" w:eastAsia="仿宋_GB2312" w:cs="仿宋_GB2312"/>
          <w:color w:val="auto"/>
          <w:kern w:val="0"/>
          <w:sz w:val="32"/>
          <w:szCs w:val="32"/>
        </w:rPr>
        <w:t>用好案例教育法，扎实开展“安全生产月”、消防宣传月等安全宣传教育活动。负责商贸服务业（含餐饮业、住宿业）安全管理统计分析。依法参加有关事故调查处理。修订完成有关专项预案或部门预案，组织预案演练和应急能力测试，督促完成本系统应急资源填报。建立健全内设安委会或安全生产工作领导小组，主要负责同志任主任或组长，每季度研究一次安全生产工作。发挥商贸流通行业安全生产专项领导小组办公室职能，组织开展信息通报、联合</w:t>
      </w:r>
      <w:r>
        <w:rPr>
          <w:rFonts w:hint="eastAsia" w:ascii="仿宋_GB2312" w:hAnsi="仿宋_GB2312" w:eastAsia="仿宋_GB2312" w:cs="仿宋_GB2312"/>
          <w:color w:val="auto"/>
          <w:kern w:val="0"/>
          <w:sz w:val="32"/>
          <w:szCs w:val="32"/>
          <w:lang w:val="en-US" w:eastAsia="zh-CN"/>
        </w:rPr>
        <w:t>检查</w:t>
      </w:r>
      <w:r>
        <w:rPr>
          <w:rFonts w:hint="eastAsia" w:ascii="仿宋_GB2312" w:hAnsi="仿宋_GB2312" w:eastAsia="仿宋_GB2312" w:cs="仿宋_GB2312"/>
          <w:color w:val="auto"/>
          <w:kern w:val="0"/>
          <w:sz w:val="32"/>
          <w:szCs w:val="32"/>
        </w:rPr>
        <w:t>、会商研判。</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仿宋_GB2312"/>
          <w:color w:val="auto"/>
          <w:sz w:val="32"/>
          <w:szCs w:val="32"/>
        </w:rPr>
      </w:pP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hint="eastAsia" w:ascii="仿宋_GB2312" w:hAnsi="仿宋_GB2312" w:eastAsia="仿宋_GB2312" w:cs="仿宋_GB2312"/>
          <w:sz w:val="32"/>
          <w:szCs w:val="32"/>
        </w:rPr>
      </w:pPr>
      <w:bookmarkStart w:id="1" w:name="_GoBack"/>
      <w:r>
        <w:rPr>
          <w:rFonts w:hint="eastAsia" w:ascii="仿宋_GB2312" w:hAnsi="仿宋_GB2312" w:eastAsia="仿宋_GB2312" w:cs="仿宋_GB2312"/>
          <w:sz w:val="32"/>
          <w:szCs w:val="32"/>
        </w:rPr>
        <w:t>本责任书将作为202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年度安全生产和消防工作考核依据</w:t>
      </w:r>
      <w:r>
        <w:rPr>
          <w:rFonts w:hint="eastAsia" w:ascii="仿宋_GB2312" w:hAnsi="仿宋_GB2312" w:eastAsia="仿宋_GB2312" w:cs="仿宋_GB2312"/>
          <w:kern w:val="0"/>
          <w:sz w:val="32"/>
          <w:szCs w:val="32"/>
        </w:rPr>
        <w:t>。</w:t>
      </w:r>
    </w:p>
    <w:bookmarkEnd w:id="1"/>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rPr>
          <w:rFonts w:hint="eastAsia" w:ascii="黑体" w:hAnsi="黑体" w:eastAsia="黑体"/>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rPr>
          <w:rFonts w:ascii="黑体" w:hAnsi="黑体" w:eastAsia="黑体"/>
          <w:sz w:val="32"/>
          <w:szCs w:val="32"/>
        </w:rPr>
      </w:pPr>
      <w:r>
        <w:rPr>
          <w:rFonts w:hint="eastAsia" w:ascii="黑体" w:hAnsi="黑体" w:eastAsia="黑体"/>
          <w:sz w:val="32"/>
          <w:szCs w:val="32"/>
          <w:lang w:eastAsia="zh-CN"/>
        </w:rPr>
        <w:t>青阳县</w:t>
      </w:r>
      <w:r>
        <w:rPr>
          <w:rFonts w:hint="eastAsia" w:ascii="黑体" w:hAnsi="黑体" w:eastAsia="黑体"/>
          <w:sz w:val="32"/>
          <w:szCs w:val="32"/>
        </w:rPr>
        <w:t xml:space="preserve">人民政府           </w:t>
      </w:r>
      <w:r>
        <w:rPr>
          <w:rFonts w:hint="eastAsia" w:ascii="黑体" w:hAnsi="黑体" w:eastAsia="黑体"/>
          <w:sz w:val="32"/>
          <w:szCs w:val="32"/>
          <w:lang w:val="en-US" w:eastAsia="zh-CN"/>
        </w:rPr>
        <w:t xml:space="preserve">     青阳县</w:t>
      </w:r>
      <w:r>
        <w:rPr>
          <w:rFonts w:hint="eastAsia" w:ascii="黑体" w:hAnsi="黑体" w:eastAsia="黑体"/>
          <w:sz w:val="32"/>
          <w:szCs w:val="32"/>
        </w:rPr>
        <w:t>商务局</w:t>
      </w: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rPr>
          <w:rFonts w:hint="eastAsia" w:ascii="黑体" w:hAnsi="黑体" w:eastAsia="黑体"/>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rPr>
          <w:rFonts w:ascii="黑体" w:hAnsi="黑体" w:eastAsia="黑体"/>
          <w:sz w:val="32"/>
          <w:szCs w:val="32"/>
        </w:rPr>
      </w:pPr>
      <w:r>
        <w:rPr>
          <w:rFonts w:hint="eastAsia" w:ascii="黑体" w:hAnsi="黑体" w:eastAsia="黑体"/>
          <w:sz w:val="32"/>
          <w:szCs w:val="32"/>
        </w:rPr>
        <w:t xml:space="preserve">签字人：                </w:t>
      </w:r>
      <w:r>
        <w:rPr>
          <w:rFonts w:hint="eastAsia" w:ascii="黑体" w:hAnsi="黑体" w:eastAsia="黑体"/>
          <w:sz w:val="32"/>
          <w:szCs w:val="32"/>
          <w:lang w:val="en-US" w:eastAsia="zh-CN"/>
        </w:rPr>
        <w:t xml:space="preserve">      </w:t>
      </w:r>
      <w:r>
        <w:rPr>
          <w:rFonts w:hint="eastAsia" w:ascii="黑体" w:hAnsi="黑体" w:eastAsia="黑体"/>
          <w:sz w:val="32"/>
          <w:szCs w:val="32"/>
        </w:rPr>
        <w:t xml:space="preserve"> 签字人：</w:t>
      </w:r>
    </w:p>
    <w:p>
      <w:pPr>
        <w:keepNext w:val="0"/>
        <w:keepLines w:val="0"/>
        <w:pageBreakBefore w:val="0"/>
        <w:widowControl w:val="0"/>
        <w:kinsoku/>
        <w:wordWrap/>
        <w:overflowPunct/>
        <w:topLinePunct w:val="0"/>
        <w:autoSpaceDE/>
        <w:autoSpaceDN/>
        <w:bidi w:val="0"/>
        <w:adjustRightInd/>
        <w:snapToGrid/>
        <w:spacing w:line="560" w:lineRule="exact"/>
        <w:ind w:right="0" w:rightChars="0"/>
        <w:jc w:val="center"/>
        <w:textAlignment w:val="auto"/>
        <w:rPr>
          <w:rFonts w:hint="eastAsia" w:ascii="黑体" w:hAnsi="黑体" w:eastAsia="黑体"/>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right="0" w:rightChars="0"/>
        <w:jc w:val="center"/>
        <w:textAlignment w:val="auto"/>
        <w:rPr>
          <w:sz w:val="28"/>
          <w:szCs w:val="28"/>
        </w:rPr>
      </w:pPr>
      <w:r>
        <w:rPr>
          <w:rFonts w:hint="eastAsia" w:ascii="黑体" w:hAnsi="黑体" w:eastAsia="黑体"/>
          <w:sz w:val="32"/>
          <w:szCs w:val="32"/>
          <w:lang w:val="en-US" w:eastAsia="zh-CN"/>
        </w:rPr>
        <w:t xml:space="preserve">                              </w:t>
      </w:r>
      <w:r>
        <w:rPr>
          <w:rFonts w:hint="eastAsia" w:ascii="黑体" w:hAnsi="黑体" w:eastAsia="黑体"/>
          <w:sz w:val="32"/>
          <w:szCs w:val="32"/>
        </w:rPr>
        <w:t>202</w:t>
      </w:r>
      <w:r>
        <w:rPr>
          <w:rFonts w:hint="eastAsia" w:ascii="黑体" w:hAnsi="黑体" w:eastAsia="黑体"/>
          <w:sz w:val="32"/>
          <w:szCs w:val="32"/>
          <w:lang w:val="en-US" w:eastAsia="zh-CN"/>
        </w:rPr>
        <w:t>4</w:t>
      </w:r>
      <w:r>
        <w:rPr>
          <w:rFonts w:hint="eastAsia" w:ascii="黑体" w:hAnsi="黑体" w:eastAsia="黑体"/>
          <w:sz w:val="32"/>
          <w:szCs w:val="32"/>
        </w:rPr>
        <w:t>年</w:t>
      </w:r>
      <w:r>
        <w:rPr>
          <w:rFonts w:hint="eastAsia" w:ascii="黑体" w:hAnsi="黑体" w:eastAsia="黑体"/>
          <w:sz w:val="32"/>
          <w:szCs w:val="32"/>
          <w:lang w:val="en-US" w:eastAsia="zh-CN"/>
        </w:rPr>
        <w:t>5</w:t>
      </w:r>
      <w:r>
        <w:rPr>
          <w:rFonts w:hint="eastAsia" w:ascii="黑体" w:hAnsi="黑体" w:eastAsia="黑体"/>
          <w:sz w:val="32"/>
          <w:szCs w:val="32"/>
        </w:rPr>
        <w:t>月</w:t>
      </w:r>
    </w:p>
    <w:sectPr>
      <w:pgSz w:w="11906" w:h="16838"/>
      <w:pgMar w:top="1701" w:right="1418" w:bottom="1134"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D49100A5-CB4E-4F94-9F75-BC19BA2302B8}"/>
  </w:font>
  <w:font w:name="Arial">
    <w:panose1 w:val="020B0604020202020204"/>
    <w:charset w:val="01"/>
    <w:family w:val="swiss"/>
    <w:pitch w:val="default"/>
    <w:sig w:usb0="E0002EFF" w:usb1="C000785B" w:usb2="00000009" w:usb3="00000000" w:csb0="400001FF" w:csb1="FFFF0000"/>
    <w:embedRegular r:id="rId2" w:fontKey="{D053F32B-EB36-4476-B346-765CB4E59279}"/>
  </w:font>
  <w:font w:name="黑体">
    <w:panose1 w:val="02010609060101010101"/>
    <w:charset w:val="86"/>
    <w:family w:val="auto"/>
    <w:pitch w:val="default"/>
    <w:sig w:usb0="800002BF" w:usb1="38CF7CFA" w:usb2="00000016" w:usb3="00000000" w:csb0="00040001" w:csb1="00000000"/>
    <w:embedRegular r:id="rId3" w:fontKey="{7FA006ED-ADAE-49BE-91EA-6F2B8917739E}"/>
  </w:font>
  <w:font w:name="Courier New">
    <w:panose1 w:val="02070309020205020404"/>
    <w:charset w:val="01"/>
    <w:family w:val="modern"/>
    <w:pitch w:val="default"/>
    <w:sig w:usb0="E0002EFF" w:usb1="C0007843" w:usb2="00000009" w:usb3="00000000" w:csb0="400001FF" w:csb1="FFFF0000"/>
    <w:embedRegular r:id="rId4" w:fontKey="{223FF42C-7747-4454-9B25-A1803FBD53E3}"/>
  </w:font>
  <w:font w:name="Symbol">
    <w:panose1 w:val="05050102010706020507"/>
    <w:charset w:val="02"/>
    <w:family w:val="roman"/>
    <w:pitch w:val="default"/>
    <w:sig w:usb0="00000000" w:usb1="00000000" w:usb2="00000000" w:usb3="00000000" w:csb0="80000000" w:csb1="00000000"/>
    <w:embedRegular r:id="rId5" w:fontKey="{9E1096E2-0518-4C5C-A7D0-E40CD0DF949F}"/>
  </w:font>
  <w:font w:name="Calibri">
    <w:panose1 w:val="020F0502020204030204"/>
    <w:charset w:val="00"/>
    <w:family w:val="swiss"/>
    <w:pitch w:val="default"/>
    <w:sig w:usb0="E4002EFF" w:usb1="C000247B" w:usb2="00000009" w:usb3="00000000" w:csb0="200001FF" w:csb1="00000000"/>
    <w:embedRegular r:id="rId6" w:fontKey="{CC598A72-77FC-4C37-9853-142846545F9E}"/>
  </w:font>
  <w:font w:name="方正小标宋简体">
    <w:panose1 w:val="02000000000000000000"/>
    <w:charset w:val="86"/>
    <w:family w:val="auto"/>
    <w:pitch w:val="default"/>
    <w:sig w:usb0="00000001" w:usb1="080E0000" w:usb2="00000000" w:usb3="00000000" w:csb0="00040000" w:csb1="00000000"/>
    <w:embedRegular r:id="rId7" w:fontKey="{4766D4CA-F557-4818-A0D7-9A262DA1DE88}"/>
  </w:font>
  <w:font w:name="仿宋_GB2312">
    <w:panose1 w:val="02010609030101010101"/>
    <w:charset w:val="86"/>
    <w:family w:val="modern"/>
    <w:pitch w:val="default"/>
    <w:sig w:usb0="00000001" w:usb1="080E0000" w:usb2="00000000" w:usb3="00000000" w:csb0="00040000" w:csb1="00000000"/>
    <w:embedRegular r:id="rId8" w:fontKey="{16BA9F08-6668-46A0-871C-2B91B2A96A3C}"/>
  </w:font>
  <w:font w:name="方正仿宋_GBK">
    <w:panose1 w:val="02000000000000000000"/>
    <w:charset w:val="86"/>
    <w:family w:val="auto"/>
    <w:pitch w:val="default"/>
    <w:sig w:usb0="00000001" w:usb1="080E0000" w:usb2="00000000" w:usb3="00000000" w:csb0="00040000" w:csb1="00000000"/>
    <w:embedRegular r:id="rId9" w:fontKey="{894BDEA0-EFA8-481F-B58B-4DDDD4A3BA2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3NDk0MWYyNjgwMzk4N2QyZTA1NTg4ODE3YzA2ZTgifQ=="/>
  </w:docVars>
  <w:rsids>
    <w:rsidRoot w:val="001470F5"/>
    <w:rsid w:val="00146E73"/>
    <w:rsid w:val="001470F5"/>
    <w:rsid w:val="00150C69"/>
    <w:rsid w:val="001773C0"/>
    <w:rsid w:val="003009E9"/>
    <w:rsid w:val="00381C49"/>
    <w:rsid w:val="00392E90"/>
    <w:rsid w:val="00510A44"/>
    <w:rsid w:val="00514A58"/>
    <w:rsid w:val="005314BF"/>
    <w:rsid w:val="005744E7"/>
    <w:rsid w:val="006A7BB2"/>
    <w:rsid w:val="00871499"/>
    <w:rsid w:val="0087259F"/>
    <w:rsid w:val="00A25295"/>
    <w:rsid w:val="00A362B7"/>
    <w:rsid w:val="00A64C58"/>
    <w:rsid w:val="00AE7DC1"/>
    <w:rsid w:val="00B0019C"/>
    <w:rsid w:val="00B055E8"/>
    <w:rsid w:val="00B31B01"/>
    <w:rsid w:val="00C77B1F"/>
    <w:rsid w:val="00C94100"/>
    <w:rsid w:val="00CA602D"/>
    <w:rsid w:val="00D120A3"/>
    <w:rsid w:val="00DB4814"/>
    <w:rsid w:val="00DD2A8E"/>
    <w:rsid w:val="00F72EA3"/>
    <w:rsid w:val="00FE1BC1"/>
    <w:rsid w:val="00FF722B"/>
    <w:rsid w:val="07867F70"/>
    <w:rsid w:val="08637FC3"/>
    <w:rsid w:val="0CCB3664"/>
    <w:rsid w:val="1E5D270F"/>
    <w:rsid w:val="221567D2"/>
    <w:rsid w:val="227A446C"/>
    <w:rsid w:val="24350F57"/>
    <w:rsid w:val="250701B2"/>
    <w:rsid w:val="27E47E68"/>
    <w:rsid w:val="2CAD46D4"/>
    <w:rsid w:val="2FEF2C1A"/>
    <w:rsid w:val="2FF16FB5"/>
    <w:rsid w:val="314C328E"/>
    <w:rsid w:val="33176D72"/>
    <w:rsid w:val="3394336A"/>
    <w:rsid w:val="3AAF3F50"/>
    <w:rsid w:val="44DF7559"/>
    <w:rsid w:val="46BB020A"/>
    <w:rsid w:val="521A547C"/>
    <w:rsid w:val="5B796305"/>
    <w:rsid w:val="5C1473E0"/>
    <w:rsid w:val="60E60B40"/>
    <w:rsid w:val="662602CC"/>
    <w:rsid w:val="6C0A6F1D"/>
    <w:rsid w:val="6EA73313"/>
    <w:rsid w:val="74F45A8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rFonts w:ascii="Times New Roman" w:hAnsi="Times New Roman" w:eastAsia="宋体" w:cs="Times New Roman"/>
      <w:sz w:val="18"/>
      <w:szCs w:val="18"/>
    </w:rPr>
  </w:style>
  <w:style w:type="character" w:customStyle="1" w:styleId="7">
    <w:name w:val="页脚 Char"/>
    <w:basedOn w:val="5"/>
    <w:link w:val="2"/>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Pages>
  <Words>1099</Words>
  <Characters>1111</Characters>
  <Lines>7</Lines>
  <Paragraphs>2</Paragraphs>
  <TotalTime>19</TotalTime>
  <ScaleCrop>false</ScaleCrop>
  <LinksUpToDate>false</LinksUpToDate>
  <CharactersWithSpaces>1180</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2020-04-15T08:21:00Z</dcterms:created>
  <dc:creator>vvv</dc:creator>
  <cp:lastModifiedBy>白马骨</cp:lastModifiedBy>
  <cp:lastPrinted>2020-05-18T01:17:00Z</cp:lastPrinted>
  <dcterms:modified xsi:type="dcterms:W3CDTF">2024-05-30T03:26:09Z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1152252418_embed</vt:lpwstr>
  </property>
  <property fmtid="{D5CDD505-2E9C-101B-9397-08002B2CF9AE}" pid="4" name="ICV">
    <vt:lpwstr>F116D44577D24D248418D328C3CDFAC9_13</vt:lpwstr>
  </property>
</Properties>
</file>