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eastAsia="zh-CN"/>
        </w:rPr>
        <w:t>县</w:t>
      </w:r>
      <w:r>
        <w:rPr>
          <w:rFonts w:hint="eastAsia" w:ascii="方正小标宋简体" w:hAnsi="方正小标宋简体" w:eastAsia="方正小标宋简体" w:cs="方正小标宋简体"/>
          <w:sz w:val="44"/>
          <w:szCs w:val="44"/>
        </w:rPr>
        <w:t>文化和旅游局202</w:t>
      </w:r>
      <w:r>
        <w:rPr>
          <w:rFonts w:hint="eastAsia" w:ascii="方正小标宋简体" w:hAnsi="方正小标宋简体" w:eastAsia="方正小标宋简体" w:cs="方正小标宋简体"/>
          <w:sz w:val="44"/>
          <w:szCs w:val="44"/>
          <w:lang w:val="en-US" w:eastAsia="zh-CN"/>
        </w:rPr>
        <w:t>4</w:t>
      </w:r>
      <w:r>
        <w:rPr>
          <w:rFonts w:hint="eastAsia" w:ascii="方正小标宋简体" w:hAnsi="方正小标宋简体" w:eastAsia="方正小标宋简体" w:cs="方正小标宋简体"/>
          <w:sz w:val="44"/>
          <w:szCs w:val="44"/>
        </w:rPr>
        <w:t>年安全生产和消防</w:t>
      </w:r>
    </w:p>
    <w:p>
      <w:pPr>
        <w:keepNext w:val="0"/>
        <w:keepLines w:val="0"/>
        <w:pageBreakBefore w:val="0"/>
        <w:widowControl w:val="0"/>
        <w:kinsoku/>
        <w:wordWrap/>
        <w:overflowPunct/>
        <w:topLinePunct w:val="0"/>
        <w:autoSpaceDE/>
        <w:autoSpaceDN/>
        <w:bidi w:val="0"/>
        <w:adjustRightInd/>
        <w:snapToGrid/>
        <w:spacing w:after="313" w:afterLines="100" w:line="60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工作目标管理责任书</w:t>
      </w:r>
    </w:p>
    <w:p>
      <w:pPr>
        <w:keepNext w:val="0"/>
        <w:keepLines w:val="0"/>
        <w:pageBreakBefore w:val="0"/>
        <w:widowControl w:val="0"/>
        <w:kinsoku/>
        <w:wordWrap/>
        <w:overflowPunct/>
        <w:topLinePunct w:val="0"/>
        <w:autoSpaceDE/>
        <w:autoSpaceDN/>
        <w:bidi w:val="0"/>
        <w:adjustRightInd/>
        <w:snapToGrid/>
        <w:spacing w:line="600" w:lineRule="exact"/>
        <w:ind w:right="0" w:firstLine="560" w:firstLineChars="200"/>
        <w:textAlignment w:val="auto"/>
        <w:rPr>
          <w:rFonts w:eastAsia="仿宋_GB2312"/>
          <w:sz w:val="32"/>
          <w:szCs w:val="32"/>
        </w:rPr>
      </w:pPr>
      <w:r>
        <w:rPr>
          <w:rFonts w:eastAsia="方正小标宋简体"/>
          <w:kern w:val="0"/>
          <w:sz w:val="28"/>
          <w:szCs w:val="28"/>
        </w:rPr>
        <w:t xml:space="preserve"> </w:t>
      </w:r>
      <w:r>
        <w:rPr>
          <w:rFonts w:eastAsia="仿宋_GB2312"/>
          <w:sz w:val="32"/>
          <w:szCs w:val="32"/>
        </w:rPr>
        <w:t>为落实安全生产和消防工作责任，防范各类生产安全和火灾事故，依据</w:t>
      </w:r>
      <w:r>
        <w:rPr>
          <w:rFonts w:hint="eastAsia" w:eastAsia="仿宋_GB2312"/>
          <w:sz w:val="32"/>
          <w:szCs w:val="32"/>
        </w:rPr>
        <w:t>《地方党政领导干部安全生产责任制规定》和省、市</w:t>
      </w:r>
      <w:r>
        <w:rPr>
          <w:rFonts w:hint="eastAsia" w:eastAsia="仿宋_GB2312"/>
          <w:sz w:val="32"/>
          <w:szCs w:val="32"/>
          <w:lang w:eastAsia="zh-CN"/>
        </w:rPr>
        <w:t>、县</w:t>
      </w:r>
      <w:r>
        <w:rPr>
          <w:rFonts w:hint="eastAsia" w:eastAsia="仿宋_GB2312"/>
          <w:sz w:val="32"/>
          <w:szCs w:val="32"/>
        </w:rPr>
        <w:t>实施细则及《</w:t>
      </w:r>
      <w:r>
        <w:rPr>
          <w:rFonts w:hint="eastAsia" w:eastAsia="仿宋_GB2312"/>
          <w:sz w:val="32"/>
          <w:szCs w:val="32"/>
          <w:lang w:eastAsia="zh-CN"/>
        </w:rPr>
        <w:t>安徽省</w:t>
      </w:r>
      <w:r>
        <w:rPr>
          <w:rFonts w:hint="eastAsia" w:eastAsia="仿宋_GB2312"/>
          <w:sz w:val="32"/>
          <w:szCs w:val="32"/>
        </w:rPr>
        <w:t>消防安全责任制规定》</w:t>
      </w:r>
      <w:r>
        <w:rPr>
          <w:rFonts w:eastAsia="仿宋_GB2312"/>
          <w:sz w:val="32"/>
          <w:szCs w:val="32"/>
        </w:rPr>
        <w:t>，</w:t>
      </w:r>
      <w:r>
        <w:rPr>
          <w:rFonts w:hint="eastAsia" w:eastAsia="黑体"/>
          <w:sz w:val="32"/>
          <w:szCs w:val="32"/>
          <w:lang w:eastAsia="zh-CN"/>
        </w:rPr>
        <w:t>青阳县</w:t>
      </w:r>
      <w:r>
        <w:rPr>
          <w:rFonts w:eastAsia="黑体"/>
          <w:sz w:val="32"/>
          <w:szCs w:val="32"/>
        </w:rPr>
        <w:t>人民政府</w:t>
      </w:r>
      <w:r>
        <w:rPr>
          <w:rFonts w:eastAsia="仿宋_GB2312"/>
          <w:sz w:val="32"/>
          <w:szCs w:val="32"/>
        </w:rPr>
        <w:t>与</w:t>
      </w:r>
      <w:r>
        <w:rPr>
          <w:rFonts w:hint="eastAsia" w:eastAsia="黑体"/>
          <w:sz w:val="32"/>
          <w:szCs w:val="32"/>
          <w:lang w:eastAsia="zh-CN"/>
        </w:rPr>
        <w:t>青阳县</w:t>
      </w:r>
      <w:r>
        <w:rPr>
          <w:rFonts w:eastAsia="黑体"/>
          <w:sz w:val="32"/>
          <w:szCs w:val="32"/>
        </w:rPr>
        <w:t>文化和旅游</w:t>
      </w:r>
      <w:r>
        <w:rPr>
          <w:rFonts w:hint="eastAsia" w:eastAsia="黑体"/>
          <w:sz w:val="32"/>
          <w:szCs w:val="32"/>
        </w:rPr>
        <w:t>局</w:t>
      </w:r>
      <w:r>
        <w:rPr>
          <w:rFonts w:eastAsia="仿宋_GB2312"/>
          <w:sz w:val="32"/>
          <w:szCs w:val="32"/>
        </w:rPr>
        <w:t>签订</w:t>
      </w:r>
      <w:r>
        <w:rPr>
          <w:rFonts w:hint="eastAsia" w:ascii="仿宋_GB2312" w:hAnsi="仿宋_GB2312" w:eastAsia="仿宋_GB2312" w:cs="仿宋_GB2312"/>
          <w:sz w:val="32"/>
          <w:szCs w:val="32"/>
          <w:lang w:val="en-US" w:eastAsia="zh-CN"/>
        </w:rPr>
        <w:t>2024</w:t>
      </w:r>
      <w:r>
        <w:rPr>
          <w:rFonts w:hint="eastAsia" w:ascii="仿宋_GB2312" w:hAnsi="仿宋_GB2312" w:eastAsia="仿宋_GB2312" w:cs="仿宋_GB2312"/>
          <w:sz w:val="32"/>
          <w:szCs w:val="32"/>
        </w:rPr>
        <w:t>年</w:t>
      </w:r>
      <w:r>
        <w:rPr>
          <w:rFonts w:eastAsia="仿宋_GB2312"/>
          <w:sz w:val="32"/>
          <w:szCs w:val="32"/>
        </w:rPr>
        <w:t>安全生产和消防工作目标管理责任书。</w:t>
      </w:r>
    </w:p>
    <w:p>
      <w:pPr>
        <w:pageBreakBefore w:val="0"/>
        <w:kinsoku/>
        <w:overflowPunct w:val="0"/>
        <w:topLinePunct w:val="0"/>
        <w:autoSpaceDE/>
        <w:autoSpaceDN/>
        <w:bidi w:val="0"/>
        <w:spacing w:line="540" w:lineRule="exact"/>
        <w:ind w:firstLine="640" w:firstLineChars="200"/>
        <w:textAlignment w:val="auto"/>
        <w:rPr>
          <w:rFonts w:eastAsia="仿宋_GB2312"/>
          <w:sz w:val="32"/>
          <w:szCs w:val="32"/>
        </w:rPr>
      </w:pPr>
      <w:r>
        <w:rPr>
          <w:rFonts w:eastAsia="黑体"/>
          <w:sz w:val="32"/>
          <w:szCs w:val="32"/>
        </w:rPr>
        <w:t>一、确保实现工作目标。</w:t>
      </w:r>
      <w:r>
        <w:rPr>
          <w:rFonts w:hint="eastAsia" w:ascii="仿宋_GB2312" w:hAnsi="仿宋_GB2312" w:eastAsia="仿宋_GB2312" w:cs="仿宋_GB2312"/>
          <w:sz w:val="32"/>
          <w:szCs w:val="32"/>
        </w:rPr>
        <w:t>坚决遏制文化和旅游行业重特大生产安全和火灾事故，有效防范生产安全和火灾较大事故，努力减少生产安全和火灾一般事故。</w:t>
      </w:r>
    </w:p>
    <w:p>
      <w:pPr>
        <w:pageBreakBefore w:val="0"/>
        <w:kinsoku/>
        <w:overflowPunct w:val="0"/>
        <w:topLinePunct w:val="0"/>
        <w:autoSpaceDE/>
        <w:autoSpaceDN/>
        <w:bidi w:val="0"/>
        <w:spacing w:line="540" w:lineRule="exact"/>
        <w:ind w:firstLine="640" w:firstLineChars="200"/>
        <w:textAlignment w:val="auto"/>
        <w:rPr>
          <w:rFonts w:eastAsia="黑体"/>
          <w:sz w:val="32"/>
          <w:szCs w:val="32"/>
        </w:rPr>
      </w:pPr>
      <w:r>
        <w:rPr>
          <w:rFonts w:eastAsia="黑体"/>
          <w:sz w:val="32"/>
          <w:szCs w:val="32"/>
        </w:rPr>
        <w:t>二、树牢安全发展理念。</w:t>
      </w:r>
      <w:r>
        <w:rPr>
          <w:rFonts w:hint="eastAsia" w:ascii="仿宋_GB2312" w:hAnsi="仿宋_GB2312" w:eastAsia="仿宋_GB2312" w:cs="仿宋_GB2312"/>
          <w:sz w:val="32"/>
          <w:szCs w:val="32"/>
        </w:rPr>
        <w:t>深入学习宣传贯彻习近平总书记关于安全生产、应急管理、防灾减灾救灾的重要论述，贯彻落实党的二十大报告中关于安全生产的重要部署，坚持人民至上、生命至上，更好统筹发展和安全，深入开展安全生产治本攻坚三年行动，推动安全生产治理模式向事前预防转型。</w:t>
      </w:r>
    </w:p>
    <w:p>
      <w:pPr>
        <w:pageBreakBefore w:val="0"/>
        <w:kinsoku/>
        <w:overflowPunct w:val="0"/>
        <w:topLinePunct w:val="0"/>
        <w:autoSpaceDE/>
        <w:autoSpaceDN/>
        <w:bidi w:val="0"/>
        <w:spacing w:line="540" w:lineRule="exact"/>
        <w:ind w:firstLine="640" w:firstLineChars="200"/>
        <w:textAlignment w:val="auto"/>
        <w:rPr>
          <w:rFonts w:eastAsia="黑体"/>
          <w:sz w:val="32"/>
          <w:szCs w:val="32"/>
        </w:rPr>
      </w:pPr>
      <w:r>
        <w:rPr>
          <w:rFonts w:eastAsia="黑体"/>
          <w:sz w:val="32"/>
          <w:szCs w:val="32"/>
        </w:rPr>
        <w:t>三、落实安全工作责任。</w:t>
      </w:r>
      <w:r>
        <w:rPr>
          <w:rFonts w:hint="eastAsia" w:ascii="仿宋_GB2312" w:hAnsi="仿宋_GB2312" w:eastAsia="仿宋_GB2312" w:cs="仿宋_GB2312"/>
          <w:sz w:val="32"/>
          <w:szCs w:val="32"/>
        </w:rPr>
        <w:t>落实《党政领导干部安全生产责任制实施细则》《安徽省消防安全责任制规定》，严格执行《</w:t>
      </w:r>
      <w:r>
        <w:rPr>
          <w:rFonts w:hint="eastAsia" w:ascii="仿宋_GB2312" w:hAnsi="仿宋_GB2312" w:eastAsia="仿宋_GB2312" w:cs="仿宋_GB2312"/>
          <w:sz w:val="32"/>
          <w:szCs w:val="32"/>
          <w:lang w:eastAsia="zh-CN"/>
        </w:rPr>
        <w:t>青阳县</w:t>
      </w:r>
      <w:r>
        <w:rPr>
          <w:rFonts w:hint="eastAsia" w:ascii="仿宋_GB2312" w:hAnsi="仿宋_GB2312" w:eastAsia="仿宋_GB2312" w:cs="仿宋_GB2312"/>
          <w:sz w:val="32"/>
          <w:szCs w:val="32"/>
        </w:rPr>
        <w:t>安全生产“三管三必须”责任清单》及《实施意见》。负责文化和旅游安全监督管理工作，在职责范围内依法对文化市场和旅游行业安全生产工作实施监督管理。依法依规对互联网上网服务经营场所、娱乐场所和营业性演出、文化艺术经营活动执行有关安全生产法律法规的情况进行监督检查。负责文化系统所属单位的安全监督管理，指导公共图书馆、文化馆（站）、文化产业园区（基地）等文化单位和重大文化活动、基层群众文化活动加强安全管理。会同</w:t>
      </w:r>
      <w:r>
        <w:rPr>
          <w:rFonts w:hint="eastAsia" w:ascii="仿宋_GB2312" w:hAnsi="仿宋_GB2312" w:eastAsia="仿宋_GB2312" w:cs="仿宋_GB2312"/>
          <w:sz w:val="32"/>
          <w:szCs w:val="32"/>
          <w:lang w:eastAsia="zh-CN"/>
        </w:rPr>
        <w:t>县</w:t>
      </w:r>
      <w:r>
        <w:rPr>
          <w:rFonts w:hint="eastAsia" w:ascii="仿宋_GB2312" w:hAnsi="仿宋_GB2312" w:eastAsia="仿宋_GB2312" w:cs="仿宋_GB2312"/>
          <w:sz w:val="32"/>
          <w:szCs w:val="32"/>
        </w:rPr>
        <w:t>有关部门对旅游安全实行综合治理，配合有关部门加强旅游客运管理。指导各地依法依规对旅行社企业以及地方性法规规定旅游主管部门负有行业监管职责的景区和饭店等旅游经营者安全生产工作进行监督检查。依法指导景区建立具备开放的安全条件，推动协调相关部门加强对自助游、自驾游等新兴业态的安全监管。</w:t>
      </w:r>
      <w:r>
        <w:rPr>
          <w:rFonts w:hint="eastAsia" w:ascii="仿宋_GB2312" w:hAnsi="仿宋_GB2312" w:eastAsia="仿宋_GB2312" w:cs="仿宋_GB2312"/>
          <w:spacing w:val="-6"/>
          <w:sz w:val="32"/>
          <w:szCs w:val="32"/>
        </w:rPr>
        <w:t>负责全</w:t>
      </w:r>
      <w:r>
        <w:rPr>
          <w:rFonts w:hint="eastAsia" w:ascii="仿宋_GB2312" w:hAnsi="仿宋_GB2312" w:eastAsia="仿宋_GB2312" w:cs="仿宋_GB2312"/>
          <w:spacing w:val="-6"/>
          <w:sz w:val="32"/>
          <w:szCs w:val="32"/>
          <w:lang w:eastAsia="zh-CN"/>
        </w:rPr>
        <w:t>县</w:t>
      </w:r>
      <w:r>
        <w:rPr>
          <w:rFonts w:hint="eastAsia" w:ascii="仿宋_GB2312" w:hAnsi="仿宋_GB2312" w:eastAsia="仿宋_GB2312" w:cs="仿宋_GB2312"/>
          <w:spacing w:val="-6"/>
          <w:sz w:val="32"/>
          <w:szCs w:val="32"/>
        </w:rPr>
        <w:t>文物和博物馆安全生产监督管理。</w:t>
      </w:r>
      <w:r>
        <w:rPr>
          <w:rFonts w:hint="eastAsia" w:ascii="仿宋_GB2312" w:hAnsi="仿宋_GB2312" w:eastAsia="仿宋_GB2312" w:cs="仿宋_GB2312"/>
          <w:sz w:val="32"/>
          <w:szCs w:val="32"/>
        </w:rPr>
        <w:t>负责指导、监督广播电视机构及设施设备、重点基础设施建设安全管理。指导、推进全</w:t>
      </w:r>
      <w:r>
        <w:rPr>
          <w:rFonts w:hint="eastAsia" w:ascii="仿宋_GB2312" w:hAnsi="仿宋_GB2312" w:eastAsia="仿宋_GB2312" w:cs="仿宋_GB2312"/>
          <w:sz w:val="32"/>
          <w:szCs w:val="32"/>
          <w:lang w:eastAsia="zh-CN"/>
        </w:rPr>
        <w:t>县</w:t>
      </w:r>
      <w:r>
        <w:rPr>
          <w:rFonts w:hint="eastAsia" w:ascii="仿宋_GB2312" w:hAnsi="仿宋_GB2312" w:eastAsia="仿宋_GB2312" w:cs="仿宋_GB2312"/>
          <w:sz w:val="32"/>
          <w:szCs w:val="32"/>
        </w:rPr>
        <w:t>应急广播体系建设。指导、协调重大突发事件报道和应急播报。</w:t>
      </w:r>
    </w:p>
    <w:p>
      <w:pPr>
        <w:pageBreakBefore w:val="0"/>
        <w:kinsoku/>
        <w:overflowPunct w:val="0"/>
        <w:topLinePunct w:val="0"/>
        <w:autoSpaceDE/>
        <w:autoSpaceDN/>
        <w:bidi w:val="0"/>
        <w:spacing w:line="540" w:lineRule="exact"/>
        <w:ind w:firstLine="640" w:firstLineChars="200"/>
        <w:textAlignment w:val="auto"/>
        <w:rPr>
          <w:rFonts w:eastAsia="黑体"/>
          <w:sz w:val="32"/>
          <w:szCs w:val="32"/>
        </w:rPr>
      </w:pPr>
      <w:r>
        <w:rPr>
          <w:rFonts w:eastAsia="黑体"/>
          <w:sz w:val="32"/>
          <w:szCs w:val="32"/>
        </w:rPr>
        <w:t>四、防范化解重大风险。</w:t>
      </w:r>
      <w:r>
        <w:rPr>
          <w:rFonts w:hint="eastAsia" w:ascii="仿宋_GB2312" w:hAnsi="仿宋_GB2312" w:eastAsia="仿宋_GB2312" w:cs="仿宋_GB2312"/>
          <w:sz w:val="32"/>
          <w:szCs w:val="32"/>
        </w:rPr>
        <w:t>聚焦重点行业领域专项治理，深化重大事故隐患排查整治。在重大活动、重大节日期间，采取“四不两直”执法检查、专家指导服务、媒体曝光等措施，组织开展安全生产常态化明查暗访。深刻汲取有关生产安全事故教训，主动排查整改问题。指导A级旅游景区玻璃栈道和“步步惊心”等高风险旅游项目、室内冰雪场所安全管理，开展景区内游乐园安全隐患排查整治</w:t>
      </w:r>
      <w:r>
        <w:rPr>
          <w:rFonts w:hint="eastAsia" w:ascii="仿宋_GB2312" w:hAnsi="仿宋_GB2312" w:eastAsia="仿宋_GB2312" w:cs="仿宋_GB2312"/>
          <w:spacing w:val="-2"/>
          <w:sz w:val="32"/>
          <w:szCs w:val="32"/>
        </w:rPr>
        <w:t>。加强演出活动安全管理，指导网吧、KTV等娱乐场所以及旅游景区做好人员聚集活动安全管理。年内至少指导督促直属公共文化事业单位及文化市场、文化娱乐场所、省级文物保护单位等开展一次消防安全大检查，通报检查发现的问题并跟踪整改。严格执行《文化和旅游部门消防安全标准化管理规定》。</w:t>
      </w:r>
    </w:p>
    <w:p>
      <w:pPr>
        <w:pageBreakBefore w:val="0"/>
        <w:kinsoku/>
        <w:overflowPunct w:val="0"/>
        <w:topLinePunct w:val="0"/>
        <w:autoSpaceDE/>
        <w:autoSpaceDN/>
        <w:bidi w:val="0"/>
        <w:spacing w:line="540" w:lineRule="exact"/>
        <w:ind w:firstLine="640" w:firstLineChars="200"/>
        <w:textAlignment w:val="auto"/>
        <w:rPr>
          <w:rFonts w:eastAsia="仿宋_GB2312"/>
          <w:sz w:val="32"/>
          <w:szCs w:val="32"/>
        </w:rPr>
      </w:pPr>
      <w:r>
        <w:rPr>
          <w:rFonts w:eastAsia="黑体"/>
          <w:sz w:val="32"/>
          <w:szCs w:val="32"/>
        </w:rPr>
        <w:t>五、夯实安全工作基础。</w:t>
      </w:r>
      <w:r>
        <w:rPr>
          <w:rFonts w:hint="eastAsia" w:ascii="仿宋_GB2312" w:hAnsi="仿宋_GB2312" w:eastAsia="仿宋_GB2312" w:cs="仿宋_GB2312"/>
          <w:sz w:val="32"/>
          <w:szCs w:val="32"/>
        </w:rPr>
        <w:t>用好案例教育法，扎实开展“安全生产月”、消防宣传月等安全宣传教育活动。积极开展群众喜闻乐见的安全生产和消防文艺作品的创作和演出，大力推动安全文化建设。按规定及时报告事故信息。负责文化和旅游行业安全生产统计分析。依法参与有关事故调查处理。修订完成有关专项预案或部门预案，组织预案演练和应急能力测试，推动应急能力建设，督促完成本系统应急资源填报。建立健全内设安委会或安全生产工作领导小组，主要负责同志任主任或组长，每季度研究一次安全生产工作。发挥文化旅游安全生产专项领导小组办公室作用，组织开展信息通报、联合执法、会商研判。</w:t>
      </w:r>
    </w:p>
    <w:p>
      <w:pPr>
        <w:keepNext w:val="0"/>
        <w:keepLines w:val="0"/>
        <w:pageBreakBefore w:val="0"/>
        <w:widowControl w:val="0"/>
        <w:kinsoku/>
        <w:wordWrap/>
        <w:overflowPunct/>
        <w:topLinePunct w:val="0"/>
        <w:autoSpaceDE/>
        <w:autoSpaceDN/>
        <w:bidi w:val="0"/>
        <w:adjustRightInd/>
        <w:snapToGrid/>
        <w:spacing w:line="600" w:lineRule="exact"/>
        <w:ind w:right="0" w:firstLine="640" w:firstLineChars="200"/>
        <w:textAlignment w:val="auto"/>
        <w:rPr>
          <w:rFonts w:eastAsia="仿宋_GB2312"/>
          <w:sz w:val="32"/>
          <w:szCs w:val="32"/>
        </w:rPr>
      </w:pPr>
    </w:p>
    <w:p>
      <w:pPr>
        <w:keepNext w:val="0"/>
        <w:keepLines w:val="0"/>
        <w:pageBreakBefore w:val="0"/>
        <w:widowControl w:val="0"/>
        <w:kinsoku/>
        <w:wordWrap/>
        <w:overflowPunct/>
        <w:topLinePunct w:val="0"/>
        <w:autoSpaceDE/>
        <w:autoSpaceDN/>
        <w:bidi w:val="0"/>
        <w:adjustRightInd/>
        <w:snapToGrid/>
        <w:spacing w:line="600" w:lineRule="exact"/>
        <w:ind w:right="0"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sz w:val="32"/>
          <w:szCs w:val="32"/>
        </w:rPr>
        <w:t>本责任书将作为202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年度安全生产和消防工作考核依据</w:t>
      </w:r>
      <w:r>
        <w:rPr>
          <w:rFonts w:hint="eastAsia" w:ascii="仿宋_GB2312" w:hAnsi="仿宋_GB2312" w:eastAsia="仿宋_GB2312" w:cs="仿宋_GB2312"/>
          <w:kern w:val="0"/>
          <w:sz w:val="32"/>
          <w:szCs w:val="32"/>
        </w:rPr>
        <w:t>。</w:t>
      </w:r>
    </w:p>
    <w:p>
      <w:pPr>
        <w:keepNext w:val="0"/>
        <w:keepLines w:val="0"/>
        <w:pageBreakBefore w:val="0"/>
        <w:widowControl w:val="0"/>
        <w:kinsoku/>
        <w:wordWrap/>
        <w:overflowPunct/>
        <w:topLinePunct w:val="0"/>
        <w:autoSpaceDE/>
        <w:autoSpaceDN/>
        <w:bidi w:val="0"/>
        <w:adjustRightInd/>
        <w:snapToGrid/>
        <w:spacing w:line="600" w:lineRule="exact"/>
        <w:ind w:right="0" w:firstLine="640" w:firstLineChars="200"/>
        <w:textAlignment w:val="auto"/>
        <w:rPr>
          <w:rFonts w:eastAsia="黑体"/>
          <w:kern w:val="0"/>
          <w:sz w:val="32"/>
          <w:szCs w:val="32"/>
        </w:rPr>
      </w:pPr>
    </w:p>
    <w:p>
      <w:pPr>
        <w:keepNext w:val="0"/>
        <w:keepLines w:val="0"/>
        <w:pageBreakBefore w:val="0"/>
        <w:widowControl w:val="0"/>
        <w:kinsoku/>
        <w:wordWrap/>
        <w:overflowPunct/>
        <w:topLinePunct w:val="0"/>
        <w:autoSpaceDE/>
        <w:autoSpaceDN/>
        <w:bidi w:val="0"/>
        <w:adjustRightInd/>
        <w:snapToGrid/>
        <w:spacing w:line="600" w:lineRule="exact"/>
        <w:ind w:right="0" w:firstLine="640" w:firstLineChars="200"/>
        <w:textAlignment w:val="auto"/>
        <w:rPr>
          <w:rFonts w:eastAsia="黑体"/>
          <w:kern w:val="0"/>
          <w:sz w:val="32"/>
          <w:szCs w:val="32"/>
        </w:rPr>
      </w:pPr>
    </w:p>
    <w:p>
      <w:pPr>
        <w:keepNext w:val="0"/>
        <w:keepLines w:val="0"/>
        <w:pageBreakBefore w:val="0"/>
        <w:widowControl w:val="0"/>
        <w:kinsoku/>
        <w:wordWrap/>
        <w:overflowPunct/>
        <w:topLinePunct w:val="0"/>
        <w:autoSpaceDE/>
        <w:autoSpaceDN/>
        <w:bidi w:val="0"/>
        <w:adjustRightInd/>
        <w:snapToGrid/>
        <w:spacing w:line="600" w:lineRule="exact"/>
        <w:ind w:right="0" w:firstLine="640" w:firstLineChars="200"/>
        <w:textAlignment w:val="auto"/>
        <w:rPr>
          <w:rFonts w:eastAsia="黑体"/>
          <w:kern w:val="0"/>
          <w:sz w:val="32"/>
          <w:szCs w:val="32"/>
        </w:rPr>
      </w:pPr>
      <w:r>
        <w:rPr>
          <w:rFonts w:hint="eastAsia" w:eastAsia="黑体"/>
          <w:kern w:val="0"/>
          <w:sz w:val="32"/>
          <w:szCs w:val="32"/>
          <w:lang w:eastAsia="zh-CN"/>
        </w:rPr>
        <w:t>青阳县</w:t>
      </w:r>
      <w:r>
        <w:rPr>
          <w:rFonts w:eastAsia="黑体"/>
          <w:kern w:val="0"/>
          <w:sz w:val="32"/>
          <w:szCs w:val="32"/>
        </w:rPr>
        <w:t xml:space="preserve">人民政府               </w:t>
      </w:r>
      <w:r>
        <w:rPr>
          <w:rFonts w:hint="eastAsia" w:eastAsia="黑体"/>
          <w:kern w:val="0"/>
          <w:sz w:val="32"/>
          <w:szCs w:val="32"/>
          <w:lang w:val="en-US" w:eastAsia="zh-CN"/>
        </w:rPr>
        <w:t xml:space="preserve">  青阳县</w:t>
      </w:r>
      <w:r>
        <w:rPr>
          <w:rFonts w:eastAsia="黑体"/>
          <w:kern w:val="0"/>
          <w:sz w:val="32"/>
          <w:szCs w:val="32"/>
        </w:rPr>
        <w:t>文化和旅游</w:t>
      </w:r>
      <w:r>
        <w:rPr>
          <w:rFonts w:hint="eastAsia" w:eastAsia="黑体"/>
          <w:kern w:val="0"/>
          <w:sz w:val="32"/>
          <w:szCs w:val="32"/>
        </w:rPr>
        <w:t>局</w:t>
      </w:r>
    </w:p>
    <w:p>
      <w:pPr>
        <w:keepNext w:val="0"/>
        <w:keepLines w:val="0"/>
        <w:pageBreakBefore w:val="0"/>
        <w:widowControl w:val="0"/>
        <w:kinsoku/>
        <w:wordWrap/>
        <w:overflowPunct/>
        <w:topLinePunct w:val="0"/>
        <w:autoSpaceDE/>
        <w:autoSpaceDN/>
        <w:bidi w:val="0"/>
        <w:adjustRightInd/>
        <w:snapToGrid/>
        <w:spacing w:line="600" w:lineRule="exact"/>
        <w:ind w:right="0" w:firstLine="640" w:firstLineChars="200"/>
        <w:textAlignment w:val="auto"/>
        <w:rPr>
          <w:rFonts w:eastAsia="黑体"/>
          <w:kern w:val="0"/>
          <w:sz w:val="32"/>
          <w:szCs w:val="32"/>
        </w:rPr>
      </w:pPr>
    </w:p>
    <w:p>
      <w:pPr>
        <w:keepNext w:val="0"/>
        <w:keepLines w:val="0"/>
        <w:pageBreakBefore w:val="0"/>
        <w:widowControl w:val="0"/>
        <w:kinsoku/>
        <w:wordWrap/>
        <w:overflowPunct/>
        <w:topLinePunct w:val="0"/>
        <w:autoSpaceDE/>
        <w:autoSpaceDN/>
        <w:bidi w:val="0"/>
        <w:adjustRightInd/>
        <w:snapToGrid/>
        <w:spacing w:line="600" w:lineRule="exact"/>
        <w:ind w:right="0" w:firstLine="640" w:firstLineChars="200"/>
        <w:textAlignment w:val="auto"/>
        <w:rPr>
          <w:rFonts w:eastAsia="黑体"/>
          <w:kern w:val="0"/>
          <w:sz w:val="32"/>
          <w:szCs w:val="32"/>
        </w:rPr>
      </w:pPr>
      <w:r>
        <w:rPr>
          <w:rFonts w:eastAsia="黑体"/>
          <w:kern w:val="0"/>
          <w:sz w:val="32"/>
          <w:szCs w:val="32"/>
        </w:rPr>
        <w:t xml:space="preserve">签字人：                     </w:t>
      </w:r>
      <w:r>
        <w:rPr>
          <w:rFonts w:hint="eastAsia" w:eastAsia="黑体"/>
          <w:kern w:val="0"/>
          <w:sz w:val="32"/>
          <w:szCs w:val="32"/>
          <w:lang w:val="en-US" w:eastAsia="zh-CN"/>
        </w:rPr>
        <w:t xml:space="preserve">  </w:t>
      </w:r>
      <w:r>
        <w:rPr>
          <w:rFonts w:eastAsia="黑体"/>
          <w:kern w:val="0"/>
          <w:sz w:val="32"/>
          <w:szCs w:val="32"/>
        </w:rPr>
        <w:t>签字人：</w:t>
      </w:r>
    </w:p>
    <w:p>
      <w:pPr>
        <w:keepNext w:val="0"/>
        <w:keepLines w:val="0"/>
        <w:pageBreakBefore w:val="0"/>
        <w:widowControl w:val="0"/>
        <w:kinsoku/>
        <w:wordWrap/>
        <w:overflowPunct/>
        <w:topLinePunct w:val="0"/>
        <w:autoSpaceDE/>
        <w:autoSpaceDN/>
        <w:bidi w:val="0"/>
        <w:adjustRightInd/>
        <w:snapToGrid/>
        <w:spacing w:line="600" w:lineRule="exact"/>
        <w:ind w:right="0" w:firstLine="640" w:firstLineChars="200"/>
        <w:textAlignment w:val="auto"/>
        <w:rPr>
          <w:rFonts w:eastAsia="仿宋_GB2312"/>
          <w:kern w:val="0"/>
          <w:sz w:val="32"/>
          <w:szCs w:val="32"/>
        </w:rPr>
      </w:pPr>
      <w:r>
        <w:rPr>
          <w:rFonts w:eastAsia="仿宋_GB2312"/>
          <w:kern w:val="0"/>
          <w:sz w:val="32"/>
          <w:szCs w:val="32"/>
        </w:rPr>
        <w:t xml:space="preserve">                       </w:t>
      </w:r>
      <w:bookmarkStart w:id="0" w:name="_GoBack"/>
      <w:bookmarkEnd w:id="0"/>
    </w:p>
    <w:p>
      <w:pPr>
        <w:keepNext w:val="0"/>
        <w:keepLines w:val="0"/>
        <w:pageBreakBefore w:val="0"/>
        <w:widowControl w:val="0"/>
        <w:kinsoku/>
        <w:wordWrap/>
        <w:overflowPunct/>
        <w:topLinePunct w:val="0"/>
        <w:autoSpaceDE/>
        <w:autoSpaceDN/>
        <w:bidi w:val="0"/>
        <w:adjustRightInd/>
        <w:snapToGrid/>
        <w:spacing w:line="600" w:lineRule="exact"/>
        <w:ind w:right="840" w:rightChars="400" w:firstLine="0" w:firstLineChars="0"/>
        <w:jc w:val="right"/>
        <w:textAlignment w:val="auto"/>
        <w:rPr>
          <w:rFonts w:ascii="黑体" w:hAnsi="黑体" w:eastAsia="黑体"/>
          <w:kern w:val="0"/>
          <w:sz w:val="28"/>
          <w:szCs w:val="28"/>
        </w:rPr>
      </w:pPr>
      <w:r>
        <w:rPr>
          <w:rFonts w:ascii="黑体" w:hAnsi="黑体" w:eastAsia="黑体"/>
          <w:kern w:val="0"/>
          <w:sz w:val="32"/>
          <w:szCs w:val="32"/>
        </w:rPr>
        <w:t>202</w:t>
      </w:r>
      <w:r>
        <w:rPr>
          <w:rFonts w:hint="eastAsia" w:ascii="黑体" w:hAnsi="黑体" w:eastAsia="黑体"/>
          <w:kern w:val="0"/>
          <w:sz w:val="32"/>
          <w:szCs w:val="32"/>
          <w:lang w:val="en-US" w:eastAsia="zh-CN"/>
        </w:rPr>
        <w:t>4</w:t>
      </w:r>
      <w:r>
        <w:rPr>
          <w:rFonts w:ascii="黑体" w:hAnsi="黑体" w:eastAsia="黑体"/>
          <w:kern w:val="0"/>
          <w:sz w:val="32"/>
          <w:szCs w:val="32"/>
        </w:rPr>
        <w:t>年</w:t>
      </w:r>
      <w:r>
        <w:rPr>
          <w:rFonts w:hint="eastAsia" w:ascii="黑体" w:hAnsi="黑体" w:eastAsia="黑体"/>
          <w:kern w:val="0"/>
          <w:sz w:val="32"/>
          <w:szCs w:val="32"/>
          <w:lang w:val="en-US" w:eastAsia="zh-CN"/>
        </w:rPr>
        <w:t>5</w:t>
      </w:r>
      <w:r>
        <w:rPr>
          <w:rFonts w:ascii="黑体" w:hAnsi="黑体" w:eastAsia="黑体"/>
          <w:kern w:val="0"/>
          <w:sz w:val="32"/>
          <w:szCs w:val="32"/>
        </w:rPr>
        <w:t>月</w:t>
      </w:r>
    </w:p>
    <w:sectPr>
      <w:pgSz w:w="11906" w:h="16838"/>
      <w:pgMar w:top="1701" w:right="1531" w:bottom="1531" w:left="158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6C5E7F5-6CF4-4BFA-8CE8-B76F3780BA8E}"/>
  </w:font>
  <w:font w:name="Arial">
    <w:panose1 w:val="020B0604020202020204"/>
    <w:charset w:val="01"/>
    <w:family w:val="swiss"/>
    <w:pitch w:val="default"/>
    <w:sig w:usb0="E0002EFF" w:usb1="C000785B" w:usb2="00000009" w:usb3="00000000" w:csb0="400001FF" w:csb1="FFFF0000"/>
    <w:embedRegular r:id="rId2" w:fontKey="{5697CDAD-490B-4A2C-88DC-345BC7EBC5DC}"/>
  </w:font>
  <w:font w:name="黑体">
    <w:panose1 w:val="02010609060101010101"/>
    <w:charset w:val="86"/>
    <w:family w:val="auto"/>
    <w:pitch w:val="default"/>
    <w:sig w:usb0="800002BF" w:usb1="38CF7CFA" w:usb2="00000016" w:usb3="00000000" w:csb0="00040001" w:csb1="00000000"/>
    <w:embedRegular r:id="rId3" w:fontKey="{E8CA6E6B-CBA4-4C41-B403-7BD516CFF5E1}"/>
  </w:font>
  <w:font w:name="Courier New">
    <w:panose1 w:val="02070309020205020404"/>
    <w:charset w:val="01"/>
    <w:family w:val="modern"/>
    <w:pitch w:val="default"/>
    <w:sig w:usb0="E0002EFF" w:usb1="C0007843" w:usb2="00000009" w:usb3="00000000" w:csb0="400001FF" w:csb1="FFFF0000"/>
    <w:embedRegular r:id="rId4" w:fontKey="{209BDC0C-508B-415B-BCE1-586A724CA8A0}"/>
  </w:font>
  <w:font w:name="Symbol">
    <w:panose1 w:val="05050102010706020507"/>
    <w:charset w:val="02"/>
    <w:family w:val="roman"/>
    <w:pitch w:val="default"/>
    <w:sig w:usb0="00000000" w:usb1="00000000" w:usb2="00000000" w:usb3="00000000" w:csb0="80000000" w:csb1="00000000"/>
    <w:embedRegular r:id="rId5" w:fontKey="{9A1CA090-5459-4F45-847A-81B5FAD3ECCD}"/>
  </w:font>
  <w:font w:name="Calibri">
    <w:panose1 w:val="020F0502020204030204"/>
    <w:charset w:val="00"/>
    <w:family w:val="swiss"/>
    <w:pitch w:val="default"/>
    <w:sig w:usb0="E4002EFF" w:usb1="C000247B" w:usb2="00000009" w:usb3="00000000" w:csb0="200001FF" w:csb1="00000000"/>
    <w:embedRegular r:id="rId6" w:fontKey="{A9FCCDD5-DB80-4523-BEB0-963C152493B4}"/>
  </w:font>
  <w:font w:name="方正小标宋简体">
    <w:panose1 w:val="02000000000000000000"/>
    <w:charset w:val="86"/>
    <w:family w:val="auto"/>
    <w:pitch w:val="default"/>
    <w:sig w:usb0="00000001" w:usb1="080E0000" w:usb2="00000000" w:usb3="00000000" w:csb0="00040000" w:csb1="00000000"/>
    <w:embedRegular r:id="rId7" w:fontKey="{04EA55CE-FB65-4D04-8723-45F78A365460}"/>
  </w:font>
  <w:font w:name="仿宋_GB2312">
    <w:panose1 w:val="02010609030101010101"/>
    <w:charset w:val="86"/>
    <w:family w:val="modern"/>
    <w:pitch w:val="default"/>
    <w:sig w:usb0="00000001" w:usb1="080E0000" w:usb2="00000000" w:usb3="00000000" w:csb0="00040000" w:csb1="00000000"/>
    <w:embedRegular r:id="rId8" w:fontKey="{CB38789A-D4C5-4727-97CD-E865E503B72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M3NDk0MWYyNjgwMzk4N2QyZTA1NTg4ODE3YzA2ZTgifQ=="/>
  </w:docVars>
  <w:rsids>
    <w:rsidRoot w:val="000C7CC1"/>
    <w:rsid w:val="00066835"/>
    <w:rsid w:val="00077761"/>
    <w:rsid w:val="000B1746"/>
    <w:rsid w:val="000C7CC1"/>
    <w:rsid w:val="001F2AC2"/>
    <w:rsid w:val="00230DE6"/>
    <w:rsid w:val="0023664B"/>
    <w:rsid w:val="00390892"/>
    <w:rsid w:val="0043703C"/>
    <w:rsid w:val="004532ED"/>
    <w:rsid w:val="006E6A5E"/>
    <w:rsid w:val="00722ED8"/>
    <w:rsid w:val="00767E53"/>
    <w:rsid w:val="00962606"/>
    <w:rsid w:val="009A27C5"/>
    <w:rsid w:val="009B1692"/>
    <w:rsid w:val="009C7675"/>
    <w:rsid w:val="00A507BE"/>
    <w:rsid w:val="00C8523F"/>
    <w:rsid w:val="00DD6C76"/>
    <w:rsid w:val="00DE6EBE"/>
    <w:rsid w:val="00EC195B"/>
    <w:rsid w:val="00F756B7"/>
    <w:rsid w:val="00FF722B"/>
    <w:rsid w:val="03CA56D9"/>
    <w:rsid w:val="14B4113A"/>
    <w:rsid w:val="25ED2266"/>
    <w:rsid w:val="2F3525A8"/>
    <w:rsid w:val="325A39D7"/>
    <w:rsid w:val="5BED1B22"/>
    <w:rsid w:val="602342A9"/>
    <w:rsid w:val="66E739F9"/>
    <w:rsid w:val="67F451B8"/>
    <w:rsid w:val="6D030848"/>
    <w:rsid w:val="72797A45"/>
    <w:rsid w:val="7EF751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rFonts w:ascii="Times New Roman" w:hAnsi="Times New Roman" w:eastAsia="宋体" w:cs="Times New Roman"/>
      <w:sz w:val="18"/>
      <w:szCs w:val="18"/>
    </w:rPr>
  </w:style>
  <w:style w:type="character" w:customStyle="1" w:styleId="7">
    <w:name w:val="页脚 Char"/>
    <w:basedOn w:val="5"/>
    <w:link w:val="2"/>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D354D1-E2C7-4049-A035-B4DCD682BA4B}">
  <ds:schemaRefs/>
</ds:datastoreItem>
</file>

<file path=docProps/app.xml><?xml version="1.0" encoding="utf-8"?>
<Properties xmlns="http://schemas.openxmlformats.org/officeDocument/2006/extended-properties" xmlns:vt="http://schemas.openxmlformats.org/officeDocument/2006/docPropsVTypes">
  <Template>Normal</Template>
  <Pages>3</Pages>
  <Words>1450</Words>
  <Characters>1464</Characters>
  <Lines>9</Lines>
  <Paragraphs>2</Paragraphs>
  <TotalTime>6</TotalTime>
  <ScaleCrop>false</ScaleCrop>
  <LinksUpToDate>false</LinksUpToDate>
  <CharactersWithSpaces>1528</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2020-04-15T08:28:00Z</dcterms:created>
  <dc:creator>vvv</dc:creator>
  <cp:lastModifiedBy>白马骨</cp:lastModifiedBy>
  <cp:lastPrinted>2020-05-18T01:19:00Z</cp:lastPrinted>
  <dcterms:modified xsi:type="dcterms:W3CDTF">2024-05-30T02:46:51Z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1152252418_embed</vt:lpwstr>
  </property>
  <property fmtid="{D5CDD505-2E9C-101B-9397-08002B2CF9AE}" pid="4" name="ICV">
    <vt:lpwstr>EA738BC5331E467989FC606E8BFB75B5_13</vt:lpwstr>
  </property>
</Properties>
</file>