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应急管理局202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4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年安全生产和消防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工作目标管理责任书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jc w:val="both"/>
        <w:textAlignment w:val="auto"/>
        <w:outlineLvl w:val="9"/>
        <w:rPr>
          <w:rFonts w:eastAsia="仿宋_GB2312"/>
          <w:sz w:val="32"/>
          <w:szCs w:val="32"/>
        </w:rPr>
      </w:pPr>
      <w:bookmarkStart w:id="2" w:name="_GoBack"/>
      <w:r>
        <w:rPr>
          <w:rFonts w:eastAsia="仿宋_GB2312"/>
          <w:sz w:val="32"/>
          <w:szCs w:val="32"/>
        </w:rPr>
        <w:t>为落实安全生产和消防工作责任，防范各类生产安全和火灾事故，依据</w:t>
      </w:r>
      <w:r>
        <w:rPr>
          <w:rFonts w:hint="eastAsia" w:eastAsia="仿宋_GB2312"/>
          <w:sz w:val="32"/>
          <w:szCs w:val="32"/>
        </w:rPr>
        <w:t>《地方党政领导干部安全生产责任制规定》和省、市</w:t>
      </w:r>
      <w:r>
        <w:rPr>
          <w:rFonts w:hint="eastAsia" w:eastAsia="仿宋_GB2312"/>
          <w:sz w:val="32"/>
          <w:szCs w:val="32"/>
          <w:lang w:eastAsia="zh-CN"/>
        </w:rPr>
        <w:t>、县</w:t>
      </w:r>
      <w:r>
        <w:rPr>
          <w:rFonts w:hint="eastAsia" w:eastAsia="仿宋_GB2312"/>
          <w:sz w:val="32"/>
          <w:szCs w:val="32"/>
        </w:rPr>
        <w:t>实施细则及《</w:t>
      </w:r>
      <w:r>
        <w:rPr>
          <w:rFonts w:hint="eastAsia" w:eastAsia="仿宋_GB2312"/>
          <w:sz w:val="32"/>
          <w:szCs w:val="32"/>
          <w:lang w:eastAsia="zh-CN"/>
        </w:rPr>
        <w:t>安徽省</w:t>
      </w:r>
      <w:r>
        <w:rPr>
          <w:rFonts w:hint="eastAsia" w:eastAsia="仿宋_GB2312"/>
          <w:sz w:val="32"/>
          <w:szCs w:val="32"/>
        </w:rPr>
        <w:t>消防安全责任制规定》</w:t>
      </w:r>
      <w:r>
        <w:rPr>
          <w:rFonts w:eastAsia="仿宋_GB2312"/>
          <w:sz w:val="32"/>
          <w:szCs w:val="32"/>
        </w:rPr>
        <w:t>，</w:t>
      </w: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>人民政府</w:t>
      </w:r>
      <w:r>
        <w:rPr>
          <w:rFonts w:eastAsia="仿宋_GB2312"/>
          <w:sz w:val="32"/>
          <w:szCs w:val="32"/>
        </w:rPr>
        <w:t>与</w:t>
      </w: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>应急管理</w:t>
      </w:r>
      <w:r>
        <w:rPr>
          <w:rFonts w:hint="eastAsia" w:eastAsia="黑体"/>
          <w:sz w:val="32"/>
          <w:szCs w:val="32"/>
        </w:rPr>
        <w:t>局</w:t>
      </w:r>
      <w:r>
        <w:rPr>
          <w:rFonts w:eastAsia="仿宋_GB2312"/>
          <w:sz w:val="32"/>
          <w:szCs w:val="32"/>
        </w:rPr>
        <w:t>签订</w:t>
      </w:r>
      <w:r>
        <w:rPr>
          <w:rFonts w:hint="eastAsia" w:ascii="仿宋_GB2312" w:hAnsi="仿宋_GB2312" w:eastAsia="仿宋_GB2312" w:cs="仿宋_GB2312"/>
          <w:sz w:val="32"/>
          <w:szCs w:val="32"/>
        </w:rPr>
        <w:t>20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24</w:t>
      </w:r>
      <w:r>
        <w:rPr>
          <w:rFonts w:hint="eastAsia" w:ascii="仿宋_GB2312" w:hAnsi="仿宋_GB2312" w:eastAsia="仿宋_GB2312" w:cs="仿宋_GB2312"/>
          <w:sz w:val="32"/>
          <w:szCs w:val="32"/>
        </w:rPr>
        <w:t>年</w:t>
      </w:r>
      <w:r>
        <w:rPr>
          <w:rFonts w:eastAsia="仿宋_GB2312"/>
          <w:sz w:val="32"/>
          <w:szCs w:val="32"/>
        </w:rPr>
        <w:t>安全生产和消防工作目标管理责任书。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default" w:ascii="Times New Roman" w:hAnsi="Times New Roman" w:eastAsia="方正仿宋_GBK" w:cs="Times New Roman"/>
          <w:sz w:val="30"/>
          <w:szCs w:val="30"/>
        </w:rPr>
      </w:pPr>
      <w:r>
        <w:rPr>
          <w:rFonts w:eastAsia="黑体"/>
          <w:sz w:val="32"/>
          <w:szCs w:val="32"/>
        </w:rPr>
        <w:t>一、确保实现工作目标。</w:t>
      </w:r>
      <w:r>
        <w:rPr>
          <w:rFonts w:hint="eastAsia" w:ascii="仿宋_GB2312" w:hAnsi="仿宋_GB2312" w:eastAsia="仿宋_GB2312" w:cs="仿宋_GB2312"/>
          <w:sz w:val="32"/>
          <w:szCs w:val="32"/>
        </w:rPr>
        <w:t>坚决遏制非煤矿山、工贸、危险化学品行业领域重特大生产安全和火灾事故，有效防范生产安全和火灾较大事故，努力减少生产安全和火灾一般事故。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>二、树牢安全发展理念。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深入学习宣传贯彻习近平总书记关于安全生产、应急管理、防灾减灾救灾的重要论述，贯彻落实党的二十大报告中关于安全生产的重要部署，坚持人民至上、生命至上，更好统筹发展和安全，深入开展安全生产治本攻坚三年行动，推动安全生产治理模式向事前预防转型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>三、落实安全工作责任。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落实《党政领导干部安全生产责任制实施细则》《安徽省消防安全责任制规定》，严格执行《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eastAsia="zh-CN"/>
        </w:rPr>
        <w:t>青阳县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安全生产“三管三必须”责任清单》及《实施意见》。</w:t>
      </w:r>
      <w:r>
        <w:rPr>
          <w:rFonts w:hint="eastAsia" w:ascii="仿宋_GB2312" w:hAnsi="仿宋_GB2312" w:eastAsia="仿宋_GB2312" w:cs="仿宋_GB2312"/>
          <w:sz w:val="32"/>
          <w:szCs w:val="32"/>
        </w:rPr>
        <w:t>负责非煤矿山（含地质勘探）、石油（炼化、成品油管道除外）、冶金、有色、建材、机械、轻工、纺织、烟草、商贸等工矿商贸行业安全生产基础工作。承担相关行业安全生产执法工作。依法负责化工（含石油化工，下同）、医药、危险化学品和烟花爆竹安全生产监督管理工作。负责危险化学品安全监督管理综合工作。依法行使安全生产综合监督管理职权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黑体"/>
          <w:kern w:val="0"/>
          <w:sz w:val="32"/>
          <w:szCs w:val="32"/>
        </w:rPr>
      </w:pPr>
      <w:r>
        <w:rPr>
          <w:rFonts w:eastAsia="黑体"/>
          <w:kern w:val="0"/>
          <w:sz w:val="32"/>
          <w:szCs w:val="32"/>
        </w:rPr>
        <w:t>四、防范化解重大风险。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聚焦重点行业领域专项治理，深化重大事故隐患排查整治。在重大活动、重大节日期间，采取“四不两直”执法检查、专家指导服务、媒体曝光等措施，组织开展安全生产常态化明查暗访。深刻汲取有关生产安全事故教训，主动排查整改问题。</w:t>
      </w:r>
      <w:r>
        <w:rPr>
          <w:rFonts w:hint="eastAsia" w:ascii="仿宋_GB2312" w:hAnsi="仿宋_GB2312" w:eastAsia="仿宋_GB2312" w:cs="仿宋_GB2312"/>
          <w:sz w:val="32"/>
          <w:szCs w:val="32"/>
          <w:lang w:bidi="ar"/>
        </w:rPr>
        <w:t>实施防范遏制矿山领域重特大事故硬措施，推动落实淘汰退出一批、整合重组一批、改造提升一批矿山工作，开展尾矿库“一库一策”综合治理。深入推进矿山隐蔽致灾因素普查治理，严格落实重大灾害分区管理、区域治理、超前治理、工程治理措施。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压紧压实非煤地下矿山和尾矿库政府领导安全生产包保责任。</w:t>
      </w:r>
      <w:r>
        <w:rPr>
          <w:rFonts w:hint="eastAsia" w:ascii="仿宋_GB2312" w:hAnsi="仿宋_GB2312" w:eastAsia="仿宋_GB2312" w:cs="仿宋_GB2312"/>
          <w:sz w:val="32"/>
          <w:szCs w:val="32"/>
        </w:rPr>
        <w:t>深化硝酸铵、硝化工艺、油气储存等重点企业专项治理与指导服务，加强化工企业异常工况处置和人员聚集安全风险防控，对危险作业风险实施隐患排查治理行动。巩固深化较低安全风险等级（D级）达标成效。持续深化烟花爆竹经营安全整治。紧盯金属冶炼、粉尘涉爆、涉氨涉氯等高风险领域，高温熔融金属、煤气、喷涂等高风险场所，有限空间、筒仓清库等高风险作业，强化排查整治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default" w:ascii="仿宋_GB2312" w:hAnsi="仿宋_GB2312" w:eastAsia="仿宋_GB2312" w:cs="仿宋_GB2312"/>
          <w:kern w:val="0"/>
          <w:sz w:val="32"/>
          <w:szCs w:val="32"/>
        </w:rPr>
      </w:pPr>
      <w:r>
        <w:rPr>
          <w:rFonts w:eastAsia="黑体"/>
          <w:sz w:val="32"/>
          <w:szCs w:val="32"/>
        </w:rPr>
        <w:t>五、夯实安全生产基础工作。</w:t>
      </w:r>
      <w:bookmarkStart w:id="0" w:name="_Hlk126218366"/>
      <w:bookmarkStart w:id="1" w:name="_Hlk126220765"/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用好案例教育法，扎实开展“安全生产月”、消防宣传月等安全宣传教育活动。推进“工业互联网+安全生产”行动计划落实。推进安全生产应急救援基地建设，健全生产安全事故应急预案体系，落实灾害事故应急联动机制，推进长三角区域应急协作。鼓励企业建立内部风险隐患排查治理激励奖励机制办法。严格落实《安全生产法》和《刑法修正案（十一）》。开展执法机构业务标准化建设，推进“互联网+执法”和安全生产分类分级执法。健全完善安全生产社会化机制。规范安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全生产举报奖励工作。强化事故调查处理和统计直报。建立明查暗访工作常态化新闻报道机制，强化安全生产宣传教育。</w:t>
      </w:r>
      <w:r>
        <w:rPr>
          <w:rFonts w:hint="eastAsia" w:ascii="仿宋_GB2312" w:hAnsi="仿宋_GB2312" w:eastAsia="仿宋_GB2312" w:cs="仿宋_GB2312"/>
          <w:sz w:val="32"/>
          <w:szCs w:val="32"/>
        </w:rPr>
        <w:t>发挥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非煤矿山、冶金工贸、危化品、烟花爆竹安全生产专项领导小组办公室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统筹作用，组织开展信息通报、联合执法、会商研判。</w:t>
      </w:r>
      <w:bookmarkEnd w:id="0"/>
      <w:bookmarkEnd w:id="1"/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本责任书将作为202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32"/>
          <w:szCs w:val="32"/>
        </w:rPr>
        <w:t>年度安全生产和消防工作考核依据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jc w:val="both"/>
        <w:textAlignment w:val="auto"/>
        <w:outlineLvl w:val="9"/>
        <w:rPr>
          <w:rFonts w:eastAsia="仿宋_GB2312"/>
          <w:sz w:val="32"/>
          <w:szCs w:val="32"/>
        </w:rPr>
      </w:pPr>
    </w:p>
    <w:bookmarkEnd w:id="2"/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both"/>
        <w:textAlignment w:val="auto"/>
        <w:outlineLvl w:val="9"/>
        <w:rPr>
          <w:rFonts w:eastAsia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jc w:val="both"/>
        <w:textAlignment w:val="auto"/>
        <w:outlineLvl w:val="9"/>
        <w:rPr>
          <w:rFonts w:eastAsia="黑体"/>
          <w:sz w:val="32"/>
          <w:szCs w:val="32"/>
        </w:rPr>
      </w:pP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 xml:space="preserve">人民政府           </w:t>
      </w:r>
      <w:r>
        <w:rPr>
          <w:rFonts w:hint="eastAsia" w:eastAsia="黑体"/>
          <w:sz w:val="32"/>
          <w:szCs w:val="32"/>
          <w:lang w:val="en-US" w:eastAsia="zh-CN"/>
        </w:rPr>
        <w:t xml:space="preserve">    </w:t>
      </w:r>
      <w:r>
        <w:rPr>
          <w:rFonts w:eastAsia="黑体"/>
          <w:sz w:val="32"/>
          <w:szCs w:val="32"/>
        </w:rPr>
        <w:t xml:space="preserve"> </w:t>
      </w:r>
      <w:r>
        <w:rPr>
          <w:rFonts w:hint="eastAsia" w:eastAsia="黑体"/>
          <w:sz w:val="32"/>
          <w:szCs w:val="32"/>
          <w:lang w:val="en-US" w:eastAsia="zh-CN"/>
        </w:rPr>
        <w:t xml:space="preserve"> 青阳县</w:t>
      </w:r>
      <w:r>
        <w:rPr>
          <w:rFonts w:eastAsia="黑体"/>
          <w:sz w:val="32"/>
          <w:szCs w:val="32"/>
        </w:rPr>
        <w:t>应急管理</w:t>
      </w:r>
      <w:r>
        <w:rPr>
          <w:rFonts w:hint="eastAsia" w:eastAsia="黑体"/>
          <w:sz w:val="32"/>
          <w:szCs w:val="32"/>
        </w:rPr>
        <w:t>局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jc w:val="both"/>
        <w:textAlignment w:val="auto"/>
        <w:outlineLvl w:val="9"/>
        <w:rPr>
          <w:rFonts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jc w:val="both"/>
        <w:textAlignment w:val="auto"/>
        <w:outlineLvl w:val="9"/>
        <w:rPr>
          <w:rFonts w:eastAsia="仿宋_GB2312"/>
          <w:sz w:val="32"/>
          <w:szCs w:val="32"/>
        </w:rPr>
      </w:pPr>
      <w:r>
        <w:rPr>
          <w:rFonts w:eastAsia="黑体"/>
          <w:sz w:val="32"/>
          <w:szCs w:val="32"/>
        </w:rPr>
        <w:t xml:space="preserve">签字人：                </w:t>
      </w:r>
      <w:r>
        <w:rPr>
          <w:rFonts w:hint="eastAsia" w:eastAsia="黑体"/>
          <w:sz w:val="32"/>
          <w:szCs w:val="32"/>
          <w:lang w:val="en-US" w:eastAsia="zh-CN"/>
        </w:rPr>
        <w:t xml:space="preserve">    </w:t>
      </w:r>
      <w:r>
        <w:rPr>
          <w:rFonts w:eastAsia="黑体"/>
          <w:sz w:val="32"/>
          <w:szCs w:val="32"/>
        </w:rPr>
        <w:t xml:space="preserve">  </w:t>
      </w:r>
      <w:r>
        <w:rPr>
          <w:rFonts w:hint="eastAsia" w:eastAsia="黑体"/>
          <w:sz w:val="32"/>
          <w:szCs w:val="32"/>
          <w:lang w:val="en-US" w:eastAsia="zh-CN"/>
        </w:rPr>
        <w:t xml:space="preserve"> </w:t>
      </w:r>
      <w:r>
        <w:rPr>
          <w:rFonts w:eastAsia="黑体"/>
          <w:sz w:val="32"/>
          <w:szCs w:val="32"/>
        </w:rPr>
        <w:t>签字人：</w:t>
      </w:r>
      <w:r>
        <w:rPr>
          <w:rFonts w:eastAsia="仿宋_GB2312"/>
          <w:sz w:val="32"/>
          <w:szCs w:val="32"/>
        </w:rPr>
        <w:t xml:space="preserve">               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jc w:val="both"/>
        <w:textAlignment w:val="auto"/>
        <w:outlineLvl w:val="9"/>
        <w:rPr>
          <w:rFonts w:hint="eastAsia" w:ascii="黑体" w:hAnsi="黑体" w:eastAsia="黑体" w:cs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0" w:firstLineChars="0"/>
        <w:jc w:val="right"/>
        <w:textAlignment w:val="auto"/>
        <w:outlineLvl w:val="9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202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4</w:t>
      </w:r>
      <w:r>
        <w:rPr>
          <w:rFonts w:hint="eastAsia" w:ascii="黑体" w:hAnsi="黑体" w:eastAsia="黑体" w:cs="黑体"/>
          <w:sz w:val="32"/>
          <w:szCs w:val="32"/>
        </w:rPr>
        <w:t>年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5</w:t>
      </w:r>
      <w:r>
        <w:rPr>
          <w:rFonts w:hint="eastAsia" w:ascii="黑体" w:hAnsi="黑体" w:eastAsia="黑体" w:cs="黑体"/>
          <w:sz w:val="32"/>
          <w:szCs w:val="32"/>
        </w:rPr>
        <w:t>月</w:t>
      </w:r>
    </w:p>
    <w:sectPr>
      <w:pgSz w:w="11906" w:h="16838"/>
      <w:pgMar w:top="1701" w:right="1418" w:bottom="1134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D0A45C5D-084A-4959-8A68-3C7EE0654860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0E88A027-D52C-46CD-ACB3-66C7970F634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A0AD1CF6-FD2A-4895-9844-365CF5F90385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3D5E80CF-F1FC-484C-AB37-0EE36B44C05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E429B3F-0375-4135-BBD9-DC23CC9C44A5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D47CB729-F7CC-48DC-B39F-101C87464615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7" w:fontKey="{84E38A8C-574A-4DE8-A29F-1E0E1AE47F73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67EB7706-DD2F-429E-A19A-C9E9AA4DA9DA}"/>
  </w:font>
  <w:font w:name="方正仿宋_GBK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9" w:fontKey="{86B1F908-C27C-4ABB-A409-450E2106651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NDk0MWYyNjgwMzk4N2QyZTA1NTg4ODE3YzA2ZTgifQ=="/>
  </w:docVars>
  <w:rsids>
    <w:rsidRoot w:val="00B52388"/>
    <w:rsid w:val="000B6C55"/>
    <w:rsid w:val="0020684D"/>
    <w:rsid w:val="00210A21"/>
    <w:rsid w:val="0024244C"/>
    <w:rsid w:val="00344898"/>
    <w:rsid w:val="00365CD4"/>
    <w:rsid w:val="0037228A"/>
    <w:rsid w:val="00483A30"/>
    <w:rsid w:val="004A5BDC"/>
    <w:rsid w:val="004F5F9F"/>
    <w:rsid w:val="00537729"/>
    <w:rsid w:val="00576100"/>
    <w:rsid w:val="006965D1"/>
    <w:rsid w:val="00700171"/>
    <w:rsid w:val="007B1F32"/>
    <w:rsid w:val="008056EA"/>
    <w:rsid w:val="0090402E"/>
    <w:rsid w:val="009F75AD"/>
    <w:rsid w:val="00A64C4F"/>
    <w:rsid w:val="00A73373"/>
    <w:rsid w:val="00A87926"/>
    <w:rsid w:val="00B52388"/>
    <w:rsid w:val="00BD11EB"/>
    <w:rsid w:val="00CD4794"/>
    <w:rsid w:val="00DC46C9"/>
    <w:rsid w:val="00F94D7B"/>
    <w:rsid w:val="00FF722B"/>
    <w:rsid w:val="111609AB"/>
    <w:rsid w:val="11330B63"/>
    <w:rsid w:val="18EF10BC"/>
    <w:rsid w:val="1E0F352E"/>
    <w:rsid w:val="236C21A4"/>
    <w:rsid w:val="248E7206"/>
    <w:rsid w:val="2B1F7BA1"/>
    <w:rsid w:val="3AD83E6A"/>
    <w:rsid w:val="46DD30AA"/>
    <w:rsid w:val="4DFF387B"/>
    <w:rsid w:val="50A96414"/>
    <w:rsid w:val="546F1858"/>
    <w:rsid w:val="64F9099C"/>
    <w:rsid w:val="66D41BDD"/>
    <w:rsid w:val="67DF5C14"/>
    <w:rsid w:val="6817255B"/>
    <w:rsid w:val="68486D81"/>
    <w:rsid w:val="72E54350"/>
    <w:rsid w:val="758C7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1398</Words>
  <Characters>1410</Characters>
  <Lines>10</Lines>
  <Paragraphs>2</Paragraphs>
  <TotalTime>52</TotalTime>
  <ScaleCrop>false</ScaleCrop>
  <LinksUpToDate>false</LinksUpToDate>
  <CharactersWithSpaces>1465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2020-04-15T08:37:00Z</dcterms:created>
  <dc:creator>vvv</dc:creator>
  <cp:lastModifiedBy>白马骨</cp:lastModifiedBy>
  <cp:lastPrinted>2020-05-18T01:19:00Z</cp:lastPrinted>
  <dcterms:modified xsi:type="dcterms:W3CDTF">2024-05-30T02:49:06Z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1152252418_embed</vt:lpwstr>
  </property>
  <property fmtid="{D5CDD505-2E9C-101B-9397-08002B2CF9AE}" pid="4" name="ICV">
    <vt:lpwstr>0B355F621E4646E7AC70BFC0C5B74F38_13</vt:lpwstr>
  </property>
</Properties>
</file>