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lang w:eastAsia="zh-CN"/>
        </w:rPr>
        <w:t>县</w:t>
      </w:r>
      <w:r>
        <w:rPr>
          <w:rFonts w:hint="eastAsia" w:ascii="方正小标宋简体" w:hAnsi="方正小标宋简体" w:eastAsia="方正小标宋简体" w:cs="方正小标宋简体"/>
          <w:sz w:val="44"/>
          <w:szCs w:val="44"/>
        </w:rPr>
        <w:t>市场监督管理局202</w:t>
      </w:r>
      <w:r>
        <w:rPr>
          <w:rFonts w:hint="eastAsia" w:ascii="方正小标宋简体" w:hAnsi="方正小标宋简体" w:eastAsia="方正小标宋简体" w:cs="方正小标宋简体"/>
          <w:sz w:val="44"/>
          <w:szCs w:val="44"/>
          <w:lang w:val="en-US" w:eastAsia="zh-CN"/>
        </w:rPr>
        <w:t>4</w:t>
      </w:r>
      <w:r>
        <w:rPr>
          <w:rFonts w:hint="eastAsia" w:ascii="方正小标宋简体" w:hAnsi="方正小标宋简体" w:eastAsia="方正小标宋简体" w:cs="方正小标宋简体"/>
          <w:sz w:val="44"/>
          <w:szCs w:val="44"/>
        </w:rPr>
        <w:t>年安全生产和消防</w:t>
      </w:r>
    </w:p>
    <w:p>
      <w:pPr>
        <w:keepNext w:val="0"/>
        <w:keepLines w:val="0"/>
        <w:pageBreakBefore w:val="0"/>
        <w:widowControl w:val="0"/>
        <w:kinsoku/>
        <w:wordWrap/>
        <w:overflowPunct/>
        <w:topLinePunct w:val="0"/>
        <w:autoSpaceDE/>
        <w:autoSpaceDN/>
        <w:bidi w:val="0"/>
        <w:adjustRightInd/>
        <w:snapToGrid/>
        <w:spacing w:after="313" w:afterLines="100" w:line="60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工作目标管理责任书</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ascii="仿宋_GB2312" w:eastAsia="仿宋_GB2312"/>
          <w:sz w:val="32"/>
          <w:szCs w:val="32"/>
        </w:rPr>
      </w:pPr>
      <w:r>
        <w:rPr>
          <w:rFonts w:hint="eastAsia" w:ascii="仿宋_GB2312" w:eastAsia="仿宋_GB2312"/>
          <w:sz w:val="32"/>
          <w:szCs w:val="32"/>
        </w:rPr>
        <w:t>为落实安全生产和消防工作责任，防范各类生产安全和火灾事故，依据《地方党政领导干部安全生产责任制规定》和省、市</w:t>
      </w:r>
      <w:r>
        <w:rPr>
          <w:rFonts w:hint="eastAsia" w:ascii="仿宋_GB2312" w:eastAsia="仿宋_GB2312"/>
          <w:sz w:val="32"/>
          <w:szCs w:val="32"/>
          <w:lang w:eastAsia="zh-CN"/>
        </w:rPr>
        <w:t>、县</w:t>
      </w:r>
      <w:r>
        <w:rPr>
          <w:rFonts w:hint="eastAsia" w:ascii="仿宋_GB2312" w:eastAsia="仿宋_GB2312"/>
          <w:sz w:val="32"/>
          <w:szCs w:val="32"/>
        </w:rPr>
        <w:t>实施细则及《</w:t>
      </w:r>
      <w:r>
        <w:rPr>
          <w:rFonts w:hint="eastAsia" w:ascii="仿宋_GB2312" w:eastAsia="仿宋_GB2312"/>
          <w:sz w:val="32"/>
          <w:szCs w:val="32"/>
          <w:lang w:eastAsia="zh-CN"/>
        </w:rPr>
        <w:t>安徽省</w:t>
      </w:r>
      <w:r>
        <w:rPr>
          <w:rFonts w:hint="eastAsia" w:ascii="仿宋_GB2312" w:eastAsia="仿宋_GB2312"/>
          <w:sz w:val="32"/>
          <w:szCs w:val="32"/>
        </w:rPr>
        <w:t>消防安全责任制规定》，</w:t>
      </w:r>
      <w:r>
        <w:rPr>
          <w:rFonts w:hint="eastAsia" w:ascii="黑体" w:hAnsi="黑体" w:eastAsia="黑体"/>
          <w:sz w:val="32"/>
          <w:szCs w:val="32"/>
          <w:lang w:eastAsia="zh-CN"/>
        </w:rPr>
        <w:t>青阳县</w:t>
      </w:r>
      <w:r>
        <w:rPr>
          <w:rFonts w:hint="eastAsia" w:ascii="黑体" w:hAnsi="黑体" w:eastAsia="黑体"/>
          <w:sz w:val="32"/>
          <w:szCs w:val="32"/>
        </w:rPr>
        <w:t>人民政府</w:t>
      </w:r>
      <w:r>
        <w:rPr>
          <w:rFonts w:hint="eastAsia" w:ascii="仿宋_GB2312" w:eastAsia="仿宋_GB2312"/>
          <w:sz w:val="32"/>
          <w:szCs w:val="32"/>
        </w:rPr>
        <w:t>与</w:t>
      </w:r>
      <w:r>
        <w:rPr>
          <w:rFonts w:hint="eastAsia" w:ascii="黑体" w:hAnsi="黑体" w:eastAsia="黑体"/>
          <w:sz w:val="32"/>
          <w:szCs w:val="32"/>
          <w:lang w:eastAsia="zh-CN"/>
        </w:rPr>
        <w:t>青阳县</w:t>
      </w:r>
      <w:r>
        <w:rPr>
          <w:rFonts w:hint="eastAsia" w:ascii="黑体" w:hAnsi="黑体" w:eastAsia="黑体"/>
          <w:sz w:val="32"/>
          <w:szCs w:val="32"/>
        </w:rPr>
        <w:t>市场监管局</w:t>
      </w:r>
      <w:r>
        <w:rPr>
          <w:rFonts w:hint="eastAsia" w:ascii="仿宋_GB2312" w:eastAsia="仿宋_GB2312"/>
          <w:sz w:val="32"/>
          <w:szCs w:val="32"/>
        </w:rPr>
        <w:t>签订</w:t>
      </w:r>
      <w:r>
        <w:rPr>
          <w:rFonts w:hint="eastAsia" w:ascii="仿宋_GB2312" w:eastAsia="仿宋_GB2312"/>
          <w:sz w:val="32"/>
          <w:szCs w:val="32"/>
          <w:lang w:val="en-US" w:eastAsia="zh-CN"/>
        </w:rPr>
        <w:t>2024</w:t>
      </w:r>
      <w:r>
        <w:rPr>
          <w:rFonts w:hint="eastAsia" w:ascii="仿宋_GB2312" w:eastAsia="仿宋_GB2312"/>
          <w:sz w:val="32"/>
          <w:szCs w:val="32"/>
        </w:rPr>
        <w:t>年安全生产和消防工作目标管理责任书。</w:t>
      </w:r>
    </w:p>
    <w:p>
      <w:pPr>
        <w:keepNext w:val="0"/>
        <w:keepLines w:val="0"/>
        <w:pageBreakBefore w:val="0"/>
        <w:numPr>
          <w:ilvl w:val="0"/>
          <w:numId w:val="0"/>
        </w:numPr>
        <w:kinsoku/>
        <w:wordWrap/>
        <w:overflowPunct w:val="0"/>
        <w:topLinePunct w:val="0"/>
        <w:autoSpaceDE/>
        <w:autoSpaceDN/>
        <w:bidi w:val="0"/>
        <w:adjustRightInd/>
        <w:snapToGrid/>
        <w:spacing w:line="600" w:lineRule="exact"/>
        <w:ind w:firstLine="640" w:firstLineChars="200"/>
        <w:textAlignment w:val="auto"/>
        <w:rPr>
          <w:rFonts w:eastAsia="黑体"/>
          <w:sz w:val="32"/>
          <w:szCs w:val="32"/>
        </w:rPr>
      </w:pPr>
      <w:r>
        <w:rPr>
          <w:rFonts w:hint="eastAsia" w:ascii="Times New Roman" w:hAnsi="Times New Roman" w:eastAsia="黑体" w:cs="Times New Roman"/>
          <w:kern w:val="2"/>
          <w:sz w:val="32"/>
          <w:szCs w:val="32"/>
          <w:lang w:val="en-US" w:eastAsia="zh-CN" w:bidi="ar-SA"/>
        </w:rPr>
        <w:t>一、</w:t>
      </w:r>
      <w:r>
        <w:rPr>
          <w:rFonts w:eastAsia="黑体"/>
          <w:sz w:val="32"/>
          <w:szCs w:val="32"/>
        </w:rPr>
        <w:t>确保实现工作目标。</w:t>
      </w:r>
      <w:r>
        <w:rPr>
          <w:rFonts w:hint="eastAsia" w:ascii="仿宋_GB2312" w:hAnsi="仿宋_GB2312" w:eastAsia="仿宋_GB2312" w:cs="仿宋_GB2312"/>
          <w:sz w:val="32"/>
          <w:szCs w:val="32"/>
        </w:rPr>
        <w:t>坚决遏制特种设备重特大生产安全和火灾事故，有效防范生产安全和火灾较大事故，努力减少生产安全和火灾一般事故。</w:t>
      </w:r>
    </w:p>
    <w:p>
      <w:pPr>
        <w:pageBreakBefore w:val="0"/>
        <w:kinsoku/>
        <w:overflowPunct w:val="0"/>
        <w:topLinePunct w:val="0"/>
        <w:autoSpaceDE/>
        <w:autoSpaceDN/>
        <w:bidi w:val="0"/>
        <w:spacing w:line="540" w:lineRule="exact"/>
        <w:ind w:firstLine="640" w:firstLineChars="200"/>
        <w:textAlignment w:val="auto"/>
        <w:rPr>
          <w:rFonts w:eastAsia="仿宋_GB2312"/>
          <w:sz w:val="32"/>
          <w:szCs w:val="32"/>
        </w:rPr>
      </w:pPr>
      <w:r>
        <w:rPr>
          <w:rFonts w:eastAsia="黑体"/>
          <w:sz w:val="32"/>
          <w:szCs w:val="32"/>
        </w:rPr>
        <w:t>二、树牢安全发展理念。</w:t>
      </w:r>
      <w:r>
        <w:rPr>
          <w:rFonts w:hint="eastAsia" w:ascii="仿宋_GB2312" w:hAnsi="仿宋_GB2312" w:eastAsia="仿宋_GB2312" w:cs="仿宋_GB2312"/>
          <w:kern w:val="2"/>
          <w:sz w:val="32"/>
          <w:szCs w:val="32"/>
          <w:highlight w:val="none"/>
        </w:rPr>
        <w:t>深入学习宣传贯彻习近平总书记关于安全生产、应急管理、防灾减灾救灾的重要论述，</w:t>
      </w:r>
      <w:r>
        <w:rPr>
          <w:rFonts w:hint="eastAsia" w:ascii="仿宋_GB2312" w:hAnsi="仿宋_GB2312" w:eastAsia="仿宋_GB2312" w:cs="仿宋_GB2312"/>
          <w:spacing w:val="-4"/>
          <w:kern w:val="2"/>
          <w:sz w:val="32"/>
          <w:szCs w:val="32"/>
          <w:highlight w:val="none"/>
        </w:rPr>
        <w:t>贯彻落实党的二十大报告中关于安全生产的重要部署，坚持人民至上、生命至上，更好统筹发展和安全，</w:t>
      </w:r>
      <w:r>
        <w:rPr>
          <w:rFonts w:hint="eastAsia" w:ascii="仿宋_GB2312" w:hAnsi="仿宋_GB2312" w:eastAsia="仿宋_GB2312" w:cs="仿宋_GB2312"/>
          <w:spacing w:val="-4"/>
          <w:kern w:val="2"/>
          <w:sz w:val="32"/>
          <w:szCs w:val="32"/>
          <w:highlight w:val="none"/>
          <w:lang w:eastAsia="zh-CN"/>
        </w:rPr>
        <w:t>深入开展</w:t>
      </w:r>
      <w:r>
        <w:rPr>
          <w:rFonts w:hint="eastAsia" w:ascii="仿宋_GB2312" w:hAnsi="仿宋_GB2312" w:eastAsia="仿宋_GB2312" w:cs="仿宋_GB2312"/>
          <w:spacing w:val="-4"/>
          <w:kern w:val="2"/>
          <w:sz w:val="32"/>
          <w:szCs w:val="32"/>
          <w:highlight w:val="none"/>
        </w:rPr>
        <w:t>安全生产</w:t>
      </w:r>
      <w:r>
        <w:rPr>
          <w:rFonts w:hint="eastAsia" w:ascii="仿宋_GB2312" w:hAnsi="仿宋_GB2312" w:eastAsia="仿宋_GB2312" w:cs="仿宋_GB2312"/>
          <w:spacing w:val="-4"/>
          <w:kern w:val="2"/>
          <w:sz w:val="32"/>
          <w:szCs w:val="32"/>
          <w:highlight w:val="none"/>
          <w:lang w:eastAsia="zh-CN"/>
        </w:rPr>
        <w:t>治本攻坚三年行动，</w:t>
      </w:r>
      <w:r>
        <w:rPr>
          <w:rFonts w:hint="eastAsia" w:ascii="仿宋_GB2312" w:hAnsi="仿宋_GB2312" w:eastAsia="仿宋_GB2312" w:cs="仿宋_GB2312"/>
          <w:spacing w:val="-4"/>
          <w:kern w:val="2"/>
          <w:sz w:val="32"/>
          <w:szCs w:val="32"/>
          <w:highlight w:val="none"/>
        </w:rPr>
        <w:t>推动安全生产治理模式向事前预防转型。</w:t>
      </w:r>
    </w:p>
    <w:p>
      <w:pPr>
        <w:pageBreakBefore w:val="0"/>
        <w:widowControl/>
        <w:kinsoku/>
        <w:overflowPunct w:val="0"/>
        <w:topLinePunct w:val="0"/>
        <w:autoSpaceDE/>
        <w:autoSpaceDN/>
        <w:bidi w:val="0"/>
        <w:spacing w:line="540" w:lineRule="exact"/>
        <w:ind w:firstLine="640" w:firstLineChars="200"/>
        <w:textAlignment w:val="auto"/>
        <w:rPr>
          <w:rFonts w:eastAsia="黑体"/>
          <w:sz w:val="32"/>
          <w:szCs w:val="32"/>
        </w:rPr>
      </w:pPr>
      <w:r>
        <w:rPr>
          <w:rFonts w:eastAsia="黑体"/>
          <w:sz w:val="32"/>
          <w:szCs w:val="32"/>
        </w:rPr>
        <w:t>三、落实安全工作责任。</w:t>
      </w:r>
      <w:r>
        <w:rPr>
          <w:rFonts w:hint="eastAsia" w:ascii="仿宋_GB2312" w:hAnsi="仿宋_GB2312" w:eastAsia="仿宋_GB2312" w:cs="仿宋_GB2312"/>
          <w:kern w:val="2"/>
          <w:sz w:val="32"/>
          <w:szCs w:val="32"/>
          <w:highlight w:val="none"/>
        </w:rPr>
        <w:t>落实《党政领导干部安全生产责任制实施细则》《安徽省消防安全责任制规定》，</w:t>
      </w:r>
      <w:r>
        <w:rPr>
          <w:rFonts w:hint="eastAsia" w:ascii="仿宋_GB2312" w:hAnsi="仿宋_GB2312" w:eastAsia="仿宋_GB2312" w:cs="仿宋_GB2312"/>
          <w:kern w:val="2"/>
          <w:sz w:val="32"/>
          <w:szCs w:val="32"/>
          <w:highlight w:val="none"/>
          <w:lang w:val="en-US" w:eastAsia="zh-CN"/>
        </w:rPr>
        <w:t>严格</w:t>
      </w:r>
      <w:r>
        <w:rPr>
          <w:rFonts w:hint="eastAsia" w:ascii="仿宋_GB2312" w:hAnsi="仿宋_GB2312" w:eastAsia="仿宋_GB2312" w:cs="仿宋_GB2312"/>
          <w:kern w:val="2"/>
          <w:sz w:val="32"/>
          <w:szCs w:val="32"/>
          <w:highlight w:val="none"/>
        </w:rPr>
        <w:t>执行</w:t>
      </w:r>
      <w:r>
        <w:rPr>
          <w:rFonts w:hint="eastAsia" w:ascii="仿宋_GB2312" w:hAnsi="仿宋_GB2312" w:eastAsia="仿宋_GB2312" w:cs="仿宋_GB2312"/>
          <w:kern w:val="2"/>
          <w:sz w:val="32"/>
          <w:szCs w:val="32"/>
          <w:highlight w:val="none"/>
          <w:lang w:eastAsia="zh-CN"/>
        </w:rPr>
        <w:t>《青阳县</w:t>
      </w:r>
      <w:r>
        <w:rPr>
          <w:rFonts w:hint="eastAsia" w:ascii="仿宋_GB2312" w:hAnsi="仿宋_GB2312" w:eastAsia="仿宋_GB2312" w:cs="仿宋_GB2312"/>
          <w:kern w:val="2"/>
          <w:sz w:val="32"/>
          <w:szCs w:val="32"/>
          <w:highlight w:val="none"/>
        </w:rPr>
        <w:t>安全生产“三管三必须”责任清单</w:t>
      </w:r>
      <w:r>
        <w:rPr>
          <w:rFonts w:hint="eastAsia" w:ascii="仿宋_GB2312" w:hAnsi="仿宋_GB2312" w:eastAsia="仿宋_GB2312" w:cs="仿宋_GB2312"/>
          <w:kern w:val="2"/>
          <w:sz w:val="32"/>
          <w:szCs w:val="32"/>
          <w:highlight w:val="none"/>
          <w:lang w:eastAsia="zh-CN"/>
        </w:rPr>
        <w:t>》</w:t>
      </w:r>
      <w:r>
        <w:rPr>
          <w:rFonts w:hint="eastAsia" w:ascii="仿宋_GB2312" w:hAnsi="仿宋_GB2312" w:eastAsia="仿宋_GB2312" w:cs="仿宋_GB2312"/>
          <w:kern w:val="2"/>
          <w:sz w:val="32"/>
          <w:szCs w:val="32"/>
          <w:highlight w:val="none"/>
          <w:lang w:val="en-US" w:eastAsia="zh-CN"/>
        </w:rPr>
        <w:t>及《实施意见》</w:t>
      </w:r>
      <w:r>
        <w:rPr>
          <w:rFonts w:hint="eastAsia" w:ascii="仿宋_GB2312" w:hAnsi="仿宋_GB2312" w:eastAsia="仿宋_GB2312" w:cs="仿宋_GB2312"/>
          <w:kern w:val="2"/>
          <w:sz w:val="32"/>
          <w:szCs w:val="32"/>
          <w:highlight w:val="none"/>
        </w:rPr>
        <w:t>。</w:t>
      </w:r>
      <w:r>
        <w:rPr>
          <w:rFonts w:hint="eastAsia" w:ascii="仿宋_GB2312" w:hAnsi="仿宋_GB2312" w:eastAsia="仿宋_GB2312" w:cs="仿宋_GB2312"/>
          <w:kern w:val="2"/>
          <w:sz w:val="32"/>
          <w:szCs w:val="32"/>
          <w:highlight w:val="none"/>
          <w:lang w:eastAsia="zh-CN"/>
        </w:rPr>
        <w:t>强化</w:t>
      </w:r>
      <w:r>
        <w:rPr>
          <w:rFonts w:hint="eastAsia" w:ascii="仿宋_GB2312" w:hAnsi="仿宋_GB2312" w:eastAsia="仿宋_GB2312" w:cs="仿宋_GB2312"/>
          <w:kern w:val="2"/>
          <w:sz w:val="32"/>
          <w:szCs w:val="32"/>
          <w:highlight w:val="none"/>
        </w:rPr>
        <w:t>全</w:t>
      </w:r>
      <w:r>
        <w:rPr>
          <w:rFonts w:hint="eastAsia" w:ascii="仿宋_GB2312" w:hAnsi="仿宋_GB2312" w:eastAsia="仿宋_GB2312" w:cs="仿宋_GB2312"/>
          <w:kern w:val="2"/>
          <w:sz w:val="32"/>
          <w:szCs w:val="32"/>
          <w:highlight w:val="none"/>
          <w:lang w:eastAsia="zh-CN"/>
        </w:rPr>
        <w:t>县</w:t>
      </w:r>
      <w:r>
        <w:rPr>
          <w:rFonts w:hint="eastAsia" w:ascii="仿宋_GB2312" w:hAnsi="仿宋_GB2312" w:eastAsia="仿宋_GB2312" w:cs="仿宋_GB2312"/>
          <w:kern w:val="2"/>
          <w:sz w:val="32"/>
          <w:szCs w:val="32"/>
          <w:highlight w:val="none"/>
        </w:rPr>
        <w:t>特种设备安全监督管理，综合管理特种设备安全监察、监督工作。依法办理涉及安全生产前置审批事项的市场主体登记注册</w:t>
      </w:r>
      <w:r>
        <w:rPr>
          <w:rFonts w:hint="eastAsia" w:ascii="仿宋_GB2312" w:hAnsi="仿宋_GB2312" w:eastAsia="仿宋_GB2312" w:cs="仿宋_GB2312"/>
          <w:kern w:val="2"/>
          <w:sz w:val="32"/>
          <w:szCs w:val="32"/>
          <w:highlight w:val="none"/>
          <w:lang w:eastAsia="zh-CN"/>
        </w:rPr>
        <w:t>。</w:t>
      </w:r>
      <w:r>
        <w:rPr>
          <w:rFonts w:hint="eastAsia" w:ascii="仿宋_GB2312" w:hAnsi="仿宋_GB2312" w:eastAsia="仿宋_GB2312" w:cs="仿宋_GB2312"/>
          <w:kern w:val="2"/>
          <w:sz w:val="32"/>
          <w:szCs w:val="32"/>
          <w:highlight w:val="none"/>
        </w:rPr>
        <w:t>依法负责保障劳动安全的产品、影响生产安全的产品质量安全监督管理。负责危险化学品及其包装物、容器（不包括储存危险化学品的固定式大型储罐）生产企业的工业产品生产许可证的管理工作，并依法对其产品质量实施监督。依法查处危险化学品经营企业违法采购危险化学品的行为。对烟花爆竹实施质量监督。按照职责分工加强电动汽车、电动自行车安全管理，依法查处违法违规生产、销售电动汽车、电动自行车以及改装电池等经营行为。配合有关部门加强对商品交易市场的安全检查和促进市场主办单位依法加强安全管理。配合有关部门开展安全生产专项整治，按照职责依法查处无照经营等行为</w:t>
      </w:r>
      <w:r>
        <w:rPr>
          <w:rFonts w:hint="eastAsia" w:ascii="仿宋_GB2312" w:hAnsi="仿宋_GB2312" w:eastAsia="仿宋_GB2312" w:cs="仿宋_GB2312"/>
          <w:kern w:val="2"/>
          <w:sz w:val="32"/>
          <w:szCs w:val="32"/>
          <w:highlight w:val="none"/>
          <w:lang w:eastAsia="zh-CN"/>
        </w:rPr>
        <w:t>。</w:t>
      </w:r>
      <w:r>
        <w:rPr>
          <w:rFonts w:hint="eastAsia" w:ascii="仿宋_GB2312" w:hAnsi="仿宋_GB2312" w:eastAsia="仿宋_GB2312" w:cs="仿宋_GB2312"/>
          <w:kern w:val="2"/>
          <w:sz w:val="32"/>
          <w:szCs w:val="32"/>
          <w:highlight w:val="none"/>
        </w:rPr>
        <w:t>配合有关部门为小型游乐设施安全管理提供指导和服务。</w:t>
      </w:r>
    </w:p>
    <w:p>
      <w:pPr>
        <w:pageBreakBefore w:val="0"/>
        <w:widowControl/>
        <w:kinsoku/>
        <w:overflowPunct w:val="0"/>
        <w:topLinePunct w:val="0"/>
        <w:autoSpaceDE/>
        <w:autoSpaceDN/>
        <w:bidi w:val="0"/>
        <w:spacing w:line="540" w:lineRule="exact"/>
        <w:ind w:firstLine="640" w:firstLineChars="200"/>
        <w:textAlignment w:val="auto"/>
        <w:rPr>
          <w:rFonts w:eastAsia="仿宋_GB2312"/>
          <w:sz w:val="32"/>
          <w:szCs w:val="32"/>
        </w:rPr>
      </w:pPr>
      <w:r>
        <w:rPr>
          <w:rFonts w:eastAsia="黑体"/>
          <w:sz w:val="32"/>
          <w:szCs w:val="32"/>
        </w:rPr>
        <w:t>四、防范化解重大风险。</w:t>
      </w:r>
      <w:r>
        <w:rPr>
          <w:rFonts w:hint="eastAsia" w:ascii="仿宋_GB2312" w:hAnsi="仿宋_GB2312" w:eastAsia="仿宋_GB2312" w:cs="仿宋_GB2312"/>
          <w:kern w:val="2"/>
          <w:sz w:val="32"/>
          <w:szCs w:val="32"/>
          <w:highlight w:val="none"/>
          <w:lang w:val="en-US" w:eastAsia="zh-CN"/>
        </w:rPr>
        <w:t>聚焦</w:t>
      </w:r>
      <w:r>
        <w:rPr>
          <w:rFonts w:hint="eastAsia" w:ascii="仿宋_GB2312" w:hAnsi="仿宋_GB2312" w:eastAsia="仿宋_GB2312" w:cs="仿宋_GB2312"/>
          <w:kern w:val="2"/>
          <w:sz w:val="32"/>
          <w:szCs w:val="32"/>
          <w:highlight w:val="none"/>
        </w:rPr>
        <w:t>重点行业领域</w:t>
      </w:r>
      <w:r>
        <w:rPr>
          <w:rFonts w:hint="eastAsia" w:ascii="仿宋_GB2312" w:hAnsi="仿宋_GB2312" w:eastAsia="仿宋_GB2312" w:cs="仿宋_GB2312"/>
          <w:kern w:val="2"/>
          <w:sz w:val="32"/>
          <w:szCs w:val="32"/>
          <w:highlight w:val="none"/>
          <w:lang w:val="en-US" w:eastAsia="zh-CN"/>
        </w:rPr>
        <w:t>专项治理，深化</w:t>
      </w:r>
      <w:r>
        <w:rPr>
          <w:rFonts w:hint="eastAsia" w:ascii="仿宋_GB2312" w:hAnsi="仿宋_GB2312" w:eastAsia="仿宋_GB2312" w:cs="仿宋_GB2312"/>
          <w:kern w:val="2"/>
          <w:sz w:val="32"/>
          <w:szCs w:val="32"/>
          <w:highlight w:val="none"/>
        </w:rPr>
        <w:t>重大事故隐患排查整治</w:t>
      </w:r>
      <w:r>
        <w:rPr>
          <w:rFonts w:hint="eastAsia" w:ascii="仿宋_GB2312" w:hAnsi="仿宋_GB2312" w:eastAsia="仿宋_GB2312" w:cs="仿宋_GB2312"/>
          <w:kern w:val="2"/>
          <w:sz w:val="32"/>
          <w:szCs w:val="32"/>
          <w:highlight w:val="none"/>
          <w:lang w:eastAsia="zh-CN"/>
        </w:rPr>
        <w:t>。在重大活动、重大节日期间，采取“四不两直”执法检查、专家指导服务、媒体曝光等措施，组织开展安全生产常态化明查暗访。</w:t>
      </w:r>
      <w:r>
        <w:rPr>
          <w:rFonts w:hint="eastAsia" w:ascii="仿宋_GB2312" w:hAnsi="仿宋_GB2312" w:eastAsia="仿宋_GB2312" w:cs="仿宋_GB2312"/>
          <w:kern w:val="2"/>
          <w:sz w:val="32"/>
          <w:szCs w:val="32"/>
          <w:highlight w:val="none"/>
        </w:rPr>
        <w:t>深刻汲取有关生产安全事故教训，主动排查整改问题</w:t>
      </w:r>
      <w:r>
        <w:rPr>
          <w:rFonts w:hint="eastAsia" w:ascii="仿宋_GB2312" w:hAnsi="仿宋_GB2312" w:eastAsia="仿宋_GB2312" w:cs="仿宋_GB2312"/>
          <w:kern w:val="2"/>
          <w:sz w:val="32"/>
          <w:szCs w:val="32"/>
          <w:highlight w:val="none"/>
          <w:lang w:eastAsia="zh-CN"/>
        </w:rPr>
        <w:t>。强化</w:t>
      </w:r>
      <w:r>
        <w:rPr>
          <w:rFonts w:hint="eastAsia" w:ascii="仿宋_GB2312" w:hAnsi="仿宋_GB2312" w:eastAsia="仿宋_GB2312" w:cs="仿宋_GB2312"/>
          <w:kern w:val="2"/>
          <w:sz w:val="32"/>
          <w:szCs w:val="32"/>
          <w:highlight w:val="none"/>
        </w:rPr>
        <w:t>对电梯、气瓶等特种设备的安全监管。实施电梯安全筑底行动</w:t>
      </w:r>
      <w:r>
        <w:rPr>
          <w:rFonts w:hint="eastAsia" w:ascii="仿宋_GB2312" w:hAnsi="仿宋_GB2312" w:eastAsia="仿宋_GB2312" w:cs="仿宋_GB2312"/>
          <w:kern w:val="2"/>
          <w:sz w:val="32"/>
          <w:szCs w:val="32"/>
          <w:highlight w:val="none"/>
          <w:lang w:eastAsia="zh-CN"/>
        </w:rPr>
        <w:t>，</w:t>
      </w:r>
      <w:r>
        <w:rPr>
          <w:rFonts w:hint="eastAsia" w:ascii="仿宋_GB2312" w:hAnsi="仿宋_GB2312" w:eastAsia="仿宋_GB2312" w:cs="仿宋_GB2312"/>
          <w:kern w:val="2"/>
          <w:sz w:val="32"/>
          <w:szCs w:val="32"/>
          <w:highlight w:val="none"/>
        </w:rPr>
        <w:t>开展过山车事故隐患和客运架空索道应急救援能力等专项排查治理。强化人员聚集活动场所特种设备安全监管。按职责分工：落实电动自行车、高风险游乐项目安全管理有关责任。以外卖配送等为重点，</w:t>
      </w:r>
      <w:bookmarkStart w:id="0" w:name="_Hlk126230833"/>
      <w:r>
        <w:rPr>
          <w:rFonts w:hint="eastAsia" w:ascii="仿宋_GB2312" w:hAnsi="仿宋_GB2312" w:eastAsia="仿宋_GB2312" w:cs="仿宋_GB2312"/>
          <w:kern w:val="2"/>
          <w:sz w:val="32"/>
          <w:szCs w:val="32"/>
          <w:highlight w:val="none"/>
        </w:rPr>
        <w:t>推动落实互联网平台企业安全生产主体责任，保障从业人员合法劳动权益</w:t>
      </w:r>
      <w:bookmarkEnd w:id="0"/>
      <w:r>
        <w:rPr>
          <w:rFonts w:hint="eastAsia" w:ascii="仿宋_GB2312" w:hAnsi="仿宋_GB2312" w:eastAsia="仿宋_GB2312" w:cs="仿宋_GB2312"/>
          <w:kern w:val="2"/>
          <w:sz w:val="32"/>
          <w:szCs w:val="32"/>
          <w:highlight w:val="none"/>
        </w:rPr>
        <w:t>。</w:t>
      </w:r>
      <w:bookmarkStart w:id="1" w:name="_Hlk126219567"/>
      <w:r>
        <w:rPr>
          <w:rFonts w:hint="eastAsia" w:ascii="仿宋_GB2312" w:hAnsi="仿宋_GB2312" w:eastAsia="仿宋_GB2312" w:cs="仿宋_GB2312"/>
          <w:kern w:val="2"/>
          <w:sz w:val="32"/>
          <w:szCs w:val="32"/>
          <w:highlight w:val="none"/>
        </w:rPr>
        <w:t>严厉打击违法违规生产销售改装货车、危险货物道路运输常压罐车、超标电动车等行为。</w:t>
      </w:r>
      <w:bookmarkEnd w:id="1"/>
      <w:bookmarkStart w:id="2" w:name="_Hlk126218876"/>
      <w:r>
        <w:rPr>
          <w:rFonts w:hint="eastAsia" w:ascii="仿宋_GB2312" w:hAnsi="仿宋_GB2312" w:eastAsia="仿宋_GB2312" w:cs="仿宋_GB2312"/>
          <w:kern w:val="2"/>
          <w:sz w:val="32"/>
          <w:szCs w:val="32"/>
          <w:highlight w:val="none"/>
        </w:rPr>
        <w:t>深化城镇燃气安全排查整治</w:t>
      </w:r>
      <w:bookmarkEnd w:id="2"/>
      <w:r>
        <w:rPr>
          <w:rFonts w:hint="eastAsia" w:ascii="仿宋_GB2312" w:hAnsi="仿宋_GB2312" w:eastAsia="仿宋_GB2312" w:cs="仿宋_GB2312"/>
          <w:kern w:val="2"/>
          <w:sz w:val="32"/>
          <w:szCs w:val="32"/>
          <w:highlight w:val="none"/>
        </w:rPr>
        <w:t>，</w:t>
      </w:r>
      <w:bookmarkStart w:id="3" w:name="_Hlk126225777"/>
      <w:r>
        <w:rPr>
          <w:rFonts w:hint="eastAsia" w:ascii="仿宋_GB2312" w:hAnsi="仿宋_GB2312" w:eastAsia="仿宋_GB2312" w:cs="仿宋_GB2312"/>
          <w:kern w:val="2"/>
          <w:sz w:val="32"/>
          <w:szCs w:val="32"/>
          <w:highlight w:val="none"/>
        </w:rPr>
        <w:t>持续推进液化石油气中掺混二甲醚整治及危险化学品相关移动式压力容器充装等排查整治。</w:t>
      </w:r>
      <w:bookmarkEnd w:id="3"/>
    </w:p>
    <w:p>
      <w:pPr>
        <w:pageBreakBefore w:val="0"/>
        <w:kinsoku/>
        <w:overflowPunct w:val="0"/>
        <w:topLinePunct w:val="0"/>
        <w:autoSpaceDE/>
        <w:autoSpaceDN/>
        <w:bidi w:val="0"/>
        <w:spacing w:line="540" w:lineRule="exact"/>
        <w:ind w:firstLine="640" w:firstLineChars="200"/>
        <w:textAlignment w:val="auto"/>
        <w:rPr>
          <w:rFonts w:eastAsia="仿宋_GB2312"/>
          <w:sz w:val="32"/>
          <w:szCs w:val="32"/>
        </w:rPr>
      </w:pPr>
      <w:r>
        <w:rPr>
          <w:rFonts w:eastAsia="黑体"/>
          <w:sz w:val="32"/>
          <w:szCs w:val="32"/>
        </w:rPr>
        <w:t>五、夯实安全工作基础。</w:t>
      </w:r>
      <w:r>
        <w:rPr>
          <w:rFonts w:hint="eastAsia" w:ascii="仿宋_GB2312" w:hAnsi="仿宋_GB2312" w:eastAsia="仿宋_GB2312" w:cs="仿宋_GB2312"/>
          <w:kern w:val="2"/>
          <w:sz w:val="32"/>
          <w:szCs w:val="32"/>
          <w:highlight w:val="none"/>
          <w:lang w:val="en-US" w:eastAsia="zh-CN"/>
        </w:rPr>
        <w:t>用好案例教育法，</w:t>
      </w:r>
      <w:r>
        <w:rPr>
          <w:rFonts w:hint="eastAsia" w:ascii="仿宋_GB2312" w:hAnsi="仿宋_GB2312" w:eastAsia="仿宋_GB2312" w:cs="仿宋_GB2312"/>
          <w:kern w:val="2"/>
          <w:sz w:val="32"/>
          <w:szCs w:val="32"/>
          <w:highlight w:val="none"/>
        </w:rPr>
        <w:t>扎实开展“安全生产月”</w:t>
      </w:r>
      <w:r>
        <w:rPr>
          <w:rFonts w:hint="eastAsia" w:ascii="仿宋_GB2312" w:hAnsi="仿宋_GB2312" w:eastAsia="仿宋_GB2312" w:cs="仿宋_GB2312"/>
          <w:kern w:val="2"/>
          <w:sz w:val="32"/>
          <w:szCs w:val="32"/>
          <w:highlight w:val="none"/>
          <w:lang w:eastAsia="zh-CN"/>
        </w:rPr>
        <w:t>、消防宣传月</w:t>
      </w:r>
      <w:r>
        <w:rPr>
          <w:rFonts w:hint="eastAsia" w:ascii="仿宋_GB2312" w:hAnsi="仿宋_GB2312" w:eastAsia="仿宋_GB2312" w:cs="仿宋_GB2312"/>
          <w:kern w:val="2"/>
          <w:sz w:val="32"/>
          <w:szCs w:val="32"/>
          <w:highlight w:val="none"/>
        </w:rPr>
        <w:t>等安全宣传教育活动。推进电梯应急救援平台和气瓶追溯体系建设</w:t>
      </w:r>
      <w:r>
        <w:rPr>
          <w:rFonts w:hint="eastAsia" w:ascii="仿宋_GB2312" w:hAnsi="仿宋_GB2312" w:eastAsia="仿宋_GB2312" w:cs="仿宋_GB2312"/>
          <w:kern w:val="2"/>
          <w:sz w:val="32"/>
          <w:szCs w:val="32"/>
          <w:highlight w:val="none"/>
          <w:lang w:val="en-US" w:eastAsia="zh-CN"/>
        </w:rPr>
        <w:t>和运用</w:t>
      </w:r>
      <w:r>
        <w:rPr>
          <w:rFonts w:hint="eastAsia" w:ascii="仿宋_GB2312" w:hAnsi="仿宋_GB2312" w:eastAsia="仿宋_GB2312" w:cs="仿宋_GB2312"/>
          <w:kern w:val="2"/>
          <w:sz w:val="32"/>
          <w:szCs w:val="32"/>
          <w:highlight w:val="none"/>
        </w:rPr>
        <w:t>。推行特种设备作业人员发放电子证书。负责</w:t>
      </w:r>
      <w:r>
        <w:rPr>
          <w:rFonts w:hint="eastAsia" w:ascii="仿宋_GB2312" w:hAnsi="仿宋_GB2312" w:eastAsia="仿宋_GB2312" w:cs="仿宋_GB2312"/>
          <w:kern w:val="2"/>
          <w:sz w:val="32"/>
          <w:szCs w:val="32"/>
          <w:highlight w:val="none"/>
          <w:lang w:eastAsia="zh-CN"/>
        </w:rPr>
        <w:t>市场监管</w:t>
      </w:r>
      <w:r>
        <w:rPr>
          <w:rFonts w:hint="eastAsia" w:ascii="仿宋_GB2312" w:hAnsi="仿宋_GB2312" w:eastAsia="仿宋_GB2312" w:cs="仿宋_GB2312"/>
          <w:kern w:val="2"/>
          <w:sz w:val="32"/>
          <w:szCs w:val="32"/>
          <w:highlight w:val="none"/>
        </w:rPr>
        <w:t>系统安全管理统计分析。依法参加有关事故调查处理。修订完成有关专项预案或部门预案，组织预案演练和应急能力测试，督促完成本系统应急资源填报。建立健全内设安委会或安全生产工作领导小组，主要负责同志任主任或组长，每季度研究一次安全生产工作。发挥特种设备安全生产专项领导小组办公室</w:t>
      </w:r>
      <w:r>
        <w:rPr>
          <w:rFonts w:hint="eastAsia" w:ascii="仿宋_GB2312" w:hAnsi="仿宋_GB2312" w:eastAsia="仿宋_GB2312" w:cs="仿宋_GB2312"/>
          <w:kern w:val="2"/>
          <w:sz w:val="32"/>
          <w:szCs w:val="32"/>
          <w:highlight w:val="none"/>
          <w:lang w:eastAsia="zh-CN"/>
        </w:rPr>
        <w:t>职能</w:t>
      </w:r>
      <w:r>
        <w:rPr>
          <w:rFonts w:hint="eastAsia" w:ascii="仿宋_GB2312" w:hAnsi="仿宋_GB2312" w:eastAsia="仿宋_GB2312" w:cs="仿宋_GB2312"/>
          <w:kern w:val="2"/>
          <w:sz w:val="32"/>
          <w:szCs w:val="32"/>
          <w:highlight w:val="none"/>
        </w:rPr>
        <w:t>，组织开展信息通报、联合执法、会商研判</w:t>
      </w:r>
      <w:r>
        <w:rPr>
          <w:rFonts w:hint="eastAsia" w:ascii="仿宋_GB2312" w:hAnsi="仿宋_GB2312" w:eastAsia="仿宋_GB2312" w:cs="仿宋_GB2312"/>
          <w:bCs/>
          <w:kern w:val="2"/>
          <w:sz w:val="32"/>
          <w:szCs w:val="32"/>
          <w:highlight w:val="none"/>
        </w:rPr>
        <w:t>。</w:t>
      </w:r>
    </w:p>
    <w:p>
      <w:pPr>
        <w:keepNext w:val="0"/>
        <w:keepLines w:val="0"/>
        <w:pageBreakBefore w:val="0"/>
        <w:kinsoku/>
        <w:wordWrap/>
        <w:overflowPunct w:val="0"/>
        <w:topLinePunct w:val="0"/>
        <w:autoSpaceDE/>
        <w:autoSpaceDN/>
        <w:bidi w:val="0"/>
        <w:adjustRightInd/>
        <w:snapToGrid/>
        <w:spacing w:line="600" w:lineRule="exact"/>
        <w:ind w:firstLine="640" w:firstLineChars="200"/>
        <w:textAlignment w:val="auto"/>
        <w:rPr>
          <w:rFonts w:eastAsia="仿宋_GB2312"/>
          <w:sz w:val="32"/>
          <w:szCs w:val="32"/>
        </w:rPr>
      </w:pPr>
    </w:p>
    <w:p>
      <w:pPr>
        <w:keepNext w:val="0"/>
        <w:keepLines w:val="0"/>
        <w:pageBreakBefore w:val="0"/>
        <w:kinsoku/>
        <w:wordWrap/>
        <w:overflowPunct w:val="0"/>
        <w:topLinePunct w:val="0"/>
        <w:autoSpaceDE/>
        <w:autoSpaceDN/>
        <w:bidi w:val="0"/>
        <w:adjustRightInd/>
        <w:snapToGrid/>
        <w:spacing w:line="600" w:lineRule="exact"/>
        <w:ind w:firstLine="640" w:firstLineChars="200"/>
        <w:textAlignment w:val="auto"/>
        <w:rPr>
          <w:rFonts w:hint="eastAsia" w:ascii="仿宋_GB2312" w:hAnsi="仿宋_GB2312" w:eastAsia="仿宋_GB2312" w:cs="仿宋_GB2312"/>
          <w:kern w:val="0"/>
          <w:sz w:val="32"/>
          <w:szCs w:val="32"/>
        </w:rPr>
      </w:pPr>
      <w:bookmarkStart w:id="4" w:name="_GoBack"/>
      <w:r>
        <w:rPr>
          <w:rFonts w:hint="eastAsia" w:ascii="仿宋_GB2312" w:hAnsi="仿宋_GB2312" w:eastAsia="仿宋_GB2312" w:cs="仿宋_GB2312"/>
          <w:sz w:val="32"/>
          <w:szCs w:val="32"/>
        </w:rPr>
        <w:t>本责任书将作为202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年度安全生产和消防工作考核依据</w:t>
      </w:r>
      <w:r>
        <w:rPr>
          <w:rFonts w:hint="eastAsia" w:ascii="仿宋_GB2312" w:hAnsi="仿宋_GB2312" w:eastAsia="仿宋_GB2312" w:cs="仿宋_GB2312"/>
          <w:kern w:val="0"/>
          <w:sz w:val="32"/>
          <w:szCs w:val="32"/>
        </w:rPr>
        <w:t>。</w:t>
      </w:r>
    </w:p>
    <w:bookmarkEnd w:id="4"/>
    <w:p>
      <w:pPr>
        <w:keepNext w:val="0"/>
        <w:keepLines w:val="0"/>
        <w:pageBreakBefore w:val="0"/>
        <w:widowControl w:val="0"/>
        <w:kinsoku/>
        <w:wordWrap/>
        <w:overflowPunct/>
        <w:topLinePunct w:val="0"/>
        <w:autoSpaceDE/>
        <w:autoSpaceDN/>
        <w:bidi w:val="0"/>
        <w:adjustRightInd/>
        <w:snapToGrid/>
        <w:spacing w:line="600" w:lineRule="exact"/>
        <w:textAlignment w:val="auto"/>
        <w:rPr>
          <w:rFonts w:ascii="仿宋_GB2312" w:eastAsia="仿宋_GB2312"/>
          <w:kern w:val="0"/>
          <w:sz w:val="32"/>
          <w:szCs w:val="32"/>
        </w:rPr>
      </w:pPr>
    </w:p>
    <w:p>
      <w:pPr>
        <w:keepNext w:val="0"/>
        <w:keepLines w:val="0"/>
        <w:pageBreakBefore w:val="0"/>
        <w:widowControl w:val="0"/>
        <w:kinsoku/>
        <w:wordWrap/>
        <w:overflowPunct/>
        <w:topLinePunct w:val="0"/>
        <w:autoSpaceDE/>
        <w:autoSpaceDN/>
        <w:bidi w:val="0"/>
        <w:adjustRightInd/>
        <w:snapToGrid/>
        <w:spacing w:line="600" w:lineRule="exact"/>
        <w:textAlignment w:val="auto"/>
        <w:rPr>
          <w:rFonts w:ascii="仿宋_GB2312" w:eastAsia="仿宋_GB2312"/>
          <w:kern w:val="0"/>
          <w:sz w:val="32"/>
          <w:szCs w:val="32"/>
        </w:rPr>
      </w:pP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ascii="黑体" w:hAnsi="黑体" w:eastAsia="黑体"/>
          <w:sz w:val="32"/>
          <w:szCs w:val="32"/>
        </w:rPr>
      </w:pPr>
      <w:r>
        <w:rPr>
          <w:rFonts w:hint="eastAsia" w:ascii="黑体" w:hAnsi="黑体" w:eastAsia="黑体"/>
          <w:sz w:val="32"/>
          <w:szCs w:val="32"/>
          <w:lang w:eastAsia="zh-CN"/>
        </w:rPr>
        <w:t>青阳县</w:t>
      </w:r>
      <w:r>
        <w:rPr>
          <w:rFonts w:hint="eastAsia" w:ascii="黑体" w:hAnsi="黑体" w:eastAsia="黑体"/>
          <w:sz w:val="32"/>
          <w:szCs w:val="32"/>
        </w:rPr>
        <w:t xml:space="preserve">人民政府              </w:t>
      </w:r>
      <w:r>
        <w:rPr>
          <w:rFonts w:hint="eastAsia" w:ascii="黑体" w:hAnsi="黑体" w:eastAsia="黑体"/>
          <w:sz w:val="32"/>
          <w:szCs w:val="32"/>
          <w:lang w:val="en-US" w:eastAsia="zh-CN"/>
        </w:rPr>
        <w:t xml:space="preserve">  </w:t>
      </w:r>
      <w:r>
        <w:rPr>
          <w:rFonts w:hint="eastAsia" w:ascii="黑体" w:hAnsi="黑体" w:eastAsia="黑体"/>
          <w:sz w:val="32"/>
          <w:szCs w:val="32"/>
        </w:rPr>
        <w:t xml:space="preserve"> </w:t>
      </w:r>
      <w:r>
        <w:rPr>
          <w:rFonts w:hint="eastAsia" w:ascii="黑体" w:hAnsi="黑体" w:eastAsia="黑体"/>
          <w:sz w:val="32"/>
          <w:szCs w:val="32"/>
          <w:lang w:eastAsia="zh-CN"/>
        </w:rPr>
        <w:t>青阳县</w:t>
      </w:r>
      <w:r>
        <w:rPr>
          <w:rFonts w:hint="eastAsia" w:ascii="黑体" w:hAnsi="黑体" w:eastAsia="黑体"/>
          <w:sz w:val="32"/>
          <w:szCs w:val="32"/>
        </w:rPr>
        <w:t>市场监督管理局</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黑体" w:hAnsi="黑体" w:eastAsia="黑体"/>
          <w:sz w:val="32"/>
          <w:szCs w:val="32"/>
        </w:rPr>
      </w:pP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ascii="黑体" w:hAnsi="黑体" w:eastAsia="黑体"/>
          <w:sz w:val="32"/>
          <w:szCs w:val="32"/>
        </w:rPr>
      </w:pPr>
      <w:r>
        <w:rPr>
          <w:rFonts w:hint="eastAsia" w:ascii="黑体" w:hAnsi="黑体" w:eastAsia="黑体"/>
          <w:sz w:val="32"/>
          <w:szCs w:val="32"/>
        </w:rPr>
        <w:t xml:space="preserve">签字人：                    </w:t>
      </w:r>
      <w:r>
        <w:rPr>
          <w:rFonts w:hint="eastAsia" w:ascii="黑体" w:hAnsi="黑体" w:eastAsia="黑体"/>
          <w:sz w:val="32"/>
          <w:szCs w:val="32"/>
          <w:lang w:val="en-US" w:eastAsia="zh-CN"/>
        </w:rPr>
        <w:t xml:space="preserve">  </w:t>
      </w:r>
      <w:r>
        <w:rPr>
          <w:rFonts w:hint="eastAsia" w:ascii="黑体" w:hAnsi="黑体" w:eastAsia="黑体"/>
          <w:sz w:val="32"/>
          <w:szCs w:val="32"/>
        </w:rPr>
        <w:t xml:space="preserve"> 签字人：</w:t>
      </w:r>
    </w:p>
    <w:p>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黑体" w:hAnsi="黑体" w:eastAsia="黑体"/>
          <w:sz w:val="32"/>
          <w:szCs w:val="32"/>
        </w:rPr>
      </w:pPr>
      <w:r>
        <w:rPr>
          <w:rFonts w:hint="eastAsia" w:ascii="仿宋_GB2312" w:eastAsia="仿宋_GB2312"/>
          <w:sz w:val="32"/>
          <w:szCs w:val="32"/>
        </w:rPr>
        <w:t xml:space="preserve">                        </w:t>
      </w:r>
    </w:p>
    <w:p>
      <w:pPr>
        <w:keepNext w:val="0"/>
        <w:keepLines w:val="0"/>
        <w:pageBreakBefore w:val="0"/>
        <w:widowControl w:val="0"/>
        <w:kinsoku/>
        <w:wordWrap/>
        <w:overflowPunct/>
        <w:topLinePunct w:val="0"/>
        <w:autoSpaceDE/>
        <w:autoSpaceDN/>
        <w:bidi w:val="0"/>
        <w:adjustRightInd/>
        <w:snapToGrid/>
        <w:spacing w:line="600" w:lineRule="exact"/>
        <w:ind w:right="840" w:rightChars="400" w:firstLine="0" w:firstLineChars="0"/>
        <w:jc w:val="right"/>
        <w:textAlignment w:val="auto"/>
        <w:rPr>
          <w:rFonts w:ascii="黑体" w:hAnsi="黑体" w:eastAsia="黑体"/>
          <w:sz w:val="32"/>
          <w:szCs w:val="32"/>
        </w:rPr>
      </w:pPr>
      <w:r>
        <w:rPr>
          <w:rFonts w:hint="eastAsia" w:ascii="黑体" w:hAnsi="黑体" w:eastAsia="黑体"/>
          <w:sz w:val="32"/>
          <w:szCs w:val="32"/>
        </w:rPr>
        <w:t>202</w:t>
      </w:r>
      <w:r>
        <w:rPr>
          <w:rFonts w:hint="eastAsia" w:ascii="黑体" w:hAnsi="黑体" w:eastAsia="黑体"/>
          <w:sz w:val="32"/>
          <w:szCs w:val="32"/>
          <w:lang w:val="en-US" w:eastAsia="zh-CN"/>
        </w:rPr>
        <w:t>4</w:t>
      </w:r>
      <w:r>
        <w:rPr>
          <w:rFonts w:hint="eastAsia" w:ascii="黑体" w:hAnsi="黑体" w:eastAsia="黑体"/>
          <w:sz w:val="32"/>
          <w:szCs w:val="32"/>
        </w:rPr>
        <w:t>年</w:t>
      </w:r>
      <w:r>
        <w:rPr>
          <w:rFonts w:hint="eastAsia" w:ascii="黑体" w:hAnsi="黑体" w:eastAsia="黑体"/>
          <w:sz w:val="32"/>
          <w:szCs w:val="32"/>
          <w:lang w:val="en-US" w:eastAsia="zh-CN"/>
        </w:rPr>
        <w:t>5</w:t>
      </w:r>
      <w:r>
        <w:rPr>
          <w:rFonts w:hint="eastAsia" w:ascii="黑体" w:hAnsi="黑体" w:eastAsia="黑体"/>
          <w:sz w:val="32"/>
          <w:szCs w:val="32"/>
        </w:rPr>
        <w:t xml:space="preserve">月 </w:t>
      </w:r>
    </w:p>
    <w:sectPr>
      <w:pgSz w:w="11906" w:h="16838"/>
      <w:pgMar w:top="1701" w:right="1418" w:bottom="1134"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BA080A9-264A-42CA-8964-601C786811FB}"/>
  </w:font>
  <w:font w:name="Arial">
    <w:panose1 w:val="020B0604020202020204"/>
    <w:charset w:val="01"/>
    <w:family w:val="swiss"/>
    <w:pitch w:val="default"/>
    <w:sig w:usb0="E0002EFF" w:usb1="C000785B" w:usb2="00000009" w:usb3="00000000" w:csb0="400001FF" w:csb1="FFFF0000"/>
    <w:embedRegular r:id="rId2" w:fontKey="{821CF937-D1DC-45FA-8EDA-AD2AB593C403}"/>
  </w:font>
  <w:font w:name="黑体">
    <w:panose1 w:val="02010609060101010101"/>
    <w:charset w:val="86"/>
    <w:family w:val="auto"/>
    <w:pitch w:val="default"/>
    <w:sig w:usb0="800002BF" w:usb1="38CF7CFA" w:usb2="00000016" w:usb3="00000000" w:csb0="00040001" w:csb1="00000000"/>
    <w:embedRegular r:id="rId3" w:fontKey="{DA31CAD5-C4A5-4309-9682-94A321E5CAD7}"/>
  </w:font>
  <w:font w:name="Courier New">
    <w:panose1 w:val="02070309020205020404"/>
    <w:charset w:val="01"/>
    <w:family w:val="modern"/>
    <w:pitch w:val="default"/>
    <w:sig w:usb0="E0002EFF" w:usb1="C0007843" w:usb2="00000009" w:usb3="00000000" w:csb0="400001FF" w:csb1="FFFF0000"/>
    <w:embedRegular r:id="rId4" w:fontKey="{71AAA88D-5E44-47B2-A79B-E0E2E9A498E2}"/>
  </w:font>
  <w:font w:name="Symbol">
    <w:panose1 w:val="05050102010706020507"/>
    <w:charset w:val="02"/>
    <w:family w:val="roman"/>
    <w:pitch w:val="default"/>
    <w:sig w:usb0="00000000" w:usb1="00000000" w:usb2="00000000" w:usb3="00000000" w:csb0="80000000" w:csb1="00000000"/>
    <w:embedRegular r:id="rId5" w:fontKey="{EB864573-A820-4AEF-8EA7-2A21903D9D19}"/>
  </w:font>
  <w:font w:name="Calibri">
    <w:panose1 w:val="020F0502020204030204"/>
    <w:charset w:val="00"/>
    <w:family w:val="swiss"/>
    <w:pitch w:val="default"/>
    <w:sig w:usb0="E4002EFF" w:usb1="C000247B" w:usb2="00000009" w:usb3="00000000" w:csb0="200001FF" w:csb1="00000000"/>
    <w:embedRegular r:id="rId6" w:fontKey="{B5E289BD-8DA8-4EFE-B4FD-1357ED38A67B}"/>
  </w:font>
  <w:font w:name="方正小标宋简体">
    <w:panose1 w:val="02000000000000000000"/>
    <w:charset w:val="86"/>
    <w:family w:val="auto"/>
    <w:pitch w:val="default"/>
    <w:sig w:usb0="00000001" w:usb1="080E0000" w:usb2="00000000" w:usb3="00000000" w:csb0="00040000" w:csb1="00000000"/>
    <w:embedRegular r:id="rId7" w:fontKey="{5A17E412-78BD-48E3-A163-54748B49CF87}"/>
  </w:font>
  <w:font w:name="仿宋_GB2312">
    <w:panose1 w:val="02010609030101010101"/>
    <w:charset w:val="86"/>
    <w:family w:val="modern"/>
    <w:pitch w:val="default"/>
    <w:sig w:usb0="00000001" w:usb1="080E0000" w:usb2="00000000" w:usb3="00000000" w:csb0="00040000" w:csb1="00000000"/>
    <w:embedRegular r:id="rId8" w:fontKey="{056E9E69-55CB-43B5-A107-D639D174ADE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M3NDk0MWYyNjgwMzk4N2QyZTA1NTg4ODE3YzA2ZTgifQ=="/>
  </w:docVars>
  <w:rsids>
    <w:rsidRoot w:val="0070387E"/>
    <w:rsid w:val="0006202D"/>
    <w:rsid w:val="00152F9C"/>
    <w:rsid w:val="0021226E"/>
    <w:rsid w:val="00235F90"/>
    <w:rsid w:val="003C7986"/>
    <w:rsid w:val="004511F3"/>
    <w:rsid w:val="004F4A79"/>
    <w:rsid w:val="0052460B"/>
    <w:rsid w:val="00676F4C"/>
    <w:rsid w:val="0070387E"/>
    <w:rsid w:val="007275F0"/>
    <w:rsid w:val="007424EC"/>
    <w:rsid w:val="0079518E"/>
    <w:rsid w:val="008246D3"/>
    <w:rsid w:val="00853BDC"/>
    <w:rsid w:val="00923BBA"/>
    <w:rsid w:val="009676EE"/>
    <w:rsid w:val="009D5BB3"/>
    <w:rsid w:val="00AB76C3"/>
    <w:rsid w:val="00C042CB"/>
    <w:rsid w:val="00D11F13"/>
    <w:rsid w:val="00D22657"/>
    <w:rsid w:val="00D9469E"/>
    <w:rsid w:val="00DC4B75"/>
    <w:rsid w:val="00E673AA"/>
    <w:rsid w:val="00EA526C"/>
    <w:rsid w:val="00FC11B6"/>
    <w:rsid w:val="039F065C"/>
    <w:rsid w:val="0808237F"/>
    <w:rsid w:val="091362C2"/>
    <w:rsid w:val="0A383E89"/>
    <w:rsid w:val="0B3E6121"/>
    <w:rsid w:val="0E5F5D22"/>
    <w:rsid w:val="163E1590"/>
    <w:rsid w:val="18422E49"/>
    <w:rsid w:val="3ADB7F37"/>
    <w:rsid w:val="3C1229C2"/>
    <w:rsid w:val="420C4476"/>
    <w:rsid w:val="50C51C8F"/>
    <w:rsid w:val="54F22F27"/>
    <w:rsid w:val="674A3F18"/>
    <w:rsid w:val="7AE9075C"/>
    <w:rsid w:val="7FE459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rFonts w:ascii="Times New Roman" w:hAnsi="Times New Roman" w:eastAsia="宋体" w:cs="Times New Roman"/>
      <w:sz w:val="18"/>
      <w:szCs w:val="18"/>
    </w:rPr>
  </w:style>
  <w:style w:type="character" w:customStyle="1" w:styleId="7">
    <w:name w:val="页脚 Char"/>
    <w:basedOn w:val="5"/>
    <w:link w:val="2"/>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1426</Words>
  <Characters>1438</Characters>
  <Lines>9</Lines>
  <Paragraphs>2</Paragraphs>
  <TotalTime>8</TotalTime>
  <ScaleCrop>false</ScaleCrop>
  <LinksUpToDate>false</LinksUpToDate>
  <CharactersWithSpaces>1504</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2020-04-16T00:32:00Z</dcterms:created>
  <dc:creator>vvv</dc:creator>
  <cp:lastModifiedBy>白马骨</cp:lastModifiedBy>
  <cp:lastPrinted>2020-05-18T01:18:00Z</cp:lastPrinted>
  <dcterms:modified xsi:type="dcterms:W3CDTF">2024-05-30T02:49:35Z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1152252418_embed</vt:lpwstr>
  </property>
  <property fmtid="{D5CDD505-2E9C-101B-9397-08002B2CF9AE}" pid="4" name="ICV">
    <vt:lpwstr>1C6C6D8C53254AB5AC398AE887D4F795_13</vt:lpwstr>
  </property>
</Properties>
</file>