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val="0"/>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县科技</w:t>
      </w:r>
      <w:bookmarkStart w:id="1" w:name="_GoBack"/>
      <w:bookmarkEnd w:id="1"/>
      <w:r>
        <w:rPr>
          <w:rFonts w:hint="eastAsia" w:ascii="方正小标宋简体" w:hAnsi="方正小标宋简体" w:eastAsia="方正小标宋简体" w:cs="方正小标宋简体"/>
          <w:sz w:val="44"/>
          <w:szCs w:val="44"/>
          <w:lang w:eastAsia="zh-CN"/>
        </w:rPr>
        <w:t>工业</w:t>
      </w:r>
      <w:r>
        <w:rPr>
          <w:rFonts w:hint="eastAsia" w:ascii="方正小标宋简体" w:hAnsi="方正小标宋简体" w:eastAsia="方正小标宋简体" w:cs="方正小标宋简体"/>
          <w:sz w:val="44"/>
          <w:szCs w:val="44"/>
        </w:rPr>
        <w:t>信息化局202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w:t>
      </w:r>
    </w:p>
    <w:p>
      <w:pPr>
        <w:keepNext w:val="0"/>
        <w:keepLines w:val="0"/>
        <w:pageBreakBefore w:val="0"/>
        <w:widowControl w:val="0"/>
        <w:kinsoku/>
        <w:wordWrap/>
        <w:overflowPunct/>
        <w:topLinePunct w:val="0"/>
        <w:autoSpaceDE/>
        <w:autoSpaceDN/>
        <w:bidi w:val="0"/>
        <w:adjustRightInd/>
        <w:snapToGrid w:val="0"/>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和消防工作目标管理责任书</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hint="eastAsia" w:ascii="仿宋_GB2312" w:eastAsia="仿宋_GB2312"/>
          <w:sz w:val="32"/>
          <w:szCs w:val="32"/>
        </w:rPr>
      </w:pP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青阳县科技工业</w:t>
      </w:r>
      <w:r>
        <w:rPr>
          <w:rFonts w:hint="eastAsia" w:ascii="黑体" w:hAnsi="黑体" w:eastAsia="黑体"/>
          <w:sz w:val="32"/>
          <w:szCs w:val="32"/>
        </w:rPr>
        <w:t>信息化局</w:t>
      </w:r>
      <w:r>
        <w:rPr>
          <w:rFonts w:hint="eastAsia" w:ascii="仿宋_GB2312" w:eastAsia="仿宋_GB2312"/>
          <w:sz w:val="32"/>
          <w:szCs w:val="32"/>
        </w:rPr>
        <w:t>签订202</w:t>
      </w:r>
      <w:r>
        <w:rPr>
          <w:rFonts w:hint="eastAsia" w:ascii="仿宋_GB2312" w:eastAsia="仿宋_GB2312"/>
          <w:sz w:val="32"/>
          <w:szCs w:val="32"/>
          <w:lang w:val="en-US" w:eastAsia="zh-CN"/>
        </w:rPr>
        <w:t>4</w:t>
      </w:r>
      <w:r>
        <w:rPr>
          <w:rFonts w:hint="eastAsia" w:ascii="仿宋_GB2312" w:eastAsia="仿宋_GB2312"/>
          <w:sz w:val="32"/>
          <w:szCs w:val="32"/>
        </w:rPr>
        <w:t>年安全生产和消防工作目标管理责任书。</w:t>
      </w:r>
    </w:p>
    <w:p>
      <w:pPr>
        <w:keepNext w:val="0"/>
        <w:keepLines w:val="0"/>
        <w:pageBreakBefore w:val="0"/>
        <w:widowControl w:val="0"/>
        <w:numPr>
          <w:ilvl w:val="0"/>
          <w:numId w:val="1"/>
        </w:numPr>
        <w:kinsoku/>
        <w:wordWrap/>
        <w:overflowPunct w:val="0"/>
        <w:topLinePunct w:val="0"/>
        <w:autoSpaceDE/>
        <w:autoSpaceDN/>
        <w:bidi w:val="0"/>
        <w:adjustRightInd/>
        <w:snapToGrid w:val="0"/>
        <w:spacing w:line="560" w:lineRule="exact"/>
        <w:ind w:right="0" w:rightChars="0" w:firstLine="600" w:firstLineChars="200"/>
        <w:textAlignment w:val="auto"/>
        <w:rPr>
          <w:rFonts w:hint="default" w:eastAsia="黑体"/>
          <w:sz w:val="30"/>
          <w:szCs w:val="30"/>
        </w:rPr>
      </w:pPr>
      <w:r>
        <w:rPr>
          <w:rFonts w:eastAsia="黑体"/>
          <w:sz w:val="30"/>
          <w:szCs w:val="30"/>
        </w:rPr>
        <w:t>确保实现工作目标。</w:t>
      </w:r>
      <w:r>
        <w:rPr>
          <w:rFonts w:hint="eastAsia" w:ascii="仿宋_GB2312" w:hAnsi="仿宋_GB2312" w:eastAsia="仿宋_GB2312" w:cs="仿宋_GB2312"/>
          <w:sz w:val="32"/>
          <w:szCs w:val="32"/>
        </w:rPr>
        <w:t>坚决遏制民爆行业领域重特大生产安全和火灾事故，有效防范生产安全和火灾较大事故，努力减少生产安全和火灾一般事故。</w:t>
      </w:r>
    </w:p>
    <w:p>
      <w:pPr>
        <w:keepNext w:val="0"/>
        <w:keepLines w:val="0"/>
        <w:pageBreakBefore w:val="0"/>
        <w:widowControl w:val="0"/>
        <w:numPr>
          <w:ilvl w:val="0"/>
          <w:numId w:val="0"/>
        </w:numPr>
        <w:kinsoku/>
        <w:wordWrap/>
        <w:overflowPunct w:val="0"/>
        <w:topLinePunct w:val="0"/>
        <w:autoSpaceDE/>
        <w:autoSpaceDN/>
        <w:bidi w:val="0"/>
        <w:adjustRightInd/>
        <w:snapToGrid w:val="0"/>
        <w:spacing w:line="560" w:lineRule="exact"/>
        <w:ind w:right="0" w:rightChars="0" w:firstLine="600" w:firstLineChars="200"/>
        <w:textAlignment w:val="auto"/>
        <w:rPr>
          <w:rFonts w:hint="default" w:eastAsia="黑体"/>
          <w:sz w:val="30"/>
          <w:szCs w:val="30"/>
        </w:rPr>
      </w:pPr>
      <w:r>
        <w:rPr>
          <w:rFonts w:eastAsia="黑体"/>
          <w:sz w:val="30"/>
          <w:szCs w:val="30"/>
        </w:rPr>
        <w:t>二、树牢安全发展理念。</w:t>
      </w:r>
      <w:r>
        <w:rPr>
          <w:rFonts w:hint="eastAsia" w:ascii="仿宋_GB2312" w:hAnsi="仿宋_GB2312" w:eastAsia="仿宋_GB2312" w:cs="仿宋_GB2312"/>
          <w:sz w:val="32"/>
          <w:szCs w:val="32"/>
        </w:rPr>
        <w:t>深入学习宣传贯彻习近平总书记关于安全生产、应急管理、防灾减灾救灾的重要论述，贯彻落实党的二十大报告中关于安全生产的重要部署，坚持人民至上、生命至上，更好统筹发展和安全，</w:t>
      </w:r>
      <w:r>
        <w:rPr>
          <w:rFonts w:hint="eastAsia" w:ascii="仿宋_GB2312" w:hAnsi="仿宋_GB2312" w:eastAsia="仿宋_GB2312" w:cs="仿宋_GB2312"/>
          <w:sz w:val="32"/>
          <w:szCs w:val="32"/>
          <w:lang w:eastAsia="zh-CN"/>
        </w:rPr>
        <w:t>深入开展</w:t>
      </w:r>
      <w:r>
        <w:rPr>
          <w:rFonts w:hint="eastAsia" w:ascii="仿宋_GB2312" w:hAnsi="仿宋_GB2312" w:eastAsia="仿宋_GB2312" w:cs="仿宋_GB2312"/>
          <w:sz w:val="32"/>
          <w:szCs w:val="32"/>
        </w:rPr>
        <w:t>安全生产</w:t>
      </w:r>
      <w:r>
        <w:rPr>
          <w:rFonts w:hint="eastAsia" w:ascii="仿宋_GB2312" w:hAnsi="仿宋_GB2312" w:eastAsia="仿宋_GB2312" w:cs="仿宋_GB2312"/>
          <w:sz w:val="32"/>
          <w:szCs w:val="32"/>
          <w:lang w:eastAsia="zh-CN"/>
        </w:rPr>
        <w:t>治本攻坚三年行动，</w:t>
      </w:r>
      <w:r>
        <w:rPr>
          <w:rFonts w:hint="eastAsia" w:ascii="仿宋_GB2312" w:hAnsi="仿宋_GB2312" w:eastAsia="仿宋_GB2312" w:cs="仿宋_GB2312"/>
          <w:sz w:val="32"/>
          <w:szCs w:val="32"/>
        </w:rPr>
        <w:t>推动安全生产治理模式向事前预防转型。</w:t>
      </w:r>
    </w:p>
    <w:p>
      <w:pPr>
        <w:keepNext w:val="0"/>
        <w:keepLines w:val="0"/>
        <w:pageBreakBefore w:val="0"/>
        <w:widowControl w:val="0"/>
        <w:kinsoku/>
        <w:wordWrap/>
        <w:overflowPunct w:val="0"/>
        <w:topLinePunct w:val="0"/>
        <w:autoSpaceDE/>
        <w:autoSpaceDN/>
        <w:bidi w:val="0"/>
        <w:adjustRightInd/>
        <w:snapToGrid w:val="0"/>
        <w:spacing w:line="560" w:lineRule="exact"/>
        <w:ind w:right="0" w:rightChars="0" w:firstLine="600" w:firstLineChars="200"/>
        <w:textAlignment w:val="auto"/>
        <w:rPr>
          <w:rFonts w:hint="eastAsia" w:ascii="仿宋_GB2312" w:hAnsi="仿宋_GB2312" w:eastAsia="仿宋_GB2312" w:cs="仿宋_GB2312"/>
          <w:sz w:val="32"/>
          <w:szCs w:val="32"/>
        </w:rPr>
      </w:pPr>
      <w:r>
        <w:rPr>
          <w:rFonts w:eastAsia="黑体"/>
          <w:sz w:val="30"/>
          <w:szCs w:val="30"/>
        </w:rPr>
        <w:t>三、落实安全工作责任。</w:t>
      </w:r>
      <w:r>
        <w:rPr>
          <w:rFonts w:hint="eastAsia" w:ascii="仿宋_GB2312" w:hAnsi="仿宋_GB2312" w:eastAsia="仿宋_GB2312" w:cs="仿宋_GB2312"/>
          <w:sz w:val="32"/>
          <w:szCs w:val="32"/>
        </w:rPr>
        <w:t>落实《党政领导干部安全生产责任制实施细则》《安徽省消防安全责任制规定》，</w:t>
      </w:r>
      <w:r>
        <w:rPr>
          <w:rFonts w:hint="eastAsia" w:ascii="仿宋_GB2312" w:hAnsi="仿宋_GB2312" w:eastAsia="仿宋_GB2312" w:cs="仿宋_GB2312"/>
          <w:sz w:val="32"/>
          <w:szCs w:val="32"/>
          <w:lang w:val="en-US" w:eastAsia="zh-CN"/>
        </w:rPr>
        <w:t>严格</w:t>
      </w:r>
      <w:r>
        <w:rPr>
          <w:rFonts w:hint="eastAsia" w:ascii="仿宋_GB2312" w:hAnsi="仿宋_GB2312" w:eastAsia="仿宋_GB2312" w:cs="仿宋_GB2312"/>
          <w:sz w:val="32"/>
          <w:szCs w:val="32"/>
        </w:rPr>
        <w:t>执行</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青阳县</w:t>
      </w:r>
      <w:r>
        <w:rPr>
          <w:rFonts w:hint="eastAsia" w:ascii="仿宋_GB2312" w:hAnsi="仿宋_GB2312" w:eastAsia="仿宋_GB2312" w:cs="仿宋_GB2312"/>
          <w:sz w:val="32"/>
          <w:szCs w:val="32"/>
        </w:rPr>
        <w:t>安全生产“三管三必须”责任清单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及《实施意见》</w:t>
      </w:r>
      <w:r>
        <w:rPr>
          <w:rFonts w:hint="eastAsia" w:ascii="仿宋_GB2312" w:hAnsi="仿宋_GB2312" w:eastAsia="仿宋_GB2312" w:cs="仿宋_GB2312"/>
          <w:sz w:val="32"/>
          <w:szCs w:val="32"/>
        </w:rPr>
        <w:t>。负责民用爆炸物品销售的安全监督管理。指导工业加强安全生产管理。负责非煤矿山行业管理和非煤矿山行业安全管理工作，依法指导检查非煤矿山标准化建设和安全管理工作。与</w:t>
      </w: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有关部门按照职责分工，依法分别负责危险化学品生产、储存的行业规划和布局。配合工业和信息化部做好道路机动车辆生产企业及产品准入许可和监督管理有关工作，负责新能源汽车生产企业及产品的日常监督管理。按照职责分工履行电动自行车生产指导有关职责。会同有关部门在各自职责范围内对新能源汽车动力蓄电池回收利用进行管理和监督。会同有关部门推动安全应急产业发展。监督检查地方监护铁路道口安全监护工作。</w:t>
      </w:r>
    </w:p>
    <w:p>
      <w:pPr>
        <w:keepNext w:val="0"/>
        <w:keepLines w:val="0"/>
        <w:pageBreakBefore w:val="0"/>
        <w:widowControl w:val="0"/>
        <w:kinsoku/>
        <w:wordWrap/>
        <w:overflowPunct w:val="0"/>
        <w:topLinePunct w:val="0"/>
        <w:autoSpaceDE/>
        <w:autoSpaceDN/>
        <w:bidi w:val="0"/>
        <w:adjustRightInd/>
        <w:snapToGrid w:val="0"/>
        <w:spacing w:line="560" w:lineRule="exact"/>
        <w:ind w:right="0" w:rightChars="0" w:firstLine="600" w:firstLineChars="200"/>
        <w:textAlignment w:val="auto"/>
        <w:rPr>
          <w:rFonts w:hint="eastAsia" w:ascii="仿宋_GB2312" w:hAnsi="仿宋_GB2312" w:eastAsia="仿宋_GB2312" w:cs="仿宋_GB2312"/>
          <w:sz w:val="32"/>
          <w:szCs w:val="32"/>
        </w:rPr>
      </w:pPr>
      <w:r>
        <w:rPr>
          <w:rFonts w:eastAsia="黑体"/>
          <w:sz w:val="30"/>
          <w:szCs w:val="30"/>
        </w:rPr>
        <w:t>四、防范化解重大风险。</w:t>
      </w:r>
      <w:r>
        <w:rPr>
          <w:rFonts w:hint="eastAsia" w:ascii="仿宋_GB2312" w:hAnsi="仿宋_GB2312" w:eastAsia="仿宋_GB2312" w:cs="仿宋_GB2312"/>
          <w:sz w:val="32"/>
          <w:szCs w:val="32"/>
          <w:highlight w:val="none"/>
          <w:lang w:val="en-US" w:eastAsia="zh-CN"/>
        </w:rPr>
        <w:t>聚焦</w:t>
      </w:r>
      <w:r>
        <w:rPr>
          <w:rFonts w:hint="eastAsia" w:ascii="仿宋_GB2312" w:hAnsi="仿宋_GB2312" w:eastAsia="仿宋_GB2312" w:cs="仿宋_GB2312"/>
          <w:sz w:val="32"/>
          <w:szCs w:val="32"/>
          <w:highlight w:val="none"/>
        </w:rPr>
        <w:t>重点行业领域</w:t>
      </w:r>
      <w:r>
        <w:rPr>
          <w:rFonts w:hint="eastAsia" w:ascii="仿宋_GB2312" w:hAnsi="仿宋_GB2312" w:eastAsia="仿宋_GB2312" w:cs="仿宋_GB2312"/>
          <w:sz w:val="32"/>
          <w:szCs w:val="32"/>
          <w:highlight w:val="none"/>
          <w:lang w:val="en-US" w:eastAsia="zh-CN"/>
        </w:rPr>
        <w:t>专项治理，深化</w:t>
      </w:r>
      <w:r>
        <w:rPr>
          <w:rFonts w:hint="eastAsia" w:ascii="仿宋_GB2312" w:hAnsi="仿宋_GB2312" w:eastAsia="仿宋_GB2312" w:cs="仿宋_GB2312"/>
          <w:sz w:val="32"/>
          <w:szCs w:val="32"/>
          <w:highlight w:val="none"/>
        </w:rPr>
        <w:t>重大事故隐患排查整治</w:t>
      </w:r>
      <w:r>
        <w:rPr>
          <w:rFonts w:hint="eastAsia" w:ascii="仿宋_GB2312" w:hAnsi="仿宋_GB2312" w:eastAsia="仿宋_GB2312" w:cs="仿宋_GB2312"/>
          <w:sz w:val="32"/>
          <w:szCs w:val="32"/>
          <w:highlight w:val="none"/>
          <w:lang w:eastAsia="zh-CN"/>
        </w:rPr>
        <w:t>。在重大活动、重大节日期间，采取“四不两直”执法检查、专家指导服务、媒体曝光等措施，组织开展安全生产常态化明查暗访。</w:t>
      </w:r>
      <w:r>
        <w:rPr>
          <w:rFonts w:hint="eastAsia" w:ascii="仿宋_GB2312" w:hAnsi="仿宋_GB2312" w:eastAsia="仿宋_GB2312" w:cs="仿宋_GB2312"/>
          <w:sz w:val="32"/>
          <w:szCs w:val="32"/>
          <w:highlight w:val="none"/>
        </w:rPr>
        <w:t>深刻汲取有关生产安全事故教训，主动排查整改问题。</w:t>
      </w:r>
      <w:r>
        <w:rPr>
          <w:rFonts w:hint="eastAsia" w:ascii="仿宋_GB2312" w:hAnsi="仿宋_GB2312" w:eastAsia="仿宋_GB2312" w:cs="仿宋_GB2312"/>
          <w:color w:val="000000" w:themeColor="text1"/>
          <w:sz w:val="32"/>
          <w:szCs w:val="32"/>
          <w:highlight w:val="none"/>
          <w14:textFill>
            <w14:solidFill>
              <w14:schemeClr w14:val="tx1"/>
            </w14:solidFill>
          </w14:textFill>
        </w:rPr>
        <w:t>开展民爆行业安全生产标准化提档升级工作，年底前，民爆销售企业安全生产标准化达到二级标准，在全行业打造示范仓库标杆</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b/>
          <w:bCs/>
          <w:sz w:val="32"/>
          <w:szCs w:val="32"/>
        </w:rPr>
        <w:t>按职责分工：</w:t>
      </w:r>
      <w:r>
        <w:rPr>
          <w:rFonts w:hint="eastAsia" w:ascii="仿宋_GB2312" w:hAnsi="仿宋_GB2312" w:eastAsia="仿宋_GB2312" w:cs="仿宋_GB2312"/>
          <w:sz w:val="32"/>
          <w:szCs w:val="32"/>
        </w:rPr>
        <w:t>加强非煤矿山行业安全管理，严格非煤矿山行业准入，会同有关部门共同推进非煤矿山淘汰退出、整合重组、改造升级“三个一批”。推进城镇人口密集区危化品生产企业搬迁改造。开展园区认定复核发现问题整改工作。持续加大危险化学品重大危险源、</w:t>
      </w:r>
      <w:r>
        <w:rPr>
          <w:rFonts w:hint="eastAsia" w:ascii="仿宋_GB2312" w:hAnsi="仿宋_GB2312" w:eastAsia="仿宋_GB2312" w:cs="仿宋_GB2312"/>
          <w:sz w:val="32"/>
          <w:szCs w:val="32"/>
          <w:lang w:eastAsia="zh-CN"/>
        </w:rPr>
        <w:t>非煤</w:t>
      </w:r>
      <w:r>
        <w:rPr>
          <w:rFonts w:hint="eastAsia" w:ascii="仿宋_GB2312" w:hAnsi="仿宋_GB2312" w:eastAsia="仿宋_GB2312" w:cs="仿宋_GB2312"/>
          <w:sz w:val="32"/>
          <w:szCs w:val="32"/>
        </w:rPr>
        <w:t>矿山、尾矿库等行业领域安全风险监测预警系统建设应用和升级改造。加快推进老旧化工生产装置改造提升、尾矿库闭库销号等工作。严厉打击违法违规生产销售改装货车、危险货物道路运输常压罐车、超标电动车等行为，督促车辆生产企业落实生产一致性主体责任。会同有关部门共同推进全</w:t>
      </w: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“平改立”工作。</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00" w:firstLineChars="200"/>
        <w:textAlignment w:val="auto"/>
        <w:rPr>
          <w:rFonts w:hint="eastAsia" w:ascii="仿宋_GB2312" w:hAnsi="仿宋_GB2312" w:eastAsia="仿宋_GB2312" w:cs="仿宋_GB2312"/>
          <w:sz w:val="32"/>
          <w:szCs w:val="32"/>
        </w:rPr>
      </w:pPr>
      <w:r>
        <w:rPr>
          <w:rFonts w:eastAsia="黑体"/>
          <w:sz w:val="30"/>
          <w:szCs w:val="30"/>
        </w:rPr>
        <w:t>五、夯实安全工作基础。</w:t>
      </w:r>
      <w:r>
        <w:rPr>
          <w:rFonts w:hint="eastAsia" w:ascii="仿宋_GB2312" w:hAnsi="仿宋_GB2312" w:eastAsia="仿宋_GB2312" w:cs="仿宋_GB2312"/>
          <w:sz w:val="32"/>
          <w:szCs w:val="32"/>
          <w:lang w:val="en-US" w:eastAsia="zh-CN"/>
        </w:rPr>
        <w:t>用好案例教育法，</w:t>
      </w:r>
      <w:r>
        <w:rPr>
          <w:rFonts w:hint="eastAsia" w:ascii="仿宋_GB2312" w:hAnsi="仿宋_GB2312" w:eastAsia="仿宋_GB2312" w:cs="仿宋_GB2312"/>
          <w:sz w:val="32"/>
          <w:szCs w:val="32"/>
        </w:rPr>
        <w:t>扎实开展“安全生产月”</w:t>
      </w:r>
      <w:r>
        <w:rPr>
          <w:rFonts w:hint="eastAsia" w:ascii="仿宋_GB2312" w:hAnsi="仿宋_GB2312" w:eastAsia="仿宋_GB2312" w:cs="仿宋_GB2312"/>
          <w:sz w:val="32"/>
          <w:szCs w:val="32"/>
          <w:lang w:eastAsia="zh-CN"/>
        </w:rPr>
        <w:t>、消防宣传月</w:t>
      </w:r>
      <w:r>
        <w:rPr>
          <w:rFonts w:hint="eastAsia" w:ascii="仿宋_GB2312" w:hAnsi="仿宋_GB2312" w:eastAsia="仿宋_GB2312" w:cs="仿宋_GB2312"/>
          <w:sz w:val="32"/>
          <w:szCs w:val="32"/>
        </w:rPr>
        <w:t>等安全宣传教育活动。按照职责和有关规定及时报告事故信息。</w:t>
      </w:r>
      <w:bookmarkStart w:id="0" w:name="_Hlk98402911"/>
      <w:r>
        <w:rPr>
          <w:rFonts w:hint="eastAsia" w:ascii="仿宋_GB2312" w:hAnsi="仿宋_GB2312" w:eastAsia="仿宋_GB2312" w:cs="仿宋_GB2312"/>
          <w:sz w:val="32"/>
          <w:szCs w:val="32"/>
        </w:rPr>
        <w:t>负责相关行业安全生产统计分析</w:t>
      </w:r>
      <w:bookmarkEnd w:id="0"/>
      <w:r>
        <w:rPr>
          <w:rFonts w:hint="eastAsia" w:ascii="仿宋_GB2312" w:hAnsi="仿宋_GB2312" w:eastAsia="仿宋_GB2312" w:cs="仿宋_GB2312"/>
          <w:sz w:val="32"/>
          <w:szCs w:val="32"/>
        </w:rPr>
        <w:t>。依法参与有关事故调查处理。按照规定适时修订完成民爆行业应急预案，组织预案演练和应急能力测试，推进应急能力建设。建立健全内设安全生产工作领导小组，主要负责同志任组长，每季度研究一次安全生产工作。发挥民爆物品安全专项领导小组办公室职能，组织开展信息通报、联合执法、会商研判。</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00" w:firstLineChars="200"/>
        <w:textAlignment w:val="auto"/>
        <w:rPr>
          <w:rFonts w:hint="eastAsia" w:eastAsia="黑体"/>
          <w:sz w:val="30"/>
          <w:szCs w:val="30"/>
        </w:rPr>
      </w:pP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hint="eastAsia" w:ascii="仿宋_GB2312" w:eastAsia="仿宋_GB2312"/>
          <w:sz w:val="32"/>
          <w:szCs w:val="32"/>
        </w:rPr>
      </w:pPr>
      <w:r>
        <w:rPr>
          <w:rFonts w:hint="eastAsia" w:ascii="仿宋_GB2312" w:eastAsia="仿宋_GB2312"/>
          <w:sz w:val="32"/>
          <w:szCs w:val="32"/>
        </w:rPr>
        <w:t>本责任书将作为202</w:t>
      </w:r>
      <w:r>
        <w:rPr>
          <w:rFonts w:hint="eastAsia" w:ascii="仿宋_GB2312" w:eastAsia="仿宋_GB2312"/>
          <w:sz w:val="32"/>
          <w:szCs w:val="32"/>
          <w:lang w:val="en-US" w:eastAsia="zh-CN"/>
        </w:rPr>
        <w:t>4</w:t>
      </w:r>
      <w:r>
        <w:rPr>
          <w:rFonts w:hint="eastAsia" w:ascii="仿宋_GB2312" w:eastAsia="仿宋_GB2312"/>
          <w:sz w:val="32"/>
          <w:szCs w:val="32"/>
        </w:rPr>
        <w:t>年度安全生产和消防工作考核依据。</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hint="eastAsia" w:ascii="黑体" w:hAnsi="黑体" w:eastAsia="黑体"/>
          <w:kern w:val="0"/>
          <w:sz w:val="32"/>
          <w:szCs w:val="32"/>
        </w:rPr>
      </w:pP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hint="eastAsia" w:ascii="黑体" w:hAnsi="黑体" w:eastAsia="黑体"/>
          <w:kern w:val="0"/>
          <w:sz w:val="32"/>
          <w:szCs w:val="32"/>
        </w:rPr>
      </w:pP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ascii="黑体" w:hAnsi="黑体" w:eastAsia="黑体"/>
          <w:kern w:val="0"/>
          <w:sz w:val="32"/>
          <w:szCs w:val="32"/>
        </w:rPr>
      </w:pPr>
      <w:r>
        <w:rPr>
          <w:rFonts w:hint="eastAsia" w:ascii="黑体" w:hAnsi="黑体" w:eastAsia="黑体"/>
          <w:kern w:val="0"/>
          <w:sz w:val="32"/>
          <w:szCs w:val="32"/>
          <w:lang w:eastAsia="zh-CN"/>
        </w:rPr>
        <w:t>青阳县</w:t>
      </w:r>
      <w:r>
        <w:rPr>
          <w:rFonts w:hint="eastAsia" w:ascii="黑体" w:hAnsi="黑体" w:eastAsia="黑体"/>
          <w:kern w:val="0"/>
          <w:sz w:val="32"/>
          <w:szCs w:val="32"/>
        </w:rPr>
        <w:t xml:space="preserve">人民政府         </w:t>
      </w:r>
      <w:r>
        <w:rPr>
          <w:rFonts w:hint="eastAsia" w:ascii="黑体" w:hAnsi="黑体" w:eastAsia="黑体"/>
          <w:kern w:val="0"/>
          <w:sz w:val="32"/>
          <w:szCs w:val="32"/>
          <w:lang w:val="en-US" w:eastAsia="zh-CN"/>
        </w:rPr>
        <w:t xml:space="preserve">  </w:t>
      </w:r>
      <w:r>
        <w:rPr>
          <w:rFonts w:hint="eastAsia" w:ascii="黑体" w:hAnsi="黑体" w:eastAsia="黑体"/>
          <w:kern w:val="0"/>
          <w:sz w:val="32"/>
          <w:szCs w:val="32"/>
          <w:lang w:eastAsia="zh-CN"/>
        </w:rPr>
        <w:t>青阳县科技工业</w:t>
      </w:r>
      <w:r>
        <w:rPr>
          <w:rFonts w:hint="eastAsia" w:ascii="黑体" w:hAnsi="黑体" w:eastAsia="黑体"/>
          <w:kern w:val="0"/>
          <w:sz w:val="32"/>
          <w:szCs w:val="32"/>
        </w:rPr>
        <w:t>信息化局</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hint="eastAsia" w:ascii="黑体" w:hAnsi="黑体" w:eastAsia="黑体"/>
          <w:kern w:val="0"/>
          <w:sz w:val="32"/>
          <w:szCs w:val="32"/>
          <w:lang w:val="en-US" w:eastAsia="zh-CN"/>
        </w:rPr>
      </w:pPr>
      <w:r>
        <w:rPr>
          <w:rFonts w:hint="eastAsia" w:ascii="黑体" w:hAnsi="黑体" w:eastAsia="黑体"/>
          <w:kern w:val="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ascii="黑体" w:hAnsi="黑体" w:eastAsia="黑体"/>
          <w:kern w:val="0"/>
          <w:sz w:val="32"/>
          <w:szCs w:val="32"/>
        </w:rPr>
      </w:pPr>
      <w:r>
        <w:rPr>
          <w:rFonts w:hint="eastAsia" w:ascii="黑体" w:hAnsi="黑体" w:eastAsia="黑体"/>
          <w:kern w:val="0"/>
          <w:sz w:val="32"/>
          <w:szCs w:val="32"/>
        </w:rPr>
        <w:t xml:space="preserve">签字人：                  </w:t>
      </w:r>
      <w:r>
        <w:rPr>
          <w:rFonts w:hint="eastAsia" w:ascii="黑体" w:hAnsi="黑体" w:eastAsia="黑体"/>
          <w:kern w:val="0"/>
          <w:sz w:val="32"/>
          <w:szCs w:val="32"/>
          <w:lang w:val="en-US" w:eastAsia="zh-CN"/>
        </w:rPr>
        <w:t xml:space="preserve">    </w:t>
      </w:r>
      <w:r>
        <w:rPr>
          <w:rFonts w:hint="eastAsia" w:ascii="黑体" w:hAnsi="黑体" w:eastAsia="黑体"/>
          <w:kern w:val="0"/>
          <w:sz w:val="32"/>
          <w:szCs w:val="32"/>
        </w:rPr>
        <w:t xml:space="preserve"> 签字人：</w:t>
      </w:r>
    </w:p>
    <w:p>
      <w:pPr>
        <w:keepNext w:val="0"/>
        <w:keepLines w:val="0"/>
        <w:pageBreakBefore w:val="0"/>
        <w:widowControl w:val="0"/>
        <w:kinsoku/>
        <w:wordWrap/>
        <w:overflowPunct/>
        <w:topLinePunct w:val="0"/>
        <w:autoSpaceDE/>
        <w:autoSpaceDN/>
        <w:bidi w:val="0"/>
        <w:adjustRightInd/>
        <w:snapToGrid w:val="0"/>
        <w:spacing w:line="560" w:lineRule="exact"/>
        <w:ind w:right="0" w:rightChars="0" w:firstLine="640" w:firstLineChars="200"/>
        <w:textAlignment w:val="auto"/>
        <w:rPr>
          <w:rFonts w:ascii="黑体" w:hAnsi="黑体" w:eastAsia="黑体"/>
          <w:kern w:val="0"/>
          <w:sz w:val="32"/>
          <w:szCs w:val="32"/>
        </w:rPr>
      </w:pPr>
    </w:p>
    <w:p>
      <w:pPr>
        <w:keepNext w:val="0"/>
        <w:keepLines w:val="0"/>
        <w:pageBreakBefore w:val="0"/>
        <w:widowControl w:val="0"/>
        <w:kinsoku/>
        <w:wordWrap/>
        <w:overflowPunct/>
        <w:topLinePunct w:val="0"/>
        <w:autoSpaceDE/>
        <w:autoSpaceDN/>
        <w:bidi w:val="0"/>
        <w:adjustRightInd/>
        <w:snapToGrid w:val="0"/>
        <w:spacing w:line="560" w:lineRule="exact"/>
        <w:ind w:right="0" w:rightChars="0"/>
        <w:jc w:val="right"/>
        <w:textAlignment w:val="auto"/>
        <w:rPr>
          <w:rFonts w:ascii="仿宋_GB2312" w:eastAsia="仿宋_GB2312"/>
          <w:sz w:val="28"/>
          <w:szCs w:val="28"/>
        </w:rPr>
      </w:pPr>
      <w:r>
        <w:rPr>
          <w:rFonts w:hint="eastAsia" w:ascii="黑体" w:hAnsi="黑体" w:eastAsia="黑体"/>
          <w:kern w:val="0"/>
          <w:sz w:val="32"/>
          <w:szCs w:val="32"/>
        </w:rPr>
        <w:t xml:space="preserve">  </w:t>
      </w:r>
      <w:r>
        <w:rPr>
          <w:rFonts w:hint="eastAsia" w:ascii="黑体" w:hAnsi="黑体" w:eastAsia="黑体"/>
          <w:kern w:val="0"/>
          <w:sz w:val="32"/>
          <w:szCs w:val="32"/>
          <w:lang w:val="en-US" w:eastAsia="zh-CN"/>
        </w:rPr>
        <w:t xml:space="preserve">    </w:t>
      </w:r>
      <w:r>
        <w:rPr>
          <w:rFonts w:hint="eastAsia" w:ascii="黑体" w:hAnsi="黑体" w:eastAsia="黑体"/>
          <w:kern w:val="0"/>
          <w:sz w:val="32"/>
          <w:szCs w:val="32"/>
        </w:rPr>
        <w:t>202</w:t>
      </w:r>
      <w:r>
        <w:rPr>
          <w:rFonts w:hint="eastAsia" w:ascii="黑体" w:hAnsi="黑体" w:eastAsia="黑体"/>
          <w:kern w:val="0"/>
          <w:sz w:val="32"/>
          <w:szCs w:val="32"/>
          <w:lang w:val="en-US" w:eastAsia="zh-CN"/>
        </w:rPr>
        <w:t>4</w:t>
      </w:r>
      <w:r>
        <w:rPr>
          <w:rFonts w:hint="eastAsia" w:ascii="黑体" w:hAnsi="黑体" w:eastAsia="黑体"/>
          <w:kern w:val="0"/>
          <w:sz w:val="32"/>
          <w:szCs w:val="32"/>
        </w:rPr>
        <w:t>年</w:t>
      </w:r>
      <w:r>
        <w:rPr>
          <w:rFonts w:hint="eastAsia" w:ascii="黑体" w:hAnsi="黑体" w:eastAsia="黑体"/>
          <w:kern w:val="0"/>
          <w:sz w:val="32"/>
          <w:szCs w:val="32"/>
          <w:lang w:val="en-US" w:eastAsia="zh-CN"/>
        </w:rPr>
        <w:t>5</w:t>
      </w:r>
      <w:r>
        <w:rPr>
          <w:rFonts w:hint="eastAsia" w:ascii="黑体" w:hAnsi="黑体" w:eastAsia="黑体"/>
          <w:kern w:val="0"/>
          <w:sz w:val="32"/>
          <w:szCs w:val="32"/>
        </w:rPr>
        <w:t>月</w:t>
      </w:r>
      <w:r>
        <w:rPr>
          <w:rFonts w:hint="eastAsia" w:ascii="黑体" w:hAnsi="黑体" w:eastAsia="黑体"/>
          <w:kern w:val="0"/>
          <w:sz w:val="32"/>
          <w:szCs w:val="32"/>
          <w:lang w:val="en-US" w:eastAsia="zh-CN"/>
        </w:rPr>
        <w:t xml:space="preserve"> </w:t>
      </w:r>
    </w:p>
    <w:sectPr>
      <w:pgSz w:w="11906" w:h="16838"/>
      <w:pgMar w:top="1701" w:right="1417" w:bottom="1134" w:left="141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96F742F-4860-4DFF-AB1D-627C9C827E0F}"/>
  </w:font>
  <w:font w:name="Arial">
    <w:panose1 w:val="020B0604020202020204"/>
    <w:charset w:val="01"/>
    <w:family w:val="swiss"/>
    <w:pitch w:val="default"/>
    <w:sig w:usb0="E0002EFF" w:usb1="C000785B" w:usb2="00000009" w:usb3="00000000" w:csb0="400001FF" w:csb1="FFFF0000"/>
    <w:embedRegular r:id="rId2" w:fontKey="{FB7E5AD4-023E-416E-90F3-8B780F18587A}"/>
  </w:font>
  <w:font w:name="黑体">
    <w:panose1 w:val="02010609060101010101"/>
    <w:charset w:val="86"/>
    <w:family w:val="auto"/>
    <w:pitch w:val="default"/>
    <w:sig w:usb0="800002BF" w:usb1="38CF7CFA" w:usb2="00000016" w:usb3="00000000" w:csb0="00040001" w:csb1="00000000"/>
    <w:embedRegular r:id="rId3" w:fontKey="{974F9688-74A6-4506-BB2F-D3422DFE9F62}"/>
  </w:font>
  <w:font w:name="Courier New">
    <w:panose1 w:val="02070309020205020404"/>
    <w:charset w:val="01"/>
    <w:family w:val="modern"/>
    <w:pitch w:val="default"/>
    <w:sig w:usb0="E0002EFF" w:usb1="C0007843" w:usb2="00000009" w:usb3="00000000" w:csb0="400001FF" w:csb1="FFFF0000"/>
    <w:embedRegular r:id="rId4" w:fontKey="{F6DED4EE-1D1C-4483-AEE3-AAE0D98D43BA}"/>
  </w:font>
  <w:font w:name="Symbol">
    <w:panose1 w:val="05050102010706020507"/>
    <w:charset w:val="02"/>
    <w:family w:val="roman"/>
    <w:pitch w:val="default"/>
    <w:sig w:usb0="00000000" w:usb1="00000000" w:usb2="00000000" w:usb3="00000000" w:csb0="80000000" w:csb1="00000000"/>
    <w:embedRegular r:id="rId5" w:fontKey="{D4474C03-A028-4650-97EA-2B5F0EF64D7C}"/>
  </w:font>
  <w:font w:name="Calibri">
    <w:panose1 w:val="020F0502020204030204"/>
    <w:charset w:val="00"/>
    <w:family w:val="swiss"/>
    <w:pitch w:val="default"/>
    <w:sig w:usb0="E4002EFF" w:usb1="C000247B" w:usb2="00000009" w:usb3="00000000" w:csb0="200001FF" w:csb1="00000000"/>
    <w:embedRegular r:id="rId6" w:fontKey="{93597226-332C-4FA9-B391-E060E0F238BC}"/>
  </w:font>
  <w:font w:name="方正小标宋简体">
    <w:panose1 w:val="02000000000000000000"/>
    <w:charset w:val="86"/>
    <w:family w:val="auto"/>
    <w:pitch w:val="default"/>
    <w:sig w:usb0="00000001" w:usb1="080E0000" w:usb2="00000000" w:usb3="00000000" w:csb0="00040000" w:csb1="00000000"/>
    <w:embedRegular r:id="rId7" w:fontKey="{E680B69C-A6C8-409C-BB7D-DE9C2A21A7A5}"/>
  </w:font>
  <w:font w:name="华文中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embedRegular r:id="rId8" w:fontKey="{E880A29D-67CB-4C90-BE41-7F5618E4B1E5}"/>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27F66D"/>
    <w:multiLevelType w:val="singleLevel"/>
    <w:tmpl w:val="CF27F66D"/>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0A7694"/>
    <w:rsid w:val="00013415"/>
    <w:rsid w:val="000A7694"/>
    <w:rsid w:val="001755AD"/>
    <w:rsid w:val="001E2AC9"/>
    <w:rsid w:val="001F319B"/>
    <w:rsid w:val="00290F90"/>
    <w:rsid w:val="002F1A8F"/>
    <w:rsid w:val="0033573E"/>
    <w:rsid w:val="003D7806"/>
    <w:rsid w:val="00432B5F"/>
    <w:rsid w:val="00441AD5"/>
    <w:rsid w:val="004635EB"/>
    <w:rsid w:val="0049327D"/>
    <w:rsid w:val="004A77ED"/>
    <w:rsid w:val="004F2BC7"/>
    <w:rsid w:val="00510B5A"/>
    <w:rsid w:val="0052066B"/>
    <w:rsid w:val="00610330"/>
    <w:rsid w:val="006275CD"/>
    <w:rsid w:val="00641805"/>
    <w:rsid w:val="00756840"/>
    <w:rsid w:val="007902B6"/>
    <w:rsid w:val="00846A32"/>
    <w:rsid w:val="008B5AB5"/>
    <w:rsid w:val="00997436"/>
    <w:rsid w:val="00A06FFE"/>
    <w:rsid w:val="00B07158"/>
    <w:rsid w:val="00B178A1"/>
    <w:rsid w:val="00B601F4"/>
    <w:rsid w:val="00B73493"/>
    <w:rsid w:val="00B75411"/>
    <w:rsid w:val="00BE5ACA"/>
    <w:rsid w:val="00C0247F"/>
    <w:rsid w:val="00D43216"/>
    <w:rsid w:val="00D449FE"/>
    <w:rsid w:val="00D90996"/>
    <w:rsid w:val="00DA353A"/>
    <w:rsid w:val="00DE0344"/>
    <w:rsid w:val="00EA14B1"/>
    <w:rsid w:val="00EA3E95"/>
    <w:rsid w:val="00EB4E5A"/>
    <w:rsid w:val="00EB6A66"/>
    <w:rsid w:val="00FB1F9B"/>
    <w:rsid w:val="00FF722B"/>
    <w:rsid w:val="0AA576A8"/>
    <w:rsid w:val="0AFB1FA3"/>
    <w:rsid w:val="0B685205"/>
    <w:rsid w:val="13B642FE"/>
    <w:rsid w:val="152968AB"/>
    <w:rsid w:val="160475A2"/>
    <w:rsid w:val="23A479D4"/>
    <w:rsid w:val="3B9612E2"/>
    <w:rsid w:val="3BEF03C0"/>
    <w:rsid w:val="3C10486C"/>
    <w:rsid w:val="3CCD2D04"/>
    <w:rsid w:val="3F1F4F1F"/>
    <w:rsid w:val="43850A5B"/>
    <w:rsid w:val="4C6F55E4"/>
    <w:rsid w:val="51042108"/>
    <w:rsid w:val="549B2402"/>
    <w:rsid w:val="5E4C391B"/>
    <w:rsid w:val="676C07CB"/>
    <w:rsid w:val="67ED2228"/>
    <w:rsid w:val="6C011CCC"/>
    <w:rsid w:val="6D13328B"/>
    <w:rsid w:val="6DC931CF"/>
    <w:rsid w:val="6F9B5A9D"/>
    <w:rsid w:val="7492611B"/>
    <w:rsid w:val="77746D9C"/>
    <w:rsid w:val="7C5E403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华文中宋"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1388</Words>
  <Characters>1400</Characters>
  <Lines>8</Lines>
  <Paragraphs>2</Paragraphs>
  <TotalTime>37</TotalTime>
  <ScaleCrop>false</ScaleCrop>
  <LinksUpToDate>false</LinksUpToDate>
  <CharactersWithSpaces>1442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2020-04-15T01:31:00Z</dcterms:created>
  <dc:creator>vvv</dc:creator>
  <cp:lastModifiedBy>白马骨</cp:lastModifiedBy>
  <cp:lastPrinted>2020-05-18T01:14:00Z</cp:lastPrinted>
  <dcterms:modified xsi:type="dcterms:W3CDTF">2024-05-30T06:27:50Z</dcterms:modified>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821A65FB366547329039E7142F223B75_13</vt:lpwstr>
  </property>
</Properties>
</file>