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县</w:t>
      </w:r>
      <w:r>
        <w:rPr>
          <w:rFonts w:hint="eastAsia" w:ascii="方正小标宋简体" w:hAnsi="方正小标宋简体" w:eastAsia="方正小标宋简体" w:cs="方正小标宋简体"/>
          <w:sz w:val="44"/>
          <w:szCs w:val="44"/>
        </w:rPr>
        <w:t>公安局</w:t>
      </w:r>
      <w:bookmarkStart w:id="0" w:name="_GoBack"/>
      <w:bookmarkEnd w:id="0"/>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4</w:t>
      </w:r>
      <w:r>
        <w:rPr>
          <w:rFonts w:hint="eastAsia" w:ascii="方正小标宋简体" w:hAnsi="方正小标宋简体" w:eastAsia="方正小标宋简体" w:cs="方正小标宋简体"/>
          <w:sz w:val="44"/>
          <w:szCs w:val="44"/>
        </w:rPr>
        <w:t>年安全生产和消防</w:t>
      </w:r>
    </w:p>
    <w:p>
      <w:pPr>
        <w:keepNext w:val="0"/>
        <w:keepLines w:val="0"/>
        <w:pageBreakBefore w:val="0"/>
        <w:widowControl w:val="0"/>
        <w:kinsoku/>
        <w:wordWrap/>
        <w:overflowPunct w:val="0"/>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工作目标管理责任书</w:t>
      </w:r>
    </w:p>
    <w:p>
      <w:pPr>
        <w:keepNext w:val="0"/>
        <w:keepLines w:val="0"/>
        <w:pageBreakBefore w:val="0"/>
        <w:kinsoku/>
        <w:wordWrap/>
        <w:overflowPunct w:val="0"/>
        <w:topLinePunct w:val="0"/>
        <w:autoSpaceDE/>
        <w:autoSpaceDN/>
        <w:bidi w:val="0"/>
        <w:adjustRightInd/>
        <w:snapToGrid/>
        <w:spacing w:line="560" w:lineRule="exact"/>
        <w:ind w:firstLine="640" w:firstLineChars="200"/>
        <w:textAlignment w:val="auto"/>
        <w:rPr>
          <w:rFonts w:eastAsia="仿宋_GB2312"/>
          <w:sz w:val="32"/>
          <w:szCs w:val="32"/>
        </w:rPr>
      </w:pPr>
    </w:p>
    <w:p>
      <w:pPr>
        <w:keepNext w:val="0"/>
        <w:keepLines w:val="0"/>
        <w:pageBreakBefore w:val="0"/>
        <w:kinsoku/>
        <w:wordWrap/>
        <w:overflowPunct w:val="0"/>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eastAsia="仿宋_GB2312"/>
          <w:sz w:val="32"/>
          <w:szCs w:val="32"/>
        </w:rPr>
        <w:t>为落实安全生产和消防工作责任，防范各类生产安全和火灾事故，依据</w:t>
      </w:r>
      <w:r>
        <w:rPr>
          <w:rFonts w:hint="eastAsia" w:eastAsia="仿宋_GB2312"/>
          <w:sz w:val="32"/>
          <w:szCs w:val="32"/>
        </w:rPr>
        <w:t>《地方党政领导干部安全生产责任制规定》和省、市</w:t>
      </w:r>
      <w:r>
        <w:rPr>
          <w:rFonts w:hint="eastAsia" w:eastAsia="仿宋_GB2312"/>
          <w:sz w:val="32"/>
          <w:szCs w:val="32"/>
          <w:lang w:eastAsia="zh-CN"/>
        </w:rPr>
        <w:t>、县</w:t>
      </w:r>
      <w:r>
        <w:rPr>
          <w:rFonts w:hint="eastAsia" w:eastAsia="仿宋_GB2312"/>
          <w:sz w:val="32"/>
          <w:szCs w:val="32"/>
        </w:rPr>
        <w:t>实施细则及</w:t>
      </w:r>
      <w:r>
        <w:rPr>
          <w:rFonts w:eastAsia="仿宋_GB2312"/>
          <w:sz w:val="32"/>
          <w:szCs w:val="32"/>
        </w:rPr>
        <w:t>《</w:t>
      </w:r>
      <w:r>
        <w:rPr>
          <w:rFonts w:hint="eastAsia" w:eastAsia="仿宋_GB2312"/>
          <w:sz w:val="32"/>
          <w:szCs w:val="32"/>
          <w:lang w:eastAsia="zh-CN"/>
        </w:rPr>
        <w:t>安徽省</w:t>
      </w:r>
      <w:r>
        <w:rPr>
          <w:rFonts w:eastAsia="仿宋_GB2312"/>
          <w:sz w:val="32"/>
          <w:szCs w:val="32"/>
        </w:rPr>
        <w:t>消防安全责任制规定》，</w:t>
      </w:r>
      <w:r>
        <w:rPr>
          <w:rFonts w:hint="eastAsia" w:eastAsia="黑体"/>
          <w:sz w:val="32"/>
          <w:szCs w:val="32"/>
          <w:lang w:eastAsia="zh-CN"/>
        </w:rPr>
        <w:t>青阳县</w:t>
      </w:r>
      <w:r>
        <w:rPr>
          <w:rFonts w:eastAsia="黑体"/>
          <w:sz w:val="32"/>
          <w:szCs w:val="32"/>
        </w:rPr>
        <w:t>人民政府</w:t>
      </w:r>
      <w:r>
        <w:rPr>
          <w:rFonts w:eastAsia="仿宋_GB2312"/>
          <w:sz w:val="32"/>
          <w:szCs w:val="32"/>
        </w:rPr>
        <w:t>与</w:t>
      </w:r>
      <w:r>
        <w:rPr>
          <w:rFonts w:hint="eastAsia" w:eastAsia="黑体"/>
          <w:sz w:val="32"/>
          <w:szCs w:val="32"/>
          <w:lang w:eastAsia="zh-CN"/>
        </w:rPr>
        <w:t>青阳县</w:t>
      </w:r>
      <w:r>
        <w:rPr>
          <w:rFonts w:eastAsia="黑体"/>
          <w:sz w:val="32"/>
          <w:szCs w:val="32"/>
        </w:rPr>
        <w:t>公安</w:t>
      </w:r>
      <w:r>
        <w:rPr>
          <w:rFonts w:hint="eastAsia" w:eastAsia="黑体"/>
          <w:sz w:val="32"/>
          <w:szCs w:val="32"/>
        </w:rPr>
        <w:t>局</w:t>
      </w:r>
      <w:r>
        <w:rPr>
          <w:rFonts w:eastAsia="仿宋_GB2312"/>
          <w:sz w:val="32"/>
          <w:szCs w:val="32"/>
        </w:rPr>
        <w:t>签</w:t>
      </w:r>
      <w:r>
        <w:rPr>
          <w:rFonts w:hint="eastAsia" w:ascii="仿宋_GB2312" w:hAnsi="仿宋_GB2312" w:eastAsia="仿宋_GB2312" w:cs="仿宋_GB2312"/>
          <w:sz w:val="32"/>
          <w:szCs w:val="32"/>
        </w:rPr>
        <w:t>订202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年安全生产和消防工作目标管理责任书。</w:t>
      </w:r>
    </w:p>
    <w:p>
      <w:pPr>
        <w:keepNext w:val="0"/>
        <w:keepLines w:val="0"/>
        <w:pageBreakBefore w:val="0"/>
        <w:kinsoku/>
        <w:overflowPunct w:val="0"/>
        <w:topLinePunct w:val="0"/>
        <w:autoSpaceDE/>
        <w:autoSpaceDN/>
        <w:bidi w:val="0"/>
        <w:adjustRightInd/>
        <w:snapToGrid/>
        <w:spacing w:line="560" w:lineRule="exact"/>
        <w:ind w:firstLine="600" w:firstLineChars="200"/>
        <w:textAlignment w:val="auto"/>
        <w:rPr>
          <w:rFonts w:eastAsia="仿宋_GB2312"/>
          <w:sz w:val="30"/>
          <w:szCs w:val="30"/>
        </w:rPr>
      </w:pPr>
      <w:r>
        <w:rPr>
          <w:rFonts w:eastAsia="黑体"/>
          <w:sz w:val="30"/>
          <w:szCs w:val="30"/>
        </w:rPr>
        <w:t>一、确保实现工作目标。</w:t>
      </w:r>
      <w:r>
        <w:rPr>
          <w:rFonts w:hint="eastAsia" w:ascii="仿宋_GB2312" w:hAnsi="仿宋_GB2312" w:eastAsia="仿宋_GB2312" w:cs="仿宋_GB2312"/>
          <w:sz w:val="32"/>
          <w:szCs w:val="32"/>
        </w:rPr>
        <w:t>坚决遏制道路交通等领域重特大生产安全和火灾事故，有效防范生产安全和火灾较大事故，努力减少生产安全和火灾一般事故。</w:t>
      </w:r>
    </w:p>
    <w:p>
      <w:pPr>
        <w:keepNext w:val="0"/>
        <w:keepLines w:val="0"/>
        <w:pageBreakBefore w:val="0"/>
        <w:kinsoku/>
        <w:overflowPunct w:val="0"/>
        <w:topLinePunct w:val="0"/>
        <w:autoSpaceDE/>
        <w:autoSpaceDN/>
        <w:bidi w:val="0"/>
        <w:adjustRightInd/>
        <w:snapToGrid/>
        <w:spacing w:line="560" w:lineRule="exact"/>
        <w:ind w:firstLine="640" w:firstLineChars="200"/>
        <w:textAlignment w:val="auto"/>
        <w:rPr>
          <w:rFonts w:eastAsia="黑体"/>
          <w:sz w:val="32"/>
          <w:szCs w:val="32"/>
        </w:rPr>
      </w:pPr>
      <w:r>
        <w:rPr>
          <w:rFonts w:eastAsia="黑体"/>
          <w:sz w:val="32"/>
          <w:szCs w:val="32"/>
        </w:rPr>
        <w:t>二、树牢安全发展理念。</w:t>
      </w:r>
      <w:r>
        <w:rPr>
          <w:rFonts w:hint="eastAsia" w:ascii="仿宋_GB2312" w:hAnsi="仿宋_GB2312" w:eastAsia="仿宋_GB2312" w:cs="仿宋_GB2312"/>
          <w:sz w:val="32"/>
          <w:szCs w:val="32"/>
        </w:rPr>
        <w:t>深入学习宣传贯彻习近平总书记关于安全生产、应急管理、防灾减灾救灾的重要论述，贯彻落实党的二十大报告中关于安全生产的重要部署，坚持人民至上、生命至上，更好统筹发展和安全，</w:t>
      </w:r>
      <w:r>
        <w:rPr>
          <w:rFonts w:hint="eastAsia" w:ascii="仿宋_GB2312" w:hAnsi="仿宋_GB2312" w:eastAsia="仿宋_GB2312" w:cs="仿宋_GB2312"/>
          <w:sz w:val="32"/>
          <w:szCs w:val="32"/>
          <w:lang w:eastAsia="zh-CN"/>
        </w:rPr>
        <w:t>深入开展</w:t>
      </w:r>
      <w:r>
        <w:rPr>
          <w:rFonts w:hint="eastAsia" w:ascii="仿宋_GB2312" w:hAnsi="仿宋_GB2312" w:eastAsia="仿宋_GB2312" w:cs="仿宋_GB2312"/>
          <w:sz w:val="32"/>
          <w:szCs w:val="32"/>
        </w:rPr>
        <w:t>安全生产</w:t>
      </w:r>
      <w:r>
        <w:rPr>
          <w:rFonts w:hint="eastAsia" w:ascii="仿宋_GB2312" w:hAnsi="仿宋_GB2312" w:eastAsia="仿宋_GB2312" w:cs="仿宋_GB2312"/>
          <w:sz w:val="32"/>
          <w:szCs w:val="32"/>
          <w:lang w:eastAsia="zh-CN"/>
        </w:rPr>
        <w:t>治本攻坚三年行动，</w:t>
      </w:r>
      <w:r>
        <w:rPr>
          <w:rFonts w:hint="eastAsia" w:ascii="仿宋_GB2312" w:hAnsi="仿宋_GB2312" w:eastAsia="仿宋_GB2312" w:cs="仿宋_GB2312"/>
          <w:sz w:val="32"/>
          <w:szCs w:val="32"/>
        </w:rPr>
        <w:t>推动安全生产治理模式向事前预防转型。</w:t>
      </w:r>
    </w:p>
    <w:p>
      <w:pPr>
        <w:keepNext w:val="0"/>
        <w:keepLines w:val="0"/>
        <w:pageBreakBefore w:val="0"/>
        <w:kinsoku/>
        <w:overflowPunct w:val="0"/>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eastAsia="黑体"/>
          <w:sz w:val="32"/>
          <w:szCs w:val="32"/>
        </w:rPr>
        <w:t>三、落实安全工作责任。</w:t>
      </w:r>
      <w:r>
        <w:rPr>
          <w:rFonts w:hint="eastAsia" w:ascii="仿宋_GB2312" w:hAnsi="仿宋_GB2312" w:eastAsia="仿宋_GB2312" w:cs="仿宋_GB2312"/>
          <w:sz w:val="32"/>
          <w:szCs w:val="32"/>
        </w:rPr>
        <w:t>落实《党政领导干部安全生产责任制实施细则》《安徽省消防安全责任制规定》，</w:t>
      </w:r>
      <w:r>
        <w:rPr>
          <w:rFonts w:hint="eastAsia" w:ascii="仿宋_GB2312" w:hAnsi="仿宋_GB2312" w:eastAsia="仿宋_GB2312" w:cs="仿宋_GB2312"/>
          <w:sz w:val="32"/>
          <w:szCs w:val="32"/>
          <w:lang w:val="en-US" w:eastAsia="zh-CN"/>
        </w:rPr>
        <w:t>严格</w:t>
      </w:r>
      <w:r>
        <w:rPr>
          <w:rFonts w:hint="eastAsia" w:ascii="仿宋_GB2312" w:hAnsi="仿宋_GB2312" w:eastAsia="仿宋_GB2312" w:cs="仿宋_GB2312"/>
          <w:sz w:val="32"/>
          <w:szCs w:val="32"/>
        </w:rPr>
        <w:t>执行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青阳县</w:t>
      </w:r>
      <w:r>
        <w:rPr>
          <w:rFonts w:hint="eastAsia" w:ascii="仿宋_GB2312" w:hAnsi="仿宋_GB2312" w:eastAsia="仿宋_GB2312" w:cs="仿宋_GB2312"/>
          <w:sz w:val="32"/>
          <w:szCs w:val="32"/>
        </w:rPr>
        <w:t>安全生产“三管三必须”责任清单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及《实施意见》</w:t>
      </w:r>
      <w:r>
        <w:rPr>
          <w:rFonts w:hint="eastAsia" w:ascii="仿宋_GB2312" w:hAnsi="仿宋_GB2312" w:eastAsia="仿宋_GB2312" w:cs="仿宋_GB2312"/>
          <w:sz w:val="32"/>
          <w:szCs w:val="32"/>
        </w:rPr>
        <w:t>。</w:t>
      </w:r>
      <w:r>
        <w:rPr>
          <w:rFonts w:hint="eastAsia" w:ascii="仿宋_GB2312" w:hAnsi="仿宋_GB2312" w:eastAsia="仿宋_GB2312" w:cs="仿宋_GB2312"/>
          <w:kern w:val="0"/>
          <w:sz w:val="32"/>
          <w:szCs w:val="32"/>
        </w:rPr>
        <w:t>负责全</w:t>
      </w:r>
      <w:r>
        <w:rPr>
          <w:rFonts w:hint="eastAsia" w:ascii="仿宋_GB2312" w:hAnsi="仿宋_GB2312" w:eastAsia="仿宋_GB2312" w:cs="仿宋_GB2312"/>
          <w:kern w:val="0"/>
          <w:sz w:val="32"/>
          <w:szCs w:val="32"/>
          <w:lang w:eastAsia="zh-CN"/>
        </w:rPr>
        <w:t>县</w:t>
      </w:r>
      <w:r>
        <w:rPr>
          <w:rFonts w:hint="eastAsia" w:ascii="仿宋_GB2312" w:hAnsi="仿宋_GB2312" w:eastAsia="仿宋_GB2312" w:cs="仿宋_GB2312"/>
          <w:kern w:val="0"/>
          <w:sz w:val="32"/>
          <w:szCs w:val="32"/>
        </w:rPr>
        <w:t>道路交通安全管理工作。负责民用爆炸物品购买、运输、爆破作业及烟花爆竹道路运输、燃放环节安全监管。负责危险化学品运输车辆的道路交通安全管理，依法核发剧毒化学品购买许可证、剧毒化学品道路运输通行证。依法开展防火工作，督促指导公安派出所按照国家规定履行日常消防监督检查和消防宣传教育职责。依法对相关大型群众性活动实施安全管理。依法查处涉及安全生产的相关刑事案件和治安案件。承担</w:t>
      </w:r>
      <w:r>
        <w:rPr>
          <w:rFonts w:hint="eastAsia" w:ascii="仿宋_GB2312" w:hAnsi="仿宋_GB2312" w:eastAsia="仿宋_GB2312" w:cs="仿宋_GB2312"/>
          <w:kern w:val="0"/>
          <w:sz w:val="32"/>
          <w:szCs w:val="32"/>
          <w:lang w:eastAsia="zh-CN"/>
        </w:rPr>
        <w:t>县</w:t>
      </w:r>
      <w:r>
        <w:rPr>
          <w:rFonts w:hint="eastAsia" w:ascii="仿宋_GB2312" w:hAnsi="仿宋_GB2312" w:eastAsia="仿宋_GB2312" w:cs="仿宋_GB2312"/>
          <w:kern w:val="0"/>
          <w:sz w:val="32"/>
          <w:szCs w:val="32"/>
        </w:rPr>
        <w:t>委平安</w:t>
      </w:r>
      <w:r>
        <w:rPr>
          <w:rFonts w:hint="eastAsia" w:ascii="仿宋_GB2312" w:hAnsi="仿宋_GB2312" w:eastAsia="仿宋_GB2312" w:cs="仿宋_GB2312"/>
          <w:kern w:val="0"/>
          <w:sz w:val="32"/>
          <w:szCs w:val="32"/>
          <w:lang w:eastAsia="zh-CN"/>
        </w:rPr>
        <w:t>青阳</w:t>
      </w:r>
      <w:r>
        <w:rPr>
          <w:rFonts w:hint="eastAsia" w:ascii="仿宋_GB2312" w:hAnsi="仿宋_GB2312" w:eastAsia="仿宋_GB2312" w:cs="仿宋_GB2312"/>
          <w:kern w:val="0"/>
          <w:sz w:val="32"/>
          <w:szCs w:val="32"/>
        </w:rPr>
        <w:t>建设领导小组社会治安专项工作组铁路护路联防工作组组长单位职责。</w:t>
      </w:r>
    </w:p>
    <w:p>
      <w:pPr>
        <w:keepNext w:val="0"/>
        <w:keepLines w:val="0"/>
        <w:pageBreakBefore w:val="0"/>
        <w:kinsoku/>
        <w:overflowPunct w:val="0"/>
        <w:topLinePunct w:val="0"/>
        <w:autoSpaceDE/>
        <w:autoSpaceDN/>
        <w:bidi w:val="0"/>
        <w:adjustRightInd/>
        <w:snapToGrid/>
        <w:spacing w:line="560" w:lineRule="exact"/>
        <w:ind w:firstLine="640" w:firstLineChars="200"/>
        <w:textAlignment w:val="auto"/>
        <w:rPr>
          <w:rFonts w:eastAsia="黑体"/>
          <w:sz w:val="32"/>
          <w:szCs w:val="32"/>
        </w:rPr>
      </w:pPr>
      <w:r>
        <w:rPr>
          <w:rFonts w:eastAsia="黑体"/>
          <w:sz w:val="32"/>
          <w:szCs w:val="32"/>
        </w:rPr>
        <w:t>四、防范化解重大风险。</w:t>
      </w:r>
      <w:r>
        <w:rPr>
          <w:rFonts w:hint="eastAsia" w:ascii="仿宋_GB2312" w:hAnsi="仿宋_GB2312" w:eastAsia="仿宋_GB2312" w:cs="仿宋_GB2312"/>
          <w:sz w:val="32"/>
          <w:szCs w:val="32"/>
        </w:rPr>
        <w:t>落实领导干部靠前排查隐患机制。推进安全生产重大隐患专项整治和督导检查。探索建立健全有关重点行业领域重大事故隐患判定地方标准。建立健全安全隐患排查和安全预防控制体系。深刻汲取有关生产安全事故教训，主动排查整改问题。在重大活动、重大节日期间，开展常态化明查暗访。</w:t>
      </w:r>
      <w:r>
        <w:rPr>
          <w:rFonts w:hint="eastAsia" w:ascii="仿宋_GB2312" w:hAnsi="仿宋_GB2312" w:eastAsia="仿宋_GB2312" w:cs="仿宋_GB2312"/>
          <w:b/>
          <w:bCs/>
          <w:sz w:val="32"/>
          <w:szCs w:val="32"/>
        </w:rPr>
        <w:t>按职责分工：</w:t>
      </w:r>
      <w:r>
        <w:rPr>
          <w:rFonts w:hint="eastAsia" w:ascii="仿宋_GB2312" w:hAnsi="仿宋_GB2312" w:eastAsia="仿宋_GB2312" w:cs="仿宋_GB2312"/>
          <w:sz w:val="32"/>
          <w:szCs w:val="32"/>
        </w:rPr>
        <w:t>继续深化道路交通事故预防“减量控大”工作，梯次组织开展重点车辆、重点违法行为集中整治行动，加强“两客一危一货一面”重点车辆等安全管理，严查“三超一疲劳”、大客车非法营运、货车和农用车、农村电动三轮、四轮车违法载人等违法行为。持续打击非法改装、“大吨小标”、常压液体危险货物罐车“大罐小标”等行为，加强生产一致性监督检查，强化新生产车辆检验检测管理。加强隧道安全隐患排查治理。持续深化农村道路交通安全治理。加强对公共场所群众自发聚集活动的安全管理。强化乡镇自用船安全管理有关工作。深化城镇燃气安全排查整治。</w:t>
      </w:r>
    </w:p>
    <w:p>
      <w:pPr>
        <w:keepNext w:val="0"/>
        <w:keepLines w:val="0"/>
        <w:pageBreakBefore w:val="0"/>
        <w:kinsoku/>
        <w:overflowPunct w:val="0"/>
        <w:topLinePunct w:val="0"/>
        <w:autoSpaceDE/>
        <w:autoSpaceDN/>
        <w:bidi w:val="0"/>
        <w:adjustRightInd/>
        <w:snapToGrid/>
        <w:spacing w:line="560" w:lineRule="exact"/>
        <w:ind w:firstLine="640" w:firstLineChars="200"/>
        <w:textAlignment w:val="auto"/>
        <w:rPr>
          <w:rFonts w:eastAsia="仿宋_GB2312"/>
          <w:sz w:val="32"/>
          <w:szCs w:val="32"/>
        </w:rPr>
      </w:pPr>
      <w:r>
        <w:rPr>
          <w:rFonts w:eastAsia="黑体"/>
          <w:sz w:val="32"/>
          <w:szCs w:val="32"/>
        </w:rPr>
        <w:t>五、夯实安全工作基础。</w:t>
      </w:r>
      <w:r>
        <w:rPr>
          <w:rFonts w:hint="eastAsia" w:ascii="仿宋_GB2312" w:hAnsi="仿宋_GB2312" w:eastAsia="仿宋_GB2312" w:cs="仿宋_GB2312"/>
          <w:sz w:val="32"/>
          <w:szCs w:val="32"/>
        </w:rPr>
        <w:t>落实农村道路“三必上”和“五必上”及农村平交路口“千灯万带示范工程”。</w:t>
      </w:r>
      <w:r>
        <w:rPr>
          <w:rFonts w:hint="eastAsia" w:ascii="仿宋_GB2312" w:hAnsi="仿宋_GB2312" w:eastAsia="仿宋_GB2312" w:cs="仿宋_GB2312"/>
          <w:sz w:val="32"/>
          <w:szCs w:val="32"/>
          <w:lang w:val="en-US" w:eastAsia="zh-CN"/>
        </w:rPr>
        <w:t>用好案例教育法，</w:t>
      </w:r>
      <w:r>
        <w:rPr>
          <w:rFonts w:hint="eastAsia" w:ascii="仿宋_GB2312" w:hAnsi="仿宋_GB2312" w:eastAsia="仿宋_GB2312" w:cs="仿宋_GB2312"/>
          <w:sz w:val="32"/>
          <w:szCs w:val="32"/>
        </w:rPr>
        <w:t>扎实开展“安全生产月”</w:t>
      </w:r>
      <w:r>
        <w:rPr>
          <w:rFonts w:hint="eastAsia" w:ascii="仿宋_GB2312" w:hAnsi="仿宋_GB2312" w:eastAsia="仿宋_GB2312" w:cs="仿宋_GB2312"/>
          <w:sz w:val="32"/>
          <w:szCs w:val="32"/>
          <w:lang w:eastAsia="zh-CN"/>
        </w:rPr>
        <w:t>、消防宣传月</w:t>
      </w:r>
      <w:r>
        <w:rPr>
          <w:rFonts w:hint="eastAsia" w:ascii="仿宋_GB2312" w:hAnsi="仿宋_GB2312" w:eastAsia="仿宋_GB2312" w:cs="仿宋_GB2312"/>
          <w:sz w:val="32"/>
          <w:szCs w:val="32"/>
        </w:rPr>
        <w:t>等安全宣传教育活动。按照职责和有关规定及时报告事故信息。负责相关安全生产统计分析。依法参与有关事故调查处理。修订</w:t>
      </w:r>
      <w:r>
        <w:rPr>
          <w:rFonts w:hint="eastAsia" w:ascii="仿宋_GB2312" w:hAnsi="仿宋_GB2312" w:eastAsia="仿宋_GB2312" w:cs="仿宋_GB2312"/>
          <w:sz w:val="32"/>
          <w:szCs w:val="32"/>
          <w:lang w:eastAsia="zh-CN"/>
        </w:rPr>
        <w:t>完善</w:t>
      </w:r>
      <w:r>
        <w:rPr>
          <w:rFonts w:hint="eastAsia" w:ascii="仿宋_GB2312" w:hAnsi="仿宋_GB2312" w:eastAsia="仿宋_GB2312" w:cs="仿宋_GB2312"/>
          <w:sz w:val="32"/>
          <w:szCs w:val="32"/>
        </w:rPr>
        <w:t>有关专项预案或部门预案，组织预案演练和应急能力测试，推动应急能力建设，督促完成本系统应急资源填报。建立健全内设安委会或安全生产工作领导小组，主要负责同志任主任或组长，每季度研究一次安全生产工作。发挥道路交通安全生产专项领导小组办公室职能，</w:t>
      </w:r>
      <w:r>
        <w:rPr>
          <w:rFonts w:hint="eastAsia" w:ascii="仿宋_GB2312" w:hAnsi="仿宋_GB2312" w:eastAsia="仿宋_GB2312" w:cs="仿宋_GB2312"/>
          <w:kern w:val="0"/>
          <w:sz w:val="32"/>
          <w:szCs w:val="32"/>
        </w:rPr>
        <w:t>组织开展信息通报、联合执法、会商研判</w:t>
      </w:r>
      <w:r>
        <w:rPr>
          <w:rFonts w:hint="eastAsia" w:ascii="仿宋_GB2312" w:hAnsi="仿宋_GB2312" w:eastAsia="仿宋_GB2312" w:cs="仿宋_GB2312"/>
          <w:sz w:val="32"/>
          <w:szCs w:val="32"/>
        </w:rPr>
        <w:t>。</w:t>
      </w:r>
    </w:p>
    <w:p>
      <w:pPr>
        <w:keepNext w:val="0"/>
        <w:keepLines w:val="0"/>
        <w:pageBreakBefore w:val="0"/>
        <w:kinsoku/>
        <w:overflowPunct w:val="0"/>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kinsoku/>
        <w:overflowPunct w:val="0"/>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本责任书将作为202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年度安全生产和消防工作考核依据</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黑体"/>
          <w:kern w:val="0"/>
          <w:sz w:val="32"/>
          <w:szCs w:val="32"/>
        </w:rPr>
      </w:pPr>
    </w:p>
    <w:p>
      <w:pPr>
        <w:keepNext w:val="0"/>
        <w:keepLines w:val="0"/>
        <w:pageBreakBefore w:val="0"/>
        <w:widowControl/>
        <w:kinsoku/>
        <w:wordWrap/>
        <w:overflowPunct w:val="0"/>
        <w:topLinePunct w:val="0"/>
        <w:autoSpaceDE/>
        <w:autoSpaceDN/>
        <w:bidi w:val="0"/>
        <w:adjustRightInd/>
        <w:snapToGrid/>
        <w:spacing w:line="560" w:lineRule="exact"/>
        <w:textAlignment w:val="auto"/>
        <w:rPr>
          <w:rFonts w:hint="eastAsia" w:eastAsia="黑体"/>
          <w:kern w:val="0"/>
          <w:sz w:val="32"/>
          <w:szCs w:val="32"/>
        </w:rPr>
      </w:pPr>
    </w:p>
    <w:p>
      <w:pPr>
        <w:keepNext w:val="0"/>
        <w:keepLines w:val="0"/>
        <w:pageBreakBefore w:val="0"/>
        <w:widowControl/>
        <w:kinsoku/>
        <w:wordWrap/>
        <w:overflowPunct w:val="0"/>
        <w:topLinePunct w:val="0"/>
        <w:autoSpaceDE/>
        <w:autoSpaceDN/>
        <w:bidi w:val="0"/>
        <w:adjustRightInd/>
        <w:snapToGrid/>
        <w:spacing w:line="560" w:lineRule="exact"/>
        <w:ind w:firstLine="640" w:firstLineChars="200"/>
        <w:textAlignment w:val="auto"/>
        <w:rPr>
          <w:rFonts w:eastAsia="黑体"/>
          <w:kern w:val="0"/>
          <w:sz w:val="32"/>
          <w:szCs w:val="32"/>
        </w:rPr>
      </w:pPr>
      <w:r>
        <w:rPr>
          <w:rFonts w:hint="eastAsia" w:eastAsia="黑体"/>
          <w:kern w:val="0"/>
          <w:sz w:val="32"/>
          <w:szCs w:val="32"/>
          <w:lang w:eastAsia="zh-CN"/>
        </w:rPr>
        <w:t>青阳县</w:t>
      </w:r>
      <w:r>
        <w:rPr>
          <w:rFonts w:eastAsia="黑体"/>
          <w:kern w:val="0"/>
          <w:sz w:val="32"/>
          <w:szCs w:val="32"/>
        </w:rPr>
        <w:t xml:space="preserve">人民政府               </w:t>
      </w:r>
      <w:r>
        <w:rPr>
          <w:rFonts w:hint="eastAsia" w:eastAsia="黑体"/>
          <w:kern w:val="0"/>
          <w:sz w:val="32"/>
          <w:szCs w:val="32"/>
          <w:lang w:val="en-US" w:eastAsia="zh-CN"/>
        </w:rPr>
        <w:t xml:space="preserve">    </w:t>
      </w:r>
      <w:r>
        <w:rPr>
          <w:rFonts w:hint="eastAsia" w:eastAsia="黑体"/>
          <w:kern w:val="0"/>
          <w:sz w:val="32"/>
          <w:szCs w:val="32"/>
          <w:lang w:eastAsia="zh-CN"/>
        </w:rPr>
        <w:t>青阳县</w:t>
      </w:r>
      <w:r>
        <w:rPr>
          <w:rFonts w:eastAsia="黑体"/>
          <w:kern w:val="0"/>
          <w:sz w:val="32"/>
          <w:szCs w:val="32"/>
        </w:rPr>
        <w:t>公安</w:t>
      </w:r>
      <w:r>
        <w:rPr>
          <w:rFonts w:hint="eastAsia" w:eastAsia="黑体"/>
          <w:kern w:val="0"/>
          <w:sz w:val="32"/>
          <w:szCs w:val="32"/>
        </w:rPr>
        <w:t>局</w:t>
      </w:r>
    </w:p>
    <w:p>
      <w:pPr>
        <w:keepNext w:val="0"/>
        <w:keepLines w:val="0"/>
        <w:pageBreakBefore w:val="0"/>
        <w:widowControl/>
        <w:kinsoku/>
        <w:wordWrap/>
        <w:overflowPunct w:val="0"/>
        <w:topLinePunct w:val="0"/>
        <w:autoSpaceDE/>
        <w:autoSpaceDN/>
        <w:bidi w:val="0"/>
        <w:adjustRightInd/>
        <w:snapToGrid/>
        <w:spacing w:line="560" w:lineRule="exact"/>
        <w:ind w:firstLine="640" w:firstLineChars="200"/>
        <w:textAlignment w:val="auto"/>
        <w:rPr>
          <w:rFonts w:eastAsia="黑体"/>
          <w:kern w:val="0"/>
          <w:sz w:val="32"/>
          <w:szCs w:val="32"/>
        </w:rPr>
      </w:pPr>
    </w:p>
    <w:p>
      <w:pPr>
        <w:keepNext w:val="0"/>
        <w:keepLines w:val="0"/>
        <w:pageBreakBefore w:val="0"/>
        <w:widowControl/>
        <w:kinsoku/>
        <w:wordWrap/>
        <w:overflowPunct w:val="0"/>
        <w:topLinePunct w:val="0"/>
        <w:autoSpaceDE/>
        <w:autoSpaceDN/>
        <w:bidi w:val="0"/>
        <w:adjustRightInd/>
        <w:snapToGrid/>
        <w:spacing w:line="560" w:lineRule="exact"/>
        <w:ind w:firstLine="640" w:firstLineChars="200"/>
        <w:textAlignment w:val="auto"/>
        <w:rPr>
          <w:rFonts w:eastAsia="黑体"/>
          <w:kern w:val="0"/>
          <w:sz w:val="32"/>
          <w:szCs w:val="32"/>
        </w:rPr>
      </w:pPr>
      <w:r>
        <w:rPr>
          <w:rFonts w:eastAsia="黑体"/>
          <w:kern w:val="0"/>
          <w:sz w:val="32"/>
          <w:szCs w:val="32"/>
        </w:rPr>
        <w:t xml:space="preserve">签字人：                    </w:t>
      </w:r>
      <w:r>
        <w:rPr>
          <w:rFonts w:hint="eastAsia" w:eastAsia="黑体"/>
          <w:kern w:val="0"/>
          <w:sz w:val="32"/>
          <w:szCs w:val="32"/>
          <w:lang w:val="en-US" w:eastAsia="zh-CN"/>
        </w:rPr>
        <w:t xml:space="preserve">    </w:t>
      </w:r>
      <w:r>
        <w:rPr>
          <w:rFonts w:eastAsia="黑体"/>
          <w:kern w:val="0"/>
          <w:sz w:val="32"/>
          <w:szCs w:val="32"/>
        </w:rPr>
        <w:t xml:space="preserve"> 签字人：</w:t>
      </w:r>
    </w:p>
    <w:p>
      <w:pPr>
        <w:keepNext w:val="0"/>
        <w:keepLines w:val="0"/>
        <w:pageBreakBefore w:val="0"/>
        <w:widowControl/>
        <w:kinsoku/>
        <w:wordWrap/>
        <w:overflowPunct w:val="0"/>
        <w:topLinePunct w:val="0"/>
        <w:autoSpaceDE/>
        <w:autoSpaceDN/>
        <w:bidi w:val="0"/>
        <w:adjustRightInd/>
        <w:snapToGrid/>
        <w:spacing w:line="560" w:lineRule="exact"/>
        <w:ind w:firstLine="640" w:firstLineChars="200"/>
        <w:textAlignment w:val="auto"/>
        <w:rPr>
          <w:rFonts w:eastAsia="黑体"/>
          <w:kern w:val="0"/>
          <w:sz w:val="32"/>
          <w:szCs w:val="32"/>
        </w:rPr>
      </w:pPr>
    </w:p>
    <w:p>
      <w:pPr>
        <w:keepNext w:val="0"/>
        <w:keepLines w:val="0"/>
        <w:pageBreakBefore w:val="0"/>
        <w:widowControl/>
        <w:kinsoku/>
        <w:wordWrap w:val="0"/>
        <w:overflowPunct w:val="0"/>
        <w:topLinePunct w:val="0"/>
        <w:autoSpaceDE/>
        <w:autoSpaceDN/>
        <w:bidi w:val="0"/>
        <w:adjustRightInd/>
        <w:snapToGrid/>
        <w:spacing w:line="560" w:lineRule="exact"/>
        <w:ind w:firstLine="640" w:firstLineChars="200"/>
        <w:jc w:val="right"/>
        <w:textAlignment w:val="auto"/>
        <w:rPr>
          <w:rFonts w:hint="default" w:ascii="黑体" w:hAnsi="黑体" w:eastAsia="黑体"/>
          <w:kern w:val="0"/>
          <w:sz w:val="32"/>
          <w:szCs w:val="32"/>
          <w:lang w:val="en-US" w:eastAsia="zh-CN"/>
        </w:rPr>
      </w:pPr>
      <w:r>
        <w:rPr>
          <w:rFonts w:hint="eastAsia" w:ascii="黑体" w:hAnsi="黑体" w:eastAsia="黑体"/>
          <w:kern w:val="0"/>
          <w:sz w:val="32"/>
          <w:szCs w:val="32"/>
          <w:lang w:eastAsia="zh-CN"/>
        </w:rPr>
        <w:t>2</w:t>
      </w:r>
      <w:r>
        <w:rPr>
          <w:rFonts w:hint="eastAsia" w:ascii="黑体" w:hAnsi="黑体" w:eastAsia="黑体"/>
          <w:kern w:val="0"/>
          <w:sz w:val="32"/>
          <w:szCs w:val="32"/>
          <w:lang w:val="en-US" w:eastAsia="zh-CN"/>
        </w:rPr>
        <w:t>024</w:t>
      </w:r>
      <w:r>
        <w:rPr>
          <w:rFonts w:hint="eastAsia" w:ascii="黑体" w:hAnsi="黑体" w:eastAsia="黑体"/>
          <w:kern w:val="0"/>
          <w:sz w:val="32"/>
          <w:szCs w:val="32"/>
        </w:rPr>
        <w:t>年</w:t>
      </w:r>
      <w:r>
        <w:rPr>
          <w:rFonts w:hint="eastAsia" w:ascii="黑体" w:hAnsi="黑体" w:eastAsia="黑体"/>
          <w:kern w:val="0"/>
          <w:sz w:val="32"/>
          <w:szCs w:val="32"/>
          <w:lang w:val="en-US" w:eastAsia="zh-CN"/>
        </w:rPr>
        <w:t>5</w:t>
      </w:r>
      <w:r>
        <w:rPr>
          <w:rFonts w:hint="eastAsia" w:ascii="黑体" w:hAnsi="黑体" w:eastAsia="黑体"/>
          <w:kern w:val="0"/>
          <w:sz w:val="32"/>
          <w:szCs w:val="32"/>
        </w:rPr>
        <w:t>月</w:t>
      </w:r>
      <w:r>
        <w:rPr>
          <w:rFonts w:hint="eastAsia" w:ascii="黑体" w:hAnsi="黑体" w:eastAsia="黑体"/>
          <w:kern w:val="0"/>
          <w:sz w:val="32"/>
          <w:szCs w:val="32"/>
          <w:lang w:val="en-US" w:eastAsia="zh-CN"/>
        </w:rPr>
        <w:t xml:space="preserve">   </w:t>
      </w:r>
    </w:p>
    <w:p>
      <w:pPr>
        <w:keepNext w:val="0"/>
        <w:keepLines w:val="0"/>
        <w:pageBreakBefore w:val="0"/>
        <w:kinsoku/>
        <w:topLinePunct w:val="0"/>
        <w:autoSpaceDE/>
        <w:autoSpaceDN/>
        <w:bidi w:val="0"/>
        <w:adjustRightInd/>
        <w:snapToGrid/>
        <w:spacing w:line="560" w:lineRule="exact"/>
        <w:textAlignment w:val="auto"/>
      </w:pPr>
    </w:p>
    <w:sectPr>
      <w:pgSz w:w="11906" w:h="16838"/>
      <w:pgMar w:top="1701" w:right="1417" w:bottom="113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2F5A194-D73D-4C99-85F9-47C04B0051D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BCC288C-E0A2-4BAA-A00C-A069CC98ED9F}"/>
  </w:font>
  <w:font w:name="方正小标宋简体">
    <w:panose1 w:val="02000000000000000000"/>
    <w:charset w:val="86"/>
    <w:family w:val="auto"/>
    <w:pitch w:val="default"/>
    <w:sig w:usb0="00000001" w:usb1="080E0000" w:usb2="00000000" w:usb3="00000000" w:csb0="00040000" w:csb1="00000000"/>
    <w:embedRegular r:id="rId3" w:fontKey="{420BFA92-C90C-4F6B-A52E-53A8624FF7A8}"/>
  </w:font>
  <w:font w:name="仿宋_GB2312">
    <w:panose1 w:val="02010609030101010101"/>
    <w:charset w:val="86"/>
    <w:family w:val="modern"/>
    <w:pitch w:val="default"/>
    <w:sig w:usb0="00000001" w:usb1="080E0000" w:usb2="00000000" w:usb3="00000000" w:csb0="00040000" w:csb1="00000000"/>
    <w:embedRegular r:id="rId4" w:fontKey="{80E50D9E-60CF-4C0F-A70D-6730F03E810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3NDk0MWYyNjgwMzk4N2QyZTA1NTg4ODE3YzA2ZTgifQ=="/>
  </w:docVars>
  <w:rsids>
    <w:rsidRoot w:val="00000000"/>
    <w:rsid w:val="068D3825"/>
    <w:rsid w:val="14E85020"/>
    <w:rsid w:val="167D4755"/>
    <w:rsid w:val="3F653E84"/>
    <w:rsid w:val="480D3D22"/>
    <w:rsid w:val="498432D9"/>
    <w:rsid w:val="4D001CB4"/>
    <w:rsid w:val="66DB3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1349</Words>
  <Characters>1361</Characters>
  <Lines>0</Lines>
  <Paragraphs>0</Paragraphs>
  <TotalTime>5</TotalTime>
  <ScaleCrop>false</ScaleCrop>
  <LinksUpToDate>false</LinksUpToDate>
  <CharactersWithSpaces>1408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2024-04-24T01:24:00Z</dcterms:created>
  <dc:creator>Administrator</dc:creator>
  <cp:lastModifiedBy>白马骨</cp:lastModifiedBy>
  <dcterms:modified xsi:type="dcterms:W3CDTF">2024-05-30T06:28:10Z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10D3A50E55B8468DB733E456374FF8B6_13</vt:lpwstr>
  </property>
</Properties>
</file>