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60" w:lineRule="exact"/>
        <w:ind w:right="0" w:right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lang w:eastAsia="zh-CN"/>
        </w:rPr>
        <w:t>县</w:t>
      </w:r>
      <w:r>
        <w:rPr>
          <w:rFonts w:hint="eastAsia" w:ascii="方正小标宋简体" w:hAnsi="方正小标宋简体" w:eastAsia="方正小标宋简体" w:cs="方正小标宋简体"/>
          <w:sz w:val="44"/>
          <w:szCs w:val="44"/>
        </w:rPr>
        <w:t>民政局202</w:t>
      </w:r>
      <w:r>
        <w:rPr>
          <w:rFonts w:hint="eastAsia" w:ascii="方正小标宋简体" w:hAnsi="方正小标宋简体" w:eastAsia="方正小标宋简体" w:cs="方正小标宋简体"/>
          <w:sz w:val="44"/>
          <w:szCs w:val="44"/>
          <w:lang w:val="en-US" w:eastAsia="zh-CN"/>
        </w:rPr>
        <w:t>4</w:t>
      </w:r>
      <w:r>
        <w:rPr>
          <w:rFonts w:hint="eastAsia" w:ascii="方正小标宋简体" w:hAnsi="方正小标宋简体" w:eastAsia="方正小标宋简体" w:cs="方正小标宋简体"/>
          <w:sz w:val="44"/>
          <w:szCs w:val="44"/>
        </w:rPr>
        <w:t>年安全生产和消防</w:t>
      </w:r>
    </w:p>
    <w:p>
      <w:pPr>
        <w:keepNext w:val="0"/>
        <w:keepLines w:val="0"/>
        <w:pageBreakBefore w:val="0"/>
        <w:widowControl w:val="0"/>
        <w:kinsoku/>
        <w:wordWrap/>
        <w:overflowPunct/>
        <w:topLinePunct w:val="0"/>
        <w:autoSpaceDE/>
        <w:autoSpaceDN/>
        <w:bidi w:val="0"/>
        <w:adjustRightInd/>
        <w:snapToGrid/>
        <w:spacing w:line="560" w:lineRule="exact"/>
        <w:ind w:right="0" w:right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工作目标管理责任书</w:t>
      </w:r>
    </w:p>
    <w:p>
      <w:pPr>
        <w:keepNext w:val="0"/>
        <w:keepLines w:val="0"/>
        <w:pageBreakBefore w:val="0"/>
        <w:widowControl w:val="0"/>
        <w:kinsoku/>
        <w:wordWrap/>
        <w:overflowPunct/>
        <w:topLinePunct w:val="0"/>
        <w:autoSpaceDE/>
        <w:autoSpaceDN/>
        <w:bidi w:val="0"/>
        <w:adjustRightInd/>
        <w:snapToGrid/>
        <w:spacing w:line="560" w:lineRule="exact"/>
        <w:ind w:right="0" w:rightChars="0" w:firstLine="640"/>
        <w:textAlignment w:val="auto"/>
        <w:rPr>
          <w:rFonts w:eastAsia="方正小标宋简体"/>
          <w:kern w:val="0"/>
          <w:sz w:val="28"/>
          <w:szCs w:val="28"/>
        </w:rPr>
      </w:pPr>
      <w:r>
        <w:rPr>
          <w:rFonts w:eastAsia="方正小标宋简体"/>
          <w:kern w:val="0"/>
          <w:sz w:val="28"/>
          <w:szCs w:val="28"/>
        </w:rPr>
        <w:t xml:space="preserve"> </w:t>
      </w:r>
    </w:p>
    <w:p>
      <w:pPr>
        <w:keepNext w:val="0"/>
        <w:keepLines w:val="0"/>
        <w:pageBreakBefore w:val="0"/>
        <w:widowControl w:val="0"/>
        <w:kinsoku/>
        <w:wordWrap/>
        <w:overflowPunct/>
        <w:topLinePunct w:val="0"/>
        <w:autoSpaceDE/>
        <w:autoSpaceDN/>
        <w:bidi w:val="0"/>
        <w:adjustRightInd/>
        <w:snapToGrid/>
        <w:spacing w:line="600" w:lineRule="exact"/>
        <w:ind w:right="0" w:rightChars="0" w:firstLine="640"/>
        <w:textAlignment w:val="auto"/>
        <w:rPr>
          <w:rFonts w:ascii="仿宋_GB2312" w:eastAsia="仿宋_GB2312"/>
          <w:sz w:val="32"/>
          <w:szCs w:val="32"/>
        </w:rPr>
      </w:pPr>
      <w:r>
        <w:rPr>
          <w:rFonts w:hint="eastAsia" w:ascii="仿宋_GB2312" w:eastAsia="仿宋_GB2312"/>
          <w:sz w:val="32"/>
          <w:szCs w:val="32"/>
        </w:rPr>
        <w:t>为落实安全生产和消防工作责任，防范各类生产安全和火灾事故，依据《地方党政领导干部安全生产责任制规定》和省、市</w:t>
      </w:r>
      <w:r>
        <w:rPr>
          <w:rFonts w:hint="eastAsia" w:ascii="仿宋_GB2312" w:eastAsia="仿宋_GB2312"/>
          <w:sz w:val="32"/>
          <w:szCs w:val="32"/>
          <w:lang w:eastAsia="zh-CN"/>
        </w:rPr>
        <w:t>、县</w:t>
      </w:r>
      <w:r>
        <w:rPr>
          <w:rFonts w:hint="eastAsia" w:ascii="仿宋_GB2312" w:eastAsia="仿宋_GB2312"/>
          <w:sz w:val="32"/>
          <w:szCs w:val="32"/>
        </w:rPr>
        <w:t>实施细则及《</w:t>
      </w:r>
      <w:r>
        <w:rPr>
          <w:rFonts w:hint="eastAsia" w:ascii="仿宋_GB2312" w:eastAsia="仿宋_GB2312"/>
          <w:sz w:val="32"/>
          <w:szCs w:val="32"/>
          <w:lang w:eastAsia="zh-CN"/>
        </w:rPr>
        <w:t>安徽省</w:t>
      </w:r>
      <w:r>
        <w:rPr>
          <w:rFonts w:hint="eastAsia" w:ascii="仿宋_GB2312" w:eastAsia="仿宋_GB2312"/>
          <w:sz w:val="32"/>
          <w:szCs w:val="32"/>
        </w:rPr>
        <w:t>消防安全责任制规定》，</w:t>
      </w:r>
      <w:r>
        <w:rPr>
          <w:rFonts w:hint="eastAsia" w:ascii="黑体" w:hAnsi="黑体" w:eastAsia="黑体"/>
          <w:sz w:val="32"/>
          <w:szCs w:val="32"/>
          <w:lang w:eastAsia="zh-CN"/>
        </w:rPr>
        <w:t>青阳县</w:t>
      </w:r>
      <w:r>
        <w:rPr>
          <w:rFonts w:hint="eastAsia" w:ascii="黑体" w:hAnsi="黑体" w:eastAsia="黑体"/>
          <w:sz w:val="32"/>
          <w:szCs w:val="32"/>
        </w:rPr>
        <w:t>人民政府</w:t>
      </w:r>
      <w:r>
        <w:rPr>
          <w:rFonts w:hint="eastAsia" w:ascii="仿宋_GB2312" w:eastAsia="仿宋_GB2312"/>
          <w:sz w:val="32"/>
          <w:szCs w:val="32"/>
        </w:rPr>
        <w:t>与</w:t>
      </w:r>
      <w:r>
        <w:rPr>
          <w:rFonts w:hint="eastAsia" w:ascii="黑体" w:hAnsi="黑体" w:eastAsia="黑体"/>
          <w:sz w:val="32"/>
          <w:szCs w:val="32"/>
          <w:lang w:eastAsia="zh-CN"/>
        </w:rPr>
        <w:t>青阳县</w:t>
      </w:r>
      <w:r>
        <w:rPr>
          <w:rFonts w:hint="eastAsia" w:ascii="黑体" w:hAnsi="黑体" w:eastAsia="黑体"/>
          <w:sz w:val="32"/>
          <w:szCs w:val="32"/>
        </w:rPr>
        <w:t>民政局</w:t>
      </w:r>
      <w:r>
        <w:rPr>
          <w:rFonts w:hint="eastAsia" w:ascii="仿宋_GB2312" w:eastAsia="仿宋_GB2312"/>
          <w:sz w:val="32"/>
          <w:szCs w:val="32"/>
        </w:rPr>
        <w:t>签订202</w:t>
      </w:r>
      <w:r>
        <w:rPr>
          <w:rFonts w:hint="eastAsia" w:ascii="仿宋_GB2312" w:eastAsia="仿宋_GB2312"/>
          <w:sz w:val="32"/>
          <w:szCs w:val="32"/>
          <w:lang w:val="en-US" w:eastAsia="zh-CN"/>
        </w:rPr>
        <w:t>4</w:t>
      </w:r>
      <w:r>
        <w:rPr>
          <w:rFonts w:hint="eastAsia" w:ascii="仿宋_GB2312" w:eastAsia="仿宋_GB2312"/>
          <w:sz w:val="32"/>
          <w:szCs w:val="32"/>
        </w:rPr>
        <w:t>年安全生产和消防工作目标管理责任书。</w:t>
      </w:r>
    </w:p>
    <w:p>
      <w:pPr>
        <w:keepNext w:val="0"/>
        <w:keepLines w:val="0"/>
        <w:pageBreakBefore w:val="0"/>
        <w:widowControl w:val="0"/>
        <w:kinsoku/>
        <w:wordWrap/>
        <w:overflowPunct w:val="0"/>
        <w:topLinePunct w:val="0"/>
        <w:autoSpaceDE/>
        <w:autoSpaceDN/>
        <w:bidi w:val="0"/>
        <w:adjustRightInd/>
        <w:snapToGrid/>
        <w:spacing w:line="600" w:lineRule="exact"/>
        <w:ind w:right="0" w:rightChars="0" w:firstLine="640" w:firstLineChars="200"/>
        <w:textAlignment w:val="auto"/>
        <w:rPr>
          <w:rFonts w:eastAsia="仿宋_GB2312"/>
          <w:sz w:val="32"/>
          <w:szCs w:val="32"/>
        </w:rPr>
      </w:pPr>
      <w:r>
        <w:rPr>
          <w:rFonts w:eastAsia="黑体"/>
          <w:sz w:val="32"/>
          <w:szCs w:val="32"/>
        </w:rPr>
        <w:t>一、确保实现工作目标。</w:t>
      </w:r>
      <w:r>
        <w:rPr>
          <w:rFonts w:hint="eastAsia" w:ascii="仿宋_GB2312" w:hAnsi="仿宋_GB2312" w:eastAsia="仿宋_GB2312" w:cs="仿宋_GB2312"/>
          <w:sz w:val="32"/>
          <w:szCs w:val="32"/>
        </w:rPr>
        <w:t>坚决遏制民政领域重特大生产安全和火灾事故，有效防范生产安全和火灾较大事故，努力减少生产安全和火灾一般事故。</w:t>
      </w:r>
    </w:p>
    <w:p>
      <w:pPr>
        <w:keepNext w:val="0"/>
        <w:keepLines w:val="0"/>
        <w:pageBreakBefore w:val="0"/>
        <w:widowControl w:val="0"/>
        <w:kinsoku/>
        <w:wordWrap/>
        <w:overflowPunct w:val="0"/>
        <w:topLinePunct w:val="0"/>
        <w:autoSpaceDE/>
        <w:autoSpaceDN/>
        <w:bidi w:val="0"/>
        <w:adjustRightInd/>
        <w:snapToGrid/>
        <w:spacing w:line="600" w:lineRule="exact"/>
        <w:ind w:right="0" w:rightChars="0" w:firstLine="640" w:firstLineChars="200"/>
        <w:textAlignment w:val="auto"/>
        <w:rPr>
          <w:rFonts w:hint="default" w:eastAsia="黑体"/>
          <w:sz w:val="32"/>
          <w:szCs w:val="32"/>
        </w:rPr>
      </w:pPr>
      <w:r>
        <w:rPr>
          <w:rFonts w:eastAsia="黑体"/>
          <w:sz w:val="32"/>
          <w:szCs w:val="32"/>
        </w:rPr>
        <w:t>二、树牢安全发展理念。</w:t>
      </w:r>
      <w:r>
        <w:rPr>
          <w:rFonts w:hint="eastAsia" w:ascii="仿宋_GB2312" w:hAnsi="仿宋_GB2312" w:eastAsia="仿宋_GB2312" w:cs="仿宋_GB2312"/>
          <w:sz w:val="32"/>
          <w:szCs w:val="32"/>
        </w:rPr>
        <w:t>深入学习宣传贯彻习近平总书记关于安全生产、应急管理、防灾减灾救灾的重要论述，贯彻落实党的二十大报告中关于安全生产的重要部署，坚持人民至上、生命至上，更好统筹发展和安全，</w:t>
      </w:r>
      <w:r>
        <w:rPr>
          <w:rFonts w:hint="eastAsia" w:ascii="仿宋_GB2312" w:hAnsi="仿宋_GB2312" w:eastAsia="仿宋_GB2312" w:cs="仿宋_GB2312"/>
          <w:sz w:val="32"/>
          <w:szCs w:val="32"/>
          <w:lang w:eastAsia="zh-CN"/>
        </w:rPr>
        <w:t>深入开展</w:t>
      </w:r>
      <w:r>
        <w:rPr>
          <w:rFonts w:hint="eastAsia" w:ascii="仿宋_GB2312" w:hAnsi="仿宋_GB2312" w:eastAsia="仿宋_GB2312" w:cs="仿宋_GB2312"/>
          <w:sz w:val="32"/>
          <w:szCs w:val="32"/>
        </w:rPr>
        <w:t>安全生产</w:t>
      </w:r>
      <w:r>
        <w:rPr>
          <w:rFonts w:hint="eastAsia" w:ascii="仿宋_GB2312" w:hAnsi="仿宋_GB2312" w:eastAsia="仿宋_GB2312" w:cs="仿宋_GB2312"/>
          <w:sz w:val="32"/>
          <w:szCs w:val="32"/>
          <w:lang w:eastAsia="zh-CN"/>
        </w:rPr>
        <w:t>治本攻坚三年行动，</w:t>
      </w:r>
      <w:r>
        <w:rPr>
          <w:rFonts w:hint="eastAsia" w:ascii="仿宋_GB2312" w:hAnsi="仿宋_GB2312" w:eastAsia="仿宋_GB2312" w:cs="仿宋_GB2312"/>
          <w:sz w:val="32"/>
          <w:szCs w:val="32"/>
        </w:rPr>
        <w:t>推动安全生产治理模式向事前预防转型。</w:t>
      </w:r>
    </w:p>
    <w:p>
      <w:pPr>
        <w:keepNext w:val="0"/>
        <w:keepLines w:val="0"/>
        <w:pageBreakBefore w:val="0"/>
        <w:widowControl w:val="0"/>
        <w:kinsoku/>
        <w:wordWrap/>
        <w:overflowPunct w:val="0"/>
        <w:topLinePunct w:val="0"/>
        <w:autoSpaceDE/>
        <w:autoSpaceDN/>
        <w:bidi w:val="0"/>
        <w:adjustRightInd/>
        <w:snapToGrid/>
        <w:spacing w:line="600" w:lineRule="exact"/>
        <w:ind w:right="0" w:rightChars="0" w:firstLine="640" w:firstLineChars="200"/>
        <w:textAlignment w:val="auto"/>
        <w:rPr>
          <w:rFonts w:eastAsia="黑体"/>
          <w:sz w:val="32"/>
          <w:szCs w:val="32"/>
        </w:rPr>
      </w:pPr>
      <w:r>
        <w:rPr>
          <w:rFonts w:eastAsia="黑体"/>
          <w:sz w:val="32"/>
          <w:szCs w:val="32"/>
        </w:rPr>
        <w:t>三、落实安全工作责任。</w:t>
      </w:r>
      <w:r>
        <w:rPr>
          <w:rFonts w:hint="eastAsia" w:ascii="仿宋_GB2312" w:hAnsi="仿宋_GB2312" w:eastAsia="仿宋_GB2312" w:cs="仿宋_GB2312"/>
          <w:sz w:val="32"/>
          <w:szCs w:val="32"/>
        </w:rPr>
        <w:t>落实《党政领导干部安全生产责任制实施细则》《安徽省消防安全责任制规定》</w:t>
      </w:r>
      <w:r>
        <w:rPr>
          <w:rFonts w:hint="eastAsia" w:ascii="仿宋_GB2312" w:hAnsi="仿宋_GB2312" w:eastAsia="仿宋_GB2312" w:cs="仿宋_GB2312"/>
          <w:kern w:val="0"/>
          <w:sz w:val="32"/>
          <w:szCs w:val="32"/>
        </w:rPr>
        <w:t>，</w:t>
      </w:r>
      <w:r>
        <w:rPr>
          <w:rFonts w:hint="eastAsia" w:ascii="仿宋_GB2312" w:hAnsi="仿宋_GB2312" w:eastAsia="仿宋_GB2312" w:cs="仿宋_GB2312"/>
          <w:kern w:val="0"/>
          <w:sz w:val="32"/>
          <w:szCs w:val="32"/>
          <w:lang w:val="en-US" w:eastAsia="zh-CN"/>
        </w:rPr>
        <w:t>严格</w:t>
      </w:r>
      <w:r>
        <w:rPr>
          <w:rFonts w:hint="eastAsia" w:ascii="仿宋_GB2312" w:hAnsi="仿宋_GB2312" w:eastAsia="仿宋_GB2312" w:cs="仿宋_GB2312"/>
          <w:kern w:val="0"/>
          <w:sz w:val="32"/>
          <w:szCs w:val="32"/>
        </w:rPr>
        <w:t>执行</w:t>
      </w:r>
      <w:r>
        <w:rPr>
          <w:rFonts w:hint="eastAsia" w:ascii="仿宋_GB2312" w:hAnsi="仿宋_GB2312" w:eastAsia="仿宋_GB2312" w:cs="仿宋_GB2312"/>
          <w:kern w:val="0"/>
          <w:sz w:val="32"/>
          <w:szCs w:val="32"/>
          <w:lang w:eastAsia="zh-CN"/>
        </w:rPr>
        <w:t>《青阳县</w:t>
      </w:r>
      <w:r>
        <w:rPr>
          <w:rFonts w:hint="eastAsia" w:ascii="仿宋_GB2312" w:hAnsi="仿宋_GB2312" w:eastAsia="仿宋_GB2312" w:cs="仿宋_GB2312"/>
          <w:kern w:val="0"/>
          <w:sz w:val="32"/>
          <w:szCs w:val="32"/>
        </w:rPr>
        <w:t>安全生产“三管三必须”责任清单</w:t>
      </w:r>
      <w:r>
        <w:rPr>
          <w:rFonts w:hint="eastAsia" w:ascii="仿宋_GB2312" w:hAnsi="仿宋_GB2312" w:eastAsia="仿宋_GB2312" w:cs="仿宋_GB2312"/>
          <w:kern w:val="0"/>
          <w:sz w:val="32"/>
          <w:szCs w:val="32"/>
          <w:lang w:eastAsia="zh-CN"/>
        </w:rPr>
        <w:t>》</w:t>
      </w:r>
      <w:r>
        <w:rPr>
          <w:rFonts w:hint="eastAsia" w:ascii="仿宋_GB2312" w:hAnsi="仿宋_GB2312" w:eastAsia="仿宋_GB2312" w:cs="仿宋_GB2312"/>
          <w:kern w:val="0"/>
          <w:sz w:val="32"/>
          <w:szCs w:val="32"/>
          <w:lang w:val="en-US" w:eastAsia="zh-CN"/>
        </w:rPr>
        <w:t>及《实施意见》</w:t>
      </w:r>
      <w:r>
        <w:rPr>
          <w:rFonts w:hint="eastAsia" w:ascii="仿宋_GB2312" w:hAnsi="仿宋_GB2312" w:eastAsia="仿宋_GB2312" w:cs="仿宋_GB2312"/>
          <w:kern w:val="0"/>
          <w:sz w:val="32"/>
          <w:szCs w:val="32"/>
        </w:rPr>
        <w:t>。负责民政系统的安全监督管理。指导养老服务机构、儿童福利机构、未成年人救助保护机构、流浪乞讨人员救助管理机构、殡葬服务机构、精神卫生福利机构等安全管理工作，制定相关安全法规、行业标准并监督实施，督促其落实安全责任和防范措施</w:t>
      </w:r>
      <w:r>
        <w:rPr>
          <w:rFonts w:hint="eastAsia" w:ascii="仿宋_GB2312" w:hAnsi="仿宋_GB2312" w:eastAsia="仿宋_GB2312" w:cs="仿宋_GB2312"/>
          <w:kern w:val="0"/>
          <w:sz w:val="32"/>
          <w:szCs w:val="32"/>
          <w:lang w:eastAsia="zh-CN"/>
        </w:rPr>
        <w:t>。</w:t>
      </w:r>
      <w:r>
        <w:rPr>
          <w:rFonts w:hint="eastAsia" w:ascii="仿宋_GB2312" w:hAnsi="仿宋_GB2312" w:eastAsia="仿宋_GB2312" w:cs="仿宋_GB2312"/>
          <w:kern w:val="0"/>
          <w:sz w:val="32"/>
          <w:szCs w:val="32"/>
        </w:rPr>
        <w:t>负责民政系统安全管理分析，依法组织或参加民政服务机构安全事故调查处理，按照职责分工对事故发生单位落实防范和整改措施的情况进行监督检查。参与安全事故处置工作。</w:t>
      </w:r>
    </w:p>
    <w:p>
      <w:pPr>
        <w:keepNext w:val="0"/>
        <w:keepLines w:val="0"/>
        <w:pageBreakBefore w:val="0"/>
        <w:widowControl w:val="0"/>
        <w:kinsoku/>
        <w:wordWrap/>
        <w:overflowPunct w:val="0"/>
        <w:topLinePunct w:val="0"/>
        <w:autoSpaceDE/>
        <w:autoSpaceDN/>
        <w:bidi w:val="0"/>
        <w:adjustRightInd/>
        <w:snapToGrid/>
        <w:spacing w:line="600" w:lineRule="exact"/>
        <w:ind w:right="0" w:rightChars="0" w:firstLine="640" w:firstLineChars="200"/>
        <w:textAlignment w:val="auto"/>
        <w:rPr>
          <w:rFonts w:eastAsia="仿宋_GB2312"/>
          <w:sz w:val="32"/>
          <w:szCs w:val="32"/>
        </w:rPr>
      </w:pPr>
      <w:r>
        <w:rPr>
          <w:rFonts w:eastAsia="黑体"/>
          <w:sz w:val="32"/>
          <w:szCs w:val="32"/>
        </w:rPr>
        <w:t>四、防范化解重大风险。</w:t>
      </w:r>
      <w:r>
        <w:rPr>
          <w:rFonts w:hint="eastAsia" w:ascii="仿宋_GB2312" w:hAnsi="仿宋_GB2312" w:eastAsia="仿宋_GB2312" w:cs="仿宋_GB2312"/>
          <w:sz w:val="32"/>
          <w:szCs w:val="32"/>
          <w:lang w:val="en-US" w:eastAsia="zh-CN"/>
        </w:rPr>
        <w:t>聚焦</w:t>
      </w:r>
      <w:r>
        <w:rPr>
          <w:rFonts w:hint="eastAsia" w:ascii="仿宋_GB2312" w:hAnsi="仿宋_GB2312" w:eastAsia="仿宋_GB2312" w:cs="仿宋_GB2312"/>
          <w:sz w:val="32"/>
          <w:szCs w:val="32"/>
        </w:rPr>
        <w:t>重点行业领域</w:t>
      </w:r>
      <w:r>
        <w:rPr>
          <w:rFonts w:hint="eastAsia" w:ascii="仿宋_GB2312" w:hAnsi="仿宋_GB2312" w:eastAsia="仿宋_GB2312" w:cs="仿宋_GB2312"/>
          <w:sz w:val="32"/>
          <w:szCs w:val="32"/>
          <w:lang w:val="en-US" w:eastAsia="zh-CN"/>
        </w:rPr>
        <w:t>专项治理，深化</w:t>
      </w:r>
      <w:r>
        <w:rPr>
          <w:rFonts w:hint="eastAsia" w:ascii="仿宋_GB2312" w:hAnsi="仿宋_GB2312" w:eastAsia="仿宋_GB2312" w:cs="仿宋_GB2312"/>
          <w:sz w:val="32"/>
          <w:szCs w:val="32"/>
        </w:rPr>
        <w:t>重大事故隐患排查整治</w:t>
      </w:r>
      <w:r>
        <w:rPr>
          <w:rFonts w:hint="eastAsia" w:ascii="仿宋_GB2312" w:hAnsi="仿宋_GB2312" w:eastAsia="仿宋_GB2312" w:cs="仿宋_GB2312"/>
          <w:sz w:val="32"/>
          <w:szCs w:val="32"/>
          <w:lang w:eastAsia="zh-CN"/>
        </w:rPr>
        <w:t>。在重大活动、重大节日期间，采取“四不两直”执法检查、专家指导服务、媒体曝光等措施，组织开展安全生产常态化明查暗访。</w:t>
      </w:r>
      <w:r>
        <w:rPr>
          <w:rFonts w:hint="eastAsia" w:ascii="仿宋_GB2312" w:hAnsi="仿宋_GB2312" w:eastAsia="仿宋_GB2312" w:cs="仿宋_GB2312"/>
          <w:sz w:val="32"/>
          <w:szCs w:val="32"/>
        </w:rPr>
        <w:t>深刻汲取有关生产安全事故教训，主动排查整改问题。在民政部现有系统的基础上，用好民政服务机构重大事故隐患统计分析机制，定期统计、分析、报送排查整改情况，针对性开展督导检查。</w:t>
      </w:r>
      <w:r>
        <w:rPr>
          <w:rFonts w:hint="eastAsia" w:ascii="仿宋_GB2312" w:hAnsi="仿宋_GB2312" w:eastAsia="仿宋_GB2312" w:cs="仿宋_GB2312"/>
          <w:kern w:val="0"/>
          <w:sz w:val="32"/>
          <w:szCs w:val="32"/>
        </w:rPr>
        <w:t>紧盯养老机构等人员密集场所火灾风险防控。严格依法办理涉及消防安全的备案事项，明确对经消防审核部门审核不符合消防安全条件的养老机构，不予备案，并将各</w:t>
      </w:r>
      <w:r>
        <w:rPr>
          <w:rFonts w:hint="eastAsia" w:ascii="仿宋_GB2312" w:hAnsi="仿宋_GB2312" w:eastAsia="仿宋_GB2312" w:cs="仿宋_GB2312"/>
          <w:kern w:val="0"/>
          <w:sz w:val="32"/>
          <w:szCs w:val="32"/>
          <w:lang w:val="en-US" w:eastAsia="zh-CN"/>
        </w:rPr>
        <w:t>地</w:t>
      </w:r>
      <w:r>
        <w:rPr>
          <w:rFonts w:hint="eastAsia" w:ascii="仿宋_GB2312" w:hAnsi="仿宋_GB2312" w:eastAsia="仿宋_GB2312" w:cs="仿宋_GB2312"/>
          <w:kern w:val="0"/>
          <w:sz w:val="32"/>
          <w:szCs w:val="32"/>
        </w:rPr>
        <w:t>民政部门落实情况纳入年度督导检查项目范围。严格执行《民政部门消防安全标准化管理规定》。</w:t>
      </w:r>
    </w:p>
    <w:p>
      <w:pPr>
        <w:keepNext w:val="0"/>
        <w:keepLines w:val="0"/>
        <w:pageBreakBefore w:val="0"/>
        <w:widowControl w:val="0"/>
        <w:kinsoku/>
        <w:wordWrap/>
        <w:overflowPunct w:val="0"/>
        <w:topLinePunct w:val="0"/>
        <w:autoSpaceDE/>
        <w:autoSpaceDN/>
        <w:bidi w:val="0"/>
        <w:adjustRightInd/>
        <w:snapToGrid/>
        <w:spacing w:line="600" w:lineRule="exact"/>
        <w:ind w:right="0" w:rightChars="0" w:firstLine="640" w:firstLineChars="200"/>
        <w:textAlignment w:val="auto"/>
        <w:rPr>
          <w:rFonts w:hint="default" w:ascii="Times New Roman" w:hAnsi="Times New Roman" w:eastAsia="方正仿宋_GBK" w:cs="Times New Roman"/>
          <w:sz w:val="30"/>
          <w:szCs w:val="30"/>
        </w:rPr>
      </w:pPr>
      <w:r>
        <w:rPr>
          <w:rFonts w:eastAsia="黑体"/>
          <w:sz w:val="32"/>
          <w:szCs w:val="32"/>
        </w:rPr>
        <w:t>五、夯实安全工作基础。</w:t>
      </w:r>
      <w:r>
        <w:rPr>
          <w:rFonts w:hint="eastAsia" w:ascii="仿宋_GB2312" w:hAnsi="仿宋_GB2312" w:eastAsia="仿宋_GB2312" w:cs="仿宋_GB2312"/>
          <w:sz w:val="32"/>
          <w:szCs w:val="32"/>
          <w:lang w:val="en-US" w:eastAsia="zh-CN"/>
        </w:rPr>
        <w:t>用好案例教育法，</w:t>
      </w:r>
      <w:r>
        <w:rPr>
          <w:rFonts w:hint="eastAsia" w:ascii="仿宋_GB2312" w:hAnsi="仿宋_GB2312" w:eastAsia="仿宋_GB2312" w:cs="仿宋_GB2312"/>
          <w:sz w:val="32"/>
          <w:szCs w:val="32"/>
        </w:rPr>
        <w:t>扎实开展“安全生产月”</w:t>
      </w:r>
      <w:r>
        <w:rPr>
          <w:rFonts w:hint="eastAsia" w:ascii="仿宋_GB2312" w:hAnsi="仿宋_GB2312" w:eastAsia="仿宋_GB2312" w:cs="仿宋_GB2312"/>
          <w:sz w:val="32"/>
          <w:szCs w:val="32"/>
          <w:lang w:eastAsia="zh-CN"/>
        </w:rPr>
        <w:t>、消防宣传月</w:t>
      </w:r>
      <w:r>
        <w:rPr>
          <w:rFonts w:hint="eastAsia" w:ascii="仿宋_GB2312" w:hAnsi="仿宋_GB2312" w:eastAsia="仿宋_GB2312" w:cs="仿宋_GB2312"/>
          <w:sz w:val="32"/>
          <w:szCs w:val="32"/>
        </w:rPr>
        <w:t>等安全宣传教育活动。负责办理经业务主管单位审核同意、非营利性且不属于事业编制的消防安全专业培训机构的登记，并配合业务主管单位实施监督管理。按照职责和有关规定及时报告事故信息。负责相关安全生产统计分析。依法参与有关事故调查处理。建立健全内设安委会或安全生产工作领导小组，主要负责同志任主任或组长，每季度研究一次安全生产工作。发挥民政服务机构安全生产领导小组办公室职能，组织开展信息通报、联合执法、会商研判。</w:t>
      </w:r>
    </w:p>
    <w:p>
      <w:pPr>
        <w:keepNext w:val="0"/>
        <w:keepLines w:val="0"/>
        <w:pageBreakBefore w:val="0"/>
        <w:widowControl w:val="0"/>
        <w:kinsoku/>
        <w:wordWrap/>
        <w:overflowPunct w:val="0"/>
        <w:topLinePunct w:val="0"/>
        <w:autoSpaceDE/>
        <w:autoSpaceDN/>
        <w:bidi w:val="0"/>
        <w:adjustRightInd/>
        <w:snapToGrid/>
        <w:spacing w:line="600" w:lineRule="exact"/>
        <w:ind w:right="0" w:rightChars="0" w:firstLine="640" w:firstLineChars="200"/>
        <w:textAlignment w:val="auto"/>
        <w:rPr>
          <w:rFonts w:hint="eastAsia" w:ascii="仿宋_GB2312" w:hAnsi="仿宋_GB2312" w:eastAsia="仿宋_GB2312" w:cs="仿宋_GB2312"/>
          <w:sz w:val="32"/>
          <w:szCs w:val="32"/>
        </w:rPr>
      </w:pPr>
    </w:p>
    <w:p>
      <w:pPr>
        <w:keepNext w:val="0"/>
        <w:keepLines w:val="0"/>
        <w:pageBreakBefore w:val="0"/>
        <w:widowControl w:val="0"/>
        <w:kinsoku/>
        <w:wordWrap/>
        <w:overflowPunct w:val="0"/>
        <w:topLinePunct w:val="0"/>
        <w:autoSpaceDE/>
        <w:autoSpaceDN/>
        <w:bidi w:val="0"/>
        <w:adjustRightInd/>
        <w:snapToGrid/>
        <w:spacing w:line="600" w:lineRule="exact"/>
        <w:ind w:right="0" w:rightChars="0"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本责任书将作为202</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年度安全生产和消防工作考核依据。</w:t>
      </w:r>
    </w:p>
    <w:p>
      <w:pPr>
        <w:keepNext w:val="0"/>
        <w:keepLines w:val="0"/>
        <w:pageBreakBefore w:val="0"/>
        <w:widowControl w:val="0"/>
        <w:kinsoku/>
        <w:wordWrap/>
        <w:overflowPunct/>
        <w:topLinePunct w:val="0"/>
        <w:autoSpaceDE/>
        <w:autoSpaceDN/>
        <w:bidi w:val="0"/>
        <w:adjustRightInd/>
        <w:snapToGrid/>
        <w:spacing w:line="600" w:lineRule="exact"/>
        <w:ind w:right="0" w:rightChars="0" w:firstLine="640" w:firstLineChars="200"/>
        <w:textAlignment w:val="auto"/>
        <w:rPr>
          <w:rFonts w:hint="eastAsia" w:ascii="黑体" w:hAnsi="黑体" w:eastAsia="黑体"/>
          <w:sz w:val="32"/>
          <w:szCs w:val="32"/>
          <w:lang w:eastAsia="zh-CN"/>
        </w:rPr>
      </w:pPr>
    </w:p>
    <w:p>
      <w:pPr>
        <w:keepNext w:val="0"/>
        <w:keepLines w:val="0"/>
        <w:pageBreakBefore w:val="0"/>
        <w:widowControl w:val="0"/>
        <w:kinsoku/>
        <w:wordWrap/>
        <w:overflowPunct/>
        <w:topLinePunct w:val="0"/>
        <w:autoSpaceDE/>
        <w:autoSpaceDN/>
        <w:bidi w:val="0"/>
        <w:adjustRightInd/>
        <w:snapToGrid/>
        <w:spacing w:line="600" w:lineRule="exact"/>
        <w:ind w:right="0" w:rightChars="0" w:firstLine="640" w:firstLineChars="200"/>
        <w:textAlignment w:val="auto"/>
        <w:rPr>
          <w:rFonts w:ascii="黑体" w:hAnsi="黑体" w:eastAsia="黑体"/>
          <w:sz w:val="32"/>
          <w:szCs w:val="32"/>
        </w:rPr>
      </w:pPr>
      <w:r>
        <w:rPr>
          <w:rFonts w:hint="eastAsia" w:ascii="黑体" w:hAnsi="黑体" w:eastAsia="黑体"/>
          <w:sz w:val="32"/>
          <w:szCs w:val="32"/>
          <w:lang w:eastAsia="zh-CN"/>
        </w:rPr>
        <w:t>青阳县</w:t>
      </w:r>
      <w:r>
        <w:rPr>
          <w:rFonts w:hint="eastAsia" w:ascii="黑体" w:hAnsi="黑体" w:eastAsia="黑体"/>
          <w:sz w:val="32"/>
          <w:szCs w:val="32"/>
        </w:rPr>
        <w:t xml:space="preserve">人民政府        </w:t>
      </w:r>
      <w:r>
        <w:rPr>
          <w:rFonts w:ascii="黑体" w:hAnsi="黑体" w:eastAsia="黑体"/>
          <w:sz w:val="32"/>
          <w:szCs w:val="32"/>
        </w:rPr>
        <w:t xml:space="preserve">    </w:t>
      </w:r>
      <w:r>
        <w:rPr>
          <w:rFonts w:hint="eastAsia" w:ascii="黑体" w:hAnsi="黑体" w:eastAsia="黑体"/>
          <w:sz w:val="32"/>
          <w:szCs w:val="32"/>
        </w:rPr>
        <w:t xml:space="preserve">   </w:t>
      </w:r>
      <w:r>
        <w:rPr>
          <w:rFonts w:hint="eastAsia" w:ascii="黑体" w:hAnsi="黑体" w:eastAsia="黑体"/>
          <w:sz w:val="32"/>
          <w:szCs w:val="32"/>
          <w:lang w:val="en-US" w:eastAsia="zh-CN"/>
        </w:rPr>
        <w:t xml:space="preserve">  </w:t>
      </w:r>
      <w:r>
        <w:rPr>
          <w:rFonts w:hint="eastAsia" w:ascii="黑体" w:hAnsi="黑体" w:eastAsia="黑体"/>
          <w:sz w:val="32"/>
          <w:szCs w:val="32"/>
          <w:lang w:eastAsia="zh-CN"/>
        </w:rPr>
        <w:t>青阳县</w:t>
      </w:r>
      <w:r>
        <w:rPr>
          <w:rFonts w:hint="eastAsia" w:ascii="黑体" w:hAnsi="黑体" w:eastAsia="黑体"/>
          <w:sz w:val="32"/>
          <w:szCs w:val="32"/>
        </w:rPr>
        <w:t>民政局</w:t>
      </w:r>
    </w:p>
    <w:p>
      <w:pPr>
        <w:keepNext w:val="0"/>
        <w:keepLines w:val="0"/>
        <w:pageBreakBefore w:val="0"/>
        <w:widowControl w:val="0"/>
        <w:kinsoku/>
        <w:wordWrap/>
        <w:overflowPunct/>
        <w:topLinePunct w:val="0"/>
        <w:autoSpaceDE/>
        <w:autoSpaceDN/>
        <w:bidi w:val="0"/>
        <w:adjustRightInd/>
        <w:snapToGrid/>
        <w:spacing w:line="600" w:lineRule="exact"/>
        <w:ind w:right="0" w:rightChars="0" w:firstLine="640" w:firstLineChars="200"/>
        <w:textAlignment w:val="auto"/>
        <w:rPr>
          <w:rFonts w:hint="eastAsia" w:ascii="黑体" w:hAnsi="黑体" w:eastAsia="黑体"/>
          <w:sz w:val="32"/>
          <w:szCs w:val="32"/>
        </w:rPr>
      </w:pPr>
      <w:bookmarkStart w:id="0" w:name="_GoBack"/>
      <w:bookmarkEnd w:id="0"/>
    </w:p>
    <w:p>
      <w:pPr>
        <w:keepNext w:val="0"/>
        <w:keepLines w:val="0"/>
        <w:pageBreakBefore w:val="0"/>
        <w:widowControl w:val="0"/>
        <w:kinsoku/>
        <w:wordWrap/>
        <w:overflowPunct/>
        <w:topLinePunct w:val="0"/>
        <w:autoSpaceDE/>
        <w:autoSpaceDN/>
        <w:bidi w:val="0"/>
        <w:adjustRightInd/>
        <w:snapToGrid/>
        <w:spacing w:line="600" w:lineRule="exact"/>
        <w:ind w:right="0" w:rightChars="0" w:firstLine="640" w:firstLineChars="200"/>
        <w:textAlignment w:val="auto"/>
        <w:rPr>
          <w:rFonts w:ascii="黑体" w:hAnsi="黑体" w:eastAsia="黑体"/>
          <w:sz w:val="32"/>
          <w:szCs w:val="32"/>
        </w:rPr>
      </w:pPr>
      <w:r>
        <w:rPr>
          <w:rFonts w:hint="eastAsia" w:ascii="黑体" w:hAnsi="黑体" w:eastAsia="黑体"/>
          <w:sz w:val="32"/>
          <w:szCs w:val="32"/>
        </w:rPr>
        <w:t xml:space="preserve">签字人：                </w:t>
      </w:r>
      <w:r>
        <w:rPr>
          <w:rFonts w:ascii="黑体" w:hAnsi="黑体" w:eastAsia="黑体"/>
          <w:sz w:val="32"/>
          <w:szCs w:val="32"/>
        </w:rPr>
        <w:t xml:space="preserve">    </w:t>
      </w:r>
      <w:r>
        <w:rPr>
          <w:rFonts w:hint="eastAsia" w:ascii="黑体" w:hAnsi="黑体" w:eastAsia="黑体"/>
          <w:sz w:val="32"/>
          <w:szCs w:val="32"/>
          <w:lang w:val="en-US" w:eastAsia="zh-CN"/>
        </w:rPr>
        <w:t xml:space="preserve">  </w:t>
      </w:r>
      <w:r>
        <w:rPr>
          <w:rFonts w:hint="eastAsia" w:ascii="黑体" w:hAnsi="黑体" w:eastAsia="黑体"/>
          <w:sz w:val="32"/>
          <w:szCs w:val="32"/>
        </w:rPr>
        <w:t xml:space="preserve"> 签字人：</w:t>
      </w:r>
    </w:p>
    <w:p>
      <w:pPr>
        <w:keepNext w:val="0"/>
        <w:keepLines w:val="0"/>
        <w:pageBreakBefore w:val="0"/>
        <w:widowControl w:val="0"/>
        <w:kinsoku/>
        <w:wordWrap/>
        <w:overflowPunct/>
        <w:topLinePunct w:val="0"/>
        <w:autoSpaceDE/>
        <w:autoSpaceDN/>
        <w:bidi w:val="0"/>
        <w:adjustRightInd/>
        <w:snapToGrid/>
        <w:spacing w:line="600" w:lineRule="exact"/>
        <w:ind w:right="0" w:rightChars="0"/>
        <w:textAlignment w:val="auto"/>
        <w:rPr>
          <w:rFonts w:hint="eastAsia" w:ascii="黑体" w:hAnsi="黑体" w:eastAsia="黑体"/>
          <w:sz w:val="32"/>
          <w:szCs w:val="32"/>
          <w:lang w:val="en-US" w:eastAsia="zh-CN"/>
        </w:rPr>
      </w:pPr>
      <w:r>
        <w:rPr>
          <w:rFonts w:hint="eastAsia" w:ascii="仿宋_GB2312" w:eastAsia="仿宋_GB2312"/>
          <w:sz w:val="32"/>
          <w:szCs w:val="32"/>
        </w:rPr>
        <w:t xml:space="preserve">   </w:t>
      </w:r>
      <w:r>
        <w:rPr>
          <w:rFonts w:hint="eastAsia" w:ascii="黑体" w:hAnsi="黑体" w:eastAsia="黑体"/>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600" w:lineRule="exact"/>
        <w:ind w:right="0" w:rightChars="0"/>
        <w:textAlignment w:val="auto"/>
        <w:rPr>
          <w:sz w:val="28"/>
          <w:szCs w:val="28"/>
        </w:rPr>
      </w:pPr>
      <w:r>
        <w:rPr>
          <w:rFonts w:hint="eastAsia" w:ascii="黑体" w:hAnsi="黑体" w:eastAsia="黑体"/>
          <w:sz w:val="32"/>
          <w:szCs w:val="32"/>
          <w:lang w:val="en-US" w:eastAsia="zh-CN"/>
        </w:rPr>
        <w:t xml:space="preserve">                                         </w:t>
      </w:r>
      <w:r>
        <w:rPr>
          <w:rFonts w:hint="eastAsia" w:ascii="黑体" w:hAnsi="黑体" w:eastAsia="黑体"/>
          <w:sz w:val="32"/>
          <w:szCs w:val="32"/>
        </w:rPr>
        <w:t>202</w:t>
      </w:r>
      <w:r>
        <w:rPr>
          <w:rFonts w:hint="eastAsia" w:ascii="黑体" w:hAnsi="黑体" w:eastAsia="黑体"/>
          <w:sz w:val="32"/>
          <w:szCs w:val="32"/>
          <w:lang w:val="en-US" w:eastAsia="zh-CN"/>
        </w:rPr>
        <w:t>4</w:t>
      </w:r>
      <w:r>
        <w:rPr>
          <w:rFonts w:hint="eastAsia" w:ascii="黑体" w:hAnsi="黑体" w:eastAsia="黑体"/>
          <w:sz w:val="32"/>
          <w:szCs w:val="32"/>
        </w:rPr>
        <w:t>年</w:t>
      </w:r>
      <w:r>
        <w:rPr>
          <w:rFonts w:hint="eastAsia" w:ascii="黑体" w:hAnsi="黑体" w:eastAsia="黑体"/>
          <w:sz w:val="32"/>
          <w:szCs w:val="32"/>
          <w:lang w:val="en-US" w:eastAsia="zh-CN"/>
        </w:rPr>
        <w:t>5</w:t>
      </w:r>
      <w:r>
        <w:rPr>
          <w:rFonts w:hint="eastAsia" w:ascii="黑体" w:hAnsi="黑体" w:eastAsia="黑体"/>
          <w:sz w:val="32"/>
          <w:szCs w:val="32"/>
        </w:rPr>
        <w:t>月</w:t>
      </w:r>
    </w:p>
    <w:sectPr>
      <w:pgSz w:w="11906" w:h="16838"/>
      <w:pgMar w:top="1701" w:right="1418" w:bottom="1134"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C34B5B7E-2D26-4449-BEB7-4309262F4EFA}"/>
  </w:font>
  <w:font w:name="Arial">
    <w:panose1 w:val="020B0604020202020204"/>
    <w:charset w:val="01"/>
    <w:family w:val="swiss"/>
    <w:pitch w:val="default"/>
    <w:sig w:usb0="E0002EFF" w:usb1="C000785B" w:usb2="00000009" w:usb3="00000000" w:csb0="400001FF" w:csb1="FFFF0000"/>
    <w:embedRegular r:id="rId2" w:fontKey="{0AAB1F33-CA3D-479F-887C-DEF350AEF014}"/>
  </w:font>
  <w:font w:name="黑体">
    <w:panose1 w:val="02010609060101010101"/>
    <w:charset w:val="86"/>
    <w:family w:val="auto"/>
    <w:pitch w:val="default"/>
    <w:sig w:usb0="800002BF" w:usb1="38CF7CFA" w:usb2="00000016" w:usb3="00000000" w:csb0="00040001" w:csb1="00000000"/>
    <w:embedRegular r:id="rId3" w:fontKey="{9D89CC1B-83E5-4D98-BB09-9322E2F29CA0}"/>
  </w:font>
  <w:font w:name="Courier New">
    <w:panose1 w:val="02070309020205020404"/>
    <w:charset w:val="01"/>
    <w:family w:val="modern"/>
    <w:pitch w:val="default"/>
    <w:sig w:usb0="E0002EFF" w:usb1="C0007843" w:usb2="00000009" w:usb3="00000000" w:csb0="400001FF" w:csb1="FFFF0000"/>
    <w:embedRegular r:id="rId4" w:fontKey="{DDFB353D-CDA9-49E4-8368-CCB847DD3E02}"/>
  </w:font>
  <w:font w:name="Symbol">
    <w:panose1 w:val="05050102010706020507"/>
    <w:charset w:val="02"/>
    <w:family w:val="roman"/>
    <w:pitch w:val="default"/>
    <w:sig w:usb0="00000000" w:usb1="00000000" w:usb2="00000000" w:usb3="00000000" w:csb0="80000000" w:csb1="00000000"/>
    <w:embedRegular r:id="rId5" w:fontKey="{EED256C8-B3B7-4DB9-A11B-525C67940DBC}"/>
  </w:font>
  <w:font w:name="Calibri">
    <w:panose1 w:val="020F0502020204030204"/>
    <w:charset w:val="00"/>
    <w:family w:val="swiss"/>
    <w:pitch w:val="default"/>
    <w:sig w:usb0="E4002EFF" w:usb1="C000247B" w:usb2="00000009" w:usb3="00000000" w:csb0="200001FF" w:csb1="00000000"/>
    <w:embedRegular r:id="rId6" w:fontKey="{3504D696-9AE0-44BA-BFFD-0B0BAE4EBDFF}"/>
  </w:font>
  <w:font w:name="方正小标宋简体">
    <w:panose1 w:val="02000000000000000000"/>
    <w:charset w:val="86"/>
    <w:family w:val="auto"/>
    <w:pitch w:val="default"/>
    <w:sig w:usb0="00000001" w:usb1="080E0000" w:usb2="00000000" w:usb3="00000000" w:csb0="00040000" w:csb1="00000000"/>
    <w:embedRegular r:id="rId7" w:fontKey="{2E8325A3-9233-4210-BA22-D3BBE6E4AB3F}"/>
  </w:font>
  <w:font w:name="仿宋_GB2312">
    <w:panose1 w:val="02010609030101010101"/>
    <w:charset w:val="86"/>
    <w:family w:val="modern"/>
    <w:pitch w:val="default"/>
    <w:sig w:usb0="00000001" w:usb1="080E0000" w:usb2="00000000" w:usb3="00000000" w:csb0="00040000" w:csb1="00000000"/>
    <w:embedRegular r:id="rId8" w:fontKey="{074DBEE3-AD97-4021-9000-18FE564913D7}"/>
  </w:font>
  <w:font w:name="方正仿宋_GBK">
    <w:panose1 w:val="02000000000000000000"/>
    <w:charset w:val="86"/>
    <w:family w:val="auto"/>
    <w:pitch w:val="default"/>
    <w:sig w:usb0="00000001" w:usb1="080E0000" w:usb2="00000000" w:usb3="00000000" w:csb0="00040000" w:csb1="00000000"/>
    <w:embedRegular r:id="rId9" w:fontKey="{90E8D6A3-4F68-4922-8468-EBFB1951337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M3NDk0MWYyNjgwMzk4N2QyZTA1NTg4ODE3YzA2ZTgifQ=="/>
  </w:docVars>
  <w:rsids>
    <w:rsidRoot w:val="00870531"/>
    <w:rsid w:val="00007E16"/>
    <w:rsid w:val="00201967"/>
    <w:rsid w:val="00401565"/>
    <w:rsid w:val="00447269"/>
    <w:rsid w:val="00467E3F"/>
    <w:rsid w:val="004B6D2B"/>
    <w:rsid w:val="00581F3D"/>
    <w:rsid w:val="0062368A"/>
    <w:rsid w:val="00870531"/>
    <w:rsid w:val="008C502C"/>
    <w:rsid w:val="009F4146"/>
    <w:rsid w:val="00A518EE"/>
    <w:rsid w:val="00AE3166"/>
    <w:rsid w:val="00B0560C"/>
    <w:rsid w:val="00B36465"/>
    <w:rsid w:val="00BC6171"/>
    <w:rsid w:val="00E77C21"/>
    <w:rsid w:val="00F14DEC"/>
    <w:rsid w:val="00FD4582"/>
    <w:rsid w:val="00FF722B"/>
    <w:rsid w:val="039A60C7"/>
    <w:rsid w:val="0EB663FF"/>
    <w:rsid w:val="1FB32471"/>
    <w:rsid w:val="2AB57416"/>
    <w:rsid w:val="3F970D2F"/>
    <w:rsid w:val="485602A0"/>
    <w:rsid w:val="5381328D"/>
    <w:rsid w:val="5D8D288B"/>
    <w:rsid w:val="61B35AE7"/>
    <w:rsid w:val="67CF2677"/>
    <w:rsid w:val="69F14626"/>
    <w:rsid w:val="6C0E7AFD"/>
    <w:rsid w:val="75BC66CF"/>
    <w:rsid w:val="7C9B4E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rFonts w:ascii="Times New Roman" w:hAnsi="Times New Roman" w:eastAsia="宋体" w:cs="Times New Roman"/>
      <w:sz w:val="18"/>
      <w:szCs w:val="18"/>
    </w:rPr>
  </w:style>
  <w:style w:type="character" w:customStyle="1" w:styleId="7">
    <w:name w:val="页脚 Char"/>
    <w:basedOn w:val="5"/>
    <w:link w:val="2"/>
    <w:qFormat/>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4" Type="http://schemas.openxmlformats.org/officeDocument/2006/relationships/fontTable" Target="fontTable.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1178</Words>
  <Characters>1190</Characters>
  <Lines>8</Lines>
  <Paragraphs>2</Paragraphs>
  <TotalTime>11</TotalTime>
  <ScaleCrop>false</ScaleCrop>
  <LinksUpToDate>false</LinksUpToDate>
  <CharactersWithSpaces>1274</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2020-04-15T02:27:00Z</dcterms:created>
  <dc:creator>vvv</dc:creator>
  <cp:lastModifiedBy>白马骨</cp:lastModifiedBy>
  <cp:lastPrinted>2020-05-18T01:15:00Z</cp:lastPrinted>
  <dcterms:modified xsi:type="dcterms:W3CDTF">2024-05-30T02:31:10Z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1152252418_embed</vt:lpwstr>
  </property>
  <property fmtid="{D5CDD505-2E9C-101B-9397-08002B2CF9AE}" pid="4" name="ICV">
    <vt:lpwstr>AF1461654E9F4CA8B63C28816465676D_13</vt:lpwstr>
  </property>
</Properties>
</file>