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60" w:lineRule="exact"/>
        <w:ind w:right="0" w:rightChars="0" w:firstLine="0" w:firstLineChars="0"/>
        <w:jc w:val="center"/>
        <w:textAlignment w:val="auto"/>
        <w:outlineLvl w:val="9"/>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lang w:eastAsia="zh-CN"/>
        </w:rPr>
        <w:t>县</w:t>
      </w:r>
      <w:r>
        <w:rPr>
          <w:rFonts w:hint="eastAsia" w:ascii="方正小标宋简体" w:hAnsi="方正小标宋简体" w:eastAsia="方正小标宋简体" w:cs="方正小标宋简体"/>
          <w:sz w:val="44"/>
          <w:szCs w:val="44"/>
        </w:rPr>
        <w:t>自然资源和规划局202</w:t>
      </w:r>
      <w:r>
        <w:rPr>
          <w:rFonts w:hint="eastAsia" w:ascii="方正小标宋简体" w:hAnsi="方正小标宋简体" w:eastAsia="方正小标宋简体" w:cs="方正小标宋简体"/>
          <w:sz w:val="44"/>
          <w:szCs w:val="44"/>
          <w:lang w:val="en-US" w:eastAsia="zh-CN"/>
        </w:rPr>
        <w:t>4</w:t>
      </w:r>
      <w:r>
        <w:rPr>
          <w:rFonts w:hint="eastAsia" w:ascii="方正小标宋简体" w:hAnsi="方正小标宋简体" w:eastAsia="方正小标宋简体" w:cs="方正小标宋简体"/>
          <w:sz w:val="44"/>
          <w:szCs w:val="44"/>
        </w:rPr>
        <w:t>年安全生产和消防</w:t>
      </w:r>
    </w:p>
    <w:p>
      <w:pPr>
        <w:keepNext w:val="0"/>
        <w:keepLines w:val="0"/>
        <w:pageBreakBefore w:val="0"/>
        <w:widowControl w:val="0"/>
        <w:kinsoku/>
        <w:wordWrap/>
        <w:overflowPunct/>
        <w:topLinePunct w:val="0"/>
        <w:autoSpaceDE/>
        <w:autoSpaceDN/>
        <w:bidi w:val="0"/>
        <w:adjustRightInd/>
        <w:snapToGrid/>
        <w:spacing w:line="560" w:lineRule="exact"/>
        <w:ind w:right="0" w:rightChars="0" w:firstLine="0" w:firstLineChars="0"/>
        <w:jc w:val="center"/>
        <w:textAlignment w:val="auto"/>
        <w:outlineLvl w:val="9"/>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工作目标管理责任书</w:t>
      </w:r>
    </w:p>
    <w:p>
      <w:pPr>
        <w:keepNext w:val="0"/>
        <w:keepLines w:val="0"/>
        <w:pageBreakBefore w:val="0"/>
        <w:widowControl w:val="0"/>
        <w:kinsoku/>
        <w:wordWrap/>
        <w:overflowPunct/>
        <w:topLinePunct w:val="0"/>
        <w:autoSpaceDE/>
        <w:autoSpaceDN/>
        <w:bidi w:val="0"/>
        <w:adjustRightInd/>
        <w:snapToGrid/>
        <w:spacing w:line="560" w:lineRule="exact"/>
        <w:ind w:right="0" w:rightChars="0" w:firstLine="640" w:firstLineChars="200"/>
        <w:textAlignment w:val="auto"/>
        <w:outlineLvl w:val="9"/>
        <w:rPr>
          <w:rFonts w:eastAsia="仿宋_GB2312"/>
          <w:sz w:val="32"/>
          <w:szCs w:val="32"/>
        </w:rPr>
      </w:pPr>
    </w:p>
    <w:p>
      <w:pPr>
        <w:keepNext w:val="0"/>
        <w:keepLines w:val="0"/>
        <w:pageBreakBefore w:val="0"/>
        <w:widowControl w:val="0"/>
        <w:kinsoku/>
        <w:wordWrap/>
        <w:overflowPunct/>
        <w:topLinePunct w:val="0"/>
        <w:autoSpaceDE/>
        <w:autoSpaceDN/>
        <w:bidi w:val="0"/>
        <w:adjustRightInd/>
        <w:snapToGrid/>
        <w:spacing w:line="560" w:lineRule="exact"/>
        <w:ind w:right="0" w:rightChars="0" w:firstLine="640" w:firstLineChars="200"/>
        <w:textAlignment w:val="auto"/>
        <w:outlineLvl w:val="9"/>
        <w:rPr>
          <w:rFonts w:eastAsia="仿宋_GB2312"/>
          <w:sz w:val="32"/>
          <w:szCs w:val="32"/>
        </w:rPr>
      </w:pPr>
      <w:r>
        <w:rPr>
          <w:rFonts w:eastAsia="仿宋_GB2312"/>
          <w:sz w:val="32"/>
          <w:szCs w:val="32"/>
        </w:rPr>
        <w:t>为落实安全生产和消防工作责任，防范各类生产安全和火灾事故，依据</w:t>
      </w:r>
      <w:r>
        <w:rPr>
          <w:rFonts w:hint="eastAsia" w:eastAsia="仿宋_GB2312"/>
          <w:sz w:val="32"/>
          <w:szCs w:val="32"/>
        </w:rPr>
        <w:t>《地方党政领导干部安全生产责任制规定》和省、市</w:t>
      </w:r>
      <w:r>
        <w:rPr>
          <w:rFonts w:hint="eastAsia" w:eastAsia="仿宋_GB2312"/>
          <w:sz w:val="32"/>
          <w:szCs w:val="32"/>
          <w:lang w:eastAsia="zh-CN"/>
        </w:rPr>
        <w:t>、县</w:t>
      </w:r>
      <w:r>
        <w:rPr>
          <w:rFonts w:hint="eastAsia" w:eastAsia="仿宋_GB2312"/>
          <w:sz w:val="32"/>
          <w:szCs w:val="32"/>
        </w:rPr>
        <w:t>实施细则及《</w:t>
      </w:r>
      <w:r>
        <w:rPr>
          <w:rFonts w:hint="eastAsia" w:eastAsia="仿宋_GB2312"/>
          <w:sz w:val="32"/>
          <w:szCs w:val="32"/>
          <w:lang w:eastAsia="zh-CN"/>
        </w:rPr>
        <w:t>安徽省</w:t>
      </w:r>
      <w:r>
        <w:rPr>
          <w:rFonts w:hint="eastAsia" w:eastAsia="仿宋_GB2312"/>
          <w:sz w:val="32"/>
          <w:szCs w:val="32"/>
        </w:rPr>
        <w:t>消防安全责任制规定》</w:t>
      </w:r>
      <w:r>
        <w:rPr>
          <w:rFonts w:eastAsia="仿宋_GB2312"/>
          <w:sz w:val="32"/>
          <w:szCs w:val="32"/>
        </w:rPr>
        <w:t>，</w:t>
      </w:r>
      <w:r>
        <w:rPr>
          <w:rFonts w:hint="eastAsia" w:eastAsia="黑体"/>
          <w:sz w:val="32"/>
          <w:szCs w:val="32"/>
          <w:lang w:eastAsia="zh-CN"/>
        </w:rPr>
        <w:t>青阳县</w:t>
      </w:r>
      <w:r>
        <w:rPr>
          <w:rFonts w:eastAsia="黑体"/>
          <w:sz w:val="32"/>
          <w:szCs w:val="32"/>
        </w:rPr>
        <w:t>人民政府</w:t>
      </w:r>
      <w:r>
        <w:rPr>
          <w:rFonts w:eastAsia="仿宋_GB2312"/>
          <w:sz w:val="32"/>
          <w:szCs w:val="32"/>
        </w:rPr>
        <w:t>与</w:t>
      </w:r>
      <w:r>
        <w:rPr>
          <w:rFonts w:hint="eastAsia" w:eastAsia="黑体"/>
          <w:sz w:val="32"/>
          <w:szCs w:val="32"/>
          <w:lang w:eastAsia="zh-CN"/>
        </w:rPr>
        <w:t>青阳县</w:t>
      </w:r>
      <w:r>
        <w:rPr>
          <w:rFonts w:eastAsia="黑体"/>
          <w:sz w:val="32"/>
          <w:szCs w:val="32"/>
        </w:rPr>
        <w:t>自然资源</w:t>
      </w:r>
      <w:r>
        <w:rPr>
          <w:rFonts w:hint="eastAsia" w:eastAsia="黑体"/>
          <w:sz w:val="32"/>
          <w:szCs w:val="32"/>
        </w:rPr>
        <w:t>和规划局</w:t>
      </w:r>
      <w:r>
        <w:rPr>
          <w:rFonts w:hint="eastAsia" w:ascii="仿宋_GB2312" w:hAnsi="仿宋_GB2312" w:eastAsia="仿宋_GB2312" w:cs="仿宋_GB2312"/>
          <w:sz w:val="32"/>
          <w:szCs w:val="32"/>
        </w:rPr>
        <w:t>签订202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年安全生产</w:t>
      </w:r>
      <w:r>
        <w:rPr>
          <w:rFonts w:eastAsia="仿宋_GB2312"/>
          <w:sz w:val="32"/>
          <w:szCs w:val="32"/>
        </w:rPr>
        <w:t>和消防工作目标管理责任书。</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eastAsia="仿宋_GB2312"/>
          <w:sz w:val="32"/>
          <w:szCs w:val="32"/>
        </w:rPr>
      </w:pPr>
      <w:r>
        <w:rPr>
          <w:rFonts w:eastAsia="黑体"/>
          <w:sz w:val="32"/>
          <w:szCs w:val="32"/>
        </w:rPr>
        <w:t>一、确保实现工作目标。</w:t>
      </w:r>
      <w:r>
        <w:rPr>
          <w:rFonts w:hint="eastAsia" w:ascii="仿宋_GB2312" w:hAnsi="仿宋_GB2312" w:eastAsia="仿宋_GB2312" w:cs="仿宋_GB2312"/>
          <w:sz w:val="32"/>
          <w:szCs w:val="32"/>
          <w:highlight w:val="none"/>
        </w:rPr>
        <w:t>坚决遏制涉及</w:t>
      </w:r>
      <w:r>
        <w:rPr>
          <w:rFonts w:hint="eastAsia" w:ascii="仿宋_GB2312" w:hAnsi="仿宋_GB2312" w:eastAsia="仿宋_GB2312" w:cs="仿宋_GB2312"/>
          <w:sz w:val="32"/>
          <w:szCs w:val="32"/>
          <w:highlight w:val="none"/>
          <w:lang w:eastAsia="zh-CN"/>
        </w:rPr>
        <w:t>自然资源系统</w:t>
      </w:r>
      <w:r>
        <w:rPr>
          <w:rFonts w:hint="eastAsia" w:ascii="仿宋_GB2312" w:hAnsi="仿宋_GB2312" w:eastAsia="仿宋_GB2312" w:cs="仿宋_GB2312"/>
          <w:sz w:val="32"/>
          <w:szCs w:val="32"/>
          <w:highlight w:val="none"/>
        </w:rPr>
        <w:t>的重特大生产安全和火灾事故，有效防范生产安全和火灾较大事故，努力减少生产安全和火灾一般事故。</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eastAsia="仿宋_GB2312"/>
          <w:sz w:val="32"/>
          <w:szCs w:val="32"/>
        </w:rPr>
      </w:pPr>
      <w:r>
        <w:rPr>
          <w:rFonts w:eastAsia="黑体"/>
          <w:sz w:val="32"/>
          <w:szCs w:val="32"/>
        </w:rPr>
        <w:t>二、树牢安全发展理念。</w:t>
      </w:r>
      <w:r>
        <w:rPr>
          <w:rFonts w:hint="eastAsia" w:ascii="仿宋_GB2312" w:hAnsi="仿宋_GB2312" w:eastAsia="仿宋_GB2312" w:cs="仿宋_GB2312"/>
          <w:sz w:val="32"/>
          <w:szCs w:val="32"/>
          <w:highlight w:val="none"/>
        </w:rPr>
        <w:t>深入学习宣传贯彻习近平总书记关于安全生产、应急管理、防灾减灾救灾的重要论述，</w:t>
      </w:r>
      <w:r>
        <w:rPr>
          <w:rFonts w:hint="eastAsia" w:ascii="仿宋_GB2312" w:hAnsi="仿宋_GB2312" w:eastAsia="仿宋_GB2312" w:cs="仿宋_GB2312"/>
          <w:spacing w:val="-4"/>
          <w:sz w:val="32"/>
          <w:szCs w:val="32"/>
          <w:highlight w:val="none"/>
        </w:rPr>
        <w:t>贯彻落实党的二十大报告中关于安全生产的重要部署，坚持人民至上、生命至上，更好统筹发展和安全，</w:t>
      </w:r>
      <w:r>
        <w:rPr>
          <w:rFonts w:hint="eastAsia" w:ascii="仿宋_GB2312" w:hAnsi="仿宋_GB2312" w:eastAsia="仿宋_GB2312" w:cs="仿宋_GB2312"/>
          <w:spacing w:val="-4"/>
          <w:sz w:val="32"/>
          <w:szCs w:val="32"/>
          <w:highlight w:val="none"/>
          <w:lang w:eastAsia="zh-CN"/>
        </w:rPr>
        <w:t>深入开展</w:t>
      </w:r>
      <w:r>
        <w:rPr>
          <w:rFonts w:hint="eastAsia" w:ascii="仿宋_GB2312" w:hAnsi="仿宋_GB2312" w:eastAsia="仿宋_GB2312" w:cs="仿宋_GB2312"/>
          <w:spacing w:val="-4"/>
          <w:sz w:val="32"/>
          <w:szCs w:val="32"/>
          <w:highlight w:val="none"/>
        </w:rPr>
        <w:t>安全生产</w:t>
      </w:r>
      <w:r>
        <w:rPr>
          <w:rFonts w:hint="eastAsia" w:ascii="仿宋_GB2312" w:hAnsi="仿宋_GB2312" w:eastAsia="仿宋_GB2312" w:cs="仿宋_GB2312"/>
          <w:spacing w:val="-4"/>
          <w:sz w:val="32"/>
          <w:szCs w:val="32"/>
          <w:highlight w:val="none"/>
          <w:lang w:eastAsia="zh-CN"/>
        </w:rPr>
        <w:t>治本攻坚三年行动，</w:t>
      </w:r>
      <w:r>
        <w:rPr>
          <w:rFonts w:hint="eastAsia" w:ascii="仿宋_GB2312" w:hAnsi="仿宋_GB2312" w:eastAsia="仿宋_GB2312" w:cs="仿宋_GB2312"/>
          <w:spacing w:val="-4"/>
          <w:sz w:val="32"/>
          <w:szCs w:val="32"/>
          <w:highlight w:val="none"/>
        </w:rPr>
        <w:t>推动安全生产治理模式向事前预防转型。</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eastAsia="黑体"/>
          <w:sz w:val="32"/>
          <w:szCs w:val="32"/>
        </w:rPr>
      </w:pPr>
      <w:r>
        <w:rPr>
          <w:rFonts w:eastAsia="黑体"/>
          <w:sz w:val="32"/>
          <w:szCs w:val="32"/>
        </w:rPr>
        <w:t>三、落实安全工作责任。</w:t>
      </w:r>
      <w:r>
        <w:rPr>
          <w:rFonts w:hint="eastAsia" w:ascii="仿宋_GB2312" w:hAnsi="仿宋_GB2312" w:eastAsia="仿宋_GB2312" w:cs="仿宋_GB2312"/>
          <w:sz w:val="32"/>
          <w:szCs w:val="32"/>
          <w:highlight w:val="none"/>
        </w:rPr>
        <w:t>落实《党政领导干部安全生产责任制实施细则》《安徽省消防安全责任制规定》，</w:t>
      </w:r>
      <w:r>
        <w:rPr>
          <w:rFonts w:hint="eastAsia" w:ascii="仿宋_GB2312" w:hAnsi="仿宋_GB2312" w:eastAsia="仿宋_GB2312" w:cs="仿宋_GB2312"/>
          <w:sz w:val="32"/>
          <w:szCs w:val="32"/>
          <w:highlight w:val="none"/>
          <w:lang w:val="en-US" w:eastAsia="zh-CN"/>
        </w:rPr>
        <w:t>严格</w:t>
      </w:r>
      <w:r>
        <w:rPr>
          <w:rFonts w:hint="eastAsia" w:ascii="仿宋_GB2312" w:hAnsi="仿宋_GB2312" w:eastAsia="仿宋_GB2312" w:cs="仿宋_GB2312"/>
          <w:sz w:val="32"/>
          <w:szCs w:val="32"/>
          <w:highlight w:val="none"/>
        </w:rPr>
        <w:t>执行</w:t>
      </w:r>
      <w:r>
        <w:rPr>
          <w:rFonts w:hint="eastAsia" w:ascii="仿宋_GB2312" w:hAnsi="仿宋_GB2312" w:eastAsia="仿宋_GB2312" w:cs="仿宋_GB2312"/>
          <w:sz w:val="32"/>
          <w:szCs w:val="32"/>
          <w:highlight w:val="none"/>
          <w:lang w:eastAsia="zh-CN"/>
        </w:rPr>
        <w:t>《</w:t>
      </w:r>
      <w:r>
        <w:rPr>
          <w:rFonts w:hint="eastAsia" w:ascii="仿宋_GB2312" w:hAnsi="仿宋_GB2312" w:eastAsia="仿宋_GB2312" w:cs="仿宋_GB2312"/>
          <w:sz w:val="32"/>
          <w:szCs w:val="32"/>
          <w:highlight w:val="none"/>
          <w:lang w:val="en-US" w:eastAsia="zh-CN"/>
        </w:rPr>
        <w:t>青阳县</w:t>
      </w:r>
      <w:r>
        <w:rPr>
          <w:rFonts w:hint="eastAsia" w:ascii="仿宋_GB2312" w:hAnsi="仿宋_GB2312" w:eastAsia="仿宋_GB2312" w:cs="仿宋_GB2312"/>
          <w:sz w:val="32"/>
          <w:szCs w:val="32"/>
          <w:highlight w:val="none"/>
        </w:rPr>
        <w:t>安全生产“三管三必须”责任清单</w:t>
      </w:r>
      <w:r>
        <w:rPr>
          <w:rFonts w:hint="eastAsia" w:ascii="仿宋_GB2312" w:hAnsi="仿宋_GB2312" w:eastAsia="仿宋_GB2312" w:cs="仿宋_GB2312"/>
          <w:sz w:val="32"/>
          <w:szCs w:val="32"/>
          <w:highlight w:val="none"/>
          <w:lang w:eastAsia="zh-CN"/>
        </w:rPr>
        <w:t>》</w:t>
      </w:r>
      <w:r>
        <w:rPr>
          <w:rFonts w:hint="eastAsia" w:ascii="仿宋_GB2312" w:hAnsi="仿宋_GB2312" w:eastAsia="仿宋_GB2312" w:cs="仿宋_GB2312"/>
          <w:sz w:val="32"/>
          <w:szCs w:val="32"/>
          <w:highlight w:val="none"/>
          <w:lang w:val="en-US" w:eastAsia="zh-CN"/>
        </w:rPr>
        <w:t>及《实施意见》</w:t>
      </w:r>
      <w:r>
        <w:rPr>
          <w:rFonts w:hint="eastAsia" w:ascii="仿宋_GB2312" w:hAnsi="仿宋_GB2312" w:eastAsia="仿宋_GB2312" w:cs="仿宋_GB2312"/>
          <w:sz w:val="32"/>
          <w:szCs w:val="32"/>
          <w:highlight w:val="none"/>
        </w:rPr>
        <w:t>。</w:t>
      </w:r>
      <w:r>
        <w:rPr>
          <w:rFonts w:hint="eastAsia" w:ascii="仿宋_GB2312" w:hAnsi="仿宋_GB2312" w:eastAsia="仿宋_GB2312" w:cs="仿宋_GB2312"/>
          <w:sz w:val="32"/>
          <w:szCs w:val="32"/>
          <w:highlight w:val="none"/>
          <w:lang w:eastAsia="zh-CN"/>
        </w:rPr>
        <w:t>加强矿产资源开发的管理，组织编制实施矿产资源规划，监督指导矿产资源合理利用与保护，依法依规开展探矿和采矿工作。指导全县地勘单位抓好地质项目施工的安全工作，加强对地质勘查活动的监督检查。依法组织编制和实施国土空间规划，充分考虑实施安全生产规划、管道发展规划必要的空间需求和时序安排。按职责加强尾矿库闭库治理和土地综合治理。按职责分工开展园区认定、复核工作，在职责范围内推进工业园区安全整治提升工作。</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hint="default" w:ascii="Times New Roman" w:hAnsi="Times New Roman" w:eastAsia="方正仿宋_GBK" w:cs="Times New Roman"/>
          <w:sz w:val="30"/>
          <w:szCs w:val="30"/>
          <w:highlight w:val="none"/>
        </w:rPr>
      </w:pPr>
      <w:r>
        <w:rPr>
          <w:rFonts w:eastAsia="黑体"/>
          <w:sz w:val="32"/>
          <w:szCs w:val="32"/>
        </w:rPr>
        <w:t>四、防范化解重大风险。</w:t>
      </w:r>
      <w:r>
        <w:rPr>
          <w:rFonts w:hint="eastAsia" w:ascii="仿宋_GB2312" w:hAnsi="仿宋_GB2312" w:eastAsia="仿宋_GB2312" w:cs="仿宋_GB2312"/>
          <w:sz w:val="32"/>
          <w:szCs w:val="32"/>
          <w:highlight w:val="none"/>
          <w:lang w:val="en-US" w:eastAsia="zh-CN"/>
        </w:rPr>
        <w:t>聚焦</w:t>
      </w:r>
      <w:r>
        <w:rPr>
          <w:rFonts w:hint="eastAsia" w:ascii="仿宋_GB2312" w:hAnsi="仿宋_GB2312" w:eastAsia="仿宋_GB2312" w:cs="仿宋_GB2312"/>
          <w:sz w:val="32"/>
          <w:szCs w:val="32"/>
          <w:highlight w:val="none"/>
        </w:rPr>
        <w:t>重点行业领域</w:t>
      </w:r>
      <w:r>
        <w:rPr>
          <w:rFonts w:hint="eastAsia" w:ascii="仿宋_GB2312" w:hAnsi="仿宋_GB2312" w:eastAsia="仿宋_GB2312" w:cs="仿宋_GB2312"/>
          <w:sz w:val="32"/>
          <w:szCs w:val="32"/>
          <w:highlight w:val="none"/>
          <w:lang w:val="en-US" w:eastAsia="zh-CN"/>
        </w:rPr>
        <w:t>专项治理，深化</w:t>
      </w:r>
      <w:r>
        <w:rPr>
          <w:rFonts w:hint="eastAsia" w:ascii="仿宋_GB2312" w:hAnsi="仿宋_GB2312" w:eastAsia="仿宋_GB2312" w:cs="仿宋_GB2312"/>
          <w:sz w:val="32"/>
          <w:szCs w:val="32"/>
          <w:highlight w:val="none"/>
        </w:rPr>
        <w:t>重大事故隐患排查整治</w:t>
      </w:r>
      <w:r>
        <w:rPr>
          <w:rFonts w:hint="eastAsia" w:ascii="仿宋_GB2312" w:hAnsi="仿宋_GB2312" w:eastAsia="仿宋_GB2312" w:cs="仿宋_GB2312"/>
          <w:sz w:val="32"/>
          <w:szCs w:val="32"/>
          <w:highlight w:val="none"/>
          <w:lang w:eastAsia="zh-CN"/>
        </w:rPr>
        <w:t>。在重大活动、重大节日期间，采取“四不两直”执法检查、专家指导服务、媒体曝光等措施，组织开展安全生产常态化明查暗访。</w:t>
      </w:r>
      <w:r>
        <w:rPr>
          <w:rFonts w:hint="eastAsia" w:ascii="仿宋_GB2312" w:hAnsi="仿宋_GB2312" w:eastAsia="仿宋_GB2312" w:cs="仿宋_GB2312"/>
          <w:sz w:val="32"/>
          <w:szCs w:val="32"/>
          <w:highlight w:val="none"/>
        </w:rPr>
        <w:t>深刻汲取有关生产安全事故教训，主动排查整改问题。对无采矿许可证、越界采矿被吊销采矿许可证、资源枯竭应当关闭退出等矿井的关闭工作及关闭是否到位情况进行监督和指导；会同相关部门组织指导并监督检查全省废弃矿井的治理工作。依法查处重大、复杂的越界勘查、无证勘查开采、越界采矿等违法违规行为，</w:t>
      </w:r>
      <w:r>
        <w:rPr>
          <w:rFonts w:hint="eastAsia" w:ascii="仿宋_GB2312" w:hAnsi="仿宋_GB2312" w:eastAsia="仿宋_GB2312" w:cs="仿宋_GB2312"/>
          <w:sz w:val="32"/>
          <w:szCs w:val="32"/>
          <w:highlight w:val="none"/>
          <w:lang w:eastAsia="zh-CN"/>
        </w:rPr>
        <w:t>依法</w:t>
      </w:r>
      <w:r>
        <w:rPr>
          <w:rFonts w:hint="eastAsia" w:ascii="仿宋_GB2312" w:hAnsi="仿宋_GB2312" w:eastAsia="仿宋_GB2312" w:cs="仿宋_GB2312"/>
          <w:sz w:val="32"/>
          <w:szCs w:val="32"/>
          <w:highlight w:val="none"/>
        </w:rPr>
        <w:t>查处涉矿违法违规行为，维护良好的矿产资源开发秩序。查处涉及安全生产的自然资源开发利用和国土空间规划重大违法案件。加强博物馆、资料馆、规划馆、不动产登记场所、机关办公楼等重点防火场所及重点防火单位的消防安全管理。</w:t>
      </w:r>
    </w:p>
    <w:p>
      <w:pPr>
        <w:keepNext w:val="0"/>
        <w:keepLines w:val="0"/>
        <w:pageBreakBefore w:val="0"/>
        <w:widowControl w:val="0"/>
        <w:kinsoku/>
        <w:wordWrap/>
        <w:overflowPunct w:val="0"/>
        <w:topLinePunct w:val="0"/>
        <w:autoSpaceDE/>
        <w:autoSpaceDN/>
        <w:bidi w:val="0"/>
        <w:adjustRightInd/>
        <w:snapToGrid/>
        <w:spacing w:line="560" w:lineRule="exact"/>
        <w:ind w:right="0" w:rightChars="0" w:firstLine="640" w:firstLineChars="200"/>
        <w:textAlignment w:val="auto"/>
        <w:rPr>
          <w:rFonts w:eastAsia="黑体"/>
          <w:sz w:val="32"/>
          <w:szCs w:val="32"/>
        </w:rPr>
      </w:pPr>
      <w:r>
        <w:rPr>
          <w:rFonts w:eastAsia="黑体"/>
          <w:sz w:val="32"/>
          <w:szCs w:val="32"/>
        </w:rPr>
        <w:t>五、夯实安全工作基础。</w:t>
      </w:r>
      <w:r>
        <w:rPr>
          <w:rFonts w:hint="eastAsia" w:ascii="仿宋_GB2312" w:hAnsi="仿宋_GB2312" w:eastAsia="仿宋_GB2312" w:cs="仿宋_GB2312"/>
          <w:sz w:val="32"/>
          <w:szCs w:val="32"/>
          <w:highlight w:val="none"/>
          <w:lang w:val="en-US" w:eastAsia="zh-CN"/>
        </w:rPr>
        <w:t>用好案例教育法，</w:t>
      </w:r>
      <w:r>
        <w:rPr>
          <w:rFonts w:hint="eastAsia" w:ascii="仿宋_GB2312" w:hAnsi="仿宋_GB2312" w:eastAsia="仿宋_GB2312" w:cs="仿宋_GB2312"/>
          <w:sz w:val="32"/>
          <w:szCs w:val="32"/>
          <w:highlight w:val="none"/>
        </w:rPr>
        <w:t>扎实开展“安全生产月”</w:t>
      </w:r>
      <w:r>
        <w:rPr>
          <w:rFonts w:hint="eastAsia" w:ascii="仿宋_GB2312" w:hAnsi="仿宋_GB2312" w:eastAsia="仿宋_GB2312" w:cs="仿宋_GB2312"/>
          <w:sz w:val="32"/>
          <w:szCs w:val="32"/>
          <w:highlight w:val="none"/>
          <w:lang w:eastAsia="zh-CN"/>
        </w:rPr>
        <w:t>、消防宣传月</w:t>
      </w:r>
      <w:r>
        <w:rPr>
          <w:rFonts w:hint="eastAsia" w:ascii="仿宋_GB2312" w:hAnsi="仿宋_GB2312" w:eastAsia="仿宋_GB2312" w:cs="仿宋_GB2312"/>
          <w:sz w:val="32"/>
          <w:szCs w:val="32"/>
          <w:highlight w:val="none"/>
        </w:rPr>
        <w:t>等安全宣传教育活动。认真落实《地质勘查和测绘行业安全生产重点检查事项指引（试行）》，将安全生产理念贯穿到地质勘查、测绘行业安全生产督查检查等工作中。开展自然资源系统安全生产管理人员培训，配合做好矿山主要负责人安全教育培训</w:t>
      </w:r>
      <w:r>
        <w:rPr>
          <w:rFonts w:hint="eastAsia" w:ascii="仿宋_GB2312" w:hAnsi="仿宋_GB2312" w:eastAsia="仿宋_GB2312" w:cs="仿宋_GB2312"/>
          <w:sz w:val="32"/>
          <w:szCs w:val="32"/>
          <w:highlight w:val="none"/>
          <w:lang w:eastAsia="zh-CN"/>
        </w:rPr>
        <w:t>。</w:t>
      </w:r>
      <w:r>
        <w:rPr>
          <w:rFonts w:hint="eastAsia" w:ascii="仿宋_GB2312" w:hAnsi="仿宋_GB2312" w:eastAsia="仿宋_GB2312" w:cs="仿宋_GB2312"/>
          <w:sz w:val="32"/>
          <w:szCs w:val="32"/>
          <w:highlight w:val="none"/>
        </w:rPr>
        <w:t>加强应急管理，督促指导地勘、测绘单位制定完善应急预案，定期组织开展应急演练，强化应急处置能力；按时按要求完成应急预案体系和应急救援力量建设情况填报工作。建立健全内设安委会或安全生产工作领导小组，主要负责同志任主任或组长，每季度研究一次安全生产工作。配合推动建立健全矿井关闭管理长效监管机制</w:t>
      </w:r>
      <w:r>
        <w:rPr>
          <w:rFonts w:hint="eastAsia" w:ascii="仿宋_GB2312" w:hAnsi="仿宋_GB2312" w:eastAsia="仿宋_GB2312" w:cs="仿宋_GB2312"/>
          <w:sz w:val="32"/>
          <w:szCs w:val="32"/>
          <w:highlight w:val="none"/>
          <w:lang w:eastAsia="zh-CN"/>
        </w:rPr>
        <w:t>，</w:t>
      </w:r>
      <w:r>
        <w:rPr>
          <w:rFonts w:hint="eastAsia" w:ascii="仿宋_GB2312" w:hAnsi="仿宋_GB2312" w:eastAsia="仿宋_GB2312" w:cs="仿宋_GB2312"/>
          <w:sz w:val="32"/>
          <w:szCs w:val="32"/>
          <w:highlight w:val="none"/>
        </w:rPr>
        <w:t>深入推进淘汰</w:t>
      </w:r>
      <w:r>
        <w:rPr>
          <w:rFonts w:hint="eastAsia" w:ascii="仿宋_GB2312" w:hAnsi="仿宋_GB2312" w:eastAsia="仿宋_GB2312" w:cs="仿宋_GB2312"/>
          <w:sz w:val="32"/>
          <w:szCs w:val="32"/>
          <w:highlight w:val="none"/>
          <w:lang w:eastAsia="zh-CN"/>
        </w:rPr>
        <w:t>退</w:t>
      </w:r>
      <w:r>
        <w:rPr>
          <w:rFonts w:hint="eastAsia" w:ascii="仿宋_GB2312" w:hAnsi="仿宋_GB2312" w:eastAsia="仿宋_GB2312" w:cs="仿宋_GB2312"/>
          <w:sz w:val="32"/>
          <w:szCs w:val="32"/>
          <w:highlight w:val="none"/>
        </w:rPr>
        <w:t>出、整合重组、改造升级“三个一批”工作。</w:t>
      </w:r>
    </w:p>
    <w:p>
      <w:pPr>
        <w:keepNext w:val="0"/>
        <w:keepLines w:val="0"/>
        <w:pageBreakBefore w:val="0"/>
        <w:widowControl w:val="0"/>
        <w:kinsoku/>
        <w:wordWrap/>
        <w:overflowPunct/>
        <w:topLinePunct w:val="0"/>
        <w:autoSpaceDE/>
        <w:autoSpaceDN/>
        <w:bidi w:val="0"/>
        <w:adjustRightInd/>
        <w:snapToGrid/>
        <w:spacing w:line="560" w:lineRule="exact"/>
        <w:ind w:right="0" w:rightChars="0" w:firstLine="640" w:firstLineChars="200"/>
        <w:textAlignment w:val="auto"/>
        <w:outlineLvl w:val="9"/>
        <w:rPr>
          <w:rFonts w:eastAsia="仿宋_GB2312"/>
          <w:sz w:val="32"/>
          <w:szCs w:val="32"/>
        </w:rPr>
      </w:pPr>
    </w:p>
    <w:p>
      <w:pPr>
        <w:keepNext w:val="0"/>
        <w:keepLines w:val="0"/>
        <w:pageBreakBefore w:val="0"/>
        <w:widowControl w:val="0"/>
        <w:kinsoku/>
        <w:wordWrap/>
        <w:overflowPunct/>
        <w:topLinePunct w:val="0"/>
        <w:autoSpaceDE/>
        <w:autoSpaceDN/>
        <w:bidi w:val="0"/>
        <w:adjustRightInd/>
        <w:snapToGrid/>
        <w:spacing w:line="560" w:lineRule="exact"/>
        <w:ind w:right="0" w:rightChars="0" w:firstLine="640" w:firstLineChars="200"/>
        <w:textAlignment w:val="auto"/>
        <w:outlineLvl w:val="9"/>
        <w:rPr>
          <w:rFonts w:hint="eastAsia" w:ascii="仿宋_GB2312" w:hAnsi="仿宋_GB2312" w:eastAsia="仿宋_GB2312" w:cs="仿宋_GB2312"/>
          <w:sz w:val="32"/>
          <w:szCs w:val="32"/>
        </w:rPr>
      </w:pPr>
      <w:bookmarkStart w:id="0" w:name="_GoBack"/>
      <w:r>
        <w:rPr>
          <w:rFonts w:hint="eastAsia" w:ascii="仿宋_GB2312" w:hAnsi="仿宋_GB2312" w:eastAsia="仿宋_GB2312" w:cs="仿宋_GB2312"/>
          <w:sz w:val="32"/>
          <w:szCs w:val="32"/>
        </w:rPr>
        <w:t>本责任书将作为202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年度安全生产和消防工作考核依据</w:t>
      </w:r>
      <w:r>
        <w:rPr>
          <w:rFonts w:hint="eastAsia" w:ascii="仿宋_GB2312" w:hAnsi="仿宋_GB2312" w:eastAsia="仿宋_GB2312" w:cs="仿宋_GB2312"/>
          <w:kern w:val="0"/>
          <w:sz w:val="32"/>
          <w:szCs w:val="32"/>
        </w:rPr>
        <w:t>。</w:t>
      </w:r>
    </w:p>
    <w:bookmarkEnd w:id="0"/>
    <w:p>
      <w:pPr>
        <w:keepNext w:val="0"/>
        <w:keepLines w:val="0"/>
        <w:pageBreakBefore w:val="0"/>
        <w:widowControl w:val="0"/>
        <w:kinsoku/>
        <w:wordWrap/>
        <w:overflowPunct/>
        <w:topLinePunct w:val="0"/>
        <w:autoSpaceDE/>
        <w:autoSpaceDN/>
        <w:bidi w:val="0"/>
        <w:adjustRightInd/>
        <w:snapToGrid/>
        <w:spacing w:line="560" w:lineRule="exact"/>
        <w:ind w:right="0" w:rightChars="0" w:firstLine="640" w:firstLineChars="200"/>
        <w:textAlignment w:val="auto"/>
        <w:outlineLvl w:val="9"/>
        <w:rPr>
          <w:rFonts w:hint="eastAsia" w:eastAsia="黑体"/>
          <w:sz w:val="32"/>
          <w:szCs w:val="32"/>
        </w:rPr>
      </w:pPr>
    </w:p>
    <w:p>
      <w:pPr>
        <w:keepNext w:val="0"/>
        <w:keepLines w:val="0"/>
        <w:pageBreakBefore w:val="0"/>
        <w:widowControl w:val="0"/>
        <w:kinsoku/>
        <w:wordWrap/>
        <w:overflowPunct/>
        <w:topLinePunct w:val="0"/>
        <w:autoSpaceDE/>
        <w:autoSpaceDN/>
        <w:bidi w:val="0"/>
        <w:adjustRightInd/>
        <w:snapToGrid/>
        <w:spacing w:line="560" w:lineRule="exact"/>
        <w:ind w:right="0" w:rightChars="0" w:firstLine="640" w:firstLineChars="200"/>
        <w:textAlignment w:val="auto"/>
        <w:outlineLvl w:val="9"/>
        <w:rPr>
          <w:rFonts w:hint="eastAsia" w:eastAsia="黑体"/>
          <w:sz w:val="32"/>
          <w:szCs w:val="32"/>
        </w:rPr>
      </w:pPr>
    </w:p>
    <w:p>
      <w:pPr>
        <w:keepNext w:val="0"/>
        <w:keepLines w:val="0"/>
        <w:pageBreakBefore w:val="0"/>
        <w:widowControl w:val="0"/>
        <w:kinsoku/>
        <w:wordWrap/>
        <w:overflowPunct/>
        <w:topLinePunct w:val="0"/>
        <w:autoSpaceDE/>
        <w:autoSpaceDN/>
        <w:bidi w:val="0"/>
        <w:adjustRightInd/>
        <w:snapToGrid/>
        <w:spacing w:line="560" w:lineRule="exact"/>
        <w:ind w:right="0" w:rightChars="0" w:firstLine="640" w:firstLineChars="200"/>
        <w:textAlignment w:val="auto"/>
        <w:outlineLvl w:val="9"/>
        <w:rPr>
          <w:rFonts w:eastAsia="黑体"/>
          <w:sz w:val="32"/>
          <w:szCs w:val="32"/>
        </w:rPr>
      </w:pPr>
      <w:r>
        <w:rPr>
          <w:rFonts w:hint="eastAsia" w:eastAsia="黑体"/>
          <w:sz w:val="32"/>
          <w:szCs w:val="32"/>
          <w:lang w:eastAsia="zh-CN"/>
        </w:rPr>
        <w:t>青阳县</w:t>
      </w:r>
      <w:r>
        <w:rPr>
          <w:rFonts w:eastAsia="黑体"/>
          <w:sz w:val="32"/>
          <w:szCs w:val="32"/>
        </w:rPr>
        <w:t xml:space="preserve">人民政府            </w:t>
      </w:r>
      <w:r>
        <w:rPr>
          <w:rFonts w:hint="eastAsia" w:eastAsia="黑体"/>
          <w:sz w:val="32"/>
          <w:szCs w:val="32"/>
          <w:lang w:val="en-US" w:eastAsia="zh-CN"/>
        </w:rPr>
        <w:t xml:space="preserve">   </w:t>
      </w:r>
      <w:r>
        <w:rPr>
          <w:rFonts w:hint="eastAsia" w:eastAsia="黑体"/>
          <w:sz w:val="32"/>
          <w:szCs w:val="32"/>
          <w:lang w:eastAsia="zh-CN"/>
        </w:rPr>
        <w:t>青阳县</w:t>
      </w:r>
      <w:r>
        <w:rPr>
          <w:rFonts w:eastAsia="黑体"/>
          <w:sz w:val="32"/>
          <w:szCs w:val="32"/>
        </w:rPr>
        <w:t>自然资源</w:t>
      </w:r>
      <w:r>
        <w:rPr>
          <w:rFonts w:hint="eastAsia" w:eastAsia="黑体"/>
          <w:sz w:val="32"/>
          <w:szCs w:val="32"/>
        </w:rPr>
        <w:t>和规划局</w:t>
      </w:r>
    </w:p>
    <w:p>
      <w:pPr>
        <w:keepNext w:val="0"/>
        <w:keepLines w:val="0"/>
        <w:pageBreakBefore w:val="0"/>
        <w:widowControl w:val="0"/>
        <w:kinsoku/>
        <w:wordWrap/>
        <w:overflowPunct/>
        <w:topLinePunct w:val="0"/>
        <w:autoSpaceDE/>
        <w:autoSpaceDN/>
        <w:bidi w:val="0"/>
        <w:adjustRightInd/>
        <w:snapToGrid/>
        <w:spacing w:line="560" w:lineRule="exact"/>
        <w:ind w:right="0" w:rightChars="0" w:firstLine="640" w:firstLineChars="200"/>
        <w:textAlignment w:val="auto"/>
        <w:outlineLvl w:val="9"/>
        <w:rPr>
          <w:rFonts w:eastAsia="黑体"/>
          <w:sz w:val="32"/>
          <w:szCs w:val="32"/>
        </w:rPr>
      </w:pPr>
    </w:p>
    <w:p>
      <w:pPr>
        <w:keepNext w:val="0"/>
        <w:keepLines w:val="0"/>
        <w:pageBreakBefore w:val="0"/>
        <w:widowControl w:val="0"/>
        <w:kinsoku/>
        <w:wordWrap/>
        <w:overflowPunct/>
        <w:topLinePunct w:val="0"/>
        <w:autoSpaceDE/>
        <w:autoSpaceDN/>
        <w:bidi w:val="0"/>
        <w:adjustRightInd/>
        <w:snapToGrid/>
        <w:spacing w:line="560" w:lineRule="exact"/>
        <w:ind w:right="0" w:rightChars="0" w:firstLine="640" w:firstLineChars="200"/>
        <w:textAlignment w:val="auto"/>
        <w:outlineLvl w:val="9"/>
        <w:rPr>
          <w:rFonts w:eastAsia="仿宋_GB2312"/>
          <w:sz w:val="32"/>
          <w:szCs w:val="32"/>
        </w:rPr>
      </w:pPr>
      <w:r>
        <w:rPr>
          <w:rFonts w:eastAsia="黑体"/>
          <w:sz w:val="32"/>
          <w:szCs w:val="32"/>
        </w:rPr>
        <w:t xml:space="preserve">签字人：                  </w:t>
      </w:r>
      <w:r>
        <w:rPr>
          <w:rFonts w:hint="eastAsia" w:eastAsia="黑体"/>
          <w:sz w:val="32"/>
          <w:szCs w:val="32"/>
          <w:lang w:val="en-US" w:eastAsia="zh-CN"/>
        </w:rPr>
        <w:t xml:space="preserve">   </w:t>
      </w:r>
      <w:r>
        <w:rPr>
          <w:rFonts w:eastAsia="黑体"/>
          <w:sz w:val="32"/>
          <w:szCs w:val="32"/>
        </w:rPr>
        <w:t>签字人：</w:t>
      </w:r>
    </w:p>
    <w:p>
      <w:pPr>
        <w:keepNext w:val="0"/>
        <w:keepLines w:val="0"/>
        <w:pageBreakBefore w:val="0"/>
        <w:widowControl w:val="0"/>
        <w:kinsoku/>
        <w:wordWrap/>
        <w:overflowPunct/>
        <w:topLinePunct w:val="0"/>
        <w:autoSpaceDE/>
        <w:autoSpaceDN/>
        <w:bidi w:val="0"/>
        <w:adjustRightInd/>
        <w:snapToGrid/>
        <w:spacing w:line="560" w:lineRule="exact"/>
        <w:ind w:right="0" w:rightChars="0" w:firstLine="640" w:firstLineChars="200"/>
        <w:textAlignment w:val="auto"/>
        <w:outlineLvl w:val="9"/>
        <w:rPr>
          <w:rFonts w:eastAsia="仿宋_GB2312"/>
          <w:sz w:val="32"/>
          <w:szCs w:val="32"/>
        </w:rPr>
      </w:pPr>
      <w:r>
        <w:rPr>
          <w:rFonts w:eastAsia="仿宋_GB2312"/>
          <w:sz w:val="32"/>
          <w:szCs w:val="32"/>
        </w:rPr>
        <w:t xml:space="preserve">                             </w:t>
      </w:r>
    </w:p>
    <w:p>
      <w:pPr>
        <w:keepNext w:val="0"/>
        <w:keepLines w:val="0"/>
        <w:pageBreakBefore w:val="0"/>
        <w:widowControl w:val="0"/>
        <w:kinsoku/>
        <w:wordWrap/>
        <w:overflowPunct/>
        <w:topLinePunct w:val="0"/>
        <w:autoSpaceDE/>
        <w:autoSpaceDN/>
        <w:bidi w:val="0"/>
        <w:adjustRightInd/>
        <w:snapToGrid/>
        <w:spacing w:line="560" w:lineRule="exact"/>
        <w:ind w:right="0" w:rightChars="0" w:firstLine="0" w:firstLineChars="0"/>
        <w:jc w:val="right"/>
        <w:textAlignment w:val="auto"/>
        <w:outlineLvl w:val="9"/>
      </w:pPr>
      <w:r>
        <w:rPr>
          <w:rFonts w:ascii="黑体" w:hAnsi="黑体" w:eastAsia="黑体"/>
          <w:sz w:val="32"/>
          <w:szCs w:val="32"/>
        </w:rPr>
        <w:t>202</w:t>
      </w:r>
      <w:r>
        <w:rPr>
          <w:rFonts w:hint="eastAsia" w:ascii="黑体" w:hAnsi="黑体" w:eastAsia="黑体"/>
          <w:sz w:val="32"/>
          <w:szCs w:val="32"/>
          <w:lang w:val="en-US" w:eastAsia="zh-CN"/>
        </w:rPr>
        <w:t>4</w:t>
      </w:r>
      <w:r>
        <w:rPr>
          <w:rFonts w:ascii="黑体" w:hAnsi="黑体" w:eastAsia="黑体"/>
          <w:sz w:val="32"/>
          <w:szCs w:val="32"/>
        </w:rPr>
        <w:t>年</w:t>
      </w:r>
      <w:r>
        <w:rPr>
          <w:rFonts w:hint="eastAsia" w:ascii="黑体" w:hAnsi="黑体" w:eastAsia="黑体"/>
          <w:sz w:val="32"/>
          <w:szCs w:val="32"/>
          <w:lang w:val="en-US" w:eastAsia="zh-CN"/>
        </w:rPr>
        <w:t>5</w:t>
      </w:r>
      <w:r>
        <w:rPr>
          <w:rFonts w:ascii="黑体" w:hAnsi="黑体" w:eastAsia="黑体"/>
          <w:sz w:val="32"/>
          <w:szCs w:val="32"/>
        </w:rPr>
        <w:t>月</w:t>
      </w:r>
    </w:p>
    <w:sectPr>
      <w:pgSz w:w="11906" w:h="16838"/>
      <w:pgMar w:top="1701" w:right="1418" w:bottom="1134"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AB900803-DE65-4A19-B852-DFBC39FA7FBE}"/>
  </w:font>
  <w:font w:name="Arial">
    <w:panose1 w:val="020B0604020202020204"/>
    <w:charset w:val="01"/>
    <w:family w:val="swiss"/>
    <w:pitch w:val="default"/>
    <w:sig w:usb0="E0002EFF" w:usb1="C000785B" w:usb2="00000009" w:usb3="00000000" w:csb0="400001FF" w:csb1="FFFF0000"/>
    <w:embedRegular r:id="rId2" w:fontKey="{4DB111B9-720A-46AD-8B64-FB469735E7E3}"/>
  </w:font>
  <w:font w:name="黑体">
    <w:panose1 w:val="02010609060101010101"/>
    <w:charset w:val="86"/>
    <w:family w:val="auto"/>
    <w:pitch w:val="default"/>
    <w:sig w:usb0="800002BF" w:usb1="38CF7CFA" w:usb2="00000016" w:usb3="00000000" w:csb0="00040001" w:csb1="00000000"/>
    <w:embedRegular r:id="rId3" w:fontKey="{0AC61DCC-8E2C-4356-8FA0-8FFA3AB580F8}"/>
  </w:font>
  <w:font w:name="Courier New">
    <w:panose1 w:val="02070309020205020404"/>
    <w:charset w:val="01"/>
    <w:family w:val="modern"/>
    <w:pitch w:val="default"/>
    <w:sig w:usb0="E0002EFF" w:usb1="C0007843" w:usb2="00000009" w:usb3="00000000" w:csb0="400001FF" w:csb1="FFFF0000"/>
    <w:embedRegular r:id="rId4" w:fontKey="{41DCF757-85A0-4804-9EE9-C36E4ECFCEB8}"/>
  </w:font>
  <w:font w:name="Symbol">
    <w:panose1 w:val="05050102010706020507"/>
    <w:charset w:val="02"/>
    <w:family w:val="roman"/>
    <w:pitch w:val="default"/>
    <w:sig w:usb0="00000000" w:usb1="00000000" w:usb2="00000000" w:usb3="00000000" w:csb0="80000000" w:csb1="00000000"/>
    <w:embedRegular r:id="rId5" w:fontKey="{557F9B33-7A1E-4B80-B49D-4C2FD7646023}"/>
  </w:font>
  <w:font w:name="Calibri">
    <w:panose1 w:val="020F0502020204030204"/>
    <w:charset w:val="00"/>
    <w:family w:val="swiss"/>
    <w:pitch w:val="default"/>
    <w:sig w:usb0="E4002EFF" w:usb1="C000247B" w:usb2="00000009" w:usb3="00000000" w:csb0="200001FF" w:csb1="00000000"/>
    <w:embedRegular r:id="rId6" w:fontKey="{5A9D2A6B-432F-43EB-BD39-6BD591BC325E}"/>
  </w:font>
  <w:font w:name="方正小标宋简体">
    <w:panose1 w:val="02000000000000000000"/>
    <w:charset w:val="86"/>
    <w:family w:val="auto"/>
    <w:pitch w:val="default"/>
    <w:sig w:usb0="00000001" w:usb1="080E0000" w:usb2="00000000" w:usb3="00000000" w:csb0="00040000" w:csb1="00000000"/>
    <w:embedRegular r:id="rId7" w:fontKey="{9CD43BA3-A3FB-478C-B664-0B27E309DB28}"/>
  </w:font>
  <w:font w:name="仿宋_GB2312">
    <w:panose1 w:val="02010609030101010101"/>
    <w:charset w:val="86"/>
    <w:family w:val="modern"/>
    <w:pitch w:val="default"/>
    <w:sig w:usb0="00000001" w:usb1="080E0000" w:usb2="00000000" w:usb3="00000000" w:csb0="00040000" w:csb1="00000000"/>
    <w:embedRegular r:id="rId8" w:fontKey="{0182900F-558C-44CC-B5C9-86DEF8CA3E1E}"/>
  </w:font>
  <w:font w:name="方正仿宋_GBK">
    <w:panose1 w:val="02000000000000000000"/>
    <w:charset w:val="86"/>
    <w:family w:val="auto"/>
    <w:pitch w:val="default"/>
    <w:sig w:usb0="00000001" w:usb1="080E0000" w:usb2="00000000" w:usb3="00000000" w:csb0="00040000" w:csb1="00000000"/>
    <w:embedRegular r:id="rId9" w:fontKey="{598E9E64-EC2B-441A-B70B-8D546AC95C0A}"/>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M3NDk0MWYyNjgwMzk4N2QyZTA1NTg4ODE3YzA2ZTgifQ=="/>
  </w:docVars>
  <w:rsids>
    <w:rsidRoot w:val="004D15FD"/>
    <w:rsid w:val="00016C97"/>
    <w:rsid w:val="000958CE"/>
    <w:rsid w:val="001026D9"/>
    <w:rsid w:val="00113142"/>
    <w:rsid w:val="0025758F"/>
    <w:rsid w:val="002D3160"/>
    <w:rsid w:val="00433A62"/>
    <w:rsid w:val="004D15FD"/>
    <w:rsid w:val="00510A8A"/>
    <w:rsid w:val="005F23FC"/>
    <w:rsid w:val="0063236D"/>
    <w:rsid w:val="00776A32"/>
    <w:rsid w:val="00805865"/>
    <w:rsid w:val="0085737A"/>
    <w:rsid w:val="008A7FDB"/>
    <w:rsid w:val="00902E85"/>
    <w:rsid w:val="009422D9"/>
    <w:rsid w:val="009678A4"/>
    <w:rsid w:val="00981BE1"/>
    <w:rsid w:val="00A101AF"/>
    <w:rsid w:val="00AA4336"/>
    <w:rsid w:val="00AF1CEE"/>
    <w:rsid w:val="00AF479C"/>
    <w:rsid w:val="00B12718"/>
    <w:rsid w:val="00BE5A4B"/>
    <w:rsid w:val="00C446D1"/>
    <w:rsid w:val="00CE2139"/>
    <w:rsid w:val="00E0585B"/>
    <w:rsid w:val="00E90ED9"/>
    <w:rsid w:val="00ED1AD3"/>
    <w:rsid w:val="00F74422"/>
    <w:rsid w:val="00FB3453"/>
    <w:rsid w:val="00FF722B"/>
    <w:rsid w:val="010F37EF"/>
    <w:rsid w:val="01B71469"/>
    <w:rsid w:val="182E4DAB"/>
    <w:rsid w:val="186D58D3"/>
    <w:rsid w:val="1AB74774"/>
    <w:rsid w:val="203000CD"/>
    <w:rsid w:val="25F969F8"/>
    <w:rsid w:val="27E24956"/>
    <w:rsid w:val="2C2E6411"/>
    <w:rsid w:val="38633F62"/>
    <w:rsid w:val="44AB315B"/>
    <w:rsid w:val="4BD73639"/>
    <w:rsid w:val="4D7E0DE1"/>
    <w:rsid w:val="4E6A5AEE"/>
    <w:rsid w:val="55853555"/>
    <w:rsid w:val="57C06AC6"/>
    <w:rsid w:val="654C7BEB"/>
    <w:rsid w:val="66B3279D"/>
    <w:rsid w:val="6F4F01B0"/>
    <w:rsid w:val="7128150C"/>
    <w:rsid w:val="753F5076"/>
    <w:rsid w:val="7A4518B5"/>
    <w:rsid w:val="7B5862D4"/>
    <w:rsid w:val="7C5733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rFonts w:ascii="Times New Roman" w:hAnsi="Times New Roman" w:eastAsia="宋体" w:cs="Times New Roman"/>
      <w:sz w:val="18"/>
      <w:szCs w:val="18"/>
    </w:rPr>
  </w:style>
  <w:style w:type="character" w:customStyle="1" w:styleId="7">
    <w:name w:val="页脚 Char"/>
    <w:basedOn w:val="5"/>
    <w:link w:val="2"/>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4" Type="http://schemas.openxmlformats.org/officeDocument/2006/relationships/fontTable" Target="fontTable.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1334</Words>
  <Characters>1346</Characters>
  <Lines>9</Lines>
  <Paragraphs>2</Paragraphs>
  <TotalTime>12</TotalTime>
  <ScaleCrop>false</ScaleCrop>
  <LinksUpToDate>false</LinksUpToDate>
  <CharactersWithSpaces>1411</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2020-04-15T07:07:00Z</dcterms:created>
  <dc:creator>vvv</dc:creator>
  <cp:lastModifiedBy>白马骨</cp:lastModifiedBy>
  <cp:lastPrinted>2020-05-18T01:20:00Z</cp:lastPrinted>
  <dcterms:modified xsi:type="dcterms:W3CDTF">2024-05-30T02:39:19Z</dcterms:modified>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1152252418_embed</vt:lpwstr>
  </property>
  <property fmtid="{D5CDD505-2E9C-101B-9397-08002B2CF9AE}" pid="4" name="ICV">
    <vt:lpwstr>2B4601A279604559BC13DA5AA2BFCC4A_13</vt:lpwstr>
  </property>
</Properties>
</file>