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8A2B2">
      <w:pPr>
        <w:pageBreakBefore w:val="0"/>
        <w:widowControl w:val="0"/>
        <w:kinsoku/>
        <w:overflowPunct/>
        <w:topLinePunct w:val="0"/>
        <w:autoSpaceDE/>
        <w:autoSpaceDN/>
        <w:bidi w:val="0"/>
        <w:adjustRightInd/>
        <w:snapToGrid/>
        <w:spacing w:line="600" w:lineRule="exact"/>
        <w:ind w:left="0" w:leftChars="0"/>
        <w:jc w:val="center"/>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eastAsia="zh-CN"/>
        </w:rPr>
        <w:t>青阳县人民政府公报</w:t>
      </w:r>
      <w:r>
        <w:rPr>
          <w:rFonts w:hint="eastAsia" w:ascii="方正小标宋简体" w:hAnsi="方正小标宋简体" w:eastAsia="方正小标宋简体" w:cs="方正小标宋简体"/>
          <w:b w:val="0"/>
          <w:bCs w:val="0"/>
          <w:color w:val="auto"/>
          <w:sz w:val="44"/>
          <w:szCs w:val="44"/>
          <w:lang w:val="en-US" w:eastAsia="zh-CN"/>
        </w:rPr>
        <w:t>2024年第4号</w:t>
      </w:r>
    </w:p>
    <w:p w14:paraId="7FE48ABC">
      <w:pPr>
        <w:pageBreakBefore w:val="0"/>
        <w:widowControl w:val="0"/>
        <w:kinsoku/>
        <w:overflowPunct/>
        <w:topLinePunct w:val="0"/>
        <w:autoSpaceDE/>
        <w:autoSpaceDN/>
        <w:bidi w:val="0"/>
        <w:adjustRightInd/>
        <w:snapToGrid/>
        <w:spacing w:line="600" w:lineRule="exact"/>
        <w:ind w:left="0" w:leftChars="0"/>
        <w:jc w:val="center"/>
        <w:rPr>
          <w:rFonts w:hint="eastAsia" w:ascii="楷体_GB2312" w:hAnsi="楷体_GB2312" w:eastAsia="楷体_GB2312" w:cs="楷体_GB2312"/>
          <w:b w:val="0"/>
          <w:bCs w:val="0"/>
          <w:color w:val="auto"/>
          <w:sz w:val="36"/>
          <w:szCs w:val="36"/>
          <w:lang w:val="en-US" w:eastAsia="zh-CN"/>
        </w:rPr>
      </w:pPr>
      <w:r>
        <w:rPr>
          <w:rFonts w:hint="eastAsia" w:ascii="楷体_GB2312" w:hAnsi="楷体_GB2312" w:eastAsia="楷体_GB2312" w:cs="楷体_GB2312"/>
          <w:b w:val="0"/>
          <w:bCs w:val="0"/>
          <w:color w:val="auto"/>
          <w:sz w:val="36"/>
          <w:szCs w:val="36"/>
          <w:lang w:val="en-US" w:eastAsia="zh-CN"/>
        </w:rPr>
        <w:t>（总第50期）</w:t>
      </w:r>
    </w:p>
    <w:p w14:paraId="6F195EE5">
      <w:pPr>
        <w:pStyle w:val="14"/>
        <w:pageBreakBefore w:val="0"/>
        <w:widowControl w:val="0"/>
        <w:kinsoku/>
        <w:overflowPunct/>
        <w:topLinePunct w:val="0"/>
        <w:autoSpaceDE/>
        <w:autoSpaceDN/>
        <w:bidi w:val="0"/>
        <w:adjustRightInd/>
        <w:snapToGrid/>
        <w:spacing w:line="600" w:lineRule="exact"/>
        <w:ind w:left="0" w:leftChars="0"/>
        <w:rPr>
          <w:rFonts w:hint="eastAsia" w:asciiTheme="majorEastAsia" w:hAnsiTheme="majorEastAsia" w:eastAsiaTheme="majorEastAsia" w:cstheme="majorEastAsia"/>
          <w:b/>
          <w:bCs/>
          <w:color w:val="auto"/>
          <w:sz w:val="36"/>
          <w:szCs w:val="36"/>
          <w:lang w:val="en-US" w:eastAsia="zh-CN"/>
        </w:rPr>
      </w:pPr>
    </w:p>
    <w:p w14:paraId="0EA1EF44">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14:paraId="1B811999">
      <w:pPr>
        <w:pStyle w:val="40"/>
        <w:pageBreakBefore w:val="0"/>
        <w:widowControl w:val="0"/>
        <w:kinsoku/>
        <w:overflowPunct/>
        <w:topLinePunct w:val="0"/>
        <w:autoSpaceDE/>
        <w:autoSpaceDN/>
        <w:bidi w:val="0"/>
        <w:adjustRightInd/>
        <w:snapToGrid/>
        <w:spacing w:line="600" w:lineRule="exact"/>
        <w:ind w:left="0" w:leftChars="0"/>
        <w:rPr>
          <w:rFonts w:hint="eastAsia"/>
          <w:color w:val="auto"/>
          <w:lang w:val="en-US" w:eastAsia="zh-CN"/>
        </w:rPr>
      </w:pPr>
    </w:p>
    <w:p w14:paraId="34C8D54A">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县政府办文件</w:t>
      </w:r>
    </w:p>
    <w:p w14:paraId="31F28334">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青阳县人民政府办公室关于印发青阳县城区房屋征收房票安置试行办法的通知</w:t>
      </w:r>
    </w:p>
    <w:p w14:paraId="65BA64C6">
      <w:pPr>
        <w:pStyle w:val="26"/>
        <w:rPr>
          <w:rFonts w:hint="eastAsia"/>
          <w:color w:val="auto"/>
          <w:lang w:val="en-US" w:eastAsia="zh-CN"/>
        </w:rPr>
      </w:pPr>
    </w:p>
    <w:p w14:paraId="3CFDB361">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青阳县人民政府办公室关于印发青阳县电动自行车安全隐患全链条整治实施方案的通知</w:t>
      </w:r>
    </w:p>
    <w:p w14:paraId="7F184165">
      <w:pPr>
        <w:pageBreakBefore w:val="0"/>
        <w:widowControl w:val="0"/>
        <w:kinsoku/>
        <w:overflowPunct/>
        <w:topLinePunct w:val="0"/>
        <w:autoSpaceDE/>
        <w:autoSpaceDN/>
        <w:bidi w:val="0"/>
        <w:adjustRightInd/>
        <w:snapToGrid/>
        <w:spacing w:line="600" w:lineRule="exact"/>
        <w:ind w:left="0" w:leftChars="0"/>
        <w:rPr>
          <w:rFonts w:hint="eastAsia"/>
          <w:color w:val="auto"/>
          <w:lang w:eastAsia="zh-CN"/>
        </w:rPr>
      </w:pPr>
    </w:p>
    <w:p w14:paraId="2CB51A15">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color w:val="auto"/>
          <w:kern w:val="0"/>
          <w:sz w:val="28"/>
          <w:szCs w:val="28"/>
          <w:shd w:val="clear" w:color="auto" w:fill="FFFFFF"/>
          <w:lang w:eastAsia="zh-CN"/>
        </w:rPr>
      </w:pPr>
    </w:p>
    <w:p w14:paraId="6F25FE61">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color w:val="auto"/>
          <w:kern w:val="0"/>
          <w:sz w:val="28"/>
          <w:szCs w:val="28"/>
          <w:shd w:val="clear" w:color="auto" w:fill="FFFFFF"/>
          <w:lang w:eastAsia="zh-CN"/>
        </w:rPr>
      </w:pPr>
    </w:p>
    <w:p w14:paraId="40C55528">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rPr>
          <w:rFonts w:hint="eastAsia"/>
          <w:color w:val="auto"/>
        </w:rPr>
      </w:pPr>
    </w:p>
    <w:p w14:paraId="44939C40">
      <w:pPr>
        <w:pStyle w:val="11"/>
        <w:rPr>
          <w:rFonts w:hint="eastAsia"/>
          <w:color w:val="auto"/>
        </w:rPr>
      </w:pPr>
    </w:p>
    <w:p w14:paraId="1D49068A">
      <w:pPr>
        <w:rPr>
          <w:rFonts w:hint="eastAsia"/>
        </w:rPr>
      </w:pPr>
    </w:p>
    <w:p w14:paraId="7D7286FB">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21773076">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4B5E4F0C">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19331E25">
      <w:pPr>
        <w:keepNext w:val="0"/>
        <w:keepLines w:val="0"/>
        <w:pageBreakBefore w:val="0"/>
        <w:widowControl w:val="0"/>
        <w:kinsoku/>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auto"/>
          <w:kern w:val="44"/>
          <w:sz w:val="44"/>
          <w:szCs w:val="44"/>
          <w:shd w:val="clear" w:color="auto" w:fill="FFFFFF"/>
          <w:lang w:eastAsia="zh-CN"/>
        </w:rPr>
      </w:pPr>
    </w:p>
    <w:p w14:paraId="1CDF9726">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auto"/>
          <w:sz w:val="44"/>
          <w:szCs w:val="44"/>
          <w:lang w:eastAsia="zh-CN"/>
        </w:rPr>
      </w:pPr>
    </w:p>
    <w:p w14:paraId="53DFA1CE">
      <w:pPr>
        <w:pStyle w:val="11"/>
        <w:rPr>
          <w:rFonts w:hint="eastAsia" w:ascii="方正小标宋简体" w:hAnsi="方正小标宋简体" w:eastAsia="方正小标宋简体" w:cs="方正小标宋简体"/>
          <w:color w:val="auto"/>
          <w:sz w:val="44"/>
          <w:szCs w:val="44"/>
          <w:lang w:eastAsia="zh-CN"/>
        </w:rPr>
      </w:pPr>
    </w:p>
    <w:p w14:paraId="28E38437">
      <w:pPr>
        <w:rPr>
          <w:rFonts w:hint="eastAsia" w:ascii="方正小标宋简体" w:hAnsi="方正小标宋简体" w:eastAsia="方正小标宋简体" w:cs="方正小标宋简体"/>
          <w:color w:val="auto"/>
          <w:sz w:val="44"/>
          <w:szCs w:val="44"/>
          <w:lang w:eastAsia="zh-CN"/>
        </w:rPr>
      </w:pPr>
    </w:p>
    <w:p w14:paraId="1627BF92">
      <w:pPr>
        <w:pStyle w:val="11"/>
        <w:rPr>
          <w:rFonts w:hint="eastAsia"/>
          <w:lang w:eastAsia="zh-CN"/>
        </w:rPr>
      </w:pPr>
    </w:p>
    <w:p w14:paraId="7C466138">
      <w:pPr>
        <w:rPr>
          <w:rFonts w:hint="eastAsia"/>
          <w:lang w:eastAsia="zh-CN"/>
        </w:rPr>
      </w:pPr>
    </w:p>
    <w:p w14:paraId="45DFB248">
      <w:pPr>
        <w:pStyle w:val="11"/>
        <w:rPr>
          <w:rFonts w:hint="eastAsia"/>
          <w:lang w:eastAsia="zh-CN"/>
        </w:rPr>
      </w:pPr>
    </w:p>
    <w:p w14:paraId="69E11777">
      <w:pPr>
        <w:ind w:left="0" w:leftChars="0"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t>青阳县人民政府办公室</w:t>
      </w: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关于</w:t>
      </w:r>
      <w:r>
        <w:rPr>
          <w:rFonts w:hint="eastAsia" w:ascii="方正小标宋简体" w:hAnsi="方正小标宋简体" w:eastAsia="方正小标宋简体" w:cs="方正小标宋简体"/>
          <w:sz w:val="44"/>
          <w:szCs w:val="44"/>
        </w:rPr>
        <w:t>印发</w:t>
      </w:r>
    </w:p>
    <w:p w14:paraId="7D8C27F0">
      <w:pPr>
        <w:pStyle w:val="11"/>
        <w:spacing w:after="0" w:line="600" w:lineRule="exact"/>
        <w:ind w:left="0" w:leftChars="0" w:firstLine="0" w:firstLineChars="0"/>
        <w:rPr>
          <w:rFonts w:hint="eastAsia"/>
          <w:lang w:val="en-US" w:eastAsia="zh-CN"/>
        </w:rPr>
      </w:pPr>
      <w:r>
        <w:rPr>
          <w:rFonts w:hint="eastAsia" w:ascii="方正小标宋简体" w:hAnsi="方正小标宋简体" w:eastAsia="方正小标宋简体" w:cs="方正小标宋简体"/>
          <w:sz w:val="44"/>
          <w:szCs w:val="44"/>
          <w:lang w:val="en-US" w:eastAsia="zh-CN"/>
        </w:rPr>
        <w:t>青阳县城区房屋征收房票安置试行办法</w:t>
      </w:r>
      <w:r>
        <w:rPr>
          <w:rFonts w:hint="eastAsia" w:ascii="方正小标宋简体" w:hAnsi="方正小标宋简体" w:eastAsia="方正小标宋简体" w:cs="方正小标宋简体"/>
          <w:sz w:val="44"/>
          <w:szCs w:val="44"/>
        </w:rPr>
        <w:t>的通知</w:t>
      </w:r>
    </w:p>
    <w:p w14:paraId="0A9BFD07">
      <w:pPr>
        <w:pStyle w:val="11"/>
        <w:spacing w:after="0" w:line="600" w:lineRule="exact"/>
        <w:ind w:left="0" w:leftChars="0" w:firstLine="0" w:firstLineChars="0"/>
        <w:rPr>
          <w:rFonts w:hint="eastAsia" w:ascii="仿宋_GB2312" w:hAnsi="仿宋_GB2312" w:eastAsia="仿宋_GB2312" w:cs="仿宋_GB2312"/>
          <w:color w:val="000000"/>
          <w:kern w:val="2"/>
          <w:sz w:val="32"/>
          <w:szCs w:val="32"/>
          <w:lang w:val="en-US" w:eastAsia="zh-CN" w:bidi="ar-SA"/>
        </w:rPr>
      </w:pPr>
    </w:p>
    <w:p w14:paraId="0963D88D">
      <w:pPr>
        <w:pStyle w:val="11"/>
        <w:spacing w:after="0" w:line="600" w:lineRule="exact"/>
        <w:ind w:left="0" w:leftChars="0" w:firstLine="0" w:firstLineChars="0"/>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各乡镇人民政府，县开发区管委会，县政府各部门、各直属机构，驻青各单位，县建投集团，县乡投集团：</w:t>
      </w:r>
    </w:p>
    <w:p w14:paraId="6627F975">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sz w:val="32"/>
          <w:szCs w:val="32"/>
          <w:lang w:eastAsia="zh-CN"/>
        </w:rPr>
        <w:t>《青阳县城区房屋征收房票安置试行办法》经县政府第68次常务会议研究同意，现印发给你们，请结合实际，认真贯彻落实。</w:t>
      </w:r>
    </w:p>
    <w:p w14:paraId="6AFD2DA4">
      <w:pPr>
        <w:pStyle w:val="11"/>
        <w:spacing w:after="0" w:line="600" w:lineRule="exact"/>
        <w:ind w:left="0" w:leftChars="0" w:firstLine="0" w:firstLineChars="0"/>
        <w:rPr>
          <w:rFonts w:hint="eastAsia" w:ascii="仿宋_GB2312" w:hAnsi="仿宋_GB2312" w:eastAsia="仿宋_GB2312" w:cs="仿宋_GB2312"/>
          <w:color w:val="000000"/>
          <w:kern w:val="2"/>
          <w:sz w:val="32"/>
          <w:szCs w:val="32"/>
          <w:lang w:val="en-US" w:eastAsia="zh-CN" w:bidi="ar-SA"/>
        </w:rPr>
      </w:pPr>
    </w:p>
    <w:p w14:paraId="02560372">
      <w:pPr>
        <w:pStyle w:val="11"/>
        <w:spacing w:after="0" w:line="600" w:lineRule="exact"/>
        <w:ind w:left="0" w:leftChars="0" w:firstLine="4800" w:firstLineChars="1500"/>
        <w:rPr>
          <w:rFonts w:hint="eastAsia" w:ascii="仿宋_GB2312" w:hAnsi="仿宋_GB2312" w:eastAsia="仿宋_GB2312" w:cs="仿宋_GB2312"/>
          <w:color w:val="000000"/>
          <w:kern w:val="2"/>
          <w:sz w:val="32"/>
          <w:szCs w:val="32"/>
          <w:lang w:val="en-US" w:eastAsia="zh-CN" w:bidi="ar-SA"/>
        </w:rPr>
      </w:pPr>
    </w:p>
    <w:p w14:paraId="3861B224">
      <w:pPr>
        <w:pStyle w:val="11"/>
        <w:spacing w:after="0" w:line="600" w:lineRule="exact"/>
        <w:ind w:left="0" w:leftChars="0" w:firstLine="4800" w:firstLineChars="1500"/>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青阳县人民政府办公室</w:t>
      </w:r>
    </w:p>
    <w:p w14:paraId="2F566B97">
      <w:pPr>
        <w:pStyle w:val="11"/>
        <w:spacing w:after="0" w:line="600" w:lineRule="exact"/>
        <w:ind w:firstLine="5120" w:firstLineChars="1600"/>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2024年11月27日</w:t>
      </w:r>
    </w:p>
    <w:p w14:paraId="20F542C7">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p>
    <w:p w14:paraId="1C989174">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p>
    <w:p w14:paraId="71155199">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p>
    <w:p w14:paraId="0C7DB50C">
      <w:pPr>
        <w:pStyle w:val="11"/>
        <w:spacing w:after="0" w:line="600" w:lineRule="exact"/>
        <w:ind w:left="0" w:leftChars="0" w:firstLine="640" w:firstLineChars="200"/>
        <w:rPr>
          <w:rFonts w:hint="eastAsia" w:ascii="仿宋_GB2312" w:hAnsi="仿宋_GB2312" w:eastAsia="仿宋_GB2312" w:cs="仿宋_GB2312"/>
          <w:color w:val="000000"/>
          <w:kern w:val="2"/>
          <w:sz w:val="32"/>
          <w:szCs w:val="32"/>
          <w:lang w:val="en-US" w:eastAsia="zh-CN" w:bidi="ar-SA"/>
        </w:rPr>
      </w:pPr>
    </w:p>
    <w:p w14:paraId="7C0B4BC2">
      <w:pPr>
        <w:pStyle w:val="11"/>
        <w:spacing w:after="0" w:line="600" w:lineRule="exact"/>
        <w:ind w:left="1119" w:leftChars="133" w:hanging="840" w:hangingChars="300"/>
        <w:rPr>
          <w:rFonts w:hint="eastAsia" w:ascii="仿宋_GB2312" w:hAnsi="仿宋_GB2312" w:eastAsia="仿宋_GB2312" w:cs="仿宋_GB2312"/>
          <w:sz w:val="28"/>
          <w:szCs w:val="28"/>
          <w:lang w:val="en-US" w:eastAsia="zh-CN"/>
        </w:rPr>
        <w:sectPr>
          <w:footerReference r:id="rId4" w:type="first"/>
          <w:footerReference r:id="rId3" w:type="default"/>
          <w:pgSz w:w="11906" w:h="16838"/>
          <w:pgMar w:top="2098" w:right="1531" w:bottom="1984" w:left="1531" w:header="851" w:footer="1701" w:gutter="0"/>
          <w:pgNumType w:fmt="decimal" w:start="1"/>
          <w:cols w:space="720" w:num="1"/>
          <w:titlePg/>
          <w:docGrid w:linePitch="435" w:charSpace="0"/>
        </w:sectPr>
      </w:pPr>
    </w:p>
    <w:p w14:paraId="53352726">
      <w:pPr>
        <w:pStyle w:val="3"/>
        <w:pageBreakBefore w:val="0"/>
        <w:widowControl w:val="0"/>
        <w:kinsoku/>
        <w:wordWrap/>
        <w:overflowPunct/>
        <w:topLinePunct w:val="0"/>
        <w:autoSpaceDE/>
        <w:autoSpaceDN/>
        <w:bidi w:val="0"/>
        <w:adjustRightInd/>
        <w:snapToGrid/>
        <w:spacing w:before="0" w:beforeLines="0" w:after="0" w:afterLines="0" w:line="560" w:lineRule="exact"/>
        <w:jc w:val="center"/>
        <w:textAlignment w:val="auto"/>
        <w:rPr>
          <w:rFonts w:hint="eastAsia" w:ascii="方正小标宋简体" w:hAnsi="方正小标宋简体" w:eastAsia="方正小标宋简体" w:cs="方正小标宋简体"/>
          <w:b w:val="0"/>
          <w:bCs/>
          <w:color w:val="auto"/>
        </w:rPr>
      </w:pPr>
      <w:r>
        <w:rPr>
          <w:rFonts w:hint="eastAsia" w:ascii="方正小标宋简体" w:hAnsi="方正小标宋简体" w:eastAsia="方正小标宋简体" w:cs="方正小标宋简体"/>
          <w:b w:val="0"/>
          <w:bCs/>
          <w:color w:val="auto"/>
        </w:rPr>
        <w:t>青阳县城区房屋征收房票安置试行办法</w:t>
      </w:r>
    </w:p>
    <w:p w14:paraId="1DA75D4C">
      <w:pPr>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color w:val="auto"/>
          <w:sz w:val="32"/>
          <w:szCs w:val="32"/>
          <w:lang w:eastAsia="zh-CN"/>
        </w:rPr>
      </w:pPr>
    </w:p>
    <w:p w14:paraId="161CC1E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第一条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cs="仿宋_GB2312"/>
          <w:b w:val="0"/>
          <w:bCs w:val="0"/>
          <w:color w:val="auto"/>
          <w:sz w:val="32"/>
          <w:szCs w:val="32"/>
          <w:lang w:val="en-US" w:eastAsia="zh-CN"/>
        </w:rPr>
        <w:t>为进一步</w:t>
      </w:r>
      <w:r>
        <w:rPr>
          <w:rFonts w:hint="eastAsia" w:ascii="仿宋_GB2312" w:hAnsi="仿宋_GB2312" w:eastAsia="仿宋_GB2312" w:cs="仿宋_GB2312"/>
          <w:color w:val="auto"/>
          <w:sz w:val="32"/>
          <w:szCs w:val="32"/>
        </w:rPr>
        <w:t>拓宽我县房屋征收补偿安置渠道，满足人民群众对安置房屋的多样化、个性化需求，</w:t>
      </w:r>
      <w:r>
        <w:rPr>
          <w:rFonts w:hint="eastAsia" w:ascii="仿宋_GB2312" w:hAnsi="仿宋_GB2312" w:eastAsia="仿宋_GB2312" w:cs="仿宋_GB2312"/>
          <w:color w:val="auto"/>
          <w:sz w:val="32"/>
          <w:szCs w:val="32"/>
          <w:lang w:val="en-US" w:eastAsia="zh-CN"/>
        </w:rPr>
        <w:t>促进房地产市场平稳健康发展，根据国务院《国有土地上房屋征收与补偿条例》</w:t>
      </w:r>
      <w:r>
        <w:rPr>
          <w:rFonts w:hint="eastAsia" w:ascii="仿宋_GB2312" w:hAnsi="仿宋_GB2312" w:eastAsia="仿宋_GB2312" w:cs="仿宋_GB2312"/>
          <w:color w:val="auto"/>
          <w:sz w:val="32"/>
          <w:szCs w:val="32"/>
        </w:rPr>
        <w:t>《安徽省实施&lt;中华人民共和国土地管理法&gt;办法》</w:t>
      </w:r>
      <w:r>
        <w:rPr>
          <w:rFonts w:hint="eastAsia" w:ascii="仿宋_GB2312" w:hAnsi="仿宋_GB2312" w:eastAsia="仿宋_GB2312" w:cs="仿宋_GB2312"/>
          <w:color w:val="auto"/>
          <w:sz w:val="32"/>
          <w:szCs w:val="32"/>
          <w:lang w:val="en-US" w:eastAsia="zh-CN"/>
        </w:rPr>
        <w:t>等相关法律法规，结合我县实际，制定</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青阳县城区房屋征收房票安置试行办法》</w:t>
      </w:r>
      <w:r>
        <w:rPr>
          <w:rFonts w:hint="eastAsia" w:ascii="仿宋_GB2312" w:hAnsi="仿宋_GB2312" w:eastAsia="仿宋_GB2312" w:cs="仿宋_GB2312"/>
          <w:color w:val="auto"/>
          <w:sz w:val="32"/>
          <w:szCs w:val="32"/>
        </w:rPr>
        <w:t>。</w:t>
      </w:r>
    </w:p>
    <w:p w14:paraId="62D3C21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第二条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本办法适用于我县城区范围内(东至合铜黄高速线，南至芙蓉大道，西至西南外环，北至北外环)城市更新改造和重点工程建设等房屋征收项目。</w:t>
      </w:r>
    </w:p>
    <w:p w14:paraId="7D7AE39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第三条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房票是被征收人购买安置房的资金凭证，房票安置是房屋征收补偿的另一种补充安置形式，由被征收人自主选择。房票安置指将应安置房屋转化为货币，以“房票”形式出具给被征收人，由被征收人使用“房票”自行购买房地产开发企业在我县城区范围内开发建设的新建商品住宅房以及存量安置房用于居住安置。</w:t>
      </w:r>
    </w:p>
    <w:p w14:paraId="35F62E4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cs="仿宋_GB2312"/>
          <w:b/>
          <w:bCs/>
          <w:color w:val="auto"/>
          <w:sz w:val="32"/>
          <w:szCs w:val="32"/>
          <w:lang w:val="en-US" w:eastAsia="zh-CN"/>
        </w:rPr>
        <w:t>四</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房票票面金额由房屋征收补偿安置中的应安置房屋面积价款和按时搬迁奖励补助组成。被征收房屋的装修补偿、构筑物（附属物）补偿以及临时安置过渡费等其它补偿费不计入房票金额。</w:t>
      </w:r>
    </w:p>
    <w:p w14:paraId="6EFD3EE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cs="仿宋_GB2312"/>
          <w:b/>
          <w:bCs/>
          <w:color w:val="auto"/>
          <w:sz w:val="32"/>
          <w:szCs w:val="32"/>
          <w:lang w:val="en-US" w:eastAsia="zh-CN"/>
        </w:rPr>
        <w:t>五</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应安置房屋面积是指按征收住宅房屋相关政策规定应予产权调换的安置房实际建筑面积（含政策性增购面积）。应安置房屋价款按房屋被征收时安置方案中拟安置区域邻近安置房的市场评估均价与应安置面积之积确定。</w:t>
      </w:r>
    </w:p>
    <w:p w14:paraId="4DCBBE5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cs="仿宋_GB2312"/>
          <w:b/>
          <w:bCs/>
          <w:color w:val="auto"/>
          <w:sz w:val="32"/>
          <w:szCs w:val="32"/>
          <w:lang w:val="en-US" w:eastAsia="zh-CN"/>
        </w:rPr>
        <w:t>六</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被征收人使用房票购买新建商品住宅房、存量安置房以及配套的储藏室、车库（位）可抵付购房款，其使用房票额度不得低于房票金额的90%。</w:t>
      </w:r>
    </w:p>
    <w:p w14:paraId="593AE8E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cs="仿宋_GB2312"/>
          <w:b/>
          <w:bCs/>
          <w:color w:val="auto"/>
          <w:sz w:val="32"/>
          <w:szCs w:val="32"/>
          <w:lang w:val="en-US" w:eastAsia="zh-CN"/>
        </w:rPr>
        <w:t>七</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房票持有人系房屋被征收人，可用于被征收人本人及其配偶、父母、子女购房使用，但不得提现、转让、赠与。</w:t>
      </w:r>
    </w:p>
    <w:p w14:paraId="61EA701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cs="仿宋_GB2312"/>
          <w:b/>
          <w:bCs/>
          <w:color w:val="auto"/>
          <w:sz w:val="32"/>
          <w:szCs w:val="32"/>
          <w:lang w:val="en-US" w:eastAsia="zh-CN"/>
        </w:rPr>
        <w:t>八</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房地产开发企业持房票、新建商品住宅房买卖备案合同向房票办申请房票结算，房票办应及时结清对应款项，将房票票面总额中抵付购房款部分支付给开发企业，剩余部分支付给房票持有人。所购新建商品住宅房为期房的，支付给开发企业价款按规定纳入预售资金监管。</w:t>
      </w:r>
    </w:p>
    <w:p w14:paraId="404E014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cs="仿宋_GB2312"/>
          <w:b/>
          <w:bCs/>
          <w:color w:val="auto"/>
          <w:sz w:val="32"/>
          <w:szCs w:val="32"/>
          <w:lang w:val="en-US" w:eastAsia="zh-CN"/>
        </w:rPr>
        <w:t>九</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房票安置操作程序：</w:t>
      </w:r>
    </w:p>
    <w:p w14:paraId="36B78A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(一)房屋征收具体实施单位与被征收人签订房屋征收补偿房票安置协议，并根据签订的协议确认房票金额。</w:t>
      </w:r>
    </w:p>
    <w:p w14:paraId="00E680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(二)具体实施单位在被征收人</w:t>
      </w:r>
      <w:r>
        <w:rPr>
          <w:rFonts w:hint="eastAsia" w:ascii="仿宋_GB2312" w:hAnsi="仿宋_GB2312" w:eastAsia="仿宋_GB2312" w:cs="仿宋_GB2312"/>
          <w:color w:val="auto"/>
          <w:sz w:val="32"/>
          <w:szCs w:val="32"/>
          <w:lang w:val="en-US" w:eastAsia="zh-CN"/>
        </w:rPr>
        <w:t>按</w:t>
      </w:r>
      <w:r>
        <w:rPr>
          <w:rFonts w:hint="eastAsia" w:ascii="仿宋_GB2312" w:hAnsi="仿宋_GB2312" w:eastAsia="仿宋_GB2312" w:cs="仿宋_GB2312"/>
          <w:color w:val="auto"/>
          <w:sz w:val="32"/>
          <w:szCs w:val="32"/>
        </w:rPr>
        <w:t>约定时间搬迁后根据搬迁完毕证明和房屋征收补偿房票安置协议出具房票，并支付搬迁补偿和临时安置过渡费补助。</w:t>
      </w:r>
    </w:p>
    <w:p w14:paraId="2F34E5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(三)被征收人自主选择</w:t>
      </w:r>
      <w:r>
        <w:rPr>
          <w:rFonts w:hint="eastAsia" w:ascii="仿宋_GB2312" w:hAnsi="仿宋_GB2312" w:eastAsia="仿宋_GB2312" w:cs="仿宋_GB2312"/>
          <w:color w:val="auto"/>
          <w:sz w:val="32"/>
          <w:szCs w:val="32"/>
          <w:lang w:val="en-US" w:eastAsia="zh-CN"/>
        </w:rPr>
        <w:t>购买</w:t>
      </w:r>
      <w:r>
        <w:rPr>
          <w:rFonts w:hint="eastAsia" w:ascii="仿宋_GB2312" w:hAnsi="仿宋_GB2312" w:eastAsia="仿宋_GB2312" w:cs="仿宋_GB2312"/>
          <w:color w:val="auto"/>
          <w:sz w:val="32"/>
          <w:szCs w:val="32"/>
        </w:rPr>
        <w:t>参与房票结算的房地产开发企业的商品房，持房票、征收补偿房票安置协议与房地产开发企业签订房屋买卖合同。</w:t>
      </w:r>
    </w:p>
    <w:p w14:paraId="5581D9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(四)房票管理办公室与房地产开发企业办理房票结算相关业务，同时支付房票剩余金额给被征收人（剩余金额不得超过总价10%）。</w:t>
      </w:r>
    </w:p>
    <w:p w14:paraId="402E065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参与房票安置的房地产开发企业应当提供现房或已办理预售许可证的期房。房票安置房源的商品房买卖合同实行网签备案，纳入县房地产市场信息系统平台管理。房票购房款应当拨付至该房地产开发企业预(销)售资金监管账户。</w:t>
      </w:r>
    </w:p>
    <w:p w14:paraId="233C2FE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cs="仿宋_GB2312"/>
          <w:b/>
          <w:bCs/>
          <w:color w:val="auto"/>
          <w:sz w:val="32"/>
          <w:szCs w:val="32"/>
          <w:lang w:val="en-US" w:eastAsia="zh-CN"/>
        </w:rPr>
        <w:t>一</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有意向参与我县房票安置的房地产开发企业，经县住建局、财政局、</w:t>
      </w:r>
      <w:r>
        <w:rPr>
          <w:rFonts w:hint="eastAsia" w:ascii="仿宋_GB2312" w:hAnsi="仿宋_GB2312" w:eastAsia="仿宋_GB2312" w:cs="仿宋_GB2312"/>
          <w:color w:val="auto"/>
          <w:sz w:val="32"/>
          <w:szCs w:val="32"/>
          <w:lang w:val="en-US" w:eastAsia="zh-CN"/>
        </w:rPr>
        <w:t>自然资源和规划局</w:t>
      </w:r>
      <w:r>
        <w:rPr>
          <w:rFonts w:hint="eastAsia" w:ascii="仿宋_GB2312" w:hAnsi="仿宋_GB2312" w:eastAsia="仿宋_GB2312" w:cs="仿宋_GB2312"/>
          <w:color w:val="auto"/>
          <w:sz w:val="32"/>
          <w:szCs w:val="32"/>
        </w:rPr>
        <w:t>审核并在网站进行公示。</w:t>
      </w:r>
    </w:p>
    <w:p w14:paraId="6FB0F7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参与房票安置的所有楼盘及价格信息，均应在售楼部现场、政府公示栏或征收项目现场公示，供被征收人自主选择。</w:t>
      </w:r>
    </w:p>
    <w:p w14:paraId="19F4CE1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cs="仿宋_GB2312"/>
          <w:b/>
          <w:bCs/>
          <w:color w:val="auto"/>
          <w:sz w:val="32"/>
          <w:szCs w:val="32"/>
          <w:lang w:val="en-US" w:eastAsia="zh-CN"/>
        </w:rPr>
        <w:t>二</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被征收人用房票抵付购房款，不足部分由被征收人自行支付，或申请商业贷款</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公积金贷款。尚有余额的，余额部分由房地产开发企业在结算首次房票购房款项时，由房票管理办公室在不超过房票金额10%的限度内据实支付给被征收人。</w:t>
      </w:r>
    </w:p>
    <w:p w14:paraId="100031A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cs="仿宋_GB2312"/>
          <w:b/>
          <w:bCs/>
          <w:color w:val="auto"/>
          <w:sz w:val="32"/>
          <w:szCs w:val="32"/>
          <w:lang w:val="en-US" w:eastAsia="zh-CN"/>
        </w:rPr>
        <w:t>三</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使用房票自行购买的商品房,房地产开发企业凭房票、已经备案的商品房买卖合同、购房款发票，与房票管理办公室进行结算。</w:t>
      </w:r>
    </w:p>
    <w:p w14:paraId="3C4AFD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期房结算：商品房买卖合同完成备案之日起</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个月内拨付使用房票购房金额的30%;完成房屋初始登记</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个月内再拨付60%;余款于商品房交付后，产权证办理至被征收人后1个月内拨付。</w:t>
      </w:r>
    </w:p>
    <w:p w14:paraId="26A206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现房结算：完成房屋初始登记</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个月内拨付使用房票购房金额的90%;余款于商品房交付后，产权证办理至被征收人后1个月内拨付。</w:t>
      </w:r>
    </w:p>
    <w:p w14:paraId="2BD093A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cs="仿宋_GB2312"/>
          <w:b/>
          <w:bCs/>
          <w:color w:val="auto"/>
          <w:sz w:val="32"/>
          <w:szCs w:val="32"/>
          <w:lang w:val="en-US" w:eastAsia="zh-CN"/>
        </w:rPr>
        <w:t>四</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被征迁户使用房票购买的商品住宅房，与其他正常购买的商品住宅房享有同等权利和义务。被征收人持房票购买商品房总额不超过房票票面金额依法免征契税，对超出房票票面金额的差价部分征收契税。</w:t>
      </w:r>
    </w:p>
    <w:p w14:paraId="5105449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cs="仿宋_GB2312"/>
          <w:b/>
          <w:bCs/>
          <w:color w:val="auto"/>
          <w:sz w:val="32"/>
          <w:szCs w:val="32"/>
          <w:lang w:val="en-US" w:eastAsia="zh-CN"/>
        </w:rPr>
        <w:t>五</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房票自开出之日起有效期12个月，超过12个月期限未选购房屋的，视为自行放弃房票安置及其优惠政策，房屋征收实施单位依据原征收补偿项目方案规定，按照货币补偿方式给予安置补偿(不计算房票利息)。</w:t>
      </w:r>
    </w:p>
    <w:p w14:paraId="5C6694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若需申请延期的，由具体实施单位进行信息公示，延期期限原则上不超过12个月。</w:t>
      </w:r>
    </w:p>
    <w:p w14:paraId="53B2B70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cs="仿宋_GB2312"/>
          <w:b/>
          <w:bCs/>
          <w:color w:val="auto"/>
          <w:sz w:val="32"/>
          <w:szCs w:val="32"/>
          <w:lang w:val="en-US" w:eastAsia="zh-CN"/>
        </w:rPr>
        <w:t>六</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县政府成立县房票管理办公室,由县住建</w:t>
      </w:r>
      <w:r>
        <w:rPr>
          <w:rFonts w:hint="eastAsia" w:ascii="仿宋_GB2312" w:hAnsi="仿宋_GB2312" w:eastAsia="仿宋_GB2312" w:cs="仿宋_GB2312"/>
          <w:color w:val="auto"/>
          <w:sz w:val="32"/>
          <w:szCs w:val="32"/>
          <w:lang w:val="en-US" w:eastAsia="zh-CN"/>
        </w:rPr>
        <w:t>局</w:t>
      </w:r>
      <w:r>
        <w:rPr>
          <w:rFonts w:hint="eastAsia" w:ascii="仿宋_GB2312" w:hAnsi="仿宋_GB2312" w:eastAsia="仿宋_GB2312" w:cs="仿宋_GB2312"/>
          <w:color w:val="auto"/>
          <w:sz w:val="32"/>
          <w:szCs w:val="32"/>
        </w:rPr>
        <w:t>、财政</w:t>
      </w:r>
      <w:r>
        <w:rPr>
          <w:rFonts w:hint="eastAsia" w:ascii="仿宋_GB2312" w:hAnsi="仿宋_GB2312" w:eastAsia="仿宋_GB2312" w:cs="仿宋_GB2312"/>
          <w:color w:val="auto"/>
          <w:sz w:val="32"/>
          <w:szCs w:val="32"/>
          <w:lang w:val="en-US" w:eastAsia="zh-CN"/>
        </w:rPr>
        <w:t>局</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自然资源和规划局</w:t>
      </w:r>
      <w:r>
        <w:rPr>
          <w:rFonts w:hint="eastAsia" w:ascii="仿宋_GB2312" w:hAnsi="仿宋_GB2312" w:eastAsia="仿宋_GB2312" w:cs="仿宋_GB2312"/>
          <w:color w:val="auto"/>
          <w:sz w:val="32"/>
          <w:szCs w:val="32"/>
        </w:rPr>
        <w:t>、审计</w:t>
      </w:r>
      <w:r>
        <w:rPr>
          <w:rFonts w:hint="eastAsia" w:ascii="仿宋_GB2312" w:hAnsi="仿宋_GB2312" w:eastAsia="仿宋_GB2312" w:cs="仿宋_GB2312"/>
          <w:color w:val="auto"/>
          <w:sz w:val="32"/>
          <w:szCs w:val="32"/>
          <w:lang w:val="en-US" w:eastAsia="zh-CN"/>
        </w:rPr>
        <w:t>局</w:t>
      </w:r>
      <w:r>
        <w:rPr>
          <w:rFonts w:hint="eastAsia" w:ascii="仿宋_GB2312" w:hAnsi="仿宋_GB2312" w:eastAsia="仿宋_GB2312" w:cs="仿宋_GB2312"/>
          <w:color w:val="auto"/>
          <w:sz w:val="32"/>
          <w:szCs w:val="32"/>
        </w:rPr>
        <w:t>和具体实施单位组成,负责全县房票安置补偿的管理工作,包括房票印制、发放、核算、回收和监管等工作，并负责将房票购房款拨付至房地产开发企业预(销)售资金监管账户。县</w:t>
      </w:r>
      <w:r>
        <w:rPr>
          <w:rFonts w:hint="eastAsia" w:ascii="仿宋_GB2312" w:hAnsi="仿宋_GB2312" w:eastAsia="仿宋_GB2312" w:cs="仿宋_GB2312"/>
          <w:color w:val="auto"/>
          <w:sz w:val="32"/>
          <w:szCs w:val="32"/>
          <w:lang w:val="en-US" w:eastAsia="zh-CN"/>
        </w:rPr>
        <w:t>住建局</w:t>
      </w:r>
      <w:r>
        <w:rPr>
          <w:rFonts w:hint="eastAsia" w:ascii="仿宋_GB2312" w:hAnsi="仿宋_GB2312" w:eastAsia="仿宋_GB2312" w:cs="仿宋_GB2312"/>
          <w:color w:val="auto"/>
          <w:sz w:val="32"/>
          <w:szCs w:val="32"/>
        </w:rPr>
        <w:t>负责对房地产开发企业资质信用审核、销售行为监管和房票安置协调推进工作；县财政局负责</w:t>
      </w:r>
      <w:r>
        <w:rPr>
          <w:rFonts w:hint="eastAsia" w:ascii="仿宋_GB2312" w:hAnsi="仿宋_GB2312" w:eastAsia="仿宋_GB2312" w:cs="仿宋_GB2312"/>
          <w:color w:val="auto"/>
          <w:sz w:val="32"/>
          <w:szCs w:val="32"/>
          <w:lang w:val="en-US" w:eastAsia="zh-CN"/>
        </w:rPr>
        <w:t>将</w:t>
      </w:r>
      <w:r>
        <w:rPr>
          <w:rFonts w:hint="eastAsia" w:ascii="仿宋_GB2312" w:hAnsi="仿宋_GB2312" w:eastAsia="仿宋_GB2312" w:cs="仿宋_GB2312"/>
          <w:color w:val="auto"/>
          <w:sz w:val="32"/>
          <w:szCs w:val="32"/>
        </w:rPr>
        <w:t>房票安置资金</w:t>
      </w:r>
      <w:r>
        <w:rPr>
          <w:rFonts w:hint="eastAsia" w:ascii="仿宋_GB2312" w:hAnsi="仿宋_GB2312" w:eastAsia="仿宋_GB2312" w:cs="仿宋_GB2312"/>
          <w:color w:val="auto"/>
          <w:sz w:val="32"/>
          <w:szCs w:val="32"/>
          <w:lang w:val="en-US" w:eastAsia="zh-CN"/>
        </w:rPr>
        <w:t>纳入预算</w:t>
      </w:r>
      <w:r>
        <w:rPr>
          <w:rFonts w:hint="eastAsia" w:ascii="仿宋_GB2312" w:hAnsi="仿宋_GB2312" w:eastAsia="仿宋_GB2312" w:cs="仿宋_GB2312"/>
          <w:color w:val="auto"/>
          <w:sz w:val="32"/>
          <w:szCs w:val="32"/>
        </w:rPr>
        <w:t>和监管工作；县审计局负责对房票管理和资金使用情况进行审计；</w:t>
      </w:r>
      <w:r>
        <w:rPr>
          <w:rFonts w:hint="eastAsia" w:ascii="仿宋_GB2312" w:hAnsi="仿宋_GB2312" w:eastAsia="仿宋_GB2312" w:cs="仿宋_GB2312"/>
          <w:color w:val="auto"/>
          <w:sz w:val="32"/>
          <w:szCs w:val="32"/>
          <w:lang w:val="en-US" w:eastAsia="zh-CN"/>
        </w:rPr>
        <w:t>县巡察办适时对房票制有关工作开展巡察；</w:t>
      </w:r>
      <w:r>
        <w:rPr>
          <w:rFonts w:hint="eastAsia" w:ascii="仿宋_GB2312" w:hAnsi="仿宋_GB2312" w:eastAsia="仿宋_GB2312" w:cs="仿宋_GB2312"/>
          <w:color w:val="auto"/>
          <w:sz w:val="32"/>
          <w:szCs w:val="32"/>
        </w:rPr>
        <w:t>具体</w:t>
      </w:r>
      <w:r>
        <w:rPr>
          <w:rFonts w:hint="eastAsia" w:ascii="仿宋_GB2312" w:hAnsi="仿宋_GB2312" w:eastAsia="仿宋_GB2312" w:cs="仿宋_GB2312"/>
          <w:color w:val="auto"/>
          <w:sz w:val="32"/>
          <w:szCs w:val="32"/>
        </w:rPr>
        <w:t>实施单位负责选择房票安置的协议签订、房票填写与发放，并配合协助房票安置管理小组办公室做好房票安置资金结算等具体实施工作。</w:t>
      </w:r>
    </w:p>
    <w:p w14:paraId="50FDAE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房票安置各实施主体应严格执行政策，对弄虚作假，套取征收补偿资金，或者擅自突破政策标准的，依法依纪追究相关单位和人员责任。</w:t>
      </w:r>
    </w:p>
    <w:p w14:paraId="78DDA24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cs="仿宋_GB2312"/>
          <w:b/>
          <w:bCs/>
          <w:color w:val="auto"/>
          <w:sz w:val="32"/>
          <w:szCs w:val="32"/>
          <w:lang w:val="en-US" w:eastAsia="zh-CN"/>
        </w:rPr>
        <w:t>七</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本试行办法自发布之日起施行，试行期限为两年。此前已签订征收补偿安置协议、明确安置房源的项目,不适用本办法。具体事项由县房票管理办公室负责解释。</w:t>
      </w:r>
    </w:p>
    <w:p w14:paraId="70FC0D73">
      <w:pPr>
        <w:spacing w:line="600" w:lineRule="exact"/>
        <w:ind w:firstLine="640" w:firstLineChars="200"/>
        <w:rPr>
          <w:rFonts w:ascii="仿宋_GB2312" w:hAnsi="Times New Roman" w:eastAsia="仿宋_GB2312" w:cs="Times New Roman"/>
          <w:sz w:val="32"/>
          <w:szCs w:val="32"/>
        </w:rPr>
      </w:pPr>
    </w:p>
    <w:p w14:paraId="58FE767C">
      <w:pPr>
        <w:spacing w:line="620" w:lineRule="exact"/>
        <w:rPr>
          <w:rFonts w:ascii="仿宋_GB2312" w:hAnsi="Times New Roman" w:eastAsia="仿宋_GB2312" w:cs="Times New Roman"/>
          <w:color w:val="auto"/>
          <w:sz w:val="32"/>
          <w:szCs w:val="32"/>
        </w:rPr>
      </w:pPr>
      <w:r>
        <w:rPr>
          <w:rFonts w:hint="eastAsia" w:ascii="仿宋_GB2312" w:hAnsi="仿宋_GB2312" w:eastAsia="仿宋_GB2312" w:cs="仿宋_GB2312"/>
          <w:color w:val="auto"/>
          <w:sz w:val="32"/>
          <w:szCs w:val="32"/>
        </w:rPr>
        <w:br w:type="page"/>
      </w:r>
    </w:p>
    <w:p w14:paraId="656FA1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3E64FA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13A2D9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778D911B">
      <w:pPr>
        <w:keepNext w:val="0"/>
        <w:keepLines w:val="0"/>
        <w:pageBreakBefore w:val="0"/>
        <w:widowControl/>
        <w:kinsoku/>
        <w:wordWrap/>
        <w:overflowPunct w:val="0"/>
        <w:topLinePunct/>
        <w:autoSpaceDE/>
        <w:autoSpaceDN/>
        <w:bidi w:val="0"/>
        <w:adjustRightInd w:val="0"/>
        <w:snapToGrid w:val="0"/>
        <w:spacing w:line="560" w:lineRule="exact"/>
        <w:jc w:val="center"/>
        <w:textAlignment w:val="center"/>
        <w:rPr>
          <w:rFonts w:hint="eastAsia" w:ascii="方正小标宋简体" w:hAnsi="方正小标宋简体" w:eastAsia="方正小标宋简体" w:cs="方正小标宋简体"/>
          <w:spacing w:val="-17"/>
          <w:sz w:val="44"/>
          <w:szCs w:val="44"/>
          <w:lang w:val="en-US" w:eastAsia="zh-CN"/>
        </w:rPr>
      </w:pPr>
      <w:r>
        <w:rPr>
          <w:rFonts w:hint="eastAsia" w:ascii="方正小标宋简体" w:hAnsi="方正小标宋简体" w:eastAsia="方正小标宋简体" w:cs="方正小标宋简体"/>
          <w:spacing w:val="-17"/>
          <w:sz w:val="44"/>
          <w:szCs w:val="44"/>
          <w:lang w:val="en-US" w:eastAsia="zh-CN"/>
        </w:rPr>
        <w:t>青阳县人民政府办公室关于印发青阳县</w:t>
      </w:r>
    </w:p>
    <w:p w14:paraId="689CC5FE">
      <w:pPr>
        <w:keepNext w:val="0"/>
        <w:keepLines w:val="0"/>
        <w:pageBreakBefore w:val="0"/>
        <w:widowControl/>
        <w:kinsoku/>
        <w:wordWrap/>
        <w:overflowPunct w:val="0"/>
        <w:topLinePunct/>
        <w:autoSpaceDE/>
        <w:autoSpaceDN/>
        <w:bidi w:val="0"/>
        <w:adjustRightInd w:val="0"/>
        <w:snapToGrid w:val="0"/>
        <w:spacing w:line="560" w:lineRule="exact"/>
        <w:jc w:val="center"/>
        <w:textAlignment w:val="center"/>
        <w:rPr>
          <w:rFonts w:hint="eastAsia" w:ascii="方正小标宋简体" w:hAnsi="方正小标宋简体" w:eastAsia="方正小标宋简体" w:cs="方正小标宋简体"/>
          <w:spacing w:val="-17"/>
          <w:sz w:val="44"/>
          <w:szCs w:val="44"/>
        </w:rPr>
      </w:pPr>
      <w:r>
        <w:rPr>
          <w:rFonts w:hint="eastAsia" w:ascii="方正小标宋简体" w:hAnsi="方正小标宋简体" w:eastAsia="方正小标宋简体" w:cs="方正小标宋简体"/>
          <w:spacing w:val="-17"/>
          <w:sz w:val="44"/>
          <w:szCs w:val="44"/>
        </w:rPr>
        <w:t>电动自行车安全隐患全链条整治</w:t>
      </w:r>
    </w:p>
    <w:p w14:paraId="03033F1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spacing w:val="-17"/>
          <w:sz w:val="44"/>
          <w:szCs w:val="44"/>
        </w:rPr>
        <w:t>实施方案</w:t>
      </w:r>
      <w:r>
        <w:rPr>
          <w:rFonts w:hint="eastAsia" w:ascii="方正小标宋简体" w:hAnsi="方正小标宋简体" w:eastAsia="方正小标宋简体" w:cs="方正小标宋简体"/>
          <w:spacing w:val="-17"/>
          <w:sz w:val="44"/>
          <w:szCs w:val="44"/>
          <w:lang w:eastAsia="zh-CN"/>
        </w:rPr>
        <w:t>的通知</w:t>
      </w:r>
    </w:p>
    <w:p w14:paraId="59DED1A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jc w:val="both"/>
        <w:textAlignment w:val="auto"/>
        <w:rPr>
          <w:rFonts w:hint="eastAsia" w:ascii="仿宋_GB2312" w:hAnsi="仿宋_GB2312" w:eastAsia="仿宋_GB2312" w:cs="仿宋_GB2312"/>
          <w:sz w:val="32"/>
          <w:szCs w:val="32"/>
          <w:lang w:val="en-US" w:eastAsia="zh-CN"/>
        </w:rPr>
      </w:pPr>
    </w:p>
    <w:p w14:paraId="6860E90B">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各乡镇人民政府，县开发区管委会，县政府各部门、各直属机构，驻青各单位，县建投集团</w:t>
      </w:r>
      <w:r>
        <w:rPr>
          <w:rFonts w:hint="eastAsia" w:ascii="仿宋_GB2312" w:hAnsi="仿宋_GB2312" w:eastAsia="仿宋_GB2312" w:cs="仿宋_GB2312"/>
          <w:sz w:val="32"/>
          <w:szCs w:val="32"/>
          <w:lang w:eastAsia="zh-CN"/>
        </w:rPr>
        <w:t>、乡投集团</w:t>
      </w:r>
      <w:r>
        <w:rPr>
          <w:rFonts w:hint="eastAsia" w:ascii="仿宋_GB2312" w:hAnsi="仿宋_GB2312" w:eastAsia="仿宋_GB2312" w:cs="仿宋_GB2312"/>
          <w:sz w:val="32"/>
          <w:szCs w:val="32"/>
        </w:rPr>
        <w:t>：</w:t>
      </w:r>
    </w:p>
    <w:p w14:paraId="7B371063">
      <w:pPr>
        <w:pStyle w:val="17"/>
        <w:keepNext w:val="0"/>
        <w:keepLines w:val="0"/>
        <w:pageBreakBefore w:val="0"/>
        <w:widowControl w:val="0"/>
        <w:tabs>
          <w:tab w:val="left" w:pos="3614"/>
        </w:tabs>
        <w:kinsoku/>
        <w:wordWrap/>
        <w:overflowPunct/>
        <w:topLinePunct w:val="0"/>
        <w:autoSpaceDE/>
        <w:autoSpaceDN/>
        <w:bidi w:val="0"/>
        <w:adjustRightInd/>
        <w:snapToGrid/>
        <w:spacing w:before="0" w:beforeAutospacing="0" w:after="0" w:afterAutospacing="0" w:line="58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《青阳县</w:t>
      </w:r>
      <w:r>
        <w:rPr>
          <w:rFonts w:hint="eastAsia" w:ascii="仿宋_GB2312" w:hAnsi="仿宋_GB2312" w:eastAsia="仿宋_GB2312" w:cs="仿宋_GB2312"/>
          <w:sz w:val="32"/>
          <w:szCs w:val="32"/>
        </w:rPr>
        <w:t>电动自行车安全隐患全链条整治实施方案</w:t>
      </w:r>
      <w:r>
        <w:rPr>
          <w:rFonts w:hint="eastAsia" w:ascii="仿宋_GB2312" w:hAnsi="仿宋_GB2312" w:eastAsia="仿宋_GB2312" w:cs="仿宋_GB2312"/>
          <w:sz w:val="32"/>
          <w:szCs w:val="32"/>
          <w:lang w:eastAsia="zh-CN"/>
        </w:rPr>
        <w:t>》已经</w:t>
      </w:r>
      <w:r>
        <w:rPr>
          <w:rFonts w:hint="eastAsia" w:ascii="仿宋_GB2312" w:hAnsi="仿宋_GB2312" w:eastAsia="仿宋_GB2312" w:cs="仿宋_GB2312"/>
          <w:sz w:val="32"/>
          <w:szCs w:val="32"/>
          <w:lang w:val="en-US" w:eastAsia="zh-CN"/>
        </w:rPr>
        <w:t>县政府同意，现印发给你们，请遵照执行。</w:t>
      </w:r>
    </w:p>
    <w:p w14:paraId="2502B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pacing w:val="0"/>
          <w:sz w:val="44"/>
          <w:szCs w:val="44"/>
          <w:lang w:val="en-US" w:eastAsia="zh-CN" w:bidi="ar"/>
        </w:rPr>
      </w:pPr>
    </w:p>
    <w:p w14:paraId="13A04C19">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小标宋简体" w:hAnsi="方正小标宋简体" w:eastAsia="方正小标宋简体" w:cs="方正小标宋简体"/>
          <w:b w:val="0"/>
          <w:bCs w:val="0"/>
          <w:spacing w:val="0"/>
          <w:sz w:val="44"/>
          <w:szCs w:val="44"/>
          <w:lang w:val="en-US" w:eastAsia="zh-CN" w:bidi="ar"/>
        </w:rPr>
      </w:pPr>
    </w:p>
    <w:p w14:paraId="029F896C">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小标宋简体" w:hAnsi="方正小标宋简体" w:eastAsia="方正小标宋简体" w:cs="方正小标宋简体"/>
          <w:b w:val="0"/>
          <w:bCs w:val="0"/>
          <w:spacing w:val="0"/>
          <w:sz w:val="44"/>
          <w:szCs w:val="44"/>
          <w:lang w:val="en-US" w:eastAsia="zh-CN" w:bidi="ar"/>
        </w:rPr>
      </w:pPr>
    </w:p>
    <w:p w14:paraId="5CC81A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b w:val="0"/>
          <w:bCs w:val="0"/>
          <w:spacing w:val="0"/>
          <w:sz w:val="32"/>
          <w:szCs w:val="32"/>
          <w:lang w:val="en-US" w:eastAsia="zh-CN" w:bidi="ar"/>
        </w:rPr>
      </w:pPr>
      <w:r>
        <w:rPr>
          <w:rFonts w:hint="eastAsia" w:ascii="仿宋_GB2312" w:hAnsi="仿宋_GB2312" w:eastAsia="仿宋_GB2312" w:cs="仿宋_GB2312"/>
          <w:b w:val="0"/>
          <w:bCs w:val="0"/>
          <w:spacing w:val="0"/>
          <w:sz w:val="32"/>
          <w:szCs w:val="32"/>
          <w:lang w:val="en-US" w:eastAsia="zh-CN" w:bidi="ar"/>
        </w:rPr>
        <w:t xml:space="preserve">                     青阳县人民政府办公室</w:t>
      </w:r>
    </w:p>
    <w:p w14:paraId="4A4488A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pacing w:val="0"/>
          <w:sz w:val="32"/>
          <w:szCs w:val="32"/>
          <w:lang w:val="en-US" w:eastAsia="zh-CN" w:bidi="ar"/>
        </w:rPr>
      </w:pPr>
      <w:r>
        <w:rPr>
          <w:rFonts w:hint="eastAsia" w:ascii="仿宋_GB2312" w:hAnsi="仿宋_GB2312" w:eastAsia="仿宋_GB2312" w:cs="仿宋_GB2312"/>
          <w:b w:val="0"/>
          <w:bCs w:val="0"/>
          <w:spacing w:val="0"/>
          <w:sz w:val="32"/>
          <w:szCs w:val="32"/>
          <w:lang w:val="en-US" w:eastAsia="zh-CN" w:bidi="ar"/>
        </w:rPr>
        <w:t xml:space="preserve">                    2024年8月26日</w:t>
      </w:r>
    </w:p>
    <w:p w14:paraId="3A5CE502">
      <w:pPr>
        <w:rPr>
          <w:rFonts w:hint="eastAsia" w:ascii="仿宋_GB2312" w:hAnsi="仿宋_GB2312" w:eastAsia="仿宋_GB2312" w:cs="仿宋_GB2312"/>
          <w:b w:val="0"/>
          <w:bCs w:val="0"/>
          <w:spacing w:val="0"/>
          <w:sz w:val="32"/>
          <w:szCs w:val="32"/>
          <w:lang w:val="en-US" w:eastAsia="zh-CN" w:bidi="ar"/>
        </w:rPr>
      </w:pPr>
      <w:r>
        <w:rPr>
          <w:rFonts w:hint="eastAsia" w:ascii="仿宋_GB2312" w:hAnsi="仿宋_GB2312" w:eastAsia="仿宋_GB2312" w:cs="仿宋_GB2312"/>
          <w:b w:val="0"/>
          <w:bCs w:val="0"/>
          <w:spacing w:val="0"/>
          <w:sz w:val="32"/>
          <w:szCs w:val="32"/>
          <w:lang w:val="en-US" w:eastAsia="zh-CN" w:bidi="ar"/>
        </w:rPr>
        <w:br w:type="page"/>
      </w:r>
    </w:p>
    <w:p w14:paraId="4741872B">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方正小标宋简体" w:hAnsi="方正小标宋简体" w:eastAsia="方正小标宋简体" w:cs="方正小标宋简体"/>
          <w:spacing w:val="-17"/>
          <w:sz w:val="44"/>
          <w:szCs w:val="44"/>
        </w:rPr>
      </w:pPr>
      <w:r>
        <w:rPr>
          <w:rFonts w:hint="eastAsia" w:ascii="方正小标宋简体" w:hAnsi="方正小标宋简体" w:eastAsia="方正小标宋简体" w:cs="方正小标宋简体"/>
          <w:spacing w:val="-17"/>
          <w:sz w:val="44"/>
          <w:szCs w:val="44"/>
          <w:lang w:val="en-US" w:eastAsia="zh-CN"/>
        </w:rPr>
        <w:t>青阳县</w:t>
      </w:r>
      <w:r>
        <w:rPr>
          <w:rFonts w:hint="eastAsia" w:ascii="方正小标宋简体" w:hAnsi="方正小标宋简体" w:eastAsia="方正小标宋简体" w:cs="方正小标宋简体"/>
          <w:spacing w:val="-17"/>
          <w:sz w:val="44"/>
          <w:szCs w:val="44"/>
        </w:rPr>
        <w:t>电动自行车安全隐患全链条整治</w:t>
      </w:r>
    </w:p>
    <w:p w14:paraId="5CDE9DC0">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方正小标宋简体" w:hAnsi="方正小标宋简体" w:eastAsia="方正小标宋简体" w:cs="方正小标宋简体"/>
          <w:spacing w:val="-17"/>
          <w:sz w:val="44"/>
          <w:szCs w:val="44"/>
          <w:lang w:eastAsia="zh-CN"/>
        </w:rPr>
      </w:pPr>
      <w:r>
        <w:rPr>
          <w:rFonts w:hint="eastAsia" w:ascii="方正小标宋简体" w:hAnsi="方正小标宋简体" w:eastAsia="方正小标宋简体" w:cs="方正小标宋简体"/>
          <w:spacing w:val="-17"/>
          <w:sz w:val="44"/>
          <w:szCs w:val="44"/>
        </w:rPr>
        <w:t>实施方案</w:t>
      </w:r>
    </w:p>
    <w:p w14:paraId="4DB0A9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3E74CF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en-US"/>
        </w:rPr>
      </w:pPr>
      <w:r>
        <w:rPr>
          <w:rFonts w:hint="eastAsia" w:ascii="仿宋_GB2312" w:hAnsi="仿宋_GB2312" w:eastAsia="仿宋_GB2312" w:cs="仿宋_GB2312"/>
          <w:sz w:val="32"/>
          <w:szCs w:val="32"/>
          <w:lang w:val="en-US" w:eastAsia="en-US"/>
        </w:rPr>
        <w:t>为深刻汲取近年来电动自行车安全事故教训，全面加强电动自行车全链条安全监管，根据</w:t>
      </w:r>
      <w:r>
        <w:rPr>
          <w:rFonts w:hint="eastAsia" w:ascii="仿宋_GB2312" w:hAnsi="仿宋_GB2312" w:eastAsia="仿宋_GB2312" w:cs="仿宋_GB2312"/>
          <w:sz w:val="32"/>
          <w:szCs w:val="32"/>
          <w:lang w:val="en-US" w:eastAsia="zh-CN"/>
        </w:rPr>
        <w:t>上级文件</w:t>
      </w:r>
      <w:r>
        <w:rPr>
          <w:rFonts w:hint="eastAsia" w:ascii="仿宋_GB2312" w:hAnsi="仿宋_GB2312" w:eastAsia="仿宋_GB2312" w:cs="仿宋_GB2312"/>
          <w:sz w:val="32"/>
          <w:szCs w:val="32"/>
          <w:lang w:val="en-US" w:eastAsia="en-US"/>
        </w:rPr>
        <w:t>要求，制定本实施方案。</w:t>
      </w:r>
    </w:p>
    <w:p w14:paraId="3A54C91E">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黑体" w:hAnsi="黑体" w:eastAsia="黑体" w:cs="黑体"/>
          <w:sz w:val="32"/>
          <w:szCs w:val="32"/>
        </w:rPr>
      </w:pPr>
      <w:r>
        <w:rPr>
          <w:rFonts w:hint="eastAsia" w:ascii="黑体" w:hAnsi="黑体" w:eastAsia="黑体" w:cs="黑体"/>
          <w:sz w:val="32"/>
          <w:szCs w:val="32"/>
        </w:rPr>
        <w:t>一、总体要求</w:t>
      </w:r>
    </w:p>
    <w:p w14:paraId="5B0CB2B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以习近平新时代中国特色社会主义思想为指导，全面贯彻落实党的二十大和习近平总书记关于防</w:t>
      </w:r>
      <w:r>
        <w:rPr>
          <w:rFonts w:hint="eastAsia" w:ascii="仿宋_GB2312" w:hAnsi="仿宋_GB2312" w:eastAsia="仿宋_GB2312" w:cs="仿宋_GB2312"/>
          <w:color w:val="auto"/>
          <w:sz w:val="32"/>
          <w:szCs w:val="32"/>
          <w:lang w:val="en-US" w:eastAsia="zh-CN"/>
        </w:rPr>
        <w:t>范化解重大安全风</w:t>
      </w:r>
      <w:r>
        <w:rPr>
          <w:rFonts w:hint="eastAsia" w:ascii="仿宋_GB2312" w:hAnsi="仿宋_GB2312" w:eastAsia="仿宋_GB2312" w:cs="仿宋_GB2312"/>
          <w:sz w:val="32"/>
          <w:szCs w:val="32"/>
          <w:lang w:val="en-US" w:eastAsia="zh-CN"/>
        </w:rPr>
        <w:t>险重要指示精神，坚持人民至上、生命至上，统筹发展和安全，严格落实“三管三必须”要求，坚持标本兼治、</w:t>
      </w:r>
      <w:r>
        <w:rPr>
          <w:rFonts w:hint="eastAsia" w:ascii="仿宋_GB2312" w:hAnsi="仿宋_GB2312" w:eastAsia="仿宋_GB2312" w:cs="仿宋_GB2312"/>
          <w:color w:val="auto"/>
          <w:sz w:val="32"/>
          <w:szCs w:val="32"/>
          <w:lang w:val="en-US" w:eastAsia="zh-CN"/>
        </w:rPr>
        <w:t>疏堵结</w:t>
      </w:r>
      <w:r>
        <w:rPr>
          <w:rFonts w:hint="eastAsia" w:ascii="仿宋_GB2312" w:hAnsi="仿宋_GB2312" w:eastAsia="仿宋_GB2312" w:cs="仿宋_GB2312"/>
          <w:sz w:val="32"/>
          <w:szCs w:val="32"/>
          <w:lang w:val="en-US" w:eastAsia="zh-CN"/>
        </w:rPr>
        <w:t>合、创新驱动、齐抓共管，坚持保障安全与服务民生相协调，全面提升电动自行车生产、销售、登记、使用、停放、充电等各环节安全水平。2024年开展集中整治，建立健全工作机制，推动消除各类安全隐患；2025年巩固提升整治成效，推动落实电动自行车全链条安全监管，建立完善长效机制。通过综合治理、全链条监管，实现电动自行车产品质量明显提升，电动自行车使用管理明显规范，有效减少电动自行车火灾事故，坚决预防和遏制电动自行车亡人火灾事故。</w:t>
      </w:r>
    </w:p>
    <w:p w14:paraId="6D39A006">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黑体" w:hAnsi="黑体" w:eastAsia="黑体" w:cs="黑体"/>
          <w:sz w:val="32"/>
          <w:szCs w:val="32"/>
        </w:rPr>
      </w:pPr>
      <w:r>
        <w:rPr>
          <w:rFonts w:hint="eastAsia" w:ascii="黑体" w:hAnsi="黑体" w:eastAsia="黑体" w:cs="黑体"/>
          <w:sz w:val="32"/>
          <w:szCs w:val="32"/>
        </w:rPr>
        <w:t>二、整治重点</w:t>
      </w:r>
    </w:p>
    <w:p w14:paraId="5D841D88">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（一）着力解决管理制度执行不严格问题。</w:t>
      </w:r>
    </w:p>
    <w:p w14:paraId="015D21D1">
      <w:pPr>
        <w:pStyle w:val="2"/>
        <w:keepNext w:val="0"/>
        <w:keepLines w:val="0"/>
        <w:pageBreakBefore w:val="0"/>
        <w:kinsoku/>
        <w:wordWrap/>
        <w:bidi w:val="0"/>
        <w:spacing w:line="600" w:lineRule="exact"/>
        <w:ind w:firstLine="640" w:firstLineChars="200"/>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color w:val="auto"/>
          <w:kern w:val="2"/>
          <w:sz w:val="32"/>
          <w:szCs w:val="32"/>
          <w:lang w:val="en-US" w:eastAsia="zh-CN" w:bidi="ar-SA"/>
        </w:rPr>
        <w:t>推行标识管理。推行“一车一池一充一码”，在电动自行车车架、蓄电池、充电器等明显位置设置永久性耐高温识别代码</w:t>
      </w:r>
      <w:r>
        <w:rPr>
          <w:rFonts w:hint="eastAsia" w:ascii="仿宋_GB2312" w:hAnsi="仿宋_GB2312" w:eastAsia="仿宋_GB2312" w:cs="仿宋_GB2312"/>
          <w:sz w:val="32"/>
          <w:szCs w:val="32"/>
          <w:lang w:val="en-US" w:eastAsia="zh-CN"/>
        </w:rPr>
        <w:t>标识，2024年底前取得阶段性进展并持续推进。</w:t>
      </w:r>
      <w:r>
        <w:rPr>
          <w:rFonts w:hint="eastAsia" w:ascii="楷体_GB2312" w:hAnsi="楷体_GB2312" w:eastAsia="楷体_GB2312" w:cs="楷体_GB2312"/>
          <w:sz w:val="32"/>
          <w:szCs w:val="32"/>
          <w:lang w:val="en-US" w:eastAsia="zh-CN"/>
        </w:rPr>
        <w:t>（责任单位：县科技工信局；配合单位：县市场监管局，各乡镇人民政府，县开发区管委会。以下均需各乡镇人民政府，县开发区管委会落实，不再列出）</w:t>
      </w:r>
    </w:p>
    <w:p w14:paraId="6DD10B6A">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（二）着力解决设施不足、违规停放充电问题。</w:t>
      </w:r>
    </w:p>
    <w:p w14:paraId="00465AB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2.强化新建项目和新增停车场所用地的规划管控。落实《城市居住区规划设计标准》（GB 50180-2018）、《城市综合交通体系规划标准》（GB/T 51328-2018）、《社区生活圈规划技术指南》（TD/T1062-2021）等有关非机动车停车场（库）设置规定。严格新建居住项目规划审批管理。将电动自行车停放充电设施纳入配建项目，明确布局和配建比。利用小区公共场地或原有自行车停放场所选址建设停放场所，无需办理建设用地规划许可、建设工程规划许可证和施工许可手续。因既有小区场地资源紧张、无固定停放场所、无电源条件的，依法依规合理利用周边公共开放空间设置停放场所、充电设施。如需调整规划，优化程序简易办理。在商业区、公园、高铁周边等公共开放空间规划建设停放场所、充电设施，纳入公共服务设施管理范围。</w:t>
      </w:r>
      <w:r>
        <w:rPr>
          <w:rFonts w:hint="eastAsia" w:ascii="楷体_GB2312" w:hAnsi="楷体_GB2312" w:eastAsia="楷体_GB2312" w:cs="楷体_GB2312"/>
          <w:sz w:val="32"/>
          <w:szCs w:val="32"/>
          <w:lang w:val="en-US" w:eastAsia="zh-CN"/>
        </w:rPr>
        <w:t>（责任单位：县自然资源和规划局）</w:t>
      </w:r>
    </w:p>
    <w:p w14:paraId="48D38F4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3.推进既有小区增设设施。在居民住宅小区增设停放充电设施按照设备管理办理相关手续，并须满足《电动自行车停车场（棚）防火技术导则》（建标函〔2024〕287 号）等安全条件要求。积极推广共享充电柜。加快推进停放充电设施建设，2024年8月底前，全面摸排既有住宅小区集中区域停放充电设施缺口，建立“一区一册”，以乡镇（开发区）为单位制定增建计划，明确年度任务，统筹纳入政府民生事项，列出计划安排，落实资金渠道。遴选合适的充电设施安装运营单位供单位或乡镇（开发区）选用。督促物业服务企业配合充电设施安装运营单位实施安装建设。没有物业服务企业的，属地乡镇（开发区）、社区（村）负责组织协调做好相关工作。电动自行车停放场所和充电设施建设完工后，建设单位应当及时组织施工等单位进行检查验收。住房城乡建设部门、居民委员会、业主代表、物业服务企业等要加强监督，验收合格后方可投入使用。推动机关、团体、企业、事业单位按照标准建设停放充电设施，提倡“满电回家”。</w:t>
      </w:r>
      <w:r>
        <w:rPr>
          <w:rFonts w:hint="eastAsia" w:ascii="楷体_GB2312" w:hAnsi="楷体_GB2312" w:eastAsia="楷体_GB2312" w:cs="楷体_GB2312"/>
          <w:sz w:val="32"/>
          <w:szCs w:val="32"/>
          <w:lang w:val="en-US" w:eastAsia="zh-CN"/>
        </w:rPr>
        <w:t>（责任单位：县住建局；配合单位：县消防救援局）</w:t>
      </w:r>
    </w:p>
    <w:p w14:paraId="01C84A4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4.加强架空层使用管理。加强架空层消防设计审查验收工作。民用建筑架空层不具备消防安全条件的，不得用作电动自行车停放充电场所。因场地不足确需使用民用建筑架空层作为停放充电场所的，应与建筑内的通风采光井、公共部位、疏散通道、安全出口进行有效防火分隔，消防设施器材和视频监控设备须保持完好有效，实行车辆分组停放，并设置专用充电设施。对照《建筑架空层电动自行车停放充电消防安全要求》，发动乡镇（开发区）、村（社区）和基层综合执法机构、公安派出所、消防工作站等基层力量摸清辖区架空层底数，逐一开展检查，建立工作台账。2024年8月底前，组织技术力量按照相关安全条件要求，对用作电动自行车停放充电场所架空层的安全状况进行全面检查，督促建筑产权单位、使用单位、居住区物业服务企业整改安全隐患、完善安全条件，并负责做好架空层安全日常巡查工作。</w:t>
      </w:r>
      <w:r>
        <w:rPr>
          <w:rFonts w:hint="eastAsia" w:ascii="楷体_GB2312" w:hAnsi="楷体_GB2312" w:eastAsia="楷体_GB2312" w:cs="楷体_GB2312"/>
          <w:sz w:val="32"/>
          <w:szCs w:val="32"/>
          <w:lang w:val="en-US" w:eastAsia="zh-CN"/>
        </w:rPr>
        <w:t>（责任单位：县消防救援局；配合单位：县住建局）</w:t>
      </w:r>
    </w:p>
    <w:p w14:paraId="00693C6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5.规范充电费用。指</w:t>
      </w:r>
      <w:bookmarkStart w:id="0" w:name="_GoBack"/>
      <w:r>
        <w:rPr>
          <w:rFonts w:hint="eastAsia" w:ascii="仿宋_GB2312" w:hAnsi="仿宋_GB2312" w:eastAsia="仿宋_GB2312" w:cs="仿宋_GB2312"/>
          <w:color w:val="auto"/>
          <w:sz w:val="32"/>
          <w:szCs w:val="32"/>
          <w:lang w:val="en-US" w:eastAsia="zh-CN"/>
        </w:rPr>
        <w:t>导督促电力企业和相关企业主动承建停放充电设施，按规定减收、免收服务费</w:t>
      </w:r>
      <w:bookmarkEnd w:id="0"/>
      <w:r>
        <w:rPr>
          <w:rFonts w:hint="eastAsia" w:ascii="仿宋_GB2312" w:hAnsi="仿宋_GB2312" w:eastAsia="仿宋_GB2312" w:cs="仿宋_GB2312"/>
          <w:sz w:val="32"/>
          <w:szCs w:val="32"/>
          <w:lang w:val="en-US" w:eastAsia="zh-CN"/>
        </w:rPr>
        <w:t>。居民住宅小区充电电价一律按居民电价执行，引导企业合理确定充电服务价格标准。指导督促电网企业按照国家提升“获得电力”服务水平“三零”政策要求和相关技术标准规定做好充电设施接电服务工作。鼓励采取财政补贴、延长签约运营期等方式，引导社会力量积极参与停放充电设施建设，降低充电服务费用，让群众“能承担”“愿意用”。建筑产权单位、使用单位和居住区物业服务企业应积极创造条件帮助降低充电服务价格。监督充电设施运营管理单位公示充电和服务价格，严禁收取任何未经公示的费用。2024年底前，开展一次违规收费整治并持续推进。</w:t>
      </w:r>
      <w:r>
        <w:rPr>
          <w:rFonts w:hint="eastAsia" w:ascii="楷体_GB2312" w:hAnsi="楷体_GB2312" w:eastAsia="楷体_GB2312" w:cs="楷体_GB2312"/>
          <w:sz w:val="32"/>
          <w:szCs w:val="32"/>
          <w:lang w:val="en-US" w:eastAsia="zh-CN"/>
        </w:rPr>
        <w:t>（责任单位：县发改委；配合单位：县市场监管局、县财政局）</w:t>
      </w:r>
    </w:p>
    <w:p w14:paraId="255E811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6.严查违规停放充电行为。消防、公安、城市管理等部门加强联合检查，依法对“进楼入户”“飞线充电”等违规停放充电行为开展执法查处、检查劝阻和宣传提示。住房城乡建设部门要督促物业服务企业按照合同约定对服务区域内电动自行车堵塞占用疏散通道、安全出口等违规行为及时采取措施制止，对拒不改正、情节严重的及时报告村（居）民委员会、乡镇（开发区）或公安派出所、消防等部门并协助处理。对拒不配合物业服务企业拆除电动自行车室外“飞线”充电的住户，供电公司要按照《中华人民共和国电力法》的相关规定进行制止。对群众举报、媒体曝光的违规停放充电行为，应及时予以纠治。2024年底前，未设物业服务企业的居民住宅小区，所在乡镇（开发区）应确定电动自行车停放充电场所的消防安全管理人员，负责安全提示、防火巡查等工作。</w:t>
      </w:r>
      <w:r>
        <w:rPr>
          <w:rFonts w:hint="eastAsia" w:ascii="楷体_GB2312" w:hAnsi="楷体_GB2312" w:eastAsia="楷体_GB2312" w:cs="楷体_GB2312"/>
          <w:sz w:val="32"/>
          <w:szCs w:val="32"/>
          <w:lang w:val="en-US" w:eastAsia="zh-CN"/>
        </w:rPr>
        <w:t>（责任单位：县消防救援局；配合单位：县住建局、县公安局、县城市管理局、县供电公司）</w:t>
      </w:r>
    </w:p>
    <w:p w14:paraId="4F048FF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7.强化技防物防措施应用。引导充电设施建设运营单位建立数据平台，对充电设施实时监控，2025年底前完成。鼓励充电设施运营单位和即时配送企业推广换电模式。加强科技创新，破解飞线充电、进楼入户、架空层违规停放充电等管理难题。鼓励在楼宇电梯安装智能阻止系统，积极推广“射频信号传输+视频监控” 等技术对蓄电池进楼实行动态监控，及时发现并制止违规停放充电行为。鼓励在电动自行车集中充电场所推广增设联网式独立感烟报警探测器、烟火识别摄像头、简易喷淋器、灭火器等，有效监测突发火情、处置初起火灾。</w:t>
      </w:r>
      <w:r>
        <w:rPr>
          <w:rFonts w:hint="eastAsia" w:ascii="楷体_GB2312" w:hAnsi="楷体_GB2312" w:eastAsia="楷体_GB2312" w:cs="楷体_GB2312"/>
          <w:sz w:val="32"/>
          <w:szCs w:val="32"/>
          <w:lang w:val="en-US" w:eastAsia="zh-CN"/>
        </w:rPr>
        <w:t>（责任单位：县市场监管局、县消防救援局；配合单位：县住建局）</w:t>
      </w:r>
    </w:p>
    <w:p w14:paraId="2ECAED18">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（三）着力解决非法改装屡禁不止问题。</w:t>
      </w:r>
    </w:p>
    <w:p w14:paraId="78D904C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8.严查非法改装。经常性检查电动自行车经营网点和维修店铺，通过跨部门双随机、暗访抽查、举报投诉等措施，扩大信息来源渠道，依法从严整治擅自改装原厂电气配件、拆改限速、外设蓄电池托架、改造蓄电池槽盒、更换大容量蓄电池等违法违规行为；严厉打击违规回收、二次组装加工蓄电池的黑作坊，涉嫌犯罪的依法追究刑事责任。2024年8月底前，对全县各经营网点和维修店铺进行一次全面检查，集中查处一批违法行为，公布一批典型案例并持续推进。</w:t>
      </w:r>
      <w:r>
        <w:rPr>
          <w:rFonts w:hint="eastAsia" w:ascii="楷体_GB2312" w:hAnsi="楷体_GB2312" w:eastAsia="楷体_GB2312" w:cs="楷体_GB2312"/>
          <w:sz w:val="32"/>
          <w:szCs w:val="32"/>
          <w:lang w:val="en-US" w:eastAsia="zh-CN"/>
        </w:rPr>
        <w:t>（责任单位：县市场监管局；配合单位：县公安局）</w:t>
      </w:r>
    </w:p>
    <w:p w14:paraId="2C6AE35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9.规范线上经营。加强电商平台监管，督促其采取自动检索技术和屏蔽删除措施清理非法改装广告信息，严禁发布“解限速” “增容量”等信息，严禁销售未依法经强制性产品认证的电动自行车、蓄电池和充电器等产品；在电动自行车相关商品销售页面，明示“禁止非法改装”内容，引导群众自觉抵制非法改装产品，2024年8月底前完成。加强寄递渠道安全监管，禁止寄递电动自行车用蓄电池，2024年8月底前完成并持续推进。</w:t>
      </w:r>
      <w:r>
        <w:rPr>
          <w:rFonts w:hint="eastAsia" w:ascii="楷体_GB2312" w:hAnsi="楷体_GB2312" w:eastAsia="楷体_GB2312" w:cs="楷体_GB2312"/>
          <w:sz w:val="32"/>
          <w:szCs w:val="32"/>
          <w:lang w:val="en-US" w:eastAsia="zh-CN"/>
        </w:rPr>
        <w:t>（责任单位：县市场监管局；配合单位：县公安局、县商务局）</w:t>
      </w:r>
    </w:p>
    <w:p w14:paraId="26FE53C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10.实施登记管理。在蓄电池依法纳入强制性产品认证管理并设置识别代码的基础上，全面实施电动自行车登记上牌管理，将车主信息、车架号及蓄电池识别代码纳入登记事项，利用信息化手段优化登记上牌服务，2024年底前完成。对目前在用但不符合国家标准的电动自行车，合理设定过渡期，实施临时登记管理，2024年10月底前完成。</w:t>
      </w:r>
      <w:r>
        <w:rPr>
          <w:rFonts w:hint="eastAsia" w:ascii="楷体_GB2312" w:hAnsi="楷体_GB2312" w:eastAsia="楷体_GB2312" w:cs="楷体_GB2312"/>
          <w:sz w:val="32"/>
          <w:szCs w:val="32"/>
          <w:lang w:val="en-US" w:eastAsia="zh-CN"/>
        </w:rPr>
        <w:t>（责任单位：县公安局）</w:t>
      </w:r>
    </w:p>
    <w:p w14:paraId="729947C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11.加强路面执法。充分利用信息化技术手段提高识别取证能力，依法查处电动自行车未按规定登记上牌上路行驶、闯红灯、逆行、在机动车道行驶、超速等违法违规行为。结合实际，开展电动自行车突出交通违法行为、反复违法行为专项治理，保持严管态势。在查处违法行驶电动自行车时，同步核查车辆是否违法加装、改装电动机和蓄电池等动力装置，或者更换不符合国家标准的电动机和蓄电池等动力装置等行为，发现违法改装的要依法查处并将相关信息抄送市场监管部门，2024年8月底前集中查处、曝光一批并持续推进。</w:t>
      </w:r>
      <w:r>
        <w:rPr>
          <w:rFonts w:hint="eastAsia" w:ascii="楷体_GB2312" w:hAnsi="楷体_GB2312" w:eastAsia="楷体_GB2312" w:cs="楷体_GB2312"/>
          <w:sz w:val="32"/>
          <w:szCs w:val="32"/>
          <w:lang w:val="en-US" w:eastAsia="zh-CN"/>
        </w:rPr>
        <w:t>（责任单位：县公安局）</w:t>
      </w:r>
    </w:p>
    <w:p w14:paraId="217060E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12.落实即时配送企业安全责任。指导即时配送企业完善配送管理制度，加强配送人员使用电动自行车及蓄电池审查备案，强化安全教育培训；对使用电动自行车配送的，按照最高速度25公里/小时、守法行驶可完成配送任务的标准设定配送时限、路线，有效避免因任务设定不合理增加安全风险；督促企业对车辆改装情况开展自查自改，发现改装车辆的依法落实责令恢复原状、禁止使用等措施，2024年8月底前完成。鼓励企业为配送员统一配发电动自行车，推行共享换电模式。</w:t>
      </w:r>
      <w:r>
        <w:rPr>
          <w:rFonts w:hint="eastAsia" w:ascii="楷体_GB2312" w:hAnsi="楷体_GB2312" w:eastAsia="楷体_GB2312" w:cs="楷体_GB2312"/>
          <w:sz w:val="32"/>
          <w:szCs w:val="32"/>
          <w:lang w:val="en-US" w:eastAsia="zh-CN"/>
        </w:rPr>
        <w:t>（责任单位：县市场监管局；配合单位：县公安局）</w:t>
      </w:r>
    </w:p>
    <w:p w14:paraId="0DFFCBB1">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（四）着力解决违法违规生产销售问题。</w:t>
      </w:r>
    </w:p>
    <w:p w14:paraId="2E02E42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13.加强销售企业监督管理。摸清电动自行车及其蓄电池（锂电池、铅酸电池等）、充电器销售企业底数，督促电动自行车及蓄电池、充电器销售企业建立并执行进货检查验收制度，严格核查产品合格证明、强制性产品认证等信息，电动自行车整车不得与蓄电池拆分销售，2024年8月底前完成并对落实情况开展全面核查。持续开展流通领域产品质量监督抽查，凡发现销售不符合法规标准的，责令停止销售并依法实施处罚，情节严重的依法吊销营业执照，并将相关情况通报生产企业所在地市场监管部门延伸追究生产厂家责任，2024年底前取得阶段性进展并持续推进。</w:t>
      </w:r>
      <w:r>
        <w:rPr>
          <w:rFonts w:hint="eastAsia" w:ascii="楷体_GB2312" w:hAnsi="楷体_GB2312" w:eastAsia="楷体_GB2312" w:cs="楷体_GB2312"/>
          <w:sz w:val="32"/>
          <w:szCs w:val="32"/>
          <w:lang w:val="en-US" w:eastAsia="zh-CN"/>
        </w:rPr>
        <w:t>（责任单位：县市场监管局）</w:t>
      </w:r>
    </w:p>
    <w:p w14:paraId="567E89C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14.严惩制假售假行为。对生产、销售假冒伪劣产品行为保持高压严打态势，建立假冒伪劣产品信息互通和联合执法机制，加强行刑衔接，对假冒伪劣产品深挖制假售假源头，涉嫌犯罪的依法追究刑事责任，斩断非法生产、销售网络链条，2024年底前取得阶段性进展并持续推进。</w:t>
      </w:r>
      <w:r>
        <w:rPr>
          <w:rFonts w:hint="eastAsia" w:ascii="楷体_GB2312" w:hAnsi="楷体_GB2312" w:eastAsia="楷体_GB2312" w:cs="楷体_GB2312"/>
          <w:sz w:val="32"/>
          <w:szCs w:val="32"/>
          <w:lang w:val="en-US" w:eastAsia="zh-CN"/>
        </w:rPr>
        <w:t>（责任单位：县公安局、县市场监管局；配合单位：县科技工信局、县消防救援局）</w:t>
      </w:r>
    </w:p>
    <w:p w14:paraId="3CCDE0B4">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（五）着力解决电动自行车以旧换新和老旧蓄电池回收问题。</w:t>
      </w:r>
    </w:p>
    <w:p w14:paraId="0A3EEDF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15.推动以旧换新。根据上级相关文件要求，结合我县实际，积极落实全县关于推动大规模设备更新和消费品以旧换新统一部署，细化工作举措，组织开展电动自行车及蓄电池以旧换新工作。鼓励有条件的地区通过财政补贴、金融支持等手段推动电动自行车以旧换新。鼓励电动自行车销售企业与生产企业、回收企业联合开展以旧换新促销活动，整合上下游资源，开设线上线下电动自行车以旧换新专区，对消费者给予优惠。</w:t>
      </w:r>
      <w:r>
        <w:rPr>
          <w:rFonts w:hint="eastAsia" w:ascii="楷体_GB2312" w:hAnsi="楷体_GB2312" w:eastAsia="楷体_GB2312" w:cs="楷体_GB2312"/>
          <w:sz w:val="32"/>
          <w:szCs w:val="32"/>
          <w:lang w:val="en-US" w:eastAsia="zh-CN"/>
        </w:rPr>
        <w:t>（责任单位：县商务局； 配合单位：县科技工信局）</w:t>
      </w:r>
    </w:p>
    <w:p w14:paraId="72AB985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16.完善老旧蓄电池回收处理体系。科学规范开展废蓄电池回收处理，鼓励对回收和处置拆解企业予以政策支持，促进可再生资源循环利用。积极宣传电动自行车蓄电池回收和综合利用管理办法。推动生产企业以自建、委托等方式提供老旧蓄电池更换、回收服务。</w:t>
      </w:r>
      <w:r>
        <w:rPr>
          <w:rFonts w:hint="eastAsia" w:ascii="楷体_GB2312" w:hAnsi="楷体_GB2312" w:eastAsia="楷体_GB2312" w:cs="楷体_GB2312"/>
          <w:sz w:val="32"/>
          <w:szCs w:val="32"/>
          <w:lang w:val="en-US" w:eastAsia="zh-CN"/>
        </w:rPr>
        <w:t>（责任单位：县科技工信局、县生态环境分局；配合单位：县市场监管局、县发改委、县财政局）</w:t>
      </w:r>
    </w:p>
    <w:p w14:paraId="7BA7D175">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（六）着力解决溯源追责力度不够问题。</w:t>
      </w:r>
    </w:p>
    <w:p w14:paraId="6F56FF3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17.严格事故全链条溯源追责。2024年8月底前，建立应用“一车一池一充一码”识别代码和电动自行车登记信息管理系统，加强信息共享，提高事故后溯源调查能力。建立电动自行车亡人事故责任倒查机制，有关部门将生产、销售、改装、停放、充电等各环节发现的违法违规线索及时移交并配合公安、消防等部门开展调查，必要时开展联合执法，造成重大影响的依法追责。成立多部门参加的调查组，全面调查生产、销售、改装、停放、充电等各环节的违法违规线索，并及时移送相关部门依法查处，从严追究事故责任。整治期间发生电动自行车亡人火灾事故的提级调查。</w:t>
      </w:r>
      <w:r>
        <w:rPr>
          <w:rFonts w:hint="eastAsia" w:ascii="楷体_GB2312" w:hAnsi="楷体_GB2312" w:eastAsia="楷体_GB2312" w:cs="楷体_GB2312"/>
          <w:sz w:val="32"/>
          <w:szCs w:val="32"/>
          <w:lang w:val="en-US" w:eastAsia="zh-CN"/>
        </w:rPr>
        <w:t>（责任单位：县应急管理局、县消防救援局、县公安局；配合单位：县市场监管局、县科技工信局、县商务局）</w:t>
      </w:r>
    </w:p>
    <w:p w14:paraId="1C75C28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18.实施违法行为联合惩戒。市场监管、科技工业信息化、公安等部门对违法违规生产销售电动自行车及蓄电池的企业，违规回收、二次组装加工蓄电池的企业，违规提供改装服务及部件的企业按照规定进行曝光。消防部门对引发火灾事故的电动自行车、蓄电池品牌及型号按照规定进行曝光，充分发挥社会公众的监督作用。将严重违法企业和责任人员依法列入相关严重失信主体名单。</w:t>
      </w:r>
      <w:r>
        <w:rPr>
          <w:rFonts w:hint="eastAsia" w:ascii="楷体_GB2312" w:hAnsi="楷体_GB2312" w:eastAsia="楷体_GB2312" w:cs="楷体_GB2312"/>
          <w:sz w:val="32"/>
          <w:szCs w:val="32"/>
          <w:lang w:val="en-US" w:eastAsia="zh-CN"/>
        </w:rPr>
        <w:t>（责任单位：县市场监管局、县消防救援局；配合单位：县科技工信局、县公安局、县发改委）</w:t>
      </w:r>
    </w:p>
    <w:p w14:paraId="34B52BEE">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黑体" w:hAnsi="黑体" w:eastAsia="黑体" w:cs="黑体"/>
          <w:sz w:val="32"/>
          <w:szCs w:val="32"/>
        </w:rPr>
      </w:pPr>
      <w:r>
        <w:rPr>
          <w:rFonts w:hint="eastAsia" w:ascii="黑体" w:hAnsi="黑体" w:eastAsia="黑体" w:cs="黑体"/>
          <w:sz w:val="32"/>
          <w:szCs w:val="32"/>
        </w:rPr>
        <w:t>三、工作要求</w:t>
      </w:r>
    </w:p>
    <w:p w14:paraId="4DFF966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（一）加强组织领导，强化专班协作。</w:t>
      </w:r>
      <w:r>
        <w:rPr>
          <w:rFonts w:hint="eastAsia" w:ascii="仿宋_GB2312" w:hAnsi="仿宋_GB2312" w:eastAsia="仿宋_GB2312" w:cs="仿宋_GB2312"/>
          <w:sz w:val="32"/>
          <w:szCs w:val="32"/>
          <w:lang w:val="en-US" w:eastAsia="zh-CN"/>
        </w:rPr>
        <w:t>成立县电动自行车安全隐患全链条整治工作专班。县应急管理局、县消防救援局为召集人单位，县科技工信局、县公安局、县住建局、县市场监管局为副召集人单位，县发改委、县财政局、县自然资源和规划局、县生态环境分局、县商务局、县城市管理局、县供电公司为成员。工作专班办公室设在县消防救援局，各成员单位派员参加专班工作。各乡镇（开发区）及各有关部门要严格落实属地管理和行业监管责任，深入研究本辖区电动自行车存在的突出安全问题，系统梳理电动自行车全生命周期安全监管重点任务并抓好落实。</w:t>
      </w:r>
    </w:p>
    <w:p w14:paraId="012CE77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（二）落实监管责任，实现齐抓共治。</w:t>
      </w:r>
      <w:r>
        <w:rPr>
          <w:rFonts w:hint="eastAsia" w:ascii="仿宋_GB2312" w:hAnsi="仿宋_GB2312" w:eastAsia="仿宋_GB2312" w:cs="仿宋_GB2312"/>
          <w:sz w:val="32"/>
          <w:szCs w:val="32"/>
          <w:lang w:val="en-US" w:eastAsia="zh-CN"/>
        </w:rPr>
        <w:t>各有关部门要依据“三管三必须”工作要求，严格履行电动自行车产品质量、流通销售、通行秩序、停放充电等方面全链条安全监管责任，按照“系统治理、重点突出”的思路，采取“标本兼治、疏堵结合”的措施，持续提升整治行动工作质效。召集人单位和专班要积极发挥作用，严格落实“月会商、季小结、年考评”工作机制，及时协调解决专项整治中的重大问题。同时要将整治行动纳入年度安全生产和消防工作考核巡查，以及日常督导检查和明查暗访重要内容。</w:t>
      </w:r>
    </w:p>
    <w:p w14:paraId="671ACB8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（三）加强消防宣传，增强安全意识。</w:t>
      </w:r>
      <w:r>
        <w:rPr>
          <w:rFonts w:hint="eastAsia" w:ascii="仿宋_GB2312" w:hAnsi="仿宋_GB2312" w:eastAsia="仿宋_GB2312" w:cs="仿宋_GB2312"/>
          <w:sz w:val="32"/>
          <w:szCs w:val="32"/>
          <w:lang w:val="en-US" w:eastAsia="zh-CN"/>
        </w:rPr>
        <w:t>各乡镇（开发区）及各有关部门要充分利用广播和新媒体高频次刊播电动车火灾预防类公益广告，利用居民住宅区的板报公示栏等传统宣传阵地，深入宣传电动车安全停放、充电知识，普及初起火灾扑救和逃生自救常识，特别是农村电动自行车停放、充电宣传；运用基层组织力量，定期开展消防宣传教育，制定应急预案并组织应急演练，增强群众安全防范意识和逃生自救能力。整治过程中，对涉及群众切身利益的相关措施，要加强政策解读、积极回应社会关切，正确引导社会舆论。</w:t>
      </w:r>
    </w:p>
    <w:p w14:paraId="01A3FBEE">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仿宋_GB2312" w:hAnsi="仿宋_GB2312" w:eastAsia="仿宋_GB2312" w:cs="仿宋_GB2312"/>
          <w:sz w:val="32"/>
          <w:szCs w:val="32"/>
        </w:rPr>
      </w:pPr>
    </w:p>
    <w:p w14:paraId="49AB8A36">
      <w:pPr>
        <w:keepNext w:val="0"/>
        <w:keepLines w:val="0"/>
        <w:pageBreakBefore w:val="0"/>
        <w:widowControl/>
        <w:kinsoku/>
        <w:wordWrap/>
        <w:overflowPunct w:val="0"/>
        <w:topLinePunct/>
        <w:autoSpaceDE/>
        <w:autoSpaceDN/>
        <w:bidi w:val="0"/>
        <w:adjustRightInd w:val="0"/>
        <w:snapToGrid w:val="0"/>
        <w:spacing w:line="600" w:lineRule="exact"/>
        <w:ind w:firstLine="618" w:firstLineChars="200"/>
        <w:jc w:val="both"/>
        <w:textAlignment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pacing w:val="1"/>
          <w:w w:val="96"/>
          <w:kern w:val="0"/>
          <w:sz w:val="32"/>
          <w:szCs w:val="32"/>
          <w:fitText w:val="8000" w:id="1091463861"/>
        </w:rPr>
        <w:t>附件：</w:t>
      </w:r>
      <w:r>
        <w:rPr>
          <w:rFonts w:hint="eastAsia" w:ascii="仿宋_GB2312" w:hAnsi="仿宋_GB2312" w:eastAsia="仿宋_GB2312" w:cs="仿宋_GB2312"/>
          <w:color w:val="auto"/>
          <w:spacing w:val="1"/>
          <w:w w:val="96"/>
          <w:kern w:val="0"/>
          <w:sz w:val="32"/>
          <w:szCs w:val="32"/>
          <w:fitText w:val="8000" w:id="1091463861"/>
          <w:lang w:val="en-US" w:eastAsia="zh-CN"/>
        </w:rPr>
        <w:t>青阳县</w:t>
      </w:r>
      <w:r>
        <w:rPr>
          <w:rFonts w:hint="eastAsia" w:ascii="仿宋_GB2312" w:hAnsi="仿宋_GB2312" w:eastAsia="仿宋_GB2312" w:cs="仿宋_GB2312"/>
          <w:color w:val="auto"/>
          <w:spacing w:val="1"/>
          <w:w w:val="96"/>
          <w:kern w:val="0"/>
          <w:sz w:val="32"/>
          <w:szCs w:val="32"/>
          <w:fitText w:val="8000" w:id="1091463861"/>
        </w:rPr>
        <w:t>电动自行车安全隐患全链条整治工作任务清</w:t>
      </w:r>
      <w:r>
        <w:rPr>
          <w:rFonts w:hint="eastAsia" w:ascii="仿宋_GB2312" w:hAnsi="仿宋_GB2312" w:eastAsia="仿宋_GB2312" w:cs="仿宋_GB2312"/>
          <w:color w:val="auto"/>
          <w:spacing w:val="9"/>
          <w:w w:val="96"/>
          <w:kern w:val="0"/>
          <w:sz w:val="32"/>
          <w:szCs w:val="32"/>
          <w:fitText w:val="8000" w:id="1091463861"/>
        </w:rPr>
        <w:t>单</w:t>
      </w:r>
    </w:p>
    <w:p w14:paraId="69CBA452">
      <w:pPr>
        <w:keepNext w:val="0"/>
        <w:keepLines w:val="0"/>
        <w:pageBreakBefore w:val="0"/>
        <w:widowControl/>
        <w:kinsoku/>
        <w:wordWrap/>
        <w:overflowPunct w:val="0"/>
        <w:topLinePunct/>
        <w:autoSpaceDE/>
        <w:autoSpaceDN/>
        <w:bidi w:val="0"/>
        <w:adjustRightInd w:val="0"/>
        <w:snapToGrid w:val="0"/>
        <w:spacing w:line="600" w:lineRule="exact"/>
        <w:ind w:firstLine="1600" w:firstLineChars="500"/>
        <w:jc w:val="both"/>
        <w:textAlignment w:val="center"/>
        <w:rPr>
          <w:rFonts w:hint="default" w:ascii="仿宋_GB2312" w:hAnsi="仿宋_GB2312" w:eastAsia="仿宋_GB2312" w:cs="仿宋_GB2312"/>
          <w:color w:val="auto"/>
          <w:sz w:val="32"/>
          <w:szCs w:val="32"/>
          <w:lang w:val="en-US" w:eastAsia="zh-CN"/>
        </w:rPr>
        <w:sectPr>
          <w:footerReference r:id="rId5" w:type="default"/>
          <w:pgSz w:w="11906" w:h="16838"/>
          <w:pgMar w:top="2098" w:right="1474" w:bottom="1984" w:left="1531" w:header="0" w:footer="1571" w:gutter="0"/>
          <w:pgNumType w:fmt="decimal"/>
          <w:cols w:space="720" w:num="1"/>
        </w:sectPr>
      </w:pPr>
    </w:p>
    <w:p w14:paraId="2878F8C3">
      <w:pPr>
        <w:keepNext w:val="0"/>
        <w:keepLines w:val="0"/>
        <w:pageBreakBefore w:val="0"/>
        <w:widowControl/>
        <w:kinsoku/>
        <w:wordWrap/>
        <w:overflowPunct w:val="0"/>
        <w:topLinePunct/>
        <w:autoSpaceDE/>
        <w:autoSpaceDN/>
        <w:bidi w:val="0"/>
        <w:adjustRightInd w:val="0"/>
        <w:snapToGrid w:val="0"/>
        <w:spacing w:line="600" w:lineRule="exact"/>
        <w:jc w:val="both"/>
        <w:textAlignment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1：</w:t>
      </w:r>
    </w:p>
    <w:p w14:paraId="5E021C62">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青阳县</w:t>
      </w:r>
      <w:r>
        <w:rPr>
          <w:rFonts w:hint="eastAsia" w:ascii="方正小标宋简体" w:hAnsi="方正小标宋简体" w:eastAsia="方正小标宋简体" w:cs="方正小标宋简体"/>
          <w:sz w:val="44"/>
          <w:szCs w:val="44"/>
        </w:rPr>
        <w:t>电动自行车安全隐患全链条整治工作任务清单</w:t>
      </w:r>
    </w:p>
    <w:p w14:paraId="68678EA5">
      <w:pPr>
        <w:keepNext w:val="0"/>
        <w:keepLines w:val="0"/>
        <w:pageBreakBefore w:val="0"/>
        <w:widowControl/>
        <w:kinsoku/>
        <w:wordWrap/>
        <w:overflowPunct w:val="0"/>
        <w:topLinePunct/>
        <w:autoSpaceDE/>
        <w:autoSpaceDN/>
        <w:bidi w:val="0"/>
        <w:adjustRightInd w:val="0"/>
        <w:snapToGrid w:val="0"/>
        <w:spacing w:line="600" w:lineRule="exact"/>
        <w:ind w:firstLine="640" w:firstLineChars="200"/>
        <w:jc w:val="both"/>
        <w:textAlignment w:val="center"/>
        <w:rPr>
          <w:rFonts w:hint="eastAsia" w:ascii="仿宋_GB2312" w:hAnsi="仿宋_GB2312" w:eastAsia="仿宋_GB2312" w:cs="仿宋_GB2312"/>
          <w:sz w:val="32"/>
          <w:szCs w:val="32"/>
        </w:rPr>
      </w:pPr>
    </w:p>
    <w:tbl>
      <w:tblPr>
        <w:tblStyle w:val="42"/>
        <w:tblW w:w="14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1"/>
        <w:gridCol w:w="1983"/>
        <w:gridCol w:w="8047"/>
        <w:gridCol w:w="1788"/>
        <w:gridCol w:w="1976"/>
      </w:tblGrid>
      <w:tr w14:paraId="7FE99E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751" w:type="dxa"/>
            <w:vAlign w:val="center"/>
          </w:tcPr>
          <w:p w14:paraId="4FD83594">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序 号</w:t>
            </w:r>
          </w:p>
        </w:tc>
        <w:tc>
          <w:tcPr>
            <w:tcW w:w="1983" w:type="dxa"/>
            <w:vAlign w:val="center"/>
          </w:tcPr>
          <w:p w14:paraId="76D9C391">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整治重点</w:t>
            </w:r>
          </w:p>
        </w:tc>
        <w:tc>
          <w:tcPr>
            <w:tcW w:w="8047" w:type="dxa"/>
            <w:vAlign w:val="center"/>
          </w:tcPr>
          <w:p w14:paraId="708D0A06">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工作任务内容</w:t>
            </w:r>
          </w:p>
        </w:tc>
        <w:tc>
          <w:tcPr>
            <w:tcW w:w="1788" w:type="dxa"/>
            <w:vAlign w:val="center"/>
          </w:tcPr>
          <w:p w14:paraId="49399A31">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责任单位</w:t>
            </w:r>
          </w:p>
        </w:tc>
        <w:tc>
          <w:tcPr>
            <w:tcW w:w="1976" w:type="dxa"/>
            <w:vAlign w:val="center"/>
          </w:tcPr>
          <w:p w14:paraId="09CFBC8E">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配合单位</w:t>
            </w:r>
          </w:p>
        </w:tc>
      </w:tr>
      <w:tr w14:paraId="2872D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3" w:hRule="atLeast"/>
        </w:trPr>
        <w:tc>
          <w:tcPr>
            <w:tcW w:w="751" w:type="dxa"/>
            <w:vAlign w:val="center"/>
          </w:tcPr>
          <w:p w14:paraId="29775C1D">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983" w:type="dxa"/>
            <w:vAlign w:val="center"/>
          </w:tcPr>
          <w:p w14:paraId="3AA32433">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着力解决管理</w:t>
            </w:r>
          </w:p>
          <w:p w14:paraId="589BAE4A">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制度执行不严</w:t>
            </w:r>
          </w:p>
          <w:p w14:paraId="1AF49457">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格问题</w:t>
            </w:r>
          </w:p>
        </w:tc>
        <w:tc>
          <w:tcPr>
            <w:tcW w:w="8047" w:type="dxa"/>
            <w:vAlign w:val="center"/>
          </w:tcPr>
          <w:p w14:paraId="66C64F04">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1.推行标识管理。推行“一车一池一充一码”，在电动自行车车 架、蓄电池、充电器等明显位置设置永久性耐高温识别代码标识， 2024 年底前取得阶段性进展并持续推进。</w:t>
            </w:r>
          </w:p>
        </w:tc>
        <w:tc>
          <w:tcPr>
            <w:tcW w:w="1788" w:type="dxa"/>
            <w:vAlign w:val="center"/>
          </w:tcPr>
          <w:p w14:paraId="02BB9563">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县科技工信局</w:t>
            </w:r>
          </w:p>
        </w:tc>
        <w:tc>
          <w:tcPr>
            <w:tcW w:w="1976" w:type="dxa"/>
            <w:vAlign w:val="center"/>
          </w:tcPr>
          <w:p w14:paraId="159B3FBD">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市场监管局</w:t>
            </w:r>
          </w:p>
        </w:tc>
      </w:tr>
      <w:tr w14:paraId="3B5A8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Merge w:val="restart"/>
            <w:tcBorders>
              <w:bottom w:val="nil"/>
            </w:tcBorders>
            <w:vAlign w:val="center"/>
          </w:tcPr>
          <w:p w14:paraId="5B4AF8A5">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983" w:type="dxa"/>
            <w:vMerge w:val="restart"/>
            <w:tcBorders>
              <w:bottom w:val="nil"/>
            </w:tcBorders>
            <w:vAlign w:val="center"/>
          </w:tcPr>
          <w:p w14:paraId="33A4BEF2">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着力解决设施不足、违规停 放充电问题</w:t>
            </w:r>
          </w:p>
        </w:tc>
        <w:tc>
          <w:tcPr>
            <w:tcW w:w="8047" w:type="dxa"/>
            <w:vAlign w:val="center"/>
          </w:tcPr>
          <w:p w14:paraId="41A939E1">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2.强化新建项目和新增停车场所用地的规划管控。落实相关规范 中有关非机动车停车场（库）设置规定，严格新建居住项目规划 审批管理，将电动自行车停放充电设施纳入项目配套，明确布局和配建比，优化审批流程。在商业区、公园、高铁周边等公共开放空间规划建设停放场所、充电设施，并纳入公共服务设施管理范围。</w:t>
            </w:r>
          </w:p>
        </w:tc>
        <w:tc>
          <w:tcPr>
            <w:tcW w:w="1788" w:type="dxa"/>
            <w:vAlign w:val="center"/>
          </w:tcPr>
          <w:p w14:paraId="69924D92">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自然资源和规划局</w:t>
            </w:r>
          </w:p>
        </w:tc>
        <w:tc>
          <w:tcPr>
            <w:tcW w:w="1976" w:type="dxa"/>
            <w:vAlign w:val="center"/>
          </w:tcPr>
          <w:p w14:paraId="36DC6962">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r>
      <w:tr w14:paraId="18DF8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1" w:hRule="atLeast"/>
        </w:trPr>
        <w:tc>
          <w:tcPr>
            <w:tcW w:w="751" w:type="dxa"/>
            <w:vMerge w:val="continue"/>
            <w:tcBorders>
              <w:top w:val="nil"/>
            </w:tcBorders>
            <w:vAlign w:val="center"/>
          </w:tcPr>
          <w:p w14:paraId="353B0D85">
            <w:pPr>
              <w:keepNext w:val="0"/>
              <w:keepLines w:val="0"/>
              <w:pageBreakBefore w:val="0"/>
              <w:widowControl/>
              <w:kinsoku/>
              <w:wordWrap/>
              <w:overflowPunct w:val="0"/>
              <w:topLinePunct/>
              <w:autoSpaceDE/>
              <w:autoSpaceDN/>
              <w:bidi w:val="0"/>
              <w:adjustRightInd w:val="0"/>
              <w:snapToGrid w:val="0"/>
              <w:spacing w:line="400" w:lineRule="exact"/>
              <w:ind w:firstLine="560" w:firstLineChars="200"/>
              <w:jc w:val="center"/>
              <w:textAlignment w:val="center"/>
              <w:rPr>
                <w:rFonts w:hint="eastAsia" w:ascii="仿宋_GB2312" w:hAnsi="仿宋_GB2312" w:eastAsia="仿宋_GB2312" w:cs="仿宋_GB2312"/>
                <w:sz w:val="28"/>
                <w:szCs w:val="28"/>
              </w:rPr>
            </w:pPr>
          </w:p>
        </w:tc>
        <w:tc>
          <w:tcPr>
            <w:tcW w:w="1983" w:type="dxa"/>
            <w:vMerge w:val="continue"/>
            <w:tcBorders>
              <w:top w:val="nil"/>
            </w:tcBorders>
            <w:vAlign w:val="center"/>
          </w:tcPr>
          <w:p w14:paraId="4E4007CC">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8047" w:type="dxa"/>
            <w:vAlign w:val="center"/>
          </w:tcPr>
          <w:p w14:paraId="41361FDE">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3.推进既有小区增设设施。在居民住宅小区增设停放充电设施按 照设备管理办理相关手续，并须满足相关安全条件要求。2024 年 8 月底前，建立“一区一册”，以</w:t>
            </w:r>
            <w:r>
              <w:rPr>
                <w:rFonts w:hint="eastAsia" w:ascii="仿宋_GB2312" w:hAnsi="仿宋_GB2312" w:eastAsia="仿宋_GB2312" w:cs="仿宋_GB2312"/>
                <w:sz w:val="24"/>
                <w:szCs w:val="24"/>
                <w:lang w:val="en-US" w:eastAsia="zh-CN"/>
              </w:rPr>
              <w:t>乡镇</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开发</w:t>
            </w:r>
            <w:r>
              <w:rPr>
                <w:rFonts w:hint="eastAsia" w:ascii="仿宋_GB2312" w:hAnsi="仿宋_GB2312" w:eastAsia="仿宋_GB2312" w:cs="仿宋_GB2312"/>
                <w:sz w:val="24"/>
                <w:szCs w:val="24"/>
              </w:rPr>
              <w:t>区）为单位制定增建计划，明确年度任务，遴选技术实力强、收费合理的充电设施安装运营单位供单位或乡镇（</w:t>
            </w:r>
            <w:r>
              <w:rPr>
                <w:rFonts w:hint="eastAsia" w:ascii="仿宋_GB2312" w:hAnsi="仿宋_GB2312" w:eastAsia="仿宋_GB2312" w:cs="仿宋_GB2312"/>
                <w:sz w:val="24"/>
                <w:szCs w:val="24"/>
                <w:lang w:val="en-US" w:eastAsia="zh-CN"/>
              </w:rPr>
              <w:t>开发区</w:t>
            </w:r>
            <w:r>
              <w:rPr>
                <w:rFonts w:hint="eastAsia" w:ascii="仿宋_GB2312" w:hAnsi="仿宋_GB2312" w:eastAsia="仿宋_GB2312" w:cs="仿宋_GB2312"/>
                <w:sz w:val="24"/>
                <w:szCs w:val="24"/>
              </w:rPr>
              <w:t>）选用。督促物业服务企业或者属地乡镇（</w:t>
            </w:r>
            <w:r>
              <w:rPr>
                <w:rFonts w:hint="eastAsia" w:ascii="仿宋_GB2312" w:hAnsi="仿宋_GB2312" w:eastAsia="仿宋_GB2312" w:cs="仿宋_GB2312"/>
                <w:sz w:val="24"/>
                <w:szCs w:val="24"/>
                <w:lang w:val="en-US" w:eastAsia="zh-CN"/>
              </w:rPr>
              <w:t>开发区</w:t>
            </w:r>
            <w:r>
              <w:rPr>
                <w:rFonts w:hint="eastAsia" w:ascii="仿宋_GB2312" w:hAnsi="仿宋_GB2312" w:eastAsia="仿宋_GB2312" w:cs="仿宋_GB2312"/>
                <w:sz w:val="24"/>
                <w:szCs w:val="24"/>
              </w:rPr>
              <w:t>）、社区（村）配合充电设施安装运营单位实施安装建设。加强工程验收。推动机关、团体、企业、事业单位按照标准建设停放充电设施，提倡“满电回家 ”。</w:t>
            </w:r>
          </w:p>
        </w:tc>
        <w:tc>
          <w:tcPr>
            <w:tcW w:w="1788" w:type="dxa"/>
            <w:vAlign w:val="center"/>
          </w:tcPr>
          <w:p w14:paraId="5FBA15F3">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县住建局</w:t>
            </w:r>
          </w:p>
        </w:tc>
        <w:tc>
          <w:tcPr>
            <w:tcW w:w="1976" w:type="dxa"/>
            <w:vAlign w:val="center"/>
          </w:tcPr>
          <w:p w14:paraId="51482D67">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消防救援局</w:t>
            </w:r>
          </w:p>
        </w:tc>
      </w:tr>
    </w:tbl>
    <w:p w14:paraId="2EFB7CA0">
      <w:pPr>
        <w:keepNext w:val="0"/>
        <w:keepLines w:val="0"/>
        <w:pageBreakBefore w:val="0"/>
        <w:widowControl/>
        <w:kinsoku/>
        <w:wordWrap/>
        <w:overflowPunct w:val="0"/>
        <w:topLinePunct/>
        <w:autoSpaceDE/>
        <w:autoSpaceDN/>
        <w:bidi w:val="0"/>
        <w:adjustRightInd w:val="0"/>
        <w:snapToGrid w:val="0"/>
        <w:spacing w:line="400" w:lineRule="exact"/>
        <w:ind w:firstLine="560" w:firstLineChars="200"/>
        <w:jc w:val="both"/>
        <w:textAlignment w:val="center"/>
        <w:rPr>
          <w:rFonts w:hint="eastAsia" w:ascii="仿宋_GB2312" w:hAnsi="仿宋_GB2312" w:eastAsia="仿宋_GB2312" w:cs="仿宋_GB2312"/>
          <w:sz w:val="28"/>
          <w:szCs w:val="28"/>
        </w:rPr>
        <w:sectPr>
          <w:footerReference r:id="rId6" w:type="default"/>
          <w:pgSz w:w="16838" w:h="11906"/>
          <w:pgMar w:top="1011" w:right="1144" w:bottom="1694" w:left="1143" w:header="0" w:footer="1417" w:gutter="0"/>
          <w:pgNumType w:fmt="decimal"/>
          <w:cols w:space="720" w:num="1"/>
        </w:sectPr>
      </w:pPr>
    </w:p>
    <w:p w14:paraId="2650DF18">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8"/>
          <w:szCs w:val="28"/>
        </w:rPr>
      </w:pPr>
    </w:p>
    <w:tbl>
      <w:tblPr>
        <w:tblStyle w:val="42"/>
        <w:tblW w:w="14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1"/>
        <w:gridCol w:w="1983"/>
        <w:gridCol w:w="8047"/>
        <w:gridCol w:w="1788"/>
        <w:gridCol w:w="1976"/>
      </w:tblGrid>
      <w:tr w14:paraId="57CE3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751" w:type="dxa"/>
            <w:vAlign w:val="center"/>
          </w:tcPr>
          <w:p w14:paraId="20D30E5B">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序 号</w:t>
            </w:r>
          </w:p>
        </w:tc>
        <w:tc>
          <w:tcPr>
            <w:tcW w:w="1983" w:type="dxa"/>
            <w:vAlign w:val="center"/>
          </w:tcPr>
          <w:p w14:paraId="24248ABB">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整治重点</w:t>
            </w:r>
          </w:p>
        </w:tc>
        <w:tc>
          <w:tcPr>
            <w:tcW w:w="8047" w:type="dxa"/>
            <w:vAlign w:val="center"/>
          </w:tcPr>
          <w:p w14:paraId="464E0F62">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工作任务内容</w:t>
            </w:r>
          </w:p>
        </w:tc>
        <w:tc>
          <w:tcPr>
            <w:tcW w:w="1788" w:type="dxa"/>
            <w:vAlign w:val="center"/>
          </w:tcPr>
          <w:p w14:paraId="6AB345B4">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责任单位</w:t>
            </w:r>
          </w:p>
        </w:tc>
        <w:tc>
          <w:tcPr>
            <w:tcW w:w="1976" w:type="dxa"/>
            <w:vAlign w:val="center"/>
          </w:tcPr>
          <w:p w14:paraId="22CD076A">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配合单位</w:t>
            </w:r>
          </w:p>
        </w:tc>
      </w:tr>
      <w:tr w14:paraId="5A18F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5" w:hRule="atLeast"/>
        </w:trPr>
        <w:tc>
          <w:tcPr>
            <w:tcW w:w="751" w:type="dxa"/>
            <w:vMerge w:val="restart"/>
            <w:tcBorders>
              <w:bottom w:val="nil"/>
            </w:tcBorders>
            <w:vAlign w:val="center"/>
          </w:tcPr>
          <w:p w14:paraId="2091F77D">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983" w:type="dxa"/>
            <w:vMerge w:val="restart"/>
            <w:tcBorders>
              <w:bottom w:val="nil"/>
            </w:tcBorders>
            <w:vAlign w:val="center"/>
          </w:tcPr>
          <w:p w14:paraId="601D402A">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着力解决设施不足、违规停放充电问题</w:t>
            </w:r>
          </w:p>
        </w:tc>
        <w:tc>
          <w:tcPr>
            <w:tcW w:w="8047" w:type="dxa"/>
            <w:vAlign w:val="center"/>
          </w:tcPr>
          <w:p w14:paraId="461B5ADE">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4.加强架空层使用管理。加强架空层消防设计审查验收工作。</w:t>
            </w:r>
            <w:r>
              <w:rPr>
                <w:rFonts w:hint="eastAsia" w:ascii="仿宋_GB2312" w:hAnsi="仿宋_GB2312" w:eastAsia="仿宋_GB2312" w:cs="仿宋_GB2312"/>
                <w:sz w:val="24"/>
                <w:szCs w:val="24"/>
                <w:lang w:val="en-US" w:eastAsia="zh-CN"/>
              </w:rPr>
              <w:t>对照《建筑架空层电动自行车停放充电消防安全要求》 ，发动</w:t>
            </w:r>
            <w:r>
              <w:rPr>
                <w:rFonts w:hint="eastAsia" w:ascii="仿宋_GB2312" w:hAnsi="仿宋_GB2312" w:eastAsia="仿宋_GB2312" w:cs="仿宋_GB2312"/>
                <w:sz w:val="24"/>
                <w:szCs w:val="24"/>
              </w:rPr>
              <w:t>乡镇（</w:t>
            </w:r>
            <w:r>
              <w:rPr>
                <w:rFonts w:hint="eastAsia" w:ascii="仿宋_GB2312" w:hAnsi="仿宋_GB2312" w:eastAsia="仿宋_GB2312" w:cs="仿宋_GB2312"/>
                <w:sz w:val="24"/>
                <w:szCs w:val="24"/>
                <w:lang w:val="en-US" w:eastAsia="zh-CN"/>
              </w:rPr>
              <w:t>开发区</w:t>
            </w:r>
            <w:r>
              <w:rPr>
                <w:rFonts w:hint="eastAsia" w:ascii="仿宋_GB2312" w:hAnsi="仿宋_GB2312" w:eastAsia="仿宋_GB2312" w:cs="仿宋_GB2312"/>
                <w:sz w:val="24"/>
                <w:szCs w:val="24"/>
              </w:rPr>
              <w:t>）、村（社区）和基层综合执法机构、公安派出所、消防工作站等基层力量摸清辖区架空层底数，逐一开展检查，建立工作台账。2024年8月底前，组织技术力量对用作</w:t>
            </w:r>
            <w:r>
              <w:rPr>
                <w:rFonts w:hint="eastAsia" w:ascii="仿宋_GB2312" w:hAnsi="仿宋_GB2312" w:eastAsia="仿宋_GB2312" w:cs="仿宋_GB2312"/>
                <w:sz w:val="24"/>
                <w:szCs w:val="24"/>
                <w:lang w:eastAsia="zh-CN"/>
              </w:rPr>
              <w:t>电动自行车</w:t>
            </w:r>
            <w:r>
              <w:rPr>
                <w:rFonts w:hint="eastAsia" w:ascii="仿宋_GB2312" w:hAnsi="仿宋_GB2312" w:eastAsia="仿宋_GB2312" w:cs="仿宋_GB2312"/>
                <w:sz w:val="24"/>
                <w:szCs w:val="24"/>
              </w:rPr>
              <w:t>停放充电场所架空层的安全状况进行全面检查，督促建筑产权单位、使用单位、居住区物业服务企业整改安全隐患、完善安全条件，做好架空层安全日常巡查工作。</w:t>
            </w:r>
          </w:p>
        </w:tc>
        <w:tc>
          <w:tcPr>
            <w:tcW w:w="1788" w:type="dxa"/>
            <w:vAlign w:val="center"/>
          </w:tcPr>
          <w:p w14:paraId="7EBE2349">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消防救援局</w:t>
            </w:r>
          </w:p>
        </w:tc>
        <w:tc>
          <w:tcPr>
            <w:tcW w:w="1976" w:type="dxa"/>
            <w:vAlign w:val="center"/>
          </w:tcPr>
          <w:p w14:paraId="0176ED99">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县住建局</w:t>
            </w:r>
          </w:p>
        </w:tc>
      </w:tr>
      <w:tr w14:paraId="332C0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8" w:hRule="atLeast"/>
        </w:trPr>
        <w:tc>
          <w:tcPr>
            <w:tcW w:w="751" w:type="dxa"/>
            <w:vMerge w:val="continue"/>
            <w:tcBorders>
              <w:top w:val="nil"/>
              <w:bottom w:val="nil"/>
            </w:tcBorders>
            <w:vAlign w:val="center"/>
          </w:tcPr>
          <w:p w14:paraId="506113DB">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1983" w:type="dxa"/>
            <w:vMerge w:val="continue"/>
            <w:tcBorders>
              <w:top w:val="nil"/>
              <w:bottom w:val="nil"/>
            </w:tcBorders>
            <w:vAlign w:val="center"/>
          </w:tcPr>
          <w:p w14:paraId="40C1BBB1">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8047" w:type="dxa"/>
            <w:vAlign w:val="center"/>
          </w:tcPr>
          <w:p w14:paraId="36F118DC">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5.规范充电费用。指导督促电力企业和相关企业主动承建停放充 电设施，减收、免收服务费。居民住宅小区充电电价一律按居民 电价执行，引导企业合理确定充电服务价格标准。指导督促电网 企业做好充电设施接电服务工作，引导社会力量积极参与停放充 电设施建设，大幅降低充电服务费用。监督充电设施运营管理单 位公示充电和服务价格，严禁收取任何未经公示的费用。2024 年 底前，开展一次违规收费整治并持续推进。</w:t>
            </w:r>
          </w:p>
        </w:tc>
        <w:tc>
          <w:tcPr>
            <w:tcW w:w="1788" w:type="dxa"/>
            <w:vAlign w:val="center"/>
          </w:tcPr>
          <w:p w14:paraId="7FA033CF">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县发改委</w:t>
            </w:r>
          </w:p>
        </w:tc>
        <w:tc>
          <w:tcPr>
            <w:tcW w:w="1976" w:type="dxa"/>
            <w:vAlign w:val="center"/>
          </w:tcPr>
          <w:p w14:paraId="342917BE">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市场监管局、</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财政局</w:t>
            </w:r>
          </w:p>
        </w:tc>
      </w:tr>
      <w:tr w14:paraId="00757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751" w:type="dxa"/>
            <w:vMerge w:val="continue"/>
            <w:tcBorders>
              <w:top w:val="nil"/>
            </w:tcBorders>
            <w:vAlign w:val="center"/>
          </w:tcPr>
          <w:p w14:paraId="534922B9">
            <w:pPr>
              <w:keepNext w:val="0"/>
              <w:keepLines w:val="0"/>
              <w:pageBreakBefore w:val="0"/>
              <w:widowControl/>
              <w:kinsoku/>
              <w:wordWrap/>
              <w:overflowPunct w:val="0"/>
              <w:topLinePunct/>
              <w:autoSpaceDE/>
              <w:autoSpaceDN/>
              <w:bidi w:val="0"/>
              <w:adjustRightInd w:val="0"/>
              <w:snapToGrid w:val="0"/>
              <w:spacing w:line="400" w:lineRule="exact"/>
              <w:ind w:firstLine="560" w:firstLineChars="200"/>
              <w:jc w:val="center"/>
              <w:textAlignment w:val="center"/>
              <w:rPr>
                <w:rFonts w:hint="eastAsia" w:ascii="仿宋_GB2312" w:hAnsi="仿宋_GB2312" w:eastAsia="仿宋_GB2312" w:cs="仿宋_GB2312"/>
                <w:sz w:val="28"/>
                <w:szCs w:val="28"/>
              </w:rPr>
            </w:pPr>
          </w:p>
        </w:tc>
        <w:tc>
          <w:tcPr>
            <w:tcW w:w="1983" w:type="dxa"/>
            <w:vMerge w:val="continue"/>
            <w:tcBorders>
              <w:top w:val="nil"/>
            </w:tcBorders>
            <w:vAlign w:val="center"/>
          </w:tcPr>
          <w:p w14:paraId="2ADCFD56">
            <w:pPr>
              <w:keepNext w:val="0"/>
              <w:keepLines w:val="0"/>
              <w:pageBreakBefore w:val="0"/>
              <w:widowControl/>
              <w:kinsoku/>
              <w:wordWrap/>
              <w:overflowPunct w:val="0"/>
              <w:topLinePunct/>
              <w:autoSpaceDE/>
              <w:autoSpaceDN/>
              <w:bidi w:val="0"/>
              <w:adjustRightInd w:val="0"/>
              <w:snapToGrid w:val="0"/>
              <w:spacing w:line="400" w:lineRule="exact"/>
              <w:ind w:firstLine="560" w:firstLineChars="200"/>
              <w:jc w:val="center"/>
              <w:textAlignment w:val="center"/>
              <w:rPr>
                <w:rFonts w:hint="eastAsia" w:ascii="仿宋_GB2312" w:hAnsi="仿宋_GB2312" w:eastAsia="仿宋_GB2312" w:cs="仿宋_GB2312"/>
                <w:sz w:val="28"/>
                <w:szCs w:val="28"/>
              </w:rPr>
            </w:pPr>
          </w:p>
        </w:tc>
        <w:tc>
          <w:tcPr>
            <w:tcW w:w="8047" w:type="dxa"/>
            <w:vAlign w:val="center"/>
          </w:tcPr>
          <w:p w14:paraId="4CFB332F">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6.严查违规停放充电行为。消防、公安、城市管理等部门加强联合检查，依法对违规停放充电行为开展执法查处、检查劝阻和宣 传提示；住房城乡建设部门督促物业服务企业对服务区域内电动 自行车堵塞占用疏散通道、安全出口等违规行为予以制止，并协 助处理；供电公司积极参与。2024 年底前，未设物业服务企业的 居民住宅小区，所在乡镇（</w:t>
            </w:r>
            <w:r>
              <w:rPr>
                <w:rFonts w:hint="eastAsia" w:ascii="仿宋_GB2312" w:hAnsi="仿宋_GB2312" w:eastAsia="仿宋_GB2312" w:cs="仿宋_GB2312"/>
                <w:sz w:val="24"/>
                <w:szCs w:val="24"/>
                <w:lang w:val="en-US" w:eastAsia="zh-CN"/>
              </w:rPr>
              <w:t>开发区</w:t>
            </w:r>
            <w:r>
              <w:rPr>
                <w:rFonts w:hint="eastAsia" w:ascii="仿宋_GB2312" w:hAnsi="仿宋_GB2312" w:eastAsia="仿宋_GB2312" w:cs="仿宋_GB2312"/>
                <w:sz w:val="24"/>
                <w:szCs w:val="24"/>
              </w:rPr>
              <w:t>）应确定电动自行车停放充电场所的消防安全管理人员，负责安全提示、防火巡查等工作。</w:t>
            </w:r>
          </w:p>
        </w:tc>
        <w:tc>
          <w:tcPr>
            <w:tcW w:w="1788" w:type="dxa"/>
            <w:vAlign w:val="center"/>
          </w:tcPr>
          <w:p w14:paraId="075BB17E">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消防救援局</w:t>
            </w:r>
          </w:p>
        </w:tc>
        <w:tc>
          <w:tcPr>
            <w:tcW w:w="1976" w:type="dxa"/>
            <w:vAlign w:val="center"/>
          </w:tcPr>
          <w:p w14:paraId="71EEC357">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住建局、</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公安</w:t>
            </w:r>
          </w:p>
          <w:p w14:paraId="4D4459F1">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局、</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城市管</w:t>
            </w:r>
          </w:p>
          <w:p w14:paraId="30ABEBAF">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理局、</w:t>
            </w:r>
            <w:r>
              <w:rPr>
                <w:rFonts w:hint="eastAsia" w:ascii="仿宋_GB2312" w:hAnsi="仿宋_GB2312" w:eastAsia="仿宋_GB2312" w:cs="仿宋_GB2312"/>
                <w:sz w:val="24"/>
                <w:szCs w:val="24"/>
                <w:lang w:eastAsia="zh-CN"/>
              </w:rPr>
              <w:t>县供电公司</w:t>
            </w:r>
          </w:p>
        </w:tc>
      </w:tr>
    </w:tbl>
    <w:p w14:paraId="142E49DC">
      <w:pPr>
        <w:keepNext w:val="0"/>
        <w:keepLines w:val="0"/>
        <w:pageBreakBefore w:val="0"/>
        <w:widowControl/>
        <w:kinsoku/>
        <w:wordWrap/>
        <w:overflowPunct w:val="0"/>
        <w:topLinePunct/>
        <w:autoSpaceDE/>
        <w:autoSpaceDN/>
        <w:bidi w:val="0"/>
        <w:adjustRightInd w:val="0"/>
        <w:snapToGrid w:val="0"/>
        <w:spacing w:line="400" w:lineRule="exact"/>
        <w:ind w:firstLine="560" w:firstLineChars="200"/>
        <w:jc w:val="both"/>
        <w:textAlignment w:val="center"/>
        <w:rPr>
          <w:rFonts w:hint="eastAsia" w:ascii="仿宋_GB2312" w:hAnsi="仿宋_GB2312" w:eastAsia="仿宋_GB2312" w:cs="仿宋_GB2312"/>
          <w:sz w:val="28"/>
          <w:szCs w:val="28"/>
        </w:rPr>
        <w:sectPr>
          <w:footerReference r:id="rId7" w:type="default"/>
          <w:pgSz w:w="16838" w:h="11906"/>
          <w:pgMar w:top="1011" w:right="1144" w:bottom="1694" w:left="1143" w:header="0" w:footer="1417" w:gutter="0"/>
          <w:pgNumType w:fmt="decimal"/>
          <w:cols w:space="720" w:num="1"/>
        </w:sectPr>
      </w:pPr>
    </w:p>
    <w:p w14:paraId="5617D037">
      <w:pPr>
        <w:keepNext w:val="0"/>
        <w:keepLines w:val="0"/>
        <w:pageBreakBefore w:val="0"/>
        <w:widowControl/>
        <w:kinsoku/>
        <w:wordWrap/>
        <w:overflowPunct w:val="0"/>
        <w:topLinePunct/>
        <w:autoSpaceDE/>
        <w:autoSpaceDN/>
        <w:bidi w:val="0"/>
        <w:adjustRightInd w:val="0"/>
        <w:snapToGrid w:val="0"/>
        <w:spacing w:line="400" w:lineRule="exact"/>
        <w:ind w:firstLine="560" w:firstLineChars="200"/>
        <w:jc w:val="both"/>
        <w:textAlignment w:val="center"/>
        <w:rPr>
          <w:rFonts w:hint="eastAsia" w:ascii="仿宋_GB2312" w:hAnsi="仿宋_GB2312" w:eastAsia="仿宋_GB2312" w:cs="仿宋_GB2312"/>
          <w:sz w:val="28"/>
          <w:szCs w:val="28"/>
        </w:rPr>
      </w:pPr>
    </w:p>
    <w:tbl>
      <w:tblPr>
        <w:tblStyle w:val="42"/>
        <w:tblW w:w="14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1"/>
        <w:gridCol w:w="1983"/>
        <w:gridCol w:w="8047"/>
        <w:gridCol w:w="1788"/>
        <w:gridCol w:w="1976"/>
      </w:tblGrid>
      <w:tr w14:paraId="7EC867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751" w:type="dxa"/>
            <w:vAlign w:val="center"/>
          </w:tcPr>
          <w:p w14:paraId="494E64A3">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序 号</w:t>
            </w:r>
          </w:p>
        </w:tc>
        <w:tc>
          <w:tcPr>
            <w:tcW w:w="1983" w:type="dxa"/>
            <w:vAlign w:val="center"/>
          </w:tcPr>
          <w:p w14:paraId="5835B990">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整治重点</w:t>
            </w:r>
          </w:p>
        </w:tc>
        <w:tc>
          <w:tcPr>
            <w:tcW w:w="8047" w:type="dxa"/>
            <w:vAlign w:val="center"/>
          </w:tcPr>
          <w:p w14:paraId="737DD2AC">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工作任务内容</w:t>
            </w:r>
          </w:p>
        </w:tc>
        <w:tc>
          <w:tcPr>
            <w:tcW w:w="1788" w:type="dxa"/>
            <w:vAlign w:val="center"/>
          </w:tcPr>
          <w:p w14:paraId="0D9CF260">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责任单位</w:t>
            </w:r>
          </w:p>
        </w:tc>
        <w:tc>
          <w:tcPr>
            <w:tcW w:w="1976" w:type="dxa"/>
            <w:vAlign w:val="center"/>
          </w:tcPr>
          <w:p w14:paraId="5D771791">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配合单位</w:t>
            </w:r>
          </w:p>
        </w:tc>
      </w:tr>
      <w:tr w14:paraId="555492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4" w:hRule="atLeast"/>
        </w:trPr>
        <w:tc>
          <w:tcPr>
            <w:tcW w:w="751" w:type="dxa"/>
            <w:vAlign w:val="center"/>
          </w:tcPr>
          <w:p w14:paraId="2D5C7DCC">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983" w:type="dxa"/>
            <w:vAlign w:val="center"/>
          </w:tcPr>
          <w:p w14:paraId="1F3EEA08">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着力解决设施不足、违规停放充电问题</w:t>
            </w:r>
          </w:p>
        </w:tc>
        <w:tc>
          <w:tcPr>
            <w:tcW w:w="8047" w:type="dxa"/>
            <w:vAlign w:val="center"/>
          </w:tcPr>
          <w:p w14:paraId="6C58A9BF">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7.强化技防物防措施应用。引导充电设施建设运营单位建立数据 平台，对充电设施实时监控，2025 年底前完成。鼓励充电设施运 营单位和即时配送企业推广换电模式。加强科技创新，破解飞线 充电、进楼入户、架空层违规停放充电等管理难题。积极推广对 蓄电池进楼实行动态监控。鼓励在电动自行车集中充电场所推广 增设联网式独立感烟报警探测器、烟火识别摄像头、简易喷淋、 灭火器等。</w:t>
            </w:r>
          </w:p>
        </w:tc>
        <w:tc>
          <w:tcPr>
            <w:tcW w:w="1788" w:type="dxa"/>
            <w:vAlign w:val="center"/>
          </w:tcPr>
          <w:p w14:paraId="366B87EA">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w:t>
            </w:r>
          </w:p>
          <w:p w14:paraId="2E63AA3C">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局、</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消防救援局</w:t>
            </w:r>
          </w:p>
        </w:tc>
        <w:tc>
          <w:tcPr>
            <w:tcW w:w="1976" w:type="dxa"/>
            <w:vAlign w:val="center"/>
          </w:tcPr>
          <w:p w14:paraId="5D310C1E">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县住建局</w:t>
            </w:r>
          </w:p>
        </w:tc>
      </w:tr>
      <w:tr w14:paraId="04507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3" w:hRule="atLeast"/>
        </w:trPr>
        <w:tc>
          <w:tcPr>
            <w:tcW w:w="751" w:type="dxa"/>
            <w:vMerge w:val="restart"/>
            <w:tcBorders>
              <w:bottom w:val="nil"/>
            </w:tcBorders>
            <w:vAlign w:val="center"/>
          </w:tcPr>
          <w:p w14:paraId="7F89A406">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983" w:type="dxa"/>
            <w:vMerge w:val="restart"/>
            <w:tcBorders>
              <w:bottom w:val="nil"/>
            </w:tcBorders>
            <w:vAlign w:val="center"/>
          </w:tcPr>
          <w:p w14:paraId="4E315FCB">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着力解决非法改装屡禁不止问题</w:t>
            </w:r>
          </w:p>
        </w:tc>
        <w:tc>
          <w:tcPr>
            <w:tcW w:w="8047" w:type="dxa"/>
            <w:vAlign w:val="center"/>
          </w:tcPr>
          <w:p w14:paraId="4565F1EF">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8.严查非法改装。依法从严整治擅自改装原厂电气配件、拆改限 速、外设蓄电池托架、改造蓄电池槽盒、更换大容量蓄电池等违 法违规行为；严厉打击违规回收、二次组装加工蓄电池的黑作坊，涉嫌犯罪的依法追究刑事责任。2024 年 8 月底前，对全</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各经营网点和维修店铺进行一次全面检查，集中查处一批违法行为。</w:t>
            </w:r>
          </w:p>
        </w:tc>
        <w:tc>
          <w:tcPr>
            <w:tcW w:w="1788" w:type="dxa"/>
            <w:vAlign w:val="center"/>
          </w:tcPr>
          <w:p w14:paraId="1AA466BB">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市场监管局</w:t>
            </w:r>
          </w:p>
        </w:tc>
        <w:tc>
          <w:tcPr>
            <w:tcW w:w="1976" w:type="dxa"/>
            <w:vAlign w:val="center"/>
          </w:tcPr>
          <w:p w14:paraId="305AB6B3">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公安局</w:t>
            </w:r>
          </w:p>
        </w:tc>
      </w:tr>
      <w:tr w14:paraId="42FD1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8" w:hRule="atLeast"/>
        </w:trPr>
        <w:tc>
          <w:tcPr>
            <w:tcW w:w="751" w:type="dxa"/>
            <w:vMerge w:val="continue"/>
            <w:tcBorders>
              <w:top w:val="nil"/>
              <w:bottom w:val="nil"/>
            </w:tcBorders>
            <w:vAlign w:val="center"/>
          </w:tcPr>
          <w:p w14:paraId="2520679F">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1983" w:type="dxa"/>
            <w:vMerge w:val="continue"/>
            <w:tcBorders>
              <w:top w:val="nil"/>
              <w:bottom w:val="nil"/>
            </w:tcBorders>
            <w:vAlign w:val="center"/>
          </w:tcPr>
          <w:p w14:paraId="72141EE4">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8047" w:type="dxa"/>
            <w:vAlign w:val="center"/>
          </w:tcPr>
          <w:p w14:paraId="71017B82">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9.规范线上经营。加强电商平台监管，督促其清理非法改装广告 信息，严禁销售未依法经强制性产品认证的电动自行车、蓄电池 和充电器等产品；在电动自行车相关商品销售页面，明示“禁止非法改装”内容，2024 年8月底前完成。加强寄递渠道安全监管。</w:t>
            </w:r>
          </w:p>
        </w:tc>
        <w:tc>
          <w:tcPr>
            <w:tcW w:w="1788" w:type="dxa"/>
            <w:vAlign w:val="center"/>
          </w:tcPr>
          <w:p w14:paraId="2EFA67EF">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市场监管局</w:t>
            </w:r>
          </w:p>
        </w:tc>
        <w:tc>
          <w:tcPr>
            <w:tcW w:w="1976" w:type="dxa"/>
            <w:vAlign w:val="center"/>
          </w:tcPr>
          <w:p w14:paraId="74BB2440">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公安局、</w:t>
            </w:r>
            <w:r>
              <w:rPr>
                <w:rFonts w:hint="eastAsia" w:ascii="仿宋_GB2312" w:hAnsi="仿宋_GB2312" w:eastAsia="仿宋_GB2312" w:cs="仿宋_GB2312"/>
                <w:sz w:val="24"/>
                <w:szCs w:val="24"/>
                <w:lang w:val="en-US" w:eastAsia="zh-CN"/>
              </w:rPr>
              <w:t>县</w:t>
            </w:r>
          </w:p>
          <w:p w14:paraId="52C39EB0">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商务局</w:t>
            </w:r>
          </w:p>
        </w:tc>
      </w:tr>
      <w:tr w14:paraId="2BAFD6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3" w:hRule="atLeast"/>
        </w:trPr>
        <w:tc>
          <w:tcPr>
            <w:tcW w:w="751" w:type="dxa"/>
            <w:vMerge w:val="continue"/>
            <w:tcBorders>
              <w:top w:val="nil"/>
            </w:tcBorders>
            <w:vAlign w:val="center"/>
          </w:tcPr>
          <w:p w14:paraId="1A30635A">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1983" w:type="dxa"/>
            <w:vMerge w:val="continue"/>
            <w:tcBorders>
              <w:top w:val="nil"/>
            </w:tcBorders>
            <w:vAlign w:val="center"/>
          </w:tcPr>
          <w:p w14:paraId="1272304B">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8047" w:type="dxa"/>
            <w:vAlign w:val="center"/>
          </w:tcPr>
          <w:p w14:paraId="4EC99A42">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10.实施登记管理。在将蓄电池依法纳入强制性产品认证管理并设置识别代码的基础上，全面实施电动自行车登记上牌管理，2024 年底前完成。对目前在用但不符合国家标准的电动自行车，合理设定过渡期。</w:t>
            </w:r>
          </w:p>
        </w:tc>
        <w:tc>
          <w:tcPr>
            <w:tcW w:w="1788" w:type="dxa"/>
            <w:vAlign w:val="center"/>
          </w:tcPr>
          <w:p w14:paraId="1AB4EF0C">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公安局</w:t>
            </w:r>
          </w:p>
        </w:tc>
        <w:tc>
          <w:tcPr>
            <w:tcW w:w="1976" w:type="dxa"/>
            <w:vAlign w:val="center"/>
          </w:tcPr>
          <w:p w14:paraId="23988AB4">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r>
    </w:tbl>
    <w:p w14:paraId="587C014E">
      <w:pPr>
        <w:keepNext w:val="0"/>
        <w:keepLines w:val="0"/>
        <w:pageBreakBefore w:val="0"/>
        <w:widowControl/>
        <w:kinsoku/>
        <w:wordWrap/>
        <w:overflowPunct w:val="0"/>
        <w:topLinePunct/>
        <w:autoSpaceDE/>
        <w:autoSpaceDN/>
        <w:bidi w:val="0"/>
        <w:adjustRightInd w:val="0"/>
        <w:snapToGrid w:val="0"/>
        <w:spacing w:line="400" w:lineRule="exact"/>
        <w:ind w:firstLine="560" w:firstLineChars="200"/>
        <w:jc w:val="both"/>
        <w:textAlignment w:val="center"/>
        <w:rPr>
          <w:rFonts w:hint="eastAsia" w:ascii="仿宋_GB2312" w:hAnsi="仿宋_GB2312" w:eastAsia="仿宋_GB2312" w:cs="仿宋_GB2312"/>
          <w:sz w:val="28"/>
          <w:szCs w:val="28"/>
        </w:rPr>
        <w:sectPr>
          <w:footerReference r:id="rId8" w:type="default"/>
          <w:pgSz w:w="16838" w:h="11906"/>
          <w:pgMar w:top="1011" w:right="1144" w:bottom="1694" w:left="1143" w:header="0" w:footer="1417" w:gutter="0"/>
          <w:pgNumType w:fmt="decimal"/>
          <w:cols w:space="720" w:num="1"/>
        </w:sectPr>
      </w:pPr>
    </w:p>
    <w:p w14:paraId="10E8AE99">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8"/>
          <w:szCs w:val="28"/>
        </w:rPr>
      </w:pPr>
    </w:p>
    <w:tbl>
      <w:tblPr>
        <w:tblStyle w:val="42"/>
        <w:tblW w:w="14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1"/>
        <w:gridCol w:w="1983"/>
        <w:gridCol w:w="8047"/>
        <w:gridCol w:w="1788"/>
        <w:gridCol w:w="1976"/>
      </w:tblGrid>
      <w:tr w14:paraId="121211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751" w:type="dxa"/>
            <w:vAlign w:val="center"/>
          </w:tcPr>
          <w:p w14:paraId="0315533D">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序 号</w:t>
            </w:r>
          </w:p>
        </w:tc>
        <w:tc>
          <w:tcPr>
            <w:tcW w:w="1983" w:type="dxa"/>
            <w:vAlign w:val="center"/>
          </w:tcPr>
          <w:p w14:paraId="5D6A0246">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整治重点</w:t>
            </w:r>
          </w:p>
        </w:tc>
        <w:tc>
          <w:tcPr>
            <w:tcW w:w="8047" w:type="dxa"/>
            <w:vAlign w:val="center"/>
          </w:tcPr>
          <w:p w14:paraId="2E30B200">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工作任务内容</w:t>
            </w:r>
          </w:p>
        </w:tc>
        <w:tc>
          <w:tcPr>
            <w:tcW w:w="1788" w:type="dxa"/>
            <w:vAlign w:val="center"/>
          </w:tcPr>
          <w:p w14:paraId="46553606">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责任单位</w:t>
            </w:r>
          </w:p>
        </w:tc>
        <w:tc>
          <w:tcPr>
            <w:tcW w:w="1976" w:type="dxa"/>
            <w:vAlign w:val="center"/>
          </w:tcPr>
          <w:p w14:paraId="283E6FC6">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配合单位</w:t>
            </w:r>
          </w:p>
        </w:tc>
      </w:tr>
      <w:tr w14:paraId="34AB6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Merge w:val="restart"/>
            <w:tcBorders>
              <w:bottom w:val="nil"/>
            </w:tcBorders>
            <w:vAlign w:val="center"/>
          </w:tcPr>
          <w:p w14:paraId="72749F3A">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983" w:type="dxa"/>
            <w:vMerge w:val="restart"/>
            <w:tcBorders>
              <w:bottom w:val="nil"/>
            </w:tcBorders>
            <w:vAlign w:val="center"/>
          </w:tcPr>
          <w:p w14:paraId="1657E2A7">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着力解决非法改装屡禁不止问题</w:t>
            </w:r>
          </w:p>
        </w:tc>
        <w:tc>
          <w:tcPr>
            <w:tcW w:w="8047" w:type="dxa"/>
            <w:vAlign w:val="center"/>
          </w:tcPr>
          <w:p w14:paraId="0BA3A721">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11.加强路面执法。依法查处电动自行车违法违规行为。开展电动自行车突出交通违法行为、反复违法行为专项治理，同步核查车辆违法加装、改装电动机和蓄电池等行为，及时将相关信息抄送市场监管部门。</w:t>
            </w:r>
          </w:p>
        </w:tc>
        <w:tc>
          <w:tcPr>
            <w:tcW w:w="1788" w:type="dxa"/>
            <w:vAlign w:val="center"/>
          </w:tcPr>
          <w:p w14:paraId="652A6BCB">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公安局</w:t>
            </w:r>
          </w:p>
        </w:tc>
        <w:tc>
          <w:tcPr>
            <w:tcW w:w="1976" w:type="dxa"/>
            <w:vAlign w:val="center"/>
          </w:tcPr>
          <w:p w14:paraId="3A6F4B9F">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r>
      <w:tr w14:paraId="227B5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4" w:hRule="atLeast"/>
        </w:trPr>
        <w:tc>
          <w:tcPr>
            <w:tcW w:w="751" w:type="dxa"/>
            <w:vMerge w:val="continue"/>
            <w:tcBorders>
              <w:top w:val="nil"/>
            </w:tcBorders>
            <w:vAlign w:val="center"/>
          </w:tcPr>
          <w:p w14:paraId="5D60287A">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1983" w:type="dxa"/>
            <w:vMerge w:val="continue"/>
            <w:tcBorders>
              <w:top w:val="nil"/>
            </w:tcBorders>
            <w:vAlign w:val="center"/>
          </w:tcPr>
          <w:p w14:paraId="321201EE">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8047" w:type="dxa"/>
            <w:vAlign w:val="center"/>
          </w:tcPr>
          <w:p w14:paraId="386E7F17">
            <w:pPr>
              <w:keepNext w:val="0"/>
              <w:keepLines w:val="0"/>
              <w:pageBreakBefore w:val="0"/>
              <w:widowControl/>
              <w:kinsoku/>
              <w:wordWrap/>
              <w:overflowPunct w:val="0"/>
              <w:topLinePunct/>
              <w:autoSpaceDE/>
              <w:autoSpaceDN/>
              <w:bidi w:val="0"/>
              <w:adjustRightInd w:val="0"/>
              <w:snapToGrid w:val="0"/>
              <w:spacing w:line="560" w:lineRule="exact"/>
              <w:ind w:firstLine="480" w:firstLineChars="200"/>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12.落实即时配送企业安全责任。指导即时配送企业完善配送管理制度，加强配送人员使用电动自行车及蓄电池审查备案，强化安全教育培训；督促企业对车辆改装情况开展自查自改，2024年8 月底前完成。鼓励企业为配送员统一配发电动自行车，推行共享换电模式。</w:t>
            </w:r>
          </w:p>
        </w:tc>
        <w:tc>
          <w:tcPr>
            <w:tcW w:w="1788" w:type="dxa"/>
            <w:vAlign w:val="center"/>
          </w:tcPr>
          <w:p w14:paraId="0077CAA4">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市场监管局</w:t>
            </w:r>
          </w:p>
        </w:tc>
        <w:tc>
          <w:tcPr>
            <w:tcW w:w="1976" w:type="dxa"/>
            <w:vAlign w:val="center"/>
          </w:tcPr>
          <w:p w14:paraId="7B3A8064">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公安局</w:t>
            </w:r>
          </w:p>
        </w:tc>
      </w:tr>
      <w:tr w14:paraId="4AFEB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5" w:hRule="atLeast"/>
        </w:trPr>
        <w:tc>
          <w:tcPr>
            <w:tcW w:w="751" w:type="dxa"/>
            <w:vMerge w:val="restart"/>
            <w:tcBorders>
              <w:bottom w:val="nil"/>
            </w:tcBorders>
            <w:vAlign w:val="center"/>
          </w:tcPr>
          <w:p w14:paraId="258D1931">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1983" w:type="dxa"/>
            <w:vMerge w:val="restart"/>
            <w:tcBorders>
              <w:bottom w:val="nil"/>
            </w:tcBorders>
            <w:vAlign w:val="center"/>
          </w:tcPr>
          <w:p w14:paraId="2DBECA0C">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着力解决违法违规生产销售问题</w:t>
            </w:r>
          </w:p>
        </w:tc>
        <w:tc>
          <w:tcPr>
            <w:tcW w:w="8047" w:type="dxa"/>
            <w:vAlign w:val="center"/>
          </w:tcPr>
          <w:p w14:paraId="37565210">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加强销售企业监督管理。摸清电动自行车及其蓄电池、充电器销售企业底数，督促企业建立并执行进货检查验收制度，电动自行车整车不得与蓄电池拆分销售，2024年8月底前完成并对落实情况开展全面核查。持续开展流通领域产品质量监督抽查，并将相关情况通报生产企业所在地市场监管部门延伸追究生产厂家责任，2024 年底前取得阶段性进展并持续推进。</w:t>
            </w:r>
          </w:p>
        </w:tc>
        <w:tc>
          <w:tcPr>
            <w:tcW w:w="1788" w:type="dxa"/>
            <w:vAlign w:val="center"/>
          </w:tcPr>
          <w:p w14:paraId="13A22BE3">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市场监管局</w:t>
            </w:r>
          </w:p>
        </w:tc>
        <w:tc>
          <w:tcPr>
            <w:tcW w:w="1976" w:type="dxa"/>
            <w:vAlign w:val="center"/>
          </w:tcPr>
          <w:p w14:paraId="40595C3F">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r>
      <w:tr w14:paraId="4555C4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8" w:hRule="atLeast"/>
        </w:trPr>
        <w:tc>
          <w:tcPr>
            <w:tcW w:w="751" w:type="dxa"/>
            <w:vMerge w:val="continue"/>
            <w:tcBorders>
              <w:top w:val="nil"/>
            </w:tcBorders>
            <w:vAlign w:val="center"/>
          </w:tcPr>
          <w:p w14:paraId="17A0F7EF">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1983" w:type="dxa"/>
            <w:vMerge w:val="continue"/>
            <w:tcBorders>
              <w:top w:val="nil"/>
            </w:tcBorders>
            <w:vAlign w:val="center"/>
          </w:tcPr>
          <w:p w14:paraId="2F59003F">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8047" w:type="dxa"/>
            <w:vAlign w:val="center"/>
          </w:tcPr>
          <w:p w14:paraId="4253687B">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严惩制假售假行为。对生产、销售假冒伪劣产品行为保持高压严打态势，建立假冒伪劣产品信息互通和联合执法机制，加强行刑衔接，对假冒伪劣产品深挖制假售假源头，涉嫌犯罪的依法追究刑事责任，斩断非法生产、销售网络链条，2024年底前取得阶段性进展并持续推进。</w:t>
            </w:r>
          </w:p>
        </w:tc>
        <w:tc>
          <w:tcPr>
            <w:tcW w:w="1788" w:type="dxa"/>
            <w:vAlign w:val="center"/>
          </w:tcPr>
          <w:p w14:paraId="5D72340B">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公安局、</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市场监管局</w:t>
            </w:r>
          </w:p>
        </w:tc>
        <w:tc>
          <w:tcPr>
            <w:tcW w:w="1976" w:type="dxa"/>
            <w:vAlign w:val="center"/>
          </w:tcPr>
          <w:p w14:paraId="772A738C">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县科技工信局</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消防救援局</w:t>
            </w:r>
          </w:p>
        </w:tc>
      </w:tr>
    </w:tbl>
    <w:p w14:paraId="0CFDBEE0">
      <w:pPr>
        <w:keepNext w:val="0"/>
        <w:keepLines w:val="0"/>
        <w:pageBreakBefore w:val="0"/>
        <w:widowControl/>
        <w:kinsoku/>
        <w:wordWrap/>
        <w:overflowPunct w:val="0"/>
        <w:topLinePunct/>
        <w:autoSpaceDE/>
        <w:autoSpaceDN/>
        <w:bidi w:val="0"/>
        <w:adjustRightInd w:val="0"/>
        <w:snapToGrid w:val="0"/>
        <w:spacing w:line="400" w:lineRule="exact"/>
        <w:ind w:firstLine="560" w:firstLineChars="200"/>
        <w:jc w:val="both"/>
        <w:textAlignment w:val="center"/>
        <w:rPr>
          <w:rFonts w:hint="eastAsia" w:ascii="仿宋_GB2312" w:hAnsi="仿宋_GB2312" w:eastAsia="仿宋_GB2312" w:cs="仿宋_GB2312"/>
          <w:sz w:val="28"/>
          <w:szCs w:val="28"/>
        </w:rPr>
        <w:sectPr>
          <w:footerReference r:id="rId9" w:type="default"/>
          <w:pgSz w:w="16838" w:h="11906"/>
          <w:pgMar w:top="1011" w:right="1144" w:bottom="1694" w:left="1143" w:header="0" w:footer="1417" w:gutter="0"/>
          <w:pgNumType w:fmt="decimal"/>
          <w:cols w:space="720" w:num="1"/>
        </w:sectPr>
      </w:pPr>
    </w:p>
    <w:p w14:paraId="18F682A0">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8"/>
          <w:szCs w:val="28"/>
        </w:rPr>
      </w:pPr>
    </w:p>
    <w:tbl>
      <w:tblPr>
        <w:tblStyle w:val="42"/>
        <w:tblW w:w="14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1"/>
        <w:gridCol w:w="1983"/>
        <w:gridCol w:w="8047"/>
        <w:gridCol w:w="1788"/>
        <w:gridCol w:w="1976"/>
      </w:tblGrid>
      <w:tr w14:paraId="1B3D5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751" w:type="dxa"/>
            <w:vAlign w:val="center"/>
          </w:tcPr>
          <w:p w14:paraId="4AB8E3A8">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序 号</w:t>
            </w:r>
          </w:p>
        </w:tc>
        <w:tc>
          <w:tcPr>
            <w:tcW w:w="1983" w:type="dxa"/>
            <w:vAlign w:val="center"/>
          </w:tcPr>
          <w:p w14:paraId="35212294">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整治重点</w:t>
            </w:r>
          </w:p>
        </w:tc>
        <w:tc>
          <w:tcPr>
            <w:tcW w:w="8047" w:type="dxa"/>
            <w:vAlign w:val="center"/>
          </w:tcPr>
          <w:p w14:paraId="2D3FBA4D">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工作任务内容</w:t>
            </w:r>
          </w:p>
        </w:tc>
        <w:tc>
          <w:tcPr>
            <w:tcW w:w="1788" w:type="dxa"/>
            <w:vAlign w:val="center"/>
          </w:tcPr>
          <w:p w14:paraId="2B408A95">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责任单位</w:t>
            </w:r>
          </w:p>
        </w:tc>
        <w:tc>
          <w:tcPr>
            <w:tcW w:w="1976" w:type="dxa"/>
            <w:vAlign w:val="center"/>
          </w:tcPr>
          <w:p w14:paraId="2CD7D4AC">
            <w:pPr>
              <w:keepNext w:val="0"/>
              <w:keepLines w:val="0"/>
              <w:pageBreakBefore w:val="0"/>
              <w:widowControl/>
              <w:kinsoku/>
              <w:wordWrap/>
              <w:overflowPunct w:val="0"/>
              <w:topLinePunct/>
              <w:autoSpaceDE/>
              <w:autoSpaceDN/>
              <w:bidi w:val="0"/>
              <w:adjustRightInd w:val="0"/>
              <w:snapToGrid w:val="0"/>
              <w:spacing w:line="600" w:lineRule="exact"/>
              <w:jc w:val="center"/>
              <w:textAlignment w:val="center"/>
              <w:rPr>
                <w:rFonts w:hint="eastAsia" w:ascii="黑体" w:hAnsi="黑体" w:eastAsia="黑体" w:cs="黑体"/>
                <w:sz w:val="28"/>
                <w:szCs w:val="28"/>
              </w:rPr>
            </w:pPr>
            <w:r>
              <w:rPr>
                <w:rFonts w:hint="eastAsia" w:ascii="黑体" w:hAnsi="黑体" w:eastAsia="黑体" w:cs="黑体"/>
                <w:sz w:val="28"/>
                <w:szCs w:val="28"/>
              </w:rPr>
              <w:t>配合单位</w:t>
            </w:r>
          </w:p>
        </w:tc>
      </w:tr>
      <w:tr w14:paraId="3EE35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0" w:hRule="atLeast"/>
        </w:trPr>
        <w:tc>
          <w:tcPr>
            <w:tcW w:w="751" w:type="dxa"/>
            <w:vMerge w:val="restart"/>
            <w:tcBorders>
              <w:bottom w:val="nil"/>
            </w:tcBorders>
            <w:vAlign w:val="center"/>
          </w:tcPr>
          <w:p w14:paraId="7657F299">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1983" w:type="dxa"/>
            <w:vMerge w:val="restart"/>
            <w:tcBorders>
              <w:bottom w:val="nil"/>
            </w:tcBorders>
            <w:vAlign w:val="center"/>
          </w:tcPr>
          <w:p w14:paraId="1646C032">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着力解决电动自行车以旧换新和老旧蓄电池回收问题</w:t>
            </w:r>
          </w:p>
        </w:tc>
        <w:tc>
          <w:tcPr>
            <w:tcW w:w="8047" w:type="dxa"/>
            <w:vAlign w:val="center"/>
          </w:tcPr>
          <w:p w14:paraId="1D4930DF">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15.推动以旧换新。组织开展电动自行车及蓄电池以旧换新工作。 支持电动自行车销售企业与生产企业、回收企业联合开展以旧换 新促销活动，整合上下游资源，开设线上线下电动自行车以旧换 新专区，对消费者给予优惠。</w:t>
            </w:r>
          </w:p>
        </w:tc>
        <w:tc>
          <w:tcPr>
            <w:tcW w:w="1788" w:type="dxa"/>
            <w:vAlign w:val="center"/>
          </w:tcPr>
          <w:p w14:paraId="11F9304D">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商务局</w:t>
            </w:r>
          </w:p>
        </w:tc>
        <w:tc>
          <w:tcPr>
            <w:tcW w:w="1976" w:type="dxa"/>
            <w:vAlign w:val="center"/>
          </w:tcPr>
          <w:p w14:paraId="17A7CFAD">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县科技工信局</w:t>
            </w:r>
          </w:p>
        </w:tc>
      </w:tr>
      <w:tr w14:paraId="11727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2" w:hRule="atLeast"/>
        </w:trPr>
        <w:tc>
          <w:tcPr>
            <w:tcW w:w="751" w:type="dxa"/>
            <w:vMerge w:val="continue"/>
            <w:tcBorders>
              <w:top w:val="nil"/>
            </w:tcBorders>
            <w:vAlign w:val="center"/>
          </w:tcPr>
          <w:p w14:paraId="7BD3E185">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1983" w:type="dxa"/>
            <w:vMerge w:val="continue"/>
            <w:tcBorders>
              <w:top w:val="nil"/>
            </w:tcBorders>
            <w:vAlign w:val="center"/>
          </w:tcPr>
          <w:p w14:paraId="255B91B7">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8047" w:type="dxa"/>
            <w:vAlign w:val="center"/>
          </w:tcPr>
          <w:p w14:paraId="555B12AE">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16.完善老旧蓄电池回收处理体系。科学规范开展废蓄电池回收处理，鼓励对回收和处置拆解企业予以政策支持，促进可再生资源循环利用。</w:t>
            </w:r>
          </w:p>
        </w:tc>
        <w:tc>
          <w:tcPr>
            <w:tcW w:w="1788" w:type="dxa"/>
            <w:vAlign w:val="center"/>
          </w:tcPr>
          <w:p w14:paraId="35889F04">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县科技工信局</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生态环境</w:t>
            </w:r>
            <w:r>
              <w:rPr>
                <w:rFonts w:hint="eastAsia" w:ascii="仿宋_GB2312" w:hAnsi="仿宋_GB2312" w:eastAsia="仿宋_GB2312" w:cs="仿宋_GB2312"/>
                <w:sz w:val="24"/>
                <w:szCs w:val="24"/>
                <w:lang w:val="en-US" w:eastAsia="zh-CN"/>
              </w:rPr>
              <w:t>分</w:t>
            </w:r>
            <w:r>
              <w:rPr>
                <w:rFonts w:hint="eastAsia" w:ascii="仿宋_GB2312" w:hAnsi="仿宋_GB2312" w:eastAsia="仿宋_GB2312" w:cs="仿宋_GB2312"/>
                <w:sz w:val="24"/>
                <w:szCs w:val="24"/>
              </w:rPr>
              <w:t>局</w:t>
            </w:r>
          </w:p>
        </w:tc>
        <w:tc>
          <w:tcPr>
            <w:tcW w:w="1976" w:type="dxa"/>
            <w:vAlign w:val="center"/>
          </w:tcPr>
          <w:p w14:paraId="7D8BA0C8">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市场监管局、</w:t>
            </w:r>
            <w:r>
              <w:rPr>
                <w:rFonts w:hint="eastAsia" w:ascii="仿宋_GB2312" w:hAnsi="仿宋_GB2312" w:eastAsia="仿宋_GB2312" w:cs="仿宋_GB2312"/>
                <w:sz w:val="24"/>
                <w:szCs w:val="24"/>
                <w:lang w:val="en-US" w:eastAsia="zh-CN"/>
              </w:rPr>
              <w:t>县发改委</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财政局</w:t>
            </w:r>
          </w:p>
        </w:tc>
      </w:tr>
      <w:tr w14:paraId="216B4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2" w:hRule="atLeast"/>
        </w:trPr>
        <w:tc>
          <w:tcPr>
            <w:tcW w:w="751" w:type="dxa"/>
            <w:vMerge w:val="restart"/>
            <w:tcBorders>
              <w:bottom w:val="nil"/>
            </w:tcBorders>
            <w:vAlign w:val="center"/>
          </w:tcPr>
          <w:p w14:paraId="092DCA97">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1983" w:type="dxa"/>
            <w:vMerge w:val="restart"/>
            <w:tcBorders>
              <w:bottom w:val="nil"/>
            </w:tcBorders>
            <w:vAlign w:val="center"/>
          </w:tcPr>
          <w:p w14:paraId="65B54ABC">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着力解决溯源追责力度不够问题</w:t>
            </w:r>
          </w:p>
        </w:tc>
        <w:tc>
          <w:tcPr>
            <w:tcW w:w="8047" w:type="dxa"/>
            <w:vAlign w:val="center"/>
          </w:tcPr>
          <w:p w14:paraId="741552B3">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17.严格事故全链条溯源追责。2024年8月底前，建立应用“一车一池一充一码”识别代码和电动自行车登记信息管理系统，加强信息共享。建立电动自行车亡人事故责任倒查机制，有关部门将各环节发现的违法违规线索及时移交并配合公安、消防等部门开展调查，必要时开展联合执法，造成重大影响的依法追责。整治期间发生电动自行车亡人火灾事故的一律提级调查。</w:t>
            </w:r>
          </w:p>
        </w:tc>
        <w:tc>
          <w:tcPr>
            <w:tcW w:w="1788" w:type="dxa"/>
            <w:vAlign w:val="center"/>
          </w:tcPr>
          <w:p w14:paraId="0CD0883F">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应急</w:t>
            </w:r>
            <w:r>
              <w:rPr>
                <w:rFonts w:hint="eastAsia" w:ascii="仿宋_GB2312" w:hAnsi="仿宋_GB2312" w:eastAsia="仿宋_GB2312" w:cs="仿宋_GB2312"/>
                <w:sz w:val="24"/>
                <w:szCs w:val="24"/>
                <w:lang w:val="en-US" w:eastAsia="zh-CN"/>
              </w:rPr>
              <w:t>管理</w:t>
            </w:r>
            <w:r>
              <w:rPr>
                <w:rFonts w:hint="eastAsia" w:ascii="仿宋_GB2312" w:hAnsi="仿宋_GB2312" w:eastAsia="仿宋_GB2312" w:cs="仿宋_GB2312"/>
                <w:sz w:val="24"/>
                <w:szCs w:val="24"/>
              </w:rPr>
              <w:t>局、</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消防救援局、</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公安局</w:t>
            </w:r>
          </w:p>
        </w:tc>
        <w:tc>
          <w:tcPr>
            <w:tcW w:w="1976" w:type="dxa"/>
            <w:vAlign w:val="center"/>
          </w:tcPr>
          <w:p w14:paraId="0AA31BD1">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市场监管局、</w:t>
            </w:r>
            <w:r>
              <w:rPr>
                <w:rFonts w:hint="eastAsia" w:ascii="仿宋_GB2312" w:hAnsi="仿宋_GB2312" w:eastAsia="仿宋_GB2312" w:cs="仿宋_GB2312"/>
                <w:sz w:val="24"/>
                <w:szCs w:val="24"/>
                <w:lang w:val="en-US" w:eastAsia="zh-CN"/>
              </w:rPr>
              <w:t>县科技工信局</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商务局</w:t>
            </w:r>
          </w:p>
        </w:tc>
      </w:tr>
      <w:tr w14:paraId="5CFBA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9" w:hRule="atLeast"/>
        </w:trPr>
        <w:tc>
          <w:tcPr>
            <w:tcW w:w="751" w:type="dxa"/>
            <w:vMerge w:val="continue"/>
            <w:tcBorders>
              <w:top w:val="nil"/>
            </w:tcBorders>
            <w:vAlign w:val="center"/>
          </w:tcPr>
          <w:p w14:paraId="01019843">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1983" w:type="dxa"/>
            <w:vMerge w:val="continue"/>
            <w:tcBorders>
              <w:top w:val="nil"/>
            </w:tcBorders>
            <w:vAlign w:val="center"/>
          </w:tcPr>
          <w:p w14:paraId="7AAB631F">
            <w:pPr>
              <w:keepNext w:val="0"/>
              <w:keepLines w:val="0"/>
              <w:pageBreakBefore w:val="0"/>
              <w:widowControl/>
              <w:kinsoku/>
              <w:wordWrap/>
              <w:overflowPunct w:val="0"/>
              <w:topLinePunct/>
              <w:autoSpaceDE/>
              <w:autoSpaceDN/>
              <w:bidi w:val="0"/>
              <w:adjustRightInd w:val="0"/>
              <w:snapToGrid w:val="0"/>
              <w:spacing w:line="400" w:lineRule="exact"/>
              <w:ind w:firstLine="480" w:firstLineChars="200"/>
              <w:jc w:val="center"/>
              <w:textAlignment w:val="center"/>
              <w:rPr>
                <w:rFonts w:hint="eastAsia" w:ascii="仿宋_GB2312" w:hAnsi="仿宋_GB2312" w:eastAsia="仿宋_GB2312" w:cs="仿宋_GB2312"/>
                <w:sz w:val="24"/>
                <w:szCs w:val="24"/>
              </w:rPr>
            </w:pPr>
          </w:p>
        </w:tc>
        <w:tc>
          <w:tcPr>
            <w:tcW w:w="8047" w:type="dxa"/>
            <w:vAlign w:val="center"/>
          </w:tcPr>
          <w:p w14:paraId="4FFD7937">
            <w:pPr>
              <w:keepNext w:val="0"/>
              <w:keepLines w:val="0"/>
              <w:pageBreakBefore w:val="0"/>
              <w:widowControl/>
              <w:kinsoku/>
              <w:wordWrap/>
              <w:overflowPunct w:val="0"/>
              <w:topLinePunct/>
              <w:autoSpaceDE/>
              <w:autoSpaceDN/>
              <w:bidi w:val="0"/>
              <w:adjustRightInd w:val="0"/>
              <w:snapToGrid w:val="0"/>
              <w:spacing w:line="400" w:lineRule="exact"/>
              <w:jc w:val="both"/>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18.实施违法行为联合惩戒。市场监管、</w:t>
            </w:r>
            <w:r>
              <w:rPr>
                <w:rFonts w:hint="eastAsia" w:ascii="仿宋_GB2312" w:hAnsi="仿宋_GB2312" w:eastAsia="仿宋_GB2312" w:cs="仿宋_GB2312"/>
                <w:sz w:val="24"/>
                <w:szCs w:val="24"/>
                <w:lang w:val="en-US" w:eastAsia="zh-CN"/>
              </w:rPr>
              <w:t>科技</w:t>
            </w:r>
            <w:r>
              <w:rPr>
                <w:rFonts w:hint="eastAsia" w:ascii="仿宋_GB2312" w:hAnsi="仿宋_GB2312" w:eastAsia="仿宋_GB2312" w:cs="仿宋_GB2312"/>
                <w:sz w:val="24"/>
                <w:szCs w:val="24"/>
              </w:rPr>
              <w:t>工业信息化、公安、消防等部门对违法违规企业进行曝光。充分发挥社会公众的监督作用。将严重违法企业和责任人员依法列入相关严重失信主体名单。</w:t>
            </w:r>
          </w:p>
        </w:tc>
        <w:tc>
          <w:tcPr>
            <w:tcW w:w="1788" w:type="dxa"/>
            <w:vAlign w:val="center"/>
          </w:tcPr>
          <w:p w14:paraId="515386F9">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市场监管</w:t>
            </w:r>
          </w:p>
          <w:p w14:paraId="741074B4">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局、</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消防救援局</w:t>
            </w:r>
          </w:p>
        </w:tc>
        <w:tc>
          <w:tcPr>
            <w:tcW w:w="1976" w:type="dxa"/>
            <w:vAlign w:val="center"/>
          </w:tcPr>
          <w:p w14:paraId="07F5984D">
            <w:pPr>
              <w:keepNext w:val="0"/>
              <w:keepLines w:val="0"/>
              <w:pageBreakBefore w:val="0"/>
              <w:widowControl/>
              <w:kinsoku/>
              <w:wordWrap/>
              <w:overflowPunct w:val="0"/>
              <w:topLinePunct/>
              <w:autoSpaceDE/>
              <w:autoSpaceDN/>
              <w:bidi w:val="0"/>
              <w:adjustRightInd w:val="0"/>
              <w:snapToGrid w:val="0"/>
              <w:spacing w:line="40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县科技工信局</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县</w:t>
            </w:r>
            <w:r>
              <w:rPr>
                <w:rFonts w:hint="eastAsia" w:ascii="仿宋_GB2312" w:hAnsi="仿宋_GB2312" w:eastAsia="仿宋_GB2312" w:cs="仿宋_GB2312"/>
                <w:sz w:val="24"/>
                <w:szCs w:val="24"/>
              </w:rPr>
              <w:t>公安局、</w:t>
            </w:r>
            <w:r>
              <w:rPr>
                <w:rFonts w:hint="eastAsia" w:ascii="仿宋_GB2312" w:hAnsi="仿宋_GB2312" w:eastAsia="仿宋_GB2312" w:cs="仿宋_GB2312"/>
                <w:sz w:val="24"/>
                <w:szCs w:val="24"/>
                <w:lang w:val="en-US" w:eastAsia="zh-CN"/>
              </w:rPr>
              <w:t>县发改委</w:t>
            </w:r>
          </w:p>
        </w:tc>
      </w:tr>
    </w:tbl>
    <w:p w14:paraId="498FC47D">
      <w:pPr>
        <w:keepNext w:val="0"/>
        <w:keepLines w:val="0"/>
        <w:pageBreakBefore w:val="0"/>
        <w:widowControl/>
        <w:kinsoku/>
        <w:wordWrap/>
        <w:overflowPunct w:val="0"/>
        <w:topLinePunct/>
        <w:autoSpaceDE/>
        <w:autoSpaceDN/>
        <w:bidi w:val="0"/>
        <w:adjustRightInd w:val="0"/>
        <w:snapToGrid w:val="0"/>
        <w:spacing w:line="400" w:lineRule="exact"/>
        <w:ind w:firstLine="640" w:firstLineChars="200"/>
        <w:jc w:val="both"/>
        <w:textAlignment w:val="center"/>
        <w:rPr>
          <w:rFonts w:hint="eastAsia" w:ascii="仿宋_GB2312" w:hAnsi="仿宋_GB2312" w:eastAsia="仿宋_GB2312" w:cs="仿宋_GB2312"/>
          <w:sz w:val="32"/>
          <w:szCs w:val="32"/>
          <w:lang w:eastAsia="zh-CN"/>
        </w:rPr>
        <w:sectPr>
          <w:footerReference r:id="rId10" w:type="default"/>
          <w:pgSz w:w="16838" w:h="11906"/>
          <w:pgMar w:top="1011" w:right="1144" w:bottom="1694" w:left="1143" w:header="0" w:footer="1417" w:gutter="0"/>
          <w:pgNumType w:fmt="decimal"/>
          <w:cols w:space="720" w:num="1"/>
        </w:sectPr>
      </w:pPr>
      <w:r>
        <w:rPr>
          <w:rFonts w:hint="eastAsia" w:ascii="仿宋_GB2312" w:hAnsi="仿宋_GB2312" w:eastAsia="仿宋_GB2312" w:cs="仿宋_GB2312"/>
          <w:sz w:val="32"/>
          <w:szCs w:val="32"/>
        </w:rPr>
        <w:t>备注：以上各项工作任务均需各</w:t>
      </w:r>
      <w:r>
        <w:rPr>
          <w:rFonts w:hint="eastAsia" w:ascii="仿宋_GB2312" w:hAnsi="仿宋_GB2312" w:eastAsia="仿宋_GB2312" w:cs="仿宋_GB2312"/>
          <w:sz w:val="32"/>
          <w:szCs w:val="32"/>
          <w:lang w:val="en-US" w:eastAsia="zh-CN"/>
        </w:rPr>
        <w:t>乡镇</w:t>
      </w:r>
      <w:r>
        <w:rPr>
          <w:rFonts w:hint="eastAsia" w:ascii="仿宋_GB2312" w:hAnsi="仿宋_GB2312" w:eastAsia="仿宋_GB2312" w:cs="仿宋_GB2312"/>
          <w:sz w:val="32"/>
          <w:szCs w:val="32"/>
        </w:rPr>
        <w:t>人民政府，</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lang w:val="en-US" w:eastAsia="zh-CN"/>
        </w:rPr>
        <w:t>开发区管委会</w:t>
      </w:r>
      <w:r>
        <w:rPr>
          <w:rFonts w:hint="eastAsia" w:ascii="仿宋_GB2312" w:hAnsi="仿宋_GB2312" w:eastAsia="仿宋_GB2312" w:cs="仿宋_GB2312"/>
          <w:sz w:val="32"/>
          <w:szCs w:val="32"/>
        </w:rPr>
        <w:t>配合落实</w:t>
      </w:r>
      <w:r>
        <w:rPr>
          <w:rFonts w:hint="eastAsia" w:ascii="仿宋_GB2312" w:hAnsi="仿宋_GB2312" w:eastAsia="仿宋_GB2312" w:cs="仿宋_GB2312"/>
          <w:sz w:val="32"/>
          <w:szCs w:val="32"/>
          <w:lang w:eastAsia="zh-CN"/>
        </w:rPr>
        <w:t>。</w:t>
      </w:r>
    </w:p>
    <w:p w14:paraId="55811AF3">
      <w:pPr>
        <w:rPr>
          <w:rFonts w:hint="eastAsia" w:ascii="仿宋_GB2312" w:hAnsi="仿宋_GB2312" w:eastAsia="仿宋_GB2312" w:cs="仿宋_GB2312"/>
          <w:color w:val="auto"/>
          <w:sz w:val="32"/>
          <w:szCs w:val="32"/>
          <w:lang w:val="en-US" w:eastAsia="zh-CN"/>
        </w:rPr>
      </w:pPr>
    </w:p>
    <w:p w14:paraId="411D75A0">
      <w:pPr>
        <w:bidi w:val="0"/>
        <w:rPr>
          <w:rFonts w:hint="eastAsia" w:asciiTheme="minorHAnsi" w:hAnsiTheme="minorHAnsi" w:eastAsiaTheme="minorEastAsia" w:cstheme="minorBidi"/>
          <w:kern w:val="2"/>
          <w:sz w:val="21"/>
          <w:szCs w:val="24"/>
          <w:lang w:val="en-US" w:eastAsia="zh-CN" w:bidi="ar-SA"/>
        </w:rPr>
      </w:pPr>
    </w:p>
    <w:p w14:paraId="73FD1295">
      <w:pPr>
        <w:bidi w:val="0"/>
        <w:rPr>
          <w:rFonts w:hint="eastAsia"/>
          <w:lang w:val="en-US" w:eastAsia="zh-CN"/>
        </w:rPr>
      </w:pPr>
    </w:p>
    <w:p w14:paraId="43DA6E01">
      <w:pPr>
        <w:bidi w:val="0"/>
        <w:rPr>
          <w:rFonts w:hint="eastAsia"/>
          <w:lang w:val="en-US" w:eastAsia="zh-CN"/>
        </w:rPr>
      </w:pPr>
    </w:p>
    <w:p w14:paraId="3E8AFCE7">
      <w:pPr>
        <w:bidi w:val="0"/>
        <w:rPr>
          <w:rFonts w:hint="eastAsia"/>
          <w:lang w:val="en-US" w:eastAsia="zh-CN"/>
        </w:rPr>
      </w:pPr>
    </w:p>
    <w:p w14:paraId="24EC5FFC">
      <w:pPr>
        <w:bidi w:val="0"/>
        <w:rPr>
          <w:rFonts w:hint="eastAsia"/>
          <w:lang w:val="en-US" w:eastAsia="zh-CN"/>
        </w:rPr>
      </w:pPr>
    </w:p>
    <w:p w14:paraId="2D98D977">
      <w:pPr>
        <w:bidi w:val="0"/>
        <w:rPr>
          <w:rFonts w:hint="eastAsia"/>
          <w:lang w:val="en-US" w:eastAsia="zh-CN"/>
        </w:rPr>
      </w:pPr>
    </w:p>
    <w:p w14:paraId="509E80E3">
      <w:pPr>
        <w:bidi w:val="0"/>
        <w:rPr>
          <w:rFonts w:hint="eastAsia"/>
          <w:lang w:val="en-US" w:eastAsia="zh-CN"/>
        </w:rPr>
      </w:pPr>
    </w:p>
    <w:p w14:paraId="26A85ADA">
      <w:pPr>
        <w:bidi w:val="0"/>
        <w:rPr>
          <w:rFonts w:hint="eastAsia"/>
          <w:lang w:val="en-US" w:eastAsia="zh-CN"/>
        </w:rPr>
      </w:pPr>
    </w:p>
    <w:p w14:paraId="533DCD59">
      <w:pPr>
        <w:bidi w:val="0"/>
        <w:rPr>
          <w:rFonts w:hint="eastAsia"/>
          <w:lang w:val="en-US" w:eastAsia="zh-CN"/>
        </w:rPr>
      </w:pPr>
    </w:p>
    <w:p w14:paraId="76AB0A10">
      <w:pPr>
        <w:bidi w:val="0"/>
        <w:rPr>
          <w:rFonts w:hint="eastAsia"/>
          <w:lang w:val="en-US" w:eastAsia="zh-CN"/>
        </w:rPr>
      </w:pPr>
    </w:p>
    <w:p w14:paraId="06738528">
      <w:pPr>
        <w:bidi w:val="0"/>
        <w:rPr>
          <w:rFonts w:hint="eastAsia"/>
          <w:lang w:val="en-US" w:eastAsia="zh-CN"/>
        </w:rPr>
      </w:pPr>
    </w:p>
    <w:p w14:paraId="687F664D">
      <w:pPr>
        <w:bidi w:val="0"/>
        <w:rPr>
          <w:rFonts w:hint="eastAsia"/>
          <w:lang w:val="en-US" w:eastAsia="zh-CN"/>
        </w:rPr>
      </w:pPr>
    </w:p>
    <w:p w14:paraId="687FA340">
      <w:pPr>
        <w:bidi w:val="0"/>
        <w:rPr>
          <w:rFonts w:hint="eastAsia"/>
          <w:lang w:val="en-US" w:eastAsia="zh-CN"/>
        </w:rPr>
      </w:pPr>
    </w:p>
    <w:p w14:paraId="1C4CDF58">
      <w:pPr>
        <w:bidi w:val="0"/>
        <w:rPr>
          <w:rFonts w:hint="eastAsia"/>
          <w:lang w:val="en-US" w:eastAsia="zh-CN"/>
        </w:rPr>
      </w:pPr>
    </w:p>
    <w:p w14:paraId="09AA2841">
      <w:pPr>
        <w:bidi w:val="0"/>
        <w:rPr>
          <w:rFonts w:hint="eastAsia"/>
          <w:lang w:val="en-US" w:eastAsia="zh-CN"/>
        </w:rPr>
      </w:pPr>
    </w:p>
    <w:p w14:paraId="7AC8C425">
      <w:pPr>
        <w:bidi w:val="0"/>
        <w:rPr>
          <w:rFonts w:hint="eastAsia"/>
          <w:lang w:val="en-US" w:eastAsia="zh-CN"/>
        </w:rPr>
      </w:pPr>
    </w:p>
    <w:p w14:paraId="1FE969DF">
      <w:pPr>
        <w:bidi w:val="0"/>
        <w:rPr>
          <w:rFonts w:hint="eastAsia"/>
          <w:lang w:val="en-US" w:eastAsia="zh-CN"/>
        </w:rPr>
      </w:pPr>
    </w:p>
    <w:p w14:paraId="63BC924A">
      <w:pPr>
        <w:bidi w:val="0"/>
        <w:rPr>
          <w:rFonts w:hint="eastAsia"/>
          <w:lang w:val="en-US" w:eastAsia="zh-CN"/>
        </w:rPr>
      </w:pPr>
    </w:p>
    <w:p w14:paraId="25C55B62">
      <w:pPr>
        <w:bidi w:val="0"/>
        <w:rPr>
          <w:rFonts w:hint="eastAsia"/>
          <w:lang w:val="en-US" w:eastAsia="zh-CN"/>
        </w:rPr>
      </w:pPr>
    </w:p>
    <w:p w14:paraId="23149E23">
      <w:pPr>
        <w:bidi w:val="0"/>
        <w:rPr>
          <w:rFonts w:hint="eastAsia"/>
          <w:lang w:val="en-US" w:eastAsia="zh-CN"/>
        </w:rPr>
      </w:pPr>
    </w:p>
    <w:p w14:paraId="12F3DFDF">
      <w:pPr>
        <w:bidi w:val="0"/>
        <w:rPr>
          <w:rFonts w:hint="eastAsia"/>
          <w:lang w:val="en-US" w:eastAsia="zh-CN"/>
        </w:rPr>
      </w:pPr>
    </w:p>
    <w:p w14:paraId="16633648">
      <w:pPr>
        <w:bidi w:val="0"/>
        <w:rPr>
          <w:rFonts w:hint="eastAsia"/>
          <w:lang w:val="en-US" w:eastAsia="zh-CN"/>
        </w:rPr>
      </w:pPr>
    </w:p>
    <w:p w14:paraId="7F944C8F">
      <w:pPr>
        <w:bidi w:val="0"/>
        <w:rPr>
          <w:rFonts w:hint="eastAsia"/>
          <w:lang w:val="en-US" w:eastAsia="zh-CN"/>
        </w:rPr>
      </w:pPr>
    </w:p>
    <w:p w14:paraId="1C2BEC4E">
      <w:pPr>
        <w:bidi w:val="0"/>
        <w:rPr>
          <w:rFonts w:hint="eastAsia"/>
          <w:lang w:val="en-US" w:eastAsia="zh-CN"/>
        </w:rPr>
      </w:pPr>
    </w:p>
    <w:p w14:paraId="46154B76">
      <w:pPr>
        <w:bidi w:val="0"/>
        <w:rPr>
          <w:rFonts w:hint="eastAsia"/>
          <w:lang w:val="en-US" w:eastAsia="zh-CN"/>
        </w:rPr>
      </w:pPr>
    </w:p>
    <w:p w14:paraId="6F6467FC">
      <w:pPr>
        <w:bidi w:val="0"/>
        <w:rPr>
          <w:rFonts w:hint="eastAsia"/>
          <w:lang w:val="en-US" w:eastAsia="zh-CN"/>
        </w:rPr>
      </w:pPr>
    </w:p>
    <w:p w14:paraId="1397BE87">
      <w:pPr>
        <w:bidi w:val="0"/>
        <w:rPr>
          <w:rFonts w:hint="eastAsia"/>
          <w:lang w:val="en-US" w:eastAsia="zh-CN"/>
        </w:rPr>
      </w:pPr>
    </w:p>
    <w:p w14:paraId="54B8D705">
      <w:pPr>
        <w:bidi w:val="0"/>
        <w:rPr>
          <w:rFonts w:hint="eastAsia"/>
          <w:lang w:val="en-US" w:eastAsia="zh-CN"/>
        </w:rPr>
      </w:pPr>
    </w:p>
    <w:p w14:paraId="7569AFA8">
      <w:pPr>
        <w:bidi w:val="0"/>
        <w:rPr>
          <w:rFonts w:hint="eastAsia"/>
          <w:lang w:val="en-US" w:eastAsia="zh-CN"/>
        </w:rPr>
      </w:pPr>
    </w:p>
    <w:p w14:paraId="37A4A2EA">
      <w:pPr>
        <w:bidi w:val="0"/>
        <w:rPr>
          <w:rFonts w:hint="eastAsia"/>
          <w:lang w:val="en-US" w:eastAsia="zh-CN"/>
        </w:rPr>
      </w:pPr>
    </w:p>
    <w:p w14:paraId="53ABF273">
      <w:pPr>
        <w:bidi w:val="0"/>
        <w:rPr>
          <w:rFonts w:hint="eastAsia"/>
          <w:lang w:val="en-US" w:eastAsia="zh-CN"/>
        </w:rPr>
      </w:pPr>
    </w:p>
    <w:p w14:paraId="7FE3EE29">
      <w:pPr>
        <w:bidi w:val="0"/>
        <w:rPr>
          <w:rFonts w:hint="eastAsia"/>
          <w:lang w:val="en-US" w:eastAsia="zh-CN"/>
        </w:rPr>
      </w:pPr>
    </w:p>
    <w:p w14:paraId="3CC8F81B">
      <w:pPr>
        <w:bidi w:val="0"/>
        <w:rPr>
          <w:rFonts w:hint="eastAsia"/>
          <w:lang w:val="en-US" w:eastAsia="zh-CN"/>
        </w:rPr>
      </w:pPr>
    </w:p>
    <w:p w14:paraId="50BD64CB">
      <w:pPr>
        <w:bidi w:val="0"/>
        <w:rPr>
          <w:rFonts w:hint="eastAsia"/>
          <w:lang w:val="en-US" w:eastAsia="zh-CN"/>
        </w:rPr>
      </w:pPr>
    </w:p>
    <w:p w14:paraId="4D890D9A">
      <w:pPr>
        <w:bidi w:val="0"/>
        <w:rPr>
          <w:rFonts w:hint="eastAsia"/>
          <w:lang w:val="en-US" w:eastAsia="zh-CN"/>
        </w:rPr>
      </w:pPr>
    </w:p>
    <w:p w14:paraId="02D5A46A">
      <w:pPr>
        <w:bidi w:val="0"/>
        <w:rPr>
          <w:rFonts w:hint="eastAsia"/>
          <w:lang w:val="en-US" w:eastAsia="zh-CN"/>
        </w:rPr>
      </w:pPr>
    </w:p>
    <w:p w14:paraId="2A10E292">
      <w:pPr>
        <w:bidi w:val="0"/>
        <w:rPr>
          <w:rFonts w:hint="eastAsia"/>
          <w:lang w:val="en-US" w:eastAsia="zh-CN"/>
        </w:rPr>
      </w:pPr>
    </w:p>
    <w:p w14:paraId="1062684D">
      <w:pPr>
        <w:tabs>
          <w:tab w:val="left" w:pos="760"/>
        </w:tabs>
        <w:bidi w:val="0"/>
        <w:jc w:val="left"/>
        <w:rPr>
          <w:rFonts w:hint="eastAsia"/>
          <w:lang w:val="en-US" w:eastAsia="zh-CN"/>
        </w:rPr>
      </w:pPr>
      <w:r>
        <w:rPr>
          <w:rFonts w:hint="eastAsia"/>
          <w:lang w:val="en-US" w:eastAsia="zh-CN"/>
        </w:rPr>
        <w:tab/>
      </w:r>
    </w:p>
    <w:sectPr>
      <w:headerReference r:id="rId11" w:type="default"/>
      <w:footerReference r:id="rId12"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Yuanti SC">
    <w:altName w:val="微软雅黑"/>
    <w:panose1 w:val="00000000000000000000"/>
    <w:charset w:val="00"/>
    <w:family w:val="auto"/>
    <w:pitch w:val="default"/>
    <w:sig w:usb0="00000000" w:usb1="00000000" w:usb2="00000016" w:usb3="00000000" w:csb0="0004001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26B35">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709A0BE">
                          <w:pPr>
                            <w:pStyle w:val="12"/>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lF1PN0CAAAmBgAADgAAAAAAAAABACAAAAAfAQAAZHJzL2Uyb0RvYy54bWxQSwUG&#10;AAAAAAYABgBZAQAAbgYAAAAA&#10;">
              <v:fill on="f" focussize="0,0"/>
              <v:stroke on="f" weight="0.5pt"/>
              <v:imagedata o:title=""/>
              <o:lock v:ext="edit" aspectratio="f"/>
              <v:textbox inset="0mm,0mm,0mm,0mm" style="mso-fit-shape-to-text:t;">
                <w:txbxContent>
                  <w:p w14:paraId="4709A0BE">
                    <w:pPr>
                      <w:pStyle w:val="12"/>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D13E7">
    <w:pPr>
      <w:pStyle w:val="12"/>
      <w:tabs>
        <w:tab w:val="clear" w:pos="4153"/>
      </w:tabs>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E87F813">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ee5v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FDee5veAgAAJgYAAA4AAAAAAAAAAQAgAAAAHwEAAGRycy9lMm9Eb2MueG1sUEsF&#10;BgAAAAAGAAYAWQEAAG8GAAAAAA==&#10;">
              <v:fill on="f" focussize="0,0"/>
              <v:stroke on="f" weight="0.5pt"/>
              <v:imagedata o:title=""/>
              <o:lock v:ext="edit" aspectratio="f"/>
              <v:textbox inset="0mm,0mm,0mm,0mm" style="mso-fit-shape-to-text:t;">
                <w:txbxContent>
                  <w:p w14:paraId="5E87F813">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D0127">
    <w:pPr>
      <w:spacing w:before="1" w:line="175" w:lineRule="auto"/>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EB288AA">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bhRTH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BuFFMd0CAAAmBgAADgAAAAAAAAABACAAAAAfAQAAZHJzL2Uyb0RvYy54bWxQSwUG&#10;AAAAAAYABgBZAQAAbgYAAAAA&#10;">
              <v:fill on="f" focussize="0,0"/>
              <v:stroke on="f" weight="0.5pt"/>
              <v:imagedata o:title=""/>
              <o:lock v:ext="edit" aspectratio="f"/>
              <v:textbox inset="0mm,0mm,0mm,0mm" style="mso-fit-shape-to-text:t;">
                <w:txbxContent>
                  <w:p w14:paraId="3EB288AA">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93697BA">
                          <w:pPr>
                            <w:pStyle w:val="1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193697BA">
                    <w:pPr>
                      <w:pStyle w:val="12"/>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63175">
    <w:pPr>
      <w:spacing w:before="1" w:line="175" w:lineRule="auto"/>
      <w:ind w:left="13445"/>
      <w:rPr>
        <w:rFonts w:ascii="宋体" w:hAnsi="宋体" w:eastAsia="宋体" w:cs="宋体"/>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95393C5">
                          <w:pPr>
                            <w:pStyle w:val="12"/>
                          </w:pPr>
                          <w:r>
                            <w:t xml:space="preserve">— </w:t>
                          </w:r>
                          <w:r>
                            <w:fldChar w:fldCharType="begin"/>
                          </w:r>
                          <w:r>
                            <w:instrText xml:space="preserve"> PAGE  \* MERGEFORMAT </w:instrText>
                          </w:r>
                          <w:r>
                            <w:fldChar w:fldCharType="separate"/>
                          </w:r>
                          <w:r>
                            <w:t>20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mdhTeAgAAJg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L2mdhTeAgAAJgYAAA4AAAAAAAAAAQAgAAAAHwEAAGRycy9lMm9Eb2MueG1sUEsF&#10;BgAAAAAGAAYAWQEAAG8GAAAAAA==&#10;">
              <v:fill on="f" focussize="0,0"/>
              <v:stroke on="f" weight="0.5pt"/>
              <v:imagedata o:title=""/>
              <o:lock v:ext="edit" aspectratio="f"/>
              <v:textbox inset="0mm,0mm,0mm,0mm" style="mso-fit-shape-to-text:t;">
                <w:txbxContent>
                  <w:p w14:paraId="695393C5">
                    <w:pPr>
                      <w:pStyle w:val="12"/>
                    </w:pPr>
                    <w:r>
                      <w:t xml:space="preserve">— </w:t>
                    </w:r>
                    <w:r>
                      <w:fldChar w:fldCharType="begin"/>
                    </w:r>
                    <w:r>
                      <w:instrText xml:space="preserve"> PAGE  \* MERGEFORMAT </w:instrText>
                    </w:r>
                    <w:r>
                      <w:fldChar w:fldCharType="separate"/>
                    </w:r>
                    <w:r>
                      <w:t>20</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B64B6">
    <w:pPr>
      <w:spacing w:before="1" w:line="175" w:lineRule="auto"/>
      <w:ind w:left="281"/>
      <w:rPr>
        <w:rFonts w:ascii="宋体" w:hAnsi="宋体" w:eastAsia="宋体" w:cs="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73E6300">
                          <w:pPr>
                            <w:pStyle w:val="12"/>
                          </w:pPr>
                          <w:r>
                            <w:t xml:space="preserve">— </w:t>
                          </w:r>
                          <w:r>
                            <w:fldChar w:fldCharType="begin"/>
                          </w:r>
                          <w:r>
                            <w:instrText xml:space="preserve"> PAGE  \* MERGEFORMAT </w:instrText>
                          </w:r>
                          <w:r>
                            <w:fldChar w:fldCharType="separate"/>
                          </w:r>
                          <w:r>
                            <w:t>21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ZSL7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OuZSL7eAgAAJgYAAA4AAAAAAAAAAQAgAAAAHwEAAGRycy9lMm9Eb2MueG1sUEsF&#10;BgAAAAAGAAYAWQEAAG8GAAAAAA==&#10;">
              <v:fill on="f" focussize="0,0"/>
              <v:stroke on="f" weight="0.5pt"/>
              <v:imagedata o:title=""/>
              <o:lock v:ext="edit" aspectratio="f"/>
              <v:textbox inset="0mm,0mm,0mm,0mm" style="mso-fit-shape-to-text:t;">
                <w:txbxContent>
                  <w:p w14:paraId="773E6300">
                    <w:pPr>
                      <w:pStyle w:val="12"/>
                    </w:pPr>
                    <w:r>
                      <w:t xml:space="preserve">— </w:t>
                    </w:r>
                    <w:r>
                      <w:fldChar w:fldCharType="begin"/>
                    </w:r>
                    <w:r>
                      <w:instrText xml:space="preserve"> PAGE  \* MERGEFORMAT </w:instrText>
                    </w:r>
                    <w:r>
                      <w:fldChar w:fldCharType="separate"/>
                    </w:r>
                    <w:r>
                      <w:t>21</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7ACE1">
    <w:pPr>
      <w:spacing w:before="1" w:line="175" w:lineRule="auto"/>
      <w:ind w:left="13445"/>
      <w:rPr>
        <w:rFonts w:ascii="宋体" w:hAnsi="宋体" w:eastAsia="宋体" w:cs="宋体"/>
        <w:sz w:val="28"/>
        <w:szCs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D1C9F21">
                          <w:pPr>
                            <w:pStyle w:val="12"/>
                          </w:pPr>
                          <w:r>
                            <w:t xml:space="preserve">— </w:t>
                          </w:r>
                          <w:r>
                            <w:fldChar w:fldCharType="begin"/>
                          </w:r>
                          <w:r>
                            <w:instrText xml:space="preserve"> PAGE  \* MERGEFORMAT </w:instrText>
                          </w:r>
                          <w:r>
                            <w:fldChar w:fldCharType="separate"/>
                          </w:r>
                          <w:r>
                            <w:t>22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spEF7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MspEF7eAgAAJgYAAA4AAAAAAAAAAQAgAAAAHwEAAGRycy9lMm9Eb2MueG1sUEsF&#10;BgAAAAAGAAYAWQEAAG8GAAAAAA==&#10;">
              <v:fill on="f" focussize="0,0"/>
              <v:stroke on="f" weight="0.5pt"/>
              <v:imagedata o:title=""/>
              <o:lock v:ext="edit" aspectratio="f"/>
              <v:textbox inset="0mm,0mm,0mm,0mm" style="mso-fit-shape-to-text:t;">
                <w:txbxContent>
                  <w:p w14:paraId="3D1C9F21">
                    <w:pPr>
                      <w:pStyle w:val="12"/>
                    </w:pPr>
                    <w:r>
                      <w:t xml:space="preserve">— </w:t>
                    </w:r>
                    <w:r>
                      <w:fldChar w:fldCharType="begin"/>
                    </w:r>
                    <w:r>
                      <w:instrText xml:space="preserve"> PAGE  \* MERGEFORMAT </w:instrText>
                    </w:r>
                    <w:r>
                      <w:fldChar w:fldCharType="separate"/>
                    </w:r>
                    <w:r>
                      <w:t>22</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B10D4">
    <w:pPr>
      <w:spacing w:before="1" w:line="175" w:lineRule="auto"/>
      <w:ind w:left="281"/>
      <w:rPr>
        <w:rFonts w:ascii="宋体" w:hAnsi="宋体" w:eastAsia="宋体" w:cs="宋体"/>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4E01A19">
                          <w:pPr>
                            <w:pStyle w:val="12"/>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0WLvTe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J0WLvTeAgAAJgYAAA4AAAAAAAAAAQAgAAAAHwEAAGRycy9lMm9Eb2MueG1sUEsF&#10;BgAAAAAGAAYAWQEAAG8GAAAAAA==&#10;">
              <v:fill on="f" focussize="0,0"/>
              <v:stroke on="f" weight="0.5pt"/>
              <v:imagedata o:title=""/>
              <o:lock v:ext="edit" aspectratio="f"/>
              <v:textbox inset="0mm,0mm,0mm,0mm" style="mso-fit-shape-to-text:t;">
                <w:txbxContent>
                  <w:p w14:paraId="74E01A19">
                    <w:pPr>
                      <w:pStyle w:val="12"/>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FF11D">
    <w:pPr>
      <w:spacing w:before="1" w:line="175" w:lineRule="auto"/>
      <w:ind w:left="13445"/>
      <w:rPr>
        <w:rFonts w:ascii="宋体" w:hAnsi="宋体" w:eastAsia="宋体" w:cs="宋体"/>
        <w:sz w:val="28"/>
        <w:szCs w:val="28"/>
      </w:rPr>
    </w:pPr>
    <w:r>
      <w:rPr>
        <w:sz w:val="2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B087580">
                          <w:pPr>
                            <w:pStyle w:val="12"/>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RHdH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CZRHdHeAgAAJgYAAA4AAAAAAAAAAQAgAAAAHwEAAGRycy9lMm9Eb2MueG1sUEsF&#10;BgAAAAAGAAYAWQEAAG8GAAAAAA==&#10;">
              <v:fill on="f" focussize="0,0"/>
              <v:stroke on="f" weight="0.5pt"/>
              <v:imagedata o:title=""/>
              <o:lock v:ext="edit" aspectratio="f"/>
              <v:textbox inset="0mm,0mm,0mm,0mm" style="mso-fit-shape-to-text:t;">
                <w:txbxContent>
                  <w:p w14:paraId="1B087580">
                    <w:pPr>
                      <w:pStyle w:val="12"/>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B5FF0">
    <w:pPr>
      <w:pStyle w:val="1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08F8A">
    <w:pPr>
      <w:pStyle w:val="13"/>
      <w:pBdr>
        <w:bottom w:val="none" w:color="auto" w:sz="0" w:space="0"/>
      </w:pBdr>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RmNjc1MzA4OWYxZmIzMmJiNjdhNzhhOTU5MzQ3MGUifQ=="/>
  </w:docVars>
  <w:rsids>
    <w:rsidRoot w:val="2FB01099"/>
    <w:rsid w:val="01A45770"/>
    <w:rsid w:val="021C02D7"/>
    <w:rsid w:val="05766603"/>
    <w:rsid w:val="06FF79A4"/>
    <w:rsid w:val="08440798"/>
    <w:rsid w:val="0D30732B"/>
    <w:rsid w:val="0D9807F1"/>
    <w:rsid w:val="0F063E98"/>
    <w:rsid w:val="0F604919"/>
    <w:rsid w:val="0FC6172E"/>
    <w:rsid w:val="1130645B"/>
    <w:rsid w:val="148835E1"/>
    <w:rsid w:val="14C76E78"/>
    <w:rsid w:val="14DF46F8"/>
    <w:rsid w:val="16F45869"/>
    <w:rsid w:val="173F3295"/>
    <w:rsid w:val="19FF135E"/>
    <w:rsid w:val="29D5604B"/>
    <w:rsid w:val="2FB01099"/>
    <w:rsid w:val="312F5B0B"/>
    <w:rsid w:val="31924613"/>
    <w:rsid w:val="32D2FD58"/>
    <w:rsid w:val="35B73415"/>
    <w:rsid w:val="385D0642"/>
    <w:rsid w:val="38EA028C"/>
    <w:rsid w:val="391265BF"/>
    <w:rsid w:val="395A26FB"/>
    <w:rsid w:val="3B1F1663"/>
    <w:rsid w:val="3B6D328A"/>
    <w:rsid w:val="3BD79C60"/>
    <w:rsid w:val="3DBC21AF"/>
    <w:rsid w:val="3FAEE73A"/>
    <w:rsid w:val="3FEF81D6"/>
    <w:rsid w:val="41BD2653"/>
    <w:rsid w:val="47B3209C"/>
    <w:rsid w:val="47FB71E1"/>
    <w:rsid w:val="4AD9713C"/>
    <w:rsid w:val="4B22791E"/>
    <w:rsid w:val="4BAB7C3C"/>
    <w:rsid w:val="4BBF2498"/>
    <w:rsid w:val="4BFB776F"/>
    <w:rsid w:val="4D490E6F"/>
    <w:rsid w:val="4EC04D83"/>
    <w:rsid w:val="4EFF07F7"/>
    <w:rsid w:val="4F4F6F06"/>
    <w:rsid w:val="4FEA26A5"/>
    <w:rsid w:val="5361191C"/>
    <w:rsid w:val="5456530E"/>
    <w:rsid w:val="55FCF5CD"/>
    <w:rsid w:val="58011DA5"/>
    <w:rsid w:val="588B1D9A"/>
    <w:rsid w:val="59CB0B48"/>
    <w:rsid w:val="59F21686"/>
    <w:rsid w:val="59F24B7D"/>
    <w:rsid w:val="5D38790B"/>
    <w:rsid w:val="5E9D369D"/>
    <w:rsid w:val="5EFFFC9B"/>
    <w:rsid w:val="6AE98F7C"/>
    <w:rsid w:val="6DC7F33B"/>
    <w:rsid w:val="6FEF45FB"/>
    <w:rsid w:val="6FFF15E6"/>
    <w:rsid w:val="708562F1"/>
    <w:rsid w:val="710B2708"/>
    <w:rsid w:val="71594D33"/>
    <w:rsid w:val="736C78CC"/>
    <w:rsid w:val="739EBC17"/>
    <w:rsid w:val="73EFFBD7"/>
    <w:rsid w:val="73FFF875"/>
    <w:rsid w:val="74EB340A"/>
    <w:rsid w:val="77444F61"/>
    <w:rsid w:val="79E128F2"/>
    <w:rsid w:val="79E92E1E"/>
    <w:rsid w:val="7A7D1B8F"/>
    <w:rsid w:val="7B5A3FD3"/>
    <w:rsid w:val="7BB973BC"/>
    <w:rsid w:val="7BFD9A5A"/>
    <w:rsid w:val="7CDF12C6"/>
    <w:rsid w:val="7DDBF6DE"/>
    <w:rsid w:val="7E5D73CD"/>
    <w:rsid w:val="7EB5673A"/>
    <w:rsid w:val="7EFFA51A"/>
    <w:rsid w:val="7F37D5F2"/>
    <w:rsid w:val="7FED1665"/>
    <w:rsid w:val="7FFD820F"/>
    <w:rsid w:val="7FFDA612"/>
    <w:rsid w:val="7FFF0E8D"/>
    <w:rsid w:val="9B660796"/>
    <w:rsid w:val="ABC9263D"/>
    <w:rsid w:val="AFCFD8BE"/>
    <w:rsid w:val="AFF6EDF8"/>
    <w:rsid w:val="B71FD18D"/>
    <w:rsid w:val="BD72EBE1"/>
    <w:rsid w:val="DBEBE1D1"/>
    <w:rsid w:val="DC7E2BC9"/>
    <w:rsid w:val="DCF9CABC"/>
    <w:rsid w:val="DFF3C0EC"/>
    <w:rsid w:val="E77F48AB"/>
    <w:rsid w:val="E7FF8763"/>
    <w:rsid w:val="ECADEBEC"/>
    <w:rsid w:val="ECBEA320"/>
    <w:rsid w:val="EDFDD69D"/>
    <w:rsid w:val="F3FF1EBB"/>
    <w:rsid w:val="F963D060"/>
    <w:rsid w:val="F9BD6E24"/>
    <w:rsid w:val="FDFF0242"/>
    <w:rsid w:val="FE7BE3F4"/>
    <w:rsid w:val="FEB7BFB2"/>
    <w:rsid w:val="FEF71744"/>
    <w:rsid w:val="FFB7383B"/>
    <w:rsid w:val="FFDFB153"/>
    <w:rsid w:val="FFF78C2B"/>
    <w:rsid w:val="FFFF15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2"/>
    <w:qFormat/>
    <w:uiPriority w:val="0"/>
    <w:pPr>
      <w:keepNext/>
      <w:keepLines/>
      <w:spacing w:before="340" w:after="330" w:line="576" w:lineRule="auto"/>
      <w:outlineLvl w:val="0"/>
    </w:pPr>
    <w:rPr>
      <w:rFonts w:ascii="Calibri" w:hAnsi="Calibri" w:eastAsia="宋体"/>
      <w:b/>
      <w:kern w:val="44"/>
      <w:sz w:val="44"/>
      <w:szCs w:val="24"/>
    </w:rPr>
  </w:style>
  <w:style w:type="paragraph" w:styleId="4">
    <w:name w:val="heading 2"/>
    <w:basedOn w:val="1"/>
    <w:next w:val="1"/>
    <w:qFormat/>
    <w:uiPriority w:val="0"/>
    <w:pPr>
      <w:keepNext/>
      <w:keepLines/>
      <w:tabs>
        <w:tab w:val="left" w:pos="5010"/>
      </w:tabs>
      <w:spacing w:before="260" w:after="260" w:line="415" w:lineRule="auto"/>
      <w:jc w:val="left"/>
      <w:outlineLvl w:val="1"/>
    </w:pPr>
    <w:rPr>
      <w:rFonts w:ascii="黑体" w:hAnsi="黑体" w:eastAsia="黑体"/>
      <w:b/>
      <w:color w:val="FF0000"/>
      <w:kern w:val="0"/>
      <w:sz w:val="30"/>
      <w:szCs w:val="30"/>
    </w:rPr>
  </w:style>
  <w:style w:type="paragraph" w:styleId="5">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rPr>
      <w:rFonts w:hAnsi="宋体" w:cs="宋体"/>
    </w:rPr>
  </w:style>
  <w:style w:type="paragraph" w:styleId="6">
    <w:name w:val="Normal Indent"/>
    <w:basedOn w:val="1"/>
    <w:unhideWhenUsed/>
    <w:qFormat/>
    <w:uiPriority w:val="99"/>
    <w:pPr>
      <w:ind w:firstLine="420" w:firstLineChars="200"/>
    </w:pPr>
    <w:rPr>
      <w:rFonts w:ascii="Calibri" w:hAnsi="Calibri" w:eastAsia="宋体" w:cs="Calibri"/>
      <w:sz w:val="21"/>
      <w:szCs w:val="21"/>
    </w:rPr>
  </w:style>
  <w:style w:type="paragraph" w:styleId="7">
    <w:name w:val="annotation text"/>
    <w:basedOn w:val="1"/>
    <w:unhideWhenUsed/>
    <w:qFormat/>
    <w:uiPriority w:val="99"/>
    <w:pPr>
      <w:jc w:val="left"/>
    </w:pPr>
    <w:rPr>
      <w:rFonts w:ascii="Calibri" w:hAnsi="Calibri" w:eastAsia="宋体" w:cs="Calibri"/>
      <w:sz w:val="21"/>
      <w:szCs w:val="21"/>
    </w:rPr>
  </w:style>
  <w:style w:type="paragraph" w:styleId="8">
    <w:name w:val="Body Text Indent"/>
    <w:basedOn w:val="1"/>
    <w:qFormat/>
    <w:uiPriority w:val="0"/>
    <w:pPr>
      <w:spacing w:after="120"/>
      <w:ind w:left="420" w:leftChars="200"/>
    </w:pPr>
  </w:style>
  <w:style w:type="paragraph" w:styleId="9">
    <w:name w:val="toc 3"/>
    <w:basedOn w:val="1"/>
    <w:next w:val="1"/>
    <w:qFormat/>
    <w:uiPriority w:val="0"/>
    <w:pPr>
      <w:ind w:left="840" w:leftChars="400"/>
    </w:pPr>
    <w:rPr>
      <w:rFonts w:ascii="Times New Roman" w:eastAsia="宋体"/>
      <w:sz w:val="21"/>
      <w:szCs w:val="24"/>
    </w:rPr>
  </w:style>
  <w:style w:type="paragraph" w:styleId="10">
    <w:name w:val="Plain Text"/>
    <w:basedOn w:val="1"/>
    <w:qFormat/>
    <w:uiPriority w:val="0"/>
    <w:pPr>
      <w:widowControl/>
      <w:jc w:val="left"/>
    </w:pPr>
    <w:rPr>
      <w:rFonts w:ascii="宋体" w:hAnsi="宋体" w:eastAsia="宋体" w:cs="宋体"/>
      <w:kern w:val="0"/>
      <w:sz w:val="24"/>
      <w:szCs w:val="24"/>
    </w:rPr>
  </w:style>
  <w:style w:type="paragraph" w:styleId="11">
    <w:name w:val="Body Text Indent 2"/>
    <w:basedOn w:val="1"/>
    <w:next w:val="1"/>
    <w:unhideWhenUsed/>
    <w:qFormat/>
    <w:uiPriority w:val="99"/>
    <w:pPr>
      <w:spacing w:line="590" w:lineRule="exact"/>
      <w:ind w:firstLine="880" w:firstLineChars="200"/>
    </w:pPr>
    <w:rPr>
      <w:rFonts w:ascii="Times New Roman" w:hAnsi="Times New Roman" w:eastAsia="方正仿宋_GBK"/>
    </w:rPr>
  </w:style>
  <w:style w:type="paragraph" w:styleId="12">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4">
    <w:name w:val="toc 1"/>
    <w:basedOn w:val="1"/>
    <w:next w:val="1"/>
    <w:qFormat/>
    <w:uiPriority w:val="0"/>
    <w:rPr>
      <w:rFonts w:ascii="Times New Roman" w:eastAsia="宋体"/>
      <w:sz w:val="21"/>
      <w:szCs w:val="24"/>
    </w:rPr>
  </w:style>
  <w:style w:type="paragraph" w:styleId="15">
    <w:name w:val="toc 2"/>
    <w:basedOn w:val="1"/>
    <w:next w:val="1"/>
    <w:qFormat/>
    <w:uiPriority w:val="0"/>
    <w:pPr>
      <w:ind w:left="420" w:leftChars="200"/>
    </w:pPr>
    <w:rPr>
      <w:rFonts w:ascii="Times New Roman" w:eastAsia="宋体"/>
      <w:sz w:val="21"/>
      <w:szCs w:val="24"/>
    </w:rPr>
  </w:style>
  <w:style w:type="paragraph" w:styleId="16">
    <w:name w:val="HTML Preformatted"/>
    <w:basedOn w:val="1"/>
    <w:unhideWhenUsed/>
    <w:qFormat/>
    <w:uiPriority w:val="99"/>
    <w:pPr>
      <w:jc w:val="left"/>
    </w:pPr>
    <w:rPr>
      <w:rFonts w:ascii="宋体" w:hAnsi="宋体" w:eastAsia="宋体" w:cs="宋体"/>
      <w:kern w:val="0"/>
      <w:sz w:val="24"/>
      <w:szCs w:val="24"/>
    </w:rPr>
  </w:style>
  <w:style w:type="paragraph" w:styleId="17">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18">
    <w:name w:val="Title"/>
    <w:basedOn w:val="1"/>
    <w:next w:val="1"/>
    <w:qFormat/>
    <w:uiPriority w:val="0"/>
    <w:pPr>
      <w:spacing w:before="240" w:after="60"/>
      <w:jc w:val="center"/>
      <w:outlineLvl w:val="0"/>
    </w:pPr>
    <w:rPr>
      <w:rFonts w:ascii="Cambria" w:hAnsi="Cambria" w:eastAsia="宋体" w:cs="Times New Roman"/>
      <w:b/>
      <w:bCs/>
      <w:sz w:val="32"/>
      <w:szCs w:val="32"/>
    </w:rPr>
  </w:style>
  <w:style w:type="paragraph" w:styleId="19">
    <w:name w:val="Body Text First Indent 2"/>
    <w:basedOn w:val="8"/>
    <w:qFormat/>
    <w:uiPriority w:val="0"/>
    <w:pPr>
      <w:ind w:firstLine="420" w:firstLineChars="200"/>
    </w:pPr>
    <w:rPr>
      <w:rFonts w:ascii="Calibri" w:hAnsi="Calibri" w:eastAsia="宋体"/>
      <w:sz w:val="21"/>
      <w:szCs w:val="2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rPr>
      <w:rFonts w:cs="Times New Roman"/>
    </w:rPr>
  </w:style>
  <w:style w:type="character" w:styleId="24">
    <w:name w:val="Emphasis"/>
    <w:basedOn w:val="22"/>
    <w:qFormat/>
    <w:uiPriority w:val="0"/>
    <w:rPr>
      <w:i/>
      <w:iCs/>
    </w:rPr>
  </w:style>
  <w:style w:type="character" w:styleId="25">
    <w:name w:val="Hyperlink"/>
    <w:unhideWhenUsed/>
    <w:qFormat/>
    <w:uiPriority w:val="99"/>
    <w:rPr>
      <w:color w:val="0000FF"/>
      <w:u w:val="single"/>
    </w:rPr>
  </w:style>
  <w:style w:type="paragraph" w:customStyle="1" w:styleId="26">
    <w:name w:val="BodyText1I2"/>
    <w:basedOn w:val="27"/>
    <w:qFormat/>
    <w:uiPriority w:val="0"/>
    <w:pPr>
      <w:ind w:firstLine="420"/>
      <w:jc w:val="left"/>
    </w:pPr>
  </w:style>
  <w:style w:type="paragraph" w:customStyle="1" w:styleId="27">
    <w:name w:val="BodyTextIndent"/>
    <w:basedOn w:val="1"/>
    <w:qFormat/>
    <w:uiPriority w:val="0"/>
    <w:pPr>
      <w:ind w:firstLine="640"/>
      <w:jc w:val="left"/>
    </w:pPr>
    <w:rPr>
      <w:rFonts w:ascii="宋体" w:hAnsi="宋体"/>
      <w:sz w:val="32"/>
    </w:rPr>
  </w:style>
  <w:style w:type="paragraph" w:customStyle="1" w:styleId="28">
    <w:name w:val="NormalIndent"/>
    <w:basedOn w:val="1"/>
    <w:qFormat/>
    <w:uiPriority w:val="0"/>
    <w:pPr>
      <w:ind w:firstLine="880" w:firstLineChars="200"/>
      <w:jc w:val="both"/>
      <w:textAlignment w:val="baseline"/>
    </w:pPr>
    <w:rPr>
      <w:rFonts w:ascii="Times New Roman" w:hAnsi="Times New Roman" w:cs="Times New Roman"/>
    </w:rPr>
  </w:style>
  <w:style w:type="paragraph" w:customStyle="1" w:styleId="29">
    <w:name w:val="BodyTextIndent2"/>
    <w:basedOn w:val="1"/>
    <w:qFormat/>
    <w:uiPriority w:val="0"/>
    <w:pPr>
      <w:spacing w:line="590" w:lineRule="exact"/>
      <w:ind w:firstLine="880" w:firstLineChars="200"/>
      <w:textAlignment w:val="baseline"/>
    </w:pPr>
    <w:rPr>
      <w:rFonts w:eastAsia="方正仿宋_GBK"/>
    </w:rPr>
  </w:style>
  <w:style w:type="paragraph" w:customStyle="1" w:styleId="30">
    <w:name w:val="文件内容"/>
    <w:basedOn w:val="1"/>
    <w:qFormat/>
    <w:uiPriority w:val="0"/>
    <w:pPr>
      <w:autoSpaceDN w:val="0"/>
      <w:spacing w:line="480" w:lineRule="exact"/>
      <w:ind w:firstLine="200" w:firstLineChars="200"/>
    </w:pPr>
    <w:rPr>
      <w:sz w:val="30"/>
      <w:szCs w:val="24"/>
    </w:rPr>
  </w:style>
  <w:style w:type="character" w:customStyle="1" w:styleId="31">
    <w:name w:val="15"/>
    <w:qFormat/>
    <w:uiPriority w:val="0"/>
    <w:rPr>
      <w:rFonts w:hint="default" w:ascii="Calibri" w:hAnsi="Calibri" w:eastAsia="宋体" w:cs="Calibri"/>
      <w:kern w:val="2"/>
      <w:sz w:val="24"/>
      <w:szCs w:val="24"/>
    </w:rPr>
  </w:style>
  <w:style w:type="character" w:customStyle="1" w:styleId="32">
    <w:name w:val="标题 1 Char"/>
    <w:basedOn w:val="22"/>
    <w:link w:val="3"/>
    <w:qFormat/>
    <w:uiPriority w:val="0"/>
    <w:rPr>
      <w:rFonts w:ascii="Calibri" w:hAnsi="Calibri" w:eastAsia="宋体"/>
      <w:b/>
      <w:kern w:val="44"/>
      <w:sz w:val="44"/>
      <w:szCs w:val="24"/>
    </w:rPr>
  </w:style>
  <w:style w:type="paragraph" w:customStyle="1" w:styleId="33">
    <w:name w:val="_Style 2"/>
    <w:basedOn w:val="1"/>
    <w:qFormat/>
    <w:uiPriority w:val="0"/>
    <w:pPr>
      <w:spacing w:line="351" w:lineRule="atLeast"/>
      <w:ind w:firstLine="623"/>
    </w:pPr>
    <w:rPr>
      <w:rFonts w:ascii="Times New Roman" w:eastAsia="宋体"/>
      <w:color w:val="000000"/>
      <w:sz w:val="31"/>
      <w:szCs w:val="31"/>
    </w:rPr>
  </w:style>
  <w:style w:type="paragraph" w:customStyle="1" w:styleId="34">
    <w:name w:val="List Paragraph"/>
    <w:basedOn w:val="1"/>
    <w:qFormat/>
    <w:uiPriority w:val="0"/>
    <w:pPr>
      <w:spacing w:before="100" w:beforeAutospacing="1" w:after="100" w:afterAutospacing="1"/>
      <w:ind w:left="1064" w:hanging="322"/>
    </w:pPr>
    <w:rPr>
      <w:rFonts w:ascii="楷体" w:hAnsi="楷体" w:eastAsia="楷体" w:cs="宋体"/>
      <w:sz w:val="21"/>
      <w:szCs w:val="21"/>
    </w:rPr>
  </w:style>
  <w:style w:type="paragraph" w:customStyle="1" w:styleId="35">
    <w:name w:val="Table Paragraph"/>
    <w:basedOn w:val="1"/>
    <w:qFormat/>
    <w:uiPriority w:val="0"/>
    <w:rPr>
      <w:rFonts w:ascii="宋体" w:hAnsi="宋体" w:eastAsia="宋体" w:cs="宋体"/>
      <w:sz w:val="21"/>
      <w:szCs w:val="21"/>
    </w:rPr>
  </w:style>
  <w:style w:type="paragraph" w:customStyle="1" w:styleId="36">
    <w:name w:val="&quot;二级条标题&quot;"/>
    <w:basedOn w:val="1"/>
    <w:qFormat/>
    <w:uiPriority w:val="0"/>
    <w:pPr>
      <w:widowControl/>
      <w:jc w:val="left"/>
      <w:outlineLvl w:val="3"/>
    </w:pPr>
    <w:rPr>
      <w:rFonts w:ascii="宋体" w:hAnsi="宋体" w:eastAsia="黑体" w:cs="宋体"/>
      <w:kern w:val="0"/>
      <w:sz w:val="21"/>
      <w:szCs w:val="21"/>
    </w:rPr>
  </w:style>
  <w:style w:type="paragraph" w:customStyle="1" w:styleId="37">
    <w:name w:val="列出段落1"/>
    <w:basedOn w:val="1"/>
    <w:qFormat/>
    <w:uiPriority w:val="99"/>
    <w:pPr>
      <w:ind w:firstLine="420" w:firstLineChars="200"/>
    </w:pPr>
    <w:rPr>
      <w:rFonts w:ascii="Times New Roman" w:eastAsia="宋体"/>
      <w:sz w:val="21"/>
      <w:szCs w:val="21"/>
    </w:rPr>
  </w:style>
  <w:style w:type="paragraph" w:customStyle="1" w:styleId="38">
    <w:name w:val="Header or footer|1"/>
    <w:basedOn w:val="1"/>
    <w:qFormat/>
    <w:uiPriority w:val="0"/>
    <w:pPr>
      <w:widowControl w:val="0"/>
      <w:shd w:val="clear" w:color="auto" w:fill="auto"/>
      <w:jc w:val="center"/>
    </w:pPr>
    <w:rPr>
      <w:sz w:val="26"/>
      <w:szCs w:val="26"/>
      <w:u w:val="none"/>
      <w:shd w:val="clear" w:color="auto" w:fill="auto"/>
    </w:rPr>
  </w:style>
  <w:style w:type="paragraph" w:customStyle="1" w:styleId="39">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40">
    <w:name w:val="正文缩进1"/>
    <w:basedOn w:val="1"/>
    <w:qFormat/>
    <w:uiPriority w:val="0"/>
    <w:pPr>
      <w:ind w:firstLine="624"/>
      <w:textAlignment w:val="center"/>
    </w:pPr>
  </w:style>
  <w:style w:type="character" w:customStyle="1" w:styleId="41">
    <w:name w:val="NormalCharacter"/>
    <w:qFormat/>
    <w:uiPriority w:val="99"/>
    <w:rPr>
      <w:rFonts w:ascii="Times New Roman" w:hAnsi="Times New Roman" w:eastAsia="宋体"/>
    </w:rPr>
  </w:style>
  <w:style w:type="table" w:customStyle="1" w:styleId="42">
    <w:name w:val="Table Normal"/>
    <w:unhideWhenUsed/>
    <w:qFormat/>
    <w:uiPriority w:val="2"/>
    <w:pPr>
      <w:widowControl w:val="0"/>
    </w:pPr>
    <w:rPr>
      <w:rFonts w:ascii="Calibri" w:hAnsi="Calibri" w:eastAsia="宋体" w:cs="Times New Roman"/>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9.xml"/><Relationship Id="rId11" Type="http://schemas.openxmlformats.org/officeDocument/2006/relationships/header" Target="header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3494</Words>
  <Characters>3626</Characters>
  <Lines>0</Lines>
  <Paragraphs>0</Paragraphs>
  <TotalTime>8</TotalTime>
  <ScaleCrop>false</ScaleCrop>
  <LinksUpToDate>false</LinksUpToDate>
  <CharactersWithSpaces>3684</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2019-12-05T10:35:00Z</dcterms:created>
  <dc:creator>Administrator</dc:creator>
  <cp:lastModifiedBy>凡人g,</cp:lastModifiedBy>
  <dcterms:modified xsi:type="dcterms:W3CDTF">2025-01-09T07:02:41Z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B4436D4519AC404EAAAD615328DCA9AF</vt:lpwstr>
  </property>
</Properties>
</file>