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C8A2B2">
      <w:pPr>
        <w:pageBreakBefore w:val="0"/>
        <w:widowControl w:val="0"/>
        <w:kinsoku/>
        <w:overflowPunct/>
        <w:topLinePunct w:val="0"/>
        <w:autoSpaceDE/>
        <w:autoSpaceDN/>
        <w:bidi w:val="0"/>
        <w:adjustRightInd/>
        <w:snapToGrid/>
        <w:spacing w:line="600" w:lineRule="exact"/>
        <w:ind w:left="0" w:leftChars="0"/>
        <w:jc w:val="center"/>
        <w:rPr>
          <w:rFonts w:hint="eastAsia" w:ascii="方正小标宋简体" w:hAnsi="方正小标宋简体" w:eastAsia="方正小标宋简体" w:cs="方正小标宋简体"/>
          <w:b/>
          <w:bCs/>
          <w:color w:val="auto"/>
          <w:sz w:val="44"/>
          <w:szCs w:val="44"/>
          <w:lang w:val="en-US" w:eastAsia="zh-CN"/>
        </w:rPr>
      </w:pPr>
      <w:r>
        <w:rPr>
          <w:rFonts w:hint="eastAsia" w:ascii="方正小标宋简体" w:hAnsi="方正小标宋简体" w:eastAsia="方正小标宋简体" w:cs="方正小标宋简体"/>
          <w:b w:val="0"/>
          <w:bCs w:val="0"/>
          <w:color w:val="auto"/>
          <w:sz w:val="44"/>
          <w:szCs w:val="44"/>
          <w:lang w:eastAsia="zh-CN"/>
        </w:rPr>
        <w:t>青阳县人民政府公报</w:t>
      </w:r>
      <w:r>
        <w:rPr>
          <w:rFonts w:hint="eastAsia" w:ascii="方正小标宋简体" w:hAnsi="方正小标宋简体" w:eastAsia="方正小标宋简体" w:cs="方正小标宋简体"/>
          <w:b w:val="0"/>
          <w:bCs w:val="0"/>
          <w:color w:val="auto"/>
          <w:sz w:val="44"/>
          <w:szCs w:val="44"/>
          <w:lang w:val="en-US" w:eastAsia="zh-CN"/>
        </w:rPr>
        <w:t>2025年第1号</w:t>
      </w:r>
    </w:p>
    <w:p w14:paraId="7FE48ABC">
      <w:pPr>
        <w:pageBreakBefore w:val="0"/>
        <w:widowControl w:val="0"/>
        <w:kinsoku/>
        <w:overflowPunct/>
        <w:topLinePunct w:val="0"/>
        <w:autoSpaceDE/>
        <w:autoSpaceDN/>
        <w:bidi w:val="0"/>
        <w:adjustRightInd/>
        <w:snapToGrid/>
        <w:spacing w:line="600" w:lineRule="exact"/>
        <w:ind w:left="0" w:leftChars="0"/>
        <w:jc w:val="center"/>
        <w:rPr>
          <w:rFonts w:hint="eastAsia" w:ascii="楷体_GB2312" w:hAnsi="楷体_GB2312" w:eastAsia="楷体_GB2312" w:cs="楷体_GB2312"/>
          <w:b w:val="0"/>
          <w:bCs w:val="0"/>
          <w:color w:val="auto"/>
          <w:sz w:val="36"/>
          <w:szCs w:val="36"/>
          <w:lang w:val="en-US" w:eastAsia="zh-CN"/>
        </w:rPr>
      </w:pPr>
      <w:r>
        <w:rPr>
          <w:rFonts w:hint="eastAsia" w:ascii="楷体_GB2312" w:hAnsi="楷体_GB2312" w:eastAsia="楷体_GB2312" w:cs="楷体_GB2312"/>
          <w:b w:val="0"/>
          <w:bCs w:val="0"/>
          <w:color w:val="auto"/>
          <w:sz w:val="36"/>
          <w:szCs w:val="36"/>
          <w:lang w:val="en-US" w:eastAsia="zh-CN"/>
        </w:rPr>
        <w:t>（总第51期）</w:t>
      </w:r>
    </w:p>
    <w:p w14:paraId="6F195EE5">
      <w:pPr>
        <w:pStyle w:val="14"/>
        <w:pageBreakBefore w:val="0"/>
        <w:widowControl w:val="0"/>
        <w:kinsoku/>
        <w:overflowPunct/>
        <w:topLinePunct w:val="0"/>
        <w:autoSpaceDE/>
        <w:autoSpaceDN/>
        <w:bidi w:val="0"/>
        <w:adjustRightInd/>
        <w:snapToGrid/>
        <w:spacing w:line="600" w:lineRule="exact"/>
        <w:ind w:left="0" w:leftChars="0"/>
        <w:rPr>
          <w:rFonts w:hint="eastAsia" w:asciiTheme="majorEastAsia" w:hAnsiTheme="majorEastAsia" w:eastAsiaTheme="majorEastAsia" w:cstheme="majorEastAsia"/>
          <w:b/>
          <w:bCs/>
          <w:color w:val="auto"/>
          <w:sz w:val="36"/>
          <w:szCs w:val="36"/>
          <w:lang w:val="en-US" w:eastAsia="zh-CN"/>
        </w:rPr>
      </w:pPr>
    </w:p>
    <w:p w14:paraId="0EA1EF44">
      <w:pPr>
        <w:keepNext w:val="0"/>
        <w:keepLines w:val="0"/>
        <w:pageBreakBefore w:val="0"/>
        <w:widowControl w:val="0"/>
        <w:kinsoku/>
        <w:overflowPunct/>
        <w:topLinePunct w:val="0"/>
        <w:autoSpaceDE/>
        <w:autoSpaceDN/>
        <w:bidi w:val="0"/>
        <w:adjustRightInd/>
        <w:snapToGrid/>
        <w:spacing w:line="600" w:lineRule="exact"/>
        <w:ind w:left="0" w:leftChars="0"/>
        <w:rPr>
          <w:rFonts w:hint="eastAsia" w:ascii="仿宋_GB2312" w:hAnsi="宋体" w:eastAsia="仿宋_GB2312" w:cs="Times New Roman"/>
          <w:bCs/>
          <w:color w:val="auto"/>
          <w:sz w:val="32"/>
          <w:szCs w:val="32"/>
          <w:lang w:val="en-US" w:eastAsia="zh-CN"/>
        </w:rPr>
      </w:pPr>
    </w:p>
    <w:p w14:paraId="1B811999">
      <w:pPr>
        <w:pStyle w:val="40"/>
        <w:pageBreakBefore w:val="0"/>
        <w:widowControl w:val="0"/>
        <w:kinsoku/>
        <w:overflowPunct/>
        <w:topLinePunct w:val="0"/>
        <w:autoSpaceDE/>
        <w:autoSpaceDN/>
        <w:bidi w:val="0"/>
        <w:adjustRightInd/>
        <w:snapToGrid/>
        <w:spacing w:line="600" w:lineRule="exact"/>
        <w:ind w:left="0" w:leftChars="0"/>
        <w:rPr>
          <w:rFonts w:hint="eastAsia"/>
          <w:color w:val="auto"/>
          <w:lang w:val="en-US" w:eastAsia="zh-CN"/>
        </w:rPr>
      </w:pPr>
    </w:p>
    <w:p w14:paraId="34C8D54A">
      <w:pPr>
        <w:pageBreakBefore w:val="0"/>
        <w:widowControl w:val="0"/>
        <w:kinsoku/>
        <w:overflowPunct/>
        <w:topLinePunct w:val="0"/>
        <w:autoSpaceDE/>
        <w:autoSpaceDN/>
        <w:bidi w:val="0"/>
        <w:adjustRightInd/>
        <w:snapToGrid/>
        <w:spacing w:line="600" w:lineRule="exact"/>
        <w:ind w:left="0" w:leftChars="0"/>
        <w:jc w:val="both"/>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县政府办文件</w:t>
      </w:r>
    </w:p>
    <w:p w14:paraId="65BA64C6">
      <w:pPr>
        <w:pStyle w:val="26"/>
        <w:ind w:left="0" w:leftChars="0" w:firstLine="0" w:firstLineChars="0"/>
        <w:rPr>
          <w:rFonts w:hint="eastAsia" w:ascii="仿宋_GB2312" w:hAnsi="宋体" w:eastAsia="仿宋_GB2312" w:cs="Times New Roman"/>
          <w:bCs/>
          <w:color w:val="auto"/>
          <w:sz w:val="32"/>
          <w:szCs w:val="32"/>
          <w:lang w:val="en-US" w:eastAsia="zh-CN"/>
        </w:rPr>
      </w:pPr>
      <w:r>
        <w:rPr>
          <w:rFonts w:hint="eastAsia" w:ascii="仿宋_GB2312" w:hAnsi="宋体" w:eastAsia="仿宋_GB2312" w:cs="Times New Roman"/>
          <w:bCs/>
          <w:color w:val="auto"/>
          <w:sz w:val="32"/>
          <w:szCs w:val="32"/>
          <w:lang w:val="en-US" w:eastAsia="zh-CN"/>
        </w:rPr>
        <w:t>青阳县人民政府办公室关于印发《青阳县推进现代服务业高质量发展十大攻坚行动实施方案》的通知</w:t>
      </w:r>
    </w:p>
    <w:p w14:paraId="661D8B53">
      <w:pPr>
        <w:pStyle w:val="26"/>
        <w:ind w:left="0" w:leftChars="0" w:firstLine="0" w:firstLineChars="0"/>
        <w:rPr>
          <w:rFonts w:hint="eastAsia" w:ascii="仿宋_GB2312" w:hAnsi="宋体" w:eastAsia="仿宋_GB2312" w:cs="Times New Roman"/>
          <w:bCs/>
          <w:color w:val="auto"/>
          <w:sz w:val="32"/>
          <w:szCs w:val="32"/>
          <w:lang w:val="en-US" w:eastAsia="zh-CN"/>
        </w:rPr>
      </w:pPr>
    </w:p>
    <w:p w14:paraId="3CFDB361">
      <w:pPr>
        <w:pageBreakBefore w:val="0"/>
        <w:widowControl w:val="0"/>
        <w:kinsoku/>
        <w:overflowPunct/>
        <w:topLinePunct w:val="0"/>
        <w:autoSpaceDE/>
        <w:autoSpaceDN/>
        <w:bidi w:val="0"/>
        <w:adjustRightInd/>
        <w:snapToGrid/>
        <w:spacing w:line="600" w:lineRule="exact"/>
        <w:ind w:left="0" w:leftChars="0"/>
        <w:jc w:val="both"/>
        <w:rPr>
          <w:rFonts w:hint="eastAsia" w:ascii="仿宋_GB2312" w:hAnsi="宋体" w:eastAsia="仿宋_GB2312" w:cs="Times New Roman"/>
          <w:bCs/>
          <w:color w:val="auto"/>
          <w:sz w:val="32"/>
          <w:szCs w:val="32"/>
          <w:lang w:val="en-US" w:eastAsia="zh-CN"/>
        </w:rPr>
      </w:pPr>
      <w:r>
        <w:rPr>
          <w:rFonts w:hint="eastAsia" w:ascii="仿宋_GB2312" w:hAnsi="宋体" w:eastAsia="仿宋_GB2312" w:cs="Times New Roman"/>
          <w:bCs/>
          <w:color w:val="auto"/>
          <w:sz w:val="32"/>
          <w:szCs w:val="32"/>
          <w:lang w:val="en-US" w:eastAsia="zh-CN"/>
        </w:rPr>
        <w:t>青阳县人民政府办公室关于成立安徽省青阳县“五好两宜”和美乡村试点试验项目工作专班的通知</w:t>
      </w:r>
    </w:p>
    <w:p w14:paraId="7F184165">
      <w:pPr>
        <w:pageBreakBefore w:val="0"/>
        <w:widowControl w:val="0"/>
        <w:kinsoku/>
        <w:overflowPunct/>
        <w:topLinePunct w:val="0"/>
        <w:autoSpaceDE/>
        <w:autoSpaceDN/>
        <w:bidi w:val="0"/>
        <w:adjustRightInd/>
        <w:snapToGrid/>
        <w:spacing w:line="600" w:lineRule="exact"/>
        <w:ind w:left="0" w:leftChars="0"/>
        <w:rPr>
          <w:rFonts w:hint="eastAsia"/>
          <w:color w:val="auto"/>
          <w:lang w:eastAsia="zh-CN"/>
        </w:rPr>
      </w:pPr>
    </w:p>
    <w:p w14:paraId="2CB51A15">
      <w:pPr>
        <w:pageBreakBefore w:val="0"/>
        <w:widowControl w:val="0"/>
        <w:kinsoku/>
        <w:overflowPunct/>
        <w:topLinePunct w:val="0"/>
        <w:autoSpaceDE/>
        <w:autoSpaceDN/>
        <w:bidi w:val="0"/>
        <w:adjustRightInd/>
        <w:snapToGrid/>
        <w:spacing w:line="600" w:lineRule="exact"/>
        <w:ind w:left="0" w:leftChars="0"/>
        <w:jc w:val="center"/>
        <w:rPr>
          <w:rFonts w:hint="eastAsia" w:asciiTheme="minorEastAsia" w:hAnsiTheme="minorEastAsia" w:cstheme="minorEastAsia"/>
          <w:color w:val="auto"/>
          <w:kern w:val="0"/>
          <w:sz w:val="28"/>
          <w:szCs w:val="28"/>
          <w:shd w:val="clear" w:color="auto" w:fill="FFFFFF"/>
          <w:lang w:eastAsia="zh-CN"/>
        </w:rPr>
      </w:pPr>
    </w:p>
    <w:p w14:paraId="6F25FE61">
      <w:pPr>
        <w:pageBreakBefore w:val="0"/>
        <w:widowControl w:val="0"/>
        <w:kinsoku/>
        <w:overflowPunct/>
        <w:topLinePunct w:val="0"/>
        <w:autoSpaceDE/>
        <w:autoSpaceDN/>
        <w:bidi w:val="0"/>
        <w:adjustRightInd/>
        <w:snapToGrid/>
        <w:spacing w:line="600" w:lineRule="exact"/>
        <w:ind w:left="0" w:leftChars="0"/>
        <w:jc w:val="center"/>
        <w:rPr>
          <w:rFonts w:hint="eastAsia" w:asciiTheme="minorEastAsia" w:hAnsiTheme="minorEastAsia" w:cstheme="minorEastAsia"/>
          <w:color w:val="auto"/>
          <w:kern w:val="0"/>
          <w:sz w:val="28"/>
          <w:szCs w:val="28"/>
          <w:shd w:val="clear" w:color="auto" w:fill="FFFFFF"/>
          <w:lang w:eastAsia="zh-CN"/>
        </w:rPr>
      </w:pPr>
    </w:p>
    <w:p w14:paraId="40C55528">
      <w:pPr>
        <w:keepNext w:val="0"/>
        <w:keepLines w:val="0"/>
        <w:pageBreakBefore w:val="0"/>
        <w:widowControl w:val="0"/>
        <w:kinsoku/>
        <w:wordWrap/>
        <w:overflowPunct/>
        <w:topLinePunct w:val="0"/>
        <w:autoSpaceDE/>
        <w:autoSpaceDN/>
        <w:bidi w:val="0"/>
        <w:adjustRightInd/>
        <w:snapToGrid/>
        <w:spacing w:line="600" w:lineRule="exact"/>
        <w:ind w:left="0" w:leftChars="0"/>
        <w:textAlignment w:val="auto"/>
        <w:rPr>
          <w:rFonts w:hint="eastAsia"/>
          <w:color w:val="auto"/>
        </w:rPr>
      </w:pPr>
    </w:p>
    <w:p w14:paraId="44939C40">
      <w:pPr>
        <w:pStyle w:val="11"/>
        <w:rPr>
          <w:rFonts w:hint="eastAsia"/>
          <w:color w:val="auto"/>
        </w:rPr>
      </w:pPr>
    </w:p>
    <w:p w14:paraId="1D49068A">
      <w:pPr>
        <w:rPr>
          <w:rFonts w:hint="eastAsia"/>
        </w:rPr>
      </w:pPr>
    </w:p>
    <w:p w14:paraId="7D7286FB">
      <w:pPr>
        <w:pStyle w:val="40"/>
        <w:pageBreakBefore w:val="0"/>
        <w:widowControl w:val="0"/>
        <w:kinsoku/>
        <w:overflowPunct/>
        <w:topLinePunct w:val="0"/>
        <w:autoSpaceDE/>
        <w:autoSpaceDN/>
        <w:bidi w:val="0"/>
        <w:adjustRightInd/>
        <w:snapToGrid/>
        <w:spacing w:line="600" w:lineRule="exact"/>
        <w:ind w:left="0" w:leftChars="0"/>
        <w:rPr>
          <w:rFonts w:hint="eastAsia"/>
          <w:color w:val="auto"/>
        </w:rPr>
      </w:pPr>
    </w:p>
    <w:p w14:paraId="21773076">
      <w:pPr>
        <w:pStyle w:val="40"/>
        <w:pageBreakBefore w:val="0"/>
        <w:widowControl w:val="0"/>
        <w:kinsoku/>
        <w:overflowPunct/>
        <w:topLinePunct w:val="0"/>
        <w:autoSpaceDE/>
        <w:autoSpaceDN/>
        <w:bidi w:val="0"/>
        <w:adjustRightInd/>
        <w:snapToGrid/>
        <w:spacing w:line="600" w:lineRule="exact"/>
        <w:ind w:left="0" w:leftChars="0"/>
        <w:rPr>
          <w:rFonts w:hint="eastAsia"/>
          <w:color w:val="auto"/>
        </w:rPr>
      </w:pPr>
    </w:p>
    <w:p w14:paraId="4B5E4F0C">
      <w:pPr>
        <w:pStyle w:val="40"/>
        <w:pageBreakBefore w:val="0"/>
        <w:widowControl w:val="0"/>
        <w:kinsoku/>
        <w:overflowPunct/>
        <w:topLinePunct w:val="0"/>
        <w:autoSpaceDE/>
        <w:autoSpaceDN/>
        <w:bidi w:val="0"/>
        <w:adjustRightInd/>
        <w:snapToGrid/>
        <w:spacing w:line="600" w:lineRule="exact"/>
        <w:ind w:left="0" w:leftChars="0"/>
        <w:rPr>
          <w:rFonts w:hint="eastAsia"/>
          <w:color w:val="auto"/>
        </w:rPr>
      </w:pPr>
    </w:p>
    <w:p w14:paraId="19331E25">
      <w:pPr>
        <w:keepNext w:val="0"/>
        <w:keepLines w:val="0"/>
        <w:pageBreakBefore w:val="0"/>
        <w:widowControl w:val="0"/>
        <w:kinsoku/>
        <w:overflowPunct/>
        <w:topLinePunct w:val="0"/>
        <w:autoSpaceDE/>
        <w:autoSpaceDN/>
        <w:bidi w:val="0"/>
        <w:adjustRightInd/>
        <w:snapToGrid/>
        <w:spacing w:line="580" w:lineRule="exact"/>
        <w:jc w:val="both"/>
        <w:textAlignment w:val="auto"/>
        <w:rPr>
          <w:rFonts w:hint="eastAsia" w:ascii="方正小标宋简体" w:hAnsi="方正小标宋简体" w:eastAsia="方正小标宋简体" w:cs="方正小标宋简体"/>
          <w:color w:val="auto"/>
          <w:kern w:val="44"/>
          <w:sz w:val="44"/>
          <w:szCs w:val="44"/>
          <w:shd w:val="clear" w:color="auto" w:fill="FFFFFF"/>
          <w:lang w:eastAsia="zh-CN"/>
        </w:rPr>
      </w:pPr>
    </w:p>
    <w:p w14:paraId="1CDF9726">
      <w:pPr>
        <w:keepNext w:val="0"/>
        <w:keepLines w:val="0"/>
        <w:pageBreakBefore w:val="0"/>
        <w:widowControl w:val="0"/>
        <w:kinsoku/>
        <w:wordWrap/>
        <w:overflowPunct/>
        <w:topLinePunct w:val="0"/>
        <w:autoSpaceDE/>
        <w:autoSpaceDN/>
        <w:bidi w:val="0"/>
        <w:adjustRightInd/>
        <w:snapToGrid/>
        <w:spacing w:line="580" w:lineRule="exact"/>
        <w:jc w:val="both"/>
        <w:textAlignment w:val="auto"/>
        <w:rPr>
          <w:rFonts w:hint="eastAsia" w:ascii="方正小标宋简体" w:hAnsi="方正小标宋简体" w:eastAsia="方正小标宋简体" w:cs="方正小标宋简体"/>
          <w:color w:val="auto"/>
          <w:sz w:val="44"/>
          <w:szCs w:val="44"/>
          <w:lang w:eastAsia="zh-CN"/>
        </w:rPr>
      </w:pPr>
    </w:p>
    <w:p w14:paraId="53DFA1CE">
      <w:pPr>
        <w:pStyle w:val="11"/>
        <w:rPr>
          <w:rFonts w:hint="eastAsia" w:ascii="方正小标宋简体" w:hAnsi="方正小标宋简体" w:eastAsia="方正小标宋简体" w:cs="方正小标宋简体"/>
          <w:color w:val="auto"/>
          <w:sz w:val="44"/>
          <w:szCs w:val="44"/>
          <w:lang w:eastAsia="zh-CN"/>
        </w:rPr>
      </w:pPr>
    </w:p>
    <w:p w14:paraId="28E38437">
      <w:pPr>
        <w:rPr>
          <w:rFonts w:hint="eastAsia" w:ascii="方正小标宋简体" w:hAnsi="方正小标宋简体" w:eastAsia="方正小标宋简体" w:cs="方正小标宋简体"/>
          <w:color w:val="auto"/>
          <w:sz w:val="44"/>
          <w:szCs w:val="44"/>
          <w:lang w:eastAsia="zh-CN"/>
        </w:rPr>
      </w:pPr>
    </w:p>
    <w:p w14:paraId="1627BF92">
      <w:pPr>
        <w:pStyle w:val="11"/>
        <w:rPr>
          <w:rFonts w:hint="eastAsia"/>
          <w:lang w:eastAsia="zh-CN"/>
        </w:rPr>
      </w:pPr>
    </w:p>
    <w:p w14:paraId="7C466138">
      <w:pPr>
        <w:rPr>
          <w:rFonts w:hint="eastAsia"/>
          <w:lang w:eastAsia="zh-CN"/>
        </w:rPr>
      </w:pPr>
    </w:p>
    <w:p w14:paraId="45DFB248">
      <w:pPr>
        <w:pStyle w:val="11"/>
        <w:rPr>
          <w:rFonts w:hint="eastAsia"/>
          <w:lang w:eastAsia="zh-CN"/>
        </w:rPr>
      </w:pPr>
    </w:p>
    <w:p w14:paraId="708E6EA4">
      <w:pPr>
        <w:keepNext w:val="0"/>
        <w:keepLines w:val="0"/>
        <w:pageBreakBefore w:val="0"/>
        <w:widowControl w:val="0"/>
        <w:kinsoku/>
        <w:wordWrap/>
        <w:overflowPunct/>
        <w:topLinePunct w:val="0"/>
        <w:autoSpaceDE/>
        <w:autoSpaceDN/>
        <w:bidi w:val="0"/>
        <w:adjustRightInd/>
        <w:snapToGrid/>
        <w:spacing w:beforeLines="0" w:afterLines="0" w:line="560" w:lineRule="exact"/>
        <w:jc w:val="center"/>
        <w:textAlignment w:val="auto"/>
        <w:rPr>
          <w:rFonts w:hint="eastAsia" w:ascii="方正小标宋简体" w:eastAsia="方正小标宋简体"/>
          <w:sz w:val="44"/>
          <w:szCs w:val="44"/>
        </w:rPr>
      </w:pPr>
      <w:r>
        <w:rPr>
          <w:rFonts w:hint="eastAsia" w:ascii="方正小标宋简体" w:eastAsia="方正小标宋简体"/>
          <w:sz w:val="44"/>
          <w:szCs w:val="44"/>
        </w:rPr>
        <w:t>青</w:t>
      </w:r>
      <w:bookmarkStart w:id="0" w:name="_GoBack"/>
      <w:bookmarkEnd w:id="0"/>
      <w:r>
        <w:rPr>
          <w:rFonts w:hint="eastAsia" w:ascii="方正小标宋简体" w:eastAsia="方正小标宋简体"/>
          <w:sz w:val="44"/>
          <w:szCs w:val="44"/>
        </w:rPr>
        <w:t>阳县人民政府</w:t>
      </w:r>
      <w:r>
        <w:rPr>
          <w:rFonts w:hint="eastAsia" w:ascii="方正小标宋简体" w:eastAsia="方正小标宋简体"/>
          <w:sz w:val="44"/>
          <w:szCs w:val="44"/>
          <w:lang w:eastAsia="zh-CN"/>
        </w:rPr>
        <w:t>办公室</w:t>
      </w:r>
      <w:r>
        <w:rPr>
          <w:rFonts w:hint="eastAsia" w:ascii="方正小标宋简体" w:eastAsia="方正小标宋简体"/>
          <w:sz w:val="44"/>
          <w:szCs w:val="44"/>
        </w:rPr>
        <w:t>关于印发《</w:t>
      </w:r>
      <w:r>
        <w:rPr>
          <w:rFonts w:hint="eastAsia" w:ascii="Times New Roman" w:hAnsi="Times New Roman" w:eastAsia="方正小标宋简体"/>
          <w:sz w:val="44"/>
          <w:szCs w:val="44"/>
        </w:rPr>
        <w:t>青阳县</w:t>
      </w:r>
      <w:r>
        <w:rPr>
          <w:rFonts w:hint="eastAsia" w:ascii="Times New Roman" w:hAnsi="Times New Roman" w:eastAsia="方正小标宋简体"/>
          <w:sz w:val="44"/>
          <w:szCs w:val="44"/>
          <w:lang w:val="en-US" w:eastAsia="zh-CN"/>
        </w:rPr>
        <w:t>推进现代服务业高质量发展十大攻坚行动实施</w:t>
      </w:r>
      <w:r>
        <w:rPr>
          <w:rFonts w:hint="eastAsia" w:ascii="Times New Roman" w:hAnsi="Times New Roman" w:eastAsia="方正小标宋简体"/>
          <w:sz w:val="44"/>
          <w:szCs w:val="44"/>
        </w:rPr>
        <w:t>方案</w:t>
      </w:r>
      <w:r>
        <w:rPr>
          <w:rFonts w:hint="eastAsia" w:ascii="方正小标宋简体" w:eastAsia="方正小标宋简体"/>
          <w:sz w:val="44"/>
          <w:szCs w:val="44"/>
        </w:rPr>
        <w:t>》</w:t>
      </w:r>
    </w:p>
    <w:p w14:paraId="785D8924">
      <w:pPr>
        <w:keepNext w:val="0"/>
        <w:keepLines w:val="0"/>
        <w:pageBreakBefore w:val="0"/>
        <w:widowControl w:val="0"/>
        <w:kinsoku/>
        <w:wordWrap/>
        <w:overflowPunct/>
        <w:topLinePunct w:val="0"/>
        <w:autoSpaceDE/>
        <w:autoSpaceDN/>
        <w:bidi w:val="0"/>
        <w:adjustRightInd w:val="0"/>
        <w:snapToGrid w:val="0"/>
        <w:spacing w:line="600" w:lineRule="exact"/>
        <w:jc w:val="center"/>
        <w:textAlignment w:val="auto"/>
        <w:rPr>
          <w:rFonts w:ascii="方正小标宋简体" w:eastAsia="方正小标宋简体"/>
          <w:sz w:val="44"/>
          <w:szCs w:val="44"/>
        </w:rPr>
      </w:pPr>
      <w:r>
        <w:rPr>
          <w:rFonts w:hint="eastAsia" w:ascii="方正小标宋简体" w:eastAsia="方正小标宋简体"/>
          <w:sz w:val="44"/>
          <w:szCs w:val="44"/>
        </w:rPr>
        <w:t>的通知</w:t>
      </w:r>
    </w:p>
    <w:p w14:paraId="1493456F">
      <w:pPr>
        <w:keepNext w:val="0"/>
        <w:keepLines w:val="0"/>
        <w:pageBreakBefore w:val="0"/>
        <w:kinsoku/>
        <w:overflowPunct/>
        <w:topLinePunct w:val="0"/>
        <w:autoSpaceDE/>
        <w:autoSpaceDN/>
        <w:bidi w:val="0"/>
        <w:adjustRightInd/>
        <w:snapToGrid/>
        <w:spacing w:line="600" w:lineRule="exact"/>
        <w:jc w:val="center"/>
        <w:textAlignment w:val="auto"/>
        <w:rPr>
          <w:rFonts w:ascii="方正小标宋简体" w:eastAsia="方正小标宋简体"/>
          <w:sz w:val="36"/>
          <w:szCs w:val="32"/>
        </w:rPr>
      </w:pPr>
    </w:p>
    <w:p w14:paraId="5908AE49">
      <w:pPr>
        <w:pStyle w:val="16"/>
        <w:keepNext w:val="0"/>
        <w:keepLines w:val="0"/>
        <w:pageBreakBefore w:val="0"/>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overflowPunct/>
        <w:topLinePunct w:val="0"/>
        <w:autoSpaceDE/>
        <w:autoSpaceDN/>
        <w:bidi w:val="0"/>
        <w:adjustRightInd/>
        <w:snapToGrid/>
        <w:spacing w:line="600" w:lineRule="exact"/>
        <w:textAlignment w:val="auto"/>
        <w:rPr>
          <w:rStyle w:val="41"/>
          <w:rFonts w:ascii="仿宋_GB2312" w:hAnsi="Times New Roman" w:eastAsia="仿宋_GB2312"/>
          <w:kern w:val="2"/>
          <w:sz w:val="32"/>
          <w:szCs w:val="32"/>
        </w:rPr>
      </w:pPr>
      <w:r>
        <w:rPr>
          <w:rStyle w:val="41"/>
          <w:rFonts w:ascii="仿宋_GB2312" w:hAnsi="Times New Roman" w:eastAsia="仿宋_GB2312"/>
          <w:kern w:val="2"/>
          <w:sz w:val="32"/>
          <w:szCs w:val="32"/>
        </w:rPr>
        <w:t>各乡镇人民政府</w:t>
      </w:r>
      <w:r>
        <w:rPr>
          <w:rStyle w:val="41"/>
          <w:rFonts w:hint="eastAsia" w:ascii="仿宋_GB2312" w:hAnsi="Times New Roman" w:eastAsia="仿宋_GB2312"/>
          <w:kern w:val="2"/>
          <w:sz w:val="32"/>
          <w:szCs w:val="32"/>
          <w:lang w:eastAsia="zh-CN"/>
        </w:rPr>
        <w:t>、</w:t>
      </w:r>
      <w:r>
        <w:rPr>
          <w:rStyle w:val="41"/>
          <w:rFonts w:ascii="仿宋_GB2312" w:hAnsi="Times New Roman" w:eastAsia="仿宋_GB2312"/>
          <w:kern w:val="2"/>
          <w:sz w:val="32"/>
          <w:szCs w:val="32"/>
        </w:rPr>
        <w:t>县开发区管委会，县政府各部门、各直属机构，驻青各单位，县建</w:t>
      </w:r>
      <w:r>
        <w:rPr>
          <w:rStyle w:val="41"/>
          <w:rFonts w:hint="eastAsia" w:ascii="仿宋_GB2312" w:hAnsi="Times New Roman" w:eastAsia="仿宋_GB2312"/>
          <w:kern w:val="2"/>
          <w:sz w:val="32"/>
          <w:szCs w:val="32"/>
          <w:lang w:eastAsia="zh-CN"/>
        </w:rPr>
        <w:t>投</w:t>
      </w:r>
      <w:r>
        <w:rPr>
          <w:rStyle w:val="41"/>
          <w:rFonts w:ascii="仿宋_GB2312" w:hAnsi="Times New Roman" w:eastAsia="仿宋_GB2312"/>
          <w:kern w:val="2"/>
          <w:sz w:val="32"/>
          <w:szCs w:val="32"/>
        </w:rPr>
        <w:t>集团、乡投集团</w:t>
      </w:r>
      <w:r>
        <w:rPr>
          <w:rStyle w:val="41"/>
          <w:rFonts w:hint="eastAsia" w:ascii="仿宋_GB2312" w:hAnsi="Times New Roman" w:eastAsia="仿宋_GB2312"/>
          <w:kern w:val="2"/>
          <w:sz w:val="32"/>
          <w:szCs w:val="32"/>
          <w:lang w:eastAsia="zh-CN"/>
        </w:rPr>
        <w:t>：</w:t>
      </w:r>
    </w:p>
    <w:p w14:paraId="4326CC77">
      <w:pPr>
        <w:pStyle w:val="16"/>
        <w:keepNext w:val="0"/>
        <w:keepLines w:val="0"/>
        <w:pageBreakBefore w:val="0"/>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overflowPunct/>
        <w:topLinePunct w:val="0"/>
        <w:autoSpaceDE/>
        <w:autoSpaceDN/>
        <w:bidi w:val="0"/>
        <w:adjustRightInd/>
        <w:snapToGrid/>
        <w:spacing w:line="600" w:lineRule="exact"/>
        <w:ind w:firstLine="640" w:firstLineChars="200"/>
        <w:textAlignment w:val="auto"/>
        <w:rPr>
          <w:rStyle w:val="41"/>
          <w:rFonts w:hint="eastAsia" w:ascii="仿宋_GB2312" w:hAnsi="Times New Roman" w:eastAsia="仿宋_GB2312" w:cstheme="minorBidi"/>
          <w:kern w:val="2"/>
          <w:sz w:val="32"/>
          <w:szCs w:val="32"/>
        </w:rPr>
      </w:pPr>
      <w:r>
        <w:rPr>
          <w:rStyle w:val="41"/>
          <w:rFonts w:hint="eastAsia" w:ascii="仿宋_GB2312" w:hAnsi="Times New Roman" w:eastAsia="仿宋_GB2312" w:cstheme="minorBidi"/>
          <w:kern w:val="2"/>
          <w:sz w:val="32"/>
          <w:szCs w:val="32"/>
        </w:rPr>
        <w:t>《青阳县</w:t>
      </w:r>
      <w:r>
        <w:rPr>
          <w:rStyle w:val="41"/>
          <w:rFonts w:hint="eastAsia" w:ascii="仿宋_GB2312" w:hAnsi="Times New Roman" w:eastAsia="仿宋_GB2312" w:cstheme="minorBidi"/>
          <w:kern w:val="2"/>
          <w:sz w:val="32"/>
          <w:szCs w:val="32"/>
          <w:lang w:val="en-US" w:eastAsia="zh-CN"/>
        </w:rPr>
        <w:t>推进现代服务业高质量发展十大攻坚行动实施</w:t>
      </w:r>
      <w:r>
        <w:rPr>
          <w:rStyle w:val="41"/>
          <w:rFonts w:hint="eastAsia" w:ascii="仿宋_GB2312" w:hAnsi="Times New Roman" w:eastAsia="仿宋_GB2312" w:cstheme="minorBidi"/>
          <w:kern w:val="2"/>
          <w:sz w:val="32"/>
          <w:szCs w:val="32"/>
        </w:rPr>
        <w:t>方案》</w:t>
      </w:r>
      <w:r>
        <w:rPr>
          <w:rStyle w:val="41"/>
          <w:rFonts w:hint="eastAsia" w:ascii="仿宋_GB2312" w:hAnsi="Times New Roman" w:eastAsia="仿宋_GB2312" w:cstheme="minorBidi"/>
          <w:kern w:val="2"/>
          <w:sz w:val="32"/>
          <w:szCs w:val="32"/>
          <w:lang w:eastAsia="zh-CN"/>
        </w:rPr>
        <w:t>已</w:t>
      </w:r>
      <w:r>
        <w:rPr>
          <w:rStyle w:val="41"/>
          <w:rFonts w:hint="eastAsia" w:ascii="仿宋_GB2312" w:hAnsi="Times New Roman" w:eastAsia="仿宋_GB2312" w:cstheme="minorBidi"/>
          <w:kern w:val="2"/>
          <w:sz w:val="32"/>
          <w:szCs w:val="32"/>
        </w:rPr>
        <w:t>经县政府第</w:t>
      </w:r>
      <w:r>
        <w:rPr>
          <w:rStyle w:val="41"/>
          <w:rFonts w:hint="eastAsia" w:ascii="仿宋_GB2312" w:hAnsi="Times New Roman" w:eastAsia="仿宋_GB2312" w:cstheme="minorBidi"/>
          <w:kern w:val="2"/>
          <w:sz w:val="32"/>
          <w:szCs w:val="32"/>
          <w:lang w:val="en-US" w:eastAsia="zh-CN"/>
        </w:rPr>
        <w:t>78</w:t>
      </w:r>
      <w:r>
        <w:rPr>
          <w:rStyle w:val="41"/>
          <w:rFonts w:hint="eastAsia" w:ascii="仿宋_GB2312" w:hAnsi="Times New Roman" w:eastAsia="仿宋_GB2312" w:cstheme="minorBidi"/>
          <w:kern w:val="2"/>
          <w:sz w:val="32"/>
          <w:szCs w:val="32"/>
        </w:rPr>
        <w:t>次常务会议审议通过，现印发给你们，请遵照执行。</w:t>
      </w:r>
    </w:p>
    <w:p w14:paraId="4082D1DC">
      <w:pPr>
        <w:keepNext w:val="0"/>
        <w:keepLines w:val="0"/>
        <w:pageBreakBefore w:val="0"/>
        <w:kinsoku/>
        <w:overflowPunct/>
        <w:topLinePunct w:val="0"/>
        <w:autoSpaceDE/>
        <w:autoSpaceDN/>
        <w:bidi w:val="0"/>
        <w:adjustRightInd/>
        <w:snapToGrid/>
        <w:spacing w:line="600" w:lineRule="exact"/>
        <w:ind w:firstLine="640" w:firstLineChars="200"/>
        <w:jc w:val="left"/>
        <w:textAlignment w:val="auto"/>
        <w:rPr>
          <w:rFonts w:ascii="仿宋_GB2312" w:eastAsia="仿宋_GB2312"/>
          <w:sz w:val="32"/>
          <w:szCs w:val="32"/>
        </w:rPr>
      </w:pPr>
    </w:p>
    <w:p w14:paraId="206181C5">
      <w:pPr>
        <w:keepNext w:val="0"/>
        <w:keepLines w:val="0"/>
        <w:pageBreakBefore w:val="0"/>
        <w:kinsoku/>
        <w:overflowPunct/>
        <w:topLinePunct w:val="0"/>
        <w:autoSpaceDE/>
        <w:autoSpaceDN/>
        <w:bidi w:val="0"/>
        <w:adjustRightInd/>
        <w:snapToGrid/>
        <w:spacing w:line="600" w:lineRule="exact"/>
        <w:jc w:val="center"/>
        <w:textAlignment w:val="auto"/>
        <w:rPr>
          <w:rFonts w:hint="eastAsia" w:ascii="仿宋_GB2312" w:eastAsia="仿宋_GB2312"/>
          <w:sz w:val="32"/>
          <w:szCs w:val="32"/>
        </w:rPr>
      </w:pPr>
    </w:p>
    <w:p w14:paraId="4C114D7D">
      <w:pPr>
        <w:keepNext w:val="0"/>
        <w:keepLines w:val="0"/>
        <w:pageBreakBefore w:val="0"/>
        <w:kinsoku/>
        <w:wordWrap w:val="0"/>
        <w:overflowPunct/>
        <w:topLinePunct w:val="0"/>
        <w:autoSpaceDE/>
        <w:autoSpaceDN/>
        <w:bidi w:val="0"/>
        <w:adjustRightInd/>
        <w:snapToGrid/>
        <w:spacing w:line="600" w:lineRule="exact"/>
        <w:jc w:val="center"/>
        <w:textAlignment w:val="auto"/>
        <w:rPr>
          <w:rFonts w:hint="eastAsia" w:ascii="仿宋_GB2312" w:eastAsia="仿宋_GB2312"/>
          <w:sz w:val="32"/>
          <w:szCs w:val="32"/>
        </w:rPr>
      </w:pPr>
    </w:p>
    <w:p w14:paraId="475FBF04">
      <w:pPr>
        <w:keepNext w:val="0"/>
        <w:keepLines w:val="0"/>
        <w:pageBreakBefore w:val="0"/>
        <w:kinsoku/>
        <w:wordWrap w:val="0"/>
        <w:overflowPunct/>
        <w:topLinePunct w:val="0"/>
        <w:autoSpaceDE/>
        <w:autoSpaceDN/>
        <w:bidi w:val="0"/>
        <w:adjustRightInd/>
        <w:snapToGrid/>
        <w:spacing w:line="600" w:lineRule="exact"/>
        <w:jc w:val="center"/>
        <w:textAlignment w:val="auto"/>
        <w:rPr>
          <w:rFonts w:hint="eastAsia" w:ascii="仿宋_GB2312" w:eastAsia="仿宋_GB2312"/>
          <w:sz w:val="32"/>
          <w:szCs w:val="32"/>
        </w:rPr>
      </w:pPr>
      <w:r>
        <w:rPr>
          <w:rFonts w:hint="eastAsia" w:ascii="仿宋_GB2312" w:eastAsia="仿宋_GB2312"/>
          <w:sz w:val="32"/>
          <w:szCs w:val="32"/>
        </w:rPr>
        <w:t xml:space="preserve">                       青阳县人民政府</w:t>
      </w:r>
      <w:r>
        <w:rPr>
          <w:rFonts w:hint="eastAsia" w:ascii="仿宋_GB2312" w:eastAsia="仿宋_GB2312"/>
          <w:sz w:val="32"/>
          <w:szCs w:val="32"/>
          <w:lang w:eastAsia="zh-CN"/>
        </w:rPr>
        <w:t>办公室</w:t>
      </w:r>
      <w:r>
        <w:rPr>
          <w:rFonts w:ascii="仿宋_GB2312" w:eastAsia="仿宋_GB2312"/>
          <w:sz w:val="32"/>
          <w:szCs w:val="32"/>
        </w:rPr>
        <w:t xml:space="preserve">   </w:t>
      </w:r>
    </w:p>
    <w:p w14:paraId="63EB841C">
      <w:pPr>
        <w:keepNext w:val="0"/>
        <w:keepLines w:val="0"/>
        <w:pageBreakBefore w:val="0"/>
        <w:widowControl w:val="0"/>
        <w:kinsoku/>
        <w:wordWrap/>
        <w:overflowPunct/>
        <w:topLinePunct w:val="0"/>
        <w:autoSpaceDE/>
        <w:autoSpaceDN/>
        <w:bidi w:val="0"/>
        <w:adjustRightInd/>
        <w:snapToGrid/>
        <w:spacing w:beforeLines="0" w:afterLines="0" w:line="560" w:lineRule="exact"/>
        <w:jc w:val="center"/>
        <w:textAlignment w:val="auto"/>
        <w:rPr>
          <w:rFonts w:ascii="仿宋_GB2312" w:eastAsia="仿宋_GB2312"/>
          <w:sz w:val="32"/>
          <w:szCs w:val="32"/>
        </w:rPr>
      </w:pPr>
      <w:r>
        <w:rPr>
          <w:rFonts w:hint="eastAsia" w:ascii="仿宋_GB2312" w:eastAsia="仿宋_GB2312"/>
          <w:sz w:val="32"/>
          <w:szCs w:val="32"/>
        </w:rPr>
        <w:t xml:space="preserve">                     202</w:t>
      </w:r>
      <w:r>
        <w:rPr>
          <w:rFonts w:hint="eastAsia" w:ascii="仿宋_GB2312" w:eastAsia="仿宋_GB2312"/>
          <w:sz w:val="32"/>
          <w:szCs w:val="32"/>
          <w:lang w:val="en-US" w:eastAsia="zh-CN"/>
        </w:rPr>
        <w:t>5</w:t>
      </w:r>
      <w:r>
        <w:rPr>
          <w:rFonts w:hint="eastAsia" w:ascii="仿宋_GB2312" w:eastAsia="仿宋_GB2312"/>
          <w:sz w:val="32"/>
          <w:szCs w:val="32"/>
        </w:rPr>
        <w:t>年</w:t>
      </w:r>
      <w:r>
        <w:rPr>
          <w:rFonts w:hint="eastAsia" w:ascii="仿宋_GB2312" w:eastAsia="仿宋_GB2312"/>
          <w:sz w:val="32"/>
          <w:szCs w:val="32"/>
          <w:lang w:val="en-US" w:eastAsia="zh-CN"/>
        </w:rPr>
        <w:t>3</w:t>
      </w:r>
      <w:r>
        <w:rPr>
          <w:rFonts w:hint="eastAsia" w:ascii="仿宋_GB2312" w:eastAsia="仿宋_GB2312"/>
          <w:sz w:val="32"/>
          <w:szCs w:val="32"/>
        </w:rPr>
        <w:t>月</w:t>
      </w:r>
      <w:r>
        <w:rPr>
          <w:rFonts w:hint="eastAsia" w:ascii="仿宋_GB2312" w:eastAsia="仿宋_GB2312"/>
          <w:sz w:val="32"/>
          <w:szCs w:val="32"/>
          <w:lang w:val="en-US" w:eastAsia="zh-CN"/>
        </w:rPr>
        <w:t>27</w:t>
      </w:r>
      <w:r>
        <w:rPr>
          <w:rFonts w:hint="eastAsia" w:ascii="仿宋_GB2312" w:eastAsia="仿宋_GB2312"/>
          <w:sz w:val="32"/>
          <w:szCs w:val="32"/>
        </w:rPr>
        <w:t xml:space="preserve">日 </w:t>
      </w:r>
      <w:r>
        <w:rPr>
          <w:rFonts w:ascii="仿宋_GB2312" w:eastAsia="仿宋_GB2312"/>
          <w:sz w:val="32"/>
          <w:szCs w:val="32"/>
        </w:rPr>
        <w:t xml:space="preserve">    </w:t>
      </w:r>
    </w:p>
    <w:p w14:paraId="31C8CFD5">
      <w:pPr>
        <w:keepNext w:val="0"/>
        <w:keepLines w:val="0"/>
        <w:pageBreakBefore w:val="0"/>
        <w:widowControl w:val="0"/>
        <w:kinsoku/>
        <w:wordWrap/>
        <w:overflowPunct/>
        <w:topLinePunct w:val="0"/>
        <w:autoSpaceDE/>
        <w:autoSpaceDN/>
        <w:bidi w:val="0"/>
        <w:adjustRightInd/>
        <w:snapToGrid/>
        <w:spacing w:beforeLines="0" w:afterLines="0" w:line="560" w:lineRule="exact"/>
        <w:jc w:val="both"/>
        <w:textAlignment w:val="auto"/>
        <w:rPr>
          <w:rFonts w:ascii="仿宋_GB2312" w:eastAsia="仿宋_GB2312"/>
          <w:sz w:val="32"/>
          <w:szCs w:val="32"/>
        </w:rPr>
      </w:pPr>
    </w:p>
    <w:p w14:paraId="4643C20E">
      <w:pPr>
        <w:keepNext w:val="0"/>
        <w:keepLines w:val="0"/>
        <w:pageBreakBefore w:val="0"/>
        <w:widowControl w:val="0"/>
        <w:kinsoku/>
        <w:wordWrap/>
        <w:overflowPunct/>
        <w:topLinePunct w:val="0"/>
        <w:autoSpaceDE/>
        <w:autoSpaceDN/>
        <w:bidi w:val="0"/>
        <w:adjustRightInd/>
        <w:snapToGrid/>
        <w:spacing w:beforeLines="0" w:afterLines="0" w:line="560" w:lineRule="exact"/>
        <w:jc w:val="center"/>
        <w:textAlignment w:val="auto"/>
        <w:rPr>
          <w:rFonts w:hint="eastAsia" w:ascii="Times New Roman" w:hAnsi="Times New Roman" w:eastAsia="方正小标宋简体"/>
          <w:sz w:val="44"/>
          <w:szCs w:val="44"/>
        </w:rPr>
        <w:sectPr>
          <w:footerReference r:id="rId3" w:type="default"/>
          <w:pgSz w:w="11906" w:h="16838"/>
          <w:pgMar w:top="2098" w:right="1531" w:bottom="1984" w:left="1531" w:header="851" w:footer="992" w:gutter="0"/>
          <w:pgNumType w:fmt="decimal"/>
          <w:cols w:space="425" w:num="1"/>
          <w:docGrid w:type="lines" w:linePitch="312" w:charSpace="0"/>
        </w:sectPr>
      </w:pPr>
    </w:p>
    <w:p w14:paraId="1F43C8BF">
      <w:pPr>
        <w:keepNext w:val="0"/>
        <w:keepLines w:val="0"/>
        <w:pageBreakBefore w:val="0"/>
        <w:widowControl w:val="0"/>
        <w:kinsoku/>
        <w:wordWrap/>
        <w:overflowPunct/>
        <w:topLinePunct w:val="0"/>
        <w:autoSpaceDE/>
        <w:autoSpaceDN/>
        <w:bidi w:val="0"/>
        <w:adjustRightInd/>
        <w:snapToGrid/>
        <w:spacing w:beforeLines="0" w:afterLines="0" w:line="560" w:lineRule="exact"/>
        <w:jc w:val="center"/>
        <w:textAlignment w:val="auto"/>
        <w:rPr>
          <w:rFonts w:hint="eastAsia" w:ascii="Times New Roman" w:hAnsi="Times New Roman" w:eastAsia="方正小标宋简体"/>
          <w:sz w:val="44"/>
          <w:szCs w:val="44"/>
          <w:lang w:val="en-US" w:eastAsia="zh-CN"/>
        </w:rPr>
      </w:pPr>
      <w:r>
        <w:rPr>
          <w:rFonts w:hint="eastAsia" w:ascii="Times New Roman" w:hAnsi="Times New Roman" w:eastAsia="方正小标宋简体"/>
          <w:sz w:val="44"/>
          <w:szCs w:val="44"/>
        </w:rPr>
        <w:t>青阳县</w:t>
      </w:r>
      <w:r>
        <w:rPr>
          <w:rFonts w:hint="eastAsia" w:ascii="Times New Roman" w:hAnsi="Times New Roman" w:eastAsia="方正小标宋简体"/>
          <w:sz w:val="44"/>
          <w:szCs w:val="44"/>
          <w:lang w:val="en-US" w:eastAsia="zh-CN"/>
        </w:rPr>
        <w:t>推进现代服务业高质量发展</w:t>
      </w:r>
    </w:p>
    <w:p w14:paraId="11A14001">
      <w:pPr>
        <w:keepNext w:val="0"/>
        <w:keepLines w:val="0"/>
        <w:pageBreakBefore w:val="0"/>
        <w:widowControl w:val="0"/>
        <w:kinsoku/>
        <w:wordWrap/>
        <w:overflowPunct/>
        <w:topLinePunct w:val="0"/>
        <w:autoSpaceDE/>
        <w:autoSpaceDN/>
        <w:bidi w:val="0"/>
        <w:adjustRightInd/>
        <w:snapToGrid/>
        <w:spacing w:beforeLines="0" w:afterLines="0" w:line="560" w:lineRule="exact"/>
        <w:jc w:val="center"/>
        <w:textAlignment w:val="auto"/>
        <w:rPr>
          <w:rFonts w:hint="default" w:ascii="Times New Roman" w:hAnsi="Times New Roman" w:eastAsia="方正小标宋简体"/>
          <w:sz w:val="44"/>
          <w:szCs w:val="44"/>
        </w:rPr>
      </w:pPr>
      <w:r>
        <w:rPr>
          <w:rFonts w:hint="eastAsia" w:ascii="Times New Roman" w:hAnsi="Times New Roman" w:eastAsia="方正小标宋简体"/>
          <w:sz w:val="44"/>
          <w:szCs w:val="44"/>
          <w:lang w:val="en-US" w:eastAsia="zh-CN"/>
        </w:rPr>
        <w:t>十大攻坚行动实施</w:t>
      </w:r>
      <w:r>
        <w:rPr>
          <w:rFonts w:hint="eastAsia" w:ascii="Times New Roman" w:hAnsi="Times New Roman" w:eastAsia="方正小标宋简体"/>
          <w:sz w:val="44"/>
          <w:szCs w:val="44"/>
        </w:rPr>
        <w:t>方案</w:t>
      </w:r>
    </w:p>
    <w:p w14:paraId="761D3872">
      <w:pPr>
        <w:spacing w:beforeLines="0" w:afterLines="0" w:line="580" w:lineRule="exact"/>
        <w:ind w:firstLine="640" w:firstLineChars="200"/>
        <w:rPr>
          <w:rFonts w:hint="default" w:ascii="Times New Roman" w:hAnsi="Times New Roman" w:eastAsia="仿宋_GB2312"/>
          <w:sz w:val="32"/>
          <w:szCs w:val="32"/>
        </w:rPr>
      </w:pPr>
    </w:p>
    <w:p w14:paraId="3726B8E5">
      <w:pPr>
        <w:keepNext w:val="0"/>
        <w:keepLines w:val="0"/>
        <w:pageBreakBefore w:val="0"/>
        <w:widowControl w:val="0"/>
        <w:kinsoku/>
        <w:wordWrap/>
        <w:overflowPunct/>
        <w:topLinePunct w:val="0"/>
        <w:autoSpaceDE w:val="0"/>
        <w:autoSpaceDN w:val="0"/>
        <w:bidi w:val="0"/>
        <w:adjustRightInd w:val="0"/>
        <w:snapToGrid w:val="0"/>
        <w:spacing w:line="572" w:lineRule="exact"/>
        <w:ind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为</w:t>
      </w:r>
      <w:r>
        <w:rPr>
          <w:rFonts w:hint="eastAsia" w:ascii="仿宋_GB2312" w:hAnsi="仿宋_GB2312" w:eastAsia="仿宋_GB2312" w:cs="仿宋_GB2312"/>
          <w:color w:val="auto"/>
          <w:sz w:val="32"/>
          <w:szCs w:val="32"/>
          <w:lang w:val="en-US" w:eastAsia="zh-CN"/>
        </w:rPr>
        <w:t>进一步</w:t>
      </w:r>
      <w:r>
        <w:rPr>
          <w:rFonts w:hint="eastAsia" w:ascii="仿宋_GB2312" w:hAnsi="仿宋_GB2312" w:eastAsia="仿宋_GB2312" w:cs="仿宋_GB2312"/>
          <w:color w:val="auto"/>
          <w:sz w:val="32"/>
          <w:szCs w:val="32"/>
        </w:rPr>
        <w:t>推动现代服务业高质量发展，</w:t>
      </w:r>
      <w:r>
        <w:rPr>
          <w:rFonts w:hint="eastAsia" w:ascii="仿宋_GB2312" w:hAnsi="仿宋_GB2312" w:eastAsia="仿宋_GB2312" w:cs="仿宋_GB2312"/>
          <w:color w:val="auto"/>
          <w:sz w:val="32"/>
          <w:szCs w:val="32"/>
          <w:lang w:val="en-US" w:eastAsia="zh-CN"/>
        </w:rPr>
        <w:t>按照省市关于加快现代服务业补短板、提质效、扩体量的部署要求，</w:t>
      </w:r>
      <w:r>
        <w:rPr>
          <w:rFonts w:hint="eastAsia" w:ascii="仿宋_GB2312" w:hAnsi="仿宋_GB2312" w:eastAsia="仿宋_GB2312" w:cs="仿宋_GB2312"/>
          <w:color w:val="auto"/>
          <w:sz w:val="32"/>
          <w:szCs w:val="32"/>
        </w:rPr>
        <w:t>结合我</w:t>
      </w:r>
      <w:r>
        <w:rPr>
          <w:rFonts w:hint="eastAsia" w:ascii="仿宋_GB2312" w:hAnsi="仿宋_GB2312" w:eastAsia="仿宋_GB2312" w:cs="仿宋_GB2312"/>
          <w:color w:val="auto"/>
          <w:sz w:val="32"/>
          <w:szCs w:val="32"/>
          <w:lang w:val="en-US" w:eastAsia="zh-CN"/>
        </w:rPr>
        <w:t>县</w:t>
      </w:r>
      <w:r>
        <w:rPr>
          <w:rFonts w:hint="eastAsia" w:ascii="仿宋_GB2312" w:hAnsi="仿宋_GB2312" w:eastAsia="仿宋_GB2312" w:cs="仿宋_GB2312"/>
          <w:color w:val="auto"/>
          <w:sz w:val="32"/>
          <w:szCs w:val="32"/>
        </w:rPr>
        <w:t>实际，制定本实施方案。</w:t>
      </w:r>
    </w:p>
    <w:p w14:paraId="1664F519">
      <w:pPr>
        <w:keepNext w:val="0"/>
        <w:keepLines w:val="0"/>
        <w:pageBreakBefore w:val="0"/>
        <w:widowControl w:val="0"/>
        <w:kinsoku/>
        <w:wordWrap/>
        <w:overflowPunct/>
        <w:topLinePunct w:val="0"/>
        <w:autoSpaceDE w:val="0"/>
        <w:autoSpaceDN w:val="0"/>
        <w:bidi w:val="0"/>
        <w:adjustRightInd w:val="0"/>
        <w:snapToGrid w:val="0"/>
        <w:spacing w:line="572" w:lineRule="exact"/>
        <w:ind w:firstLine="640" w:firstLineChars="200"/>
        <w:jc w:val="both"/>
        <w:textAlignment w:val="auto"/>
        <w:outlineLvl w:val="9"/>
        <w:rPr>
          <w:rFonts w:hint="eastAsia" w:ascii="黑体" w:hAnsi="黑体" w:eastAsia="黑体" w:cs="黑体"/>
          <w:color w:val="auto"/>
          <w:sz w:val="32"/>
          <w:szCs w:val="32"/>
        </w:rPr>
      </w:pPr>
      <w:r>
        <w:rPr>
          <w:rFonts w:hint="eastAsia" w:ascii="黑体" w:hAnsi="黑体" w:eastAsia="黑体" w:cs="黑体"/>
          <w:color w:val="auto"/>
          <w:sz w:val="32"/>
          <w:szCs w:val="32"/>
        </w:rPr>
        <w:t>一、发展目标</w:t>
      </w:r>
    </w:p>
    <w:p w14:paraId="7A85343B">
      <w:pPr>
        <w:keepNext w:val="0"/>
        <w:keepLines w:val="0"/>
        <w:pageBreakBefore w:val="0"/>
        <w:widowControl w:val="0"/>
        <w:kinsoku/>
        <w:wordWrap/>
        <w:overflowPunct/>
        <w:topLinePunct w:val="0"/>
        <w:autoSpaceDE w:val="0"/>
        <w:autoSpaceDN w:val="0"/>
        <w:bidi w:val="0"/>
        <w:adjustRightInd w:val="0"/>
        <w:snapToGrid w:val="0"/>
        <w:spacing w:line="572" w:lineRule="exact"/>
        <w:ind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围绕科技服务、</w:t>
      </w:r>
      <w:r>
        <w:rPr>
          <w:rFonts w:hint="eastAsia" w:ascii="仿宋_GB2312" w:hAnsi="仿宋_GB2312" w:eastAsia="仿宋_GB2312" w:cs="仿宋_GB2312"/>
          <w:color w:val="auto"/>
          <w:sz w:val="32"/>
          <w:szCs w:val="32"/>
          <w:lang w:val="en-US" w:eastAsia="zh-CN"/>
        </w:rPr>
        <w:t>现代金融、</w:t>
      </w:r>
      <w:r>
        <w:rPr>
          <w:rFonts w:hint="eastAsia" w:ascii="仿宋_GB2312" w:hAnsi="仿宋_GB2312" w:eastAsia="仿宋_GB2312" w:cs="仿宋_GB2312"/>
          <w:color w:val="auto"/>
          <w:sz w:val="32"/>
          <w:szCs w:val="32"/>
        </w:rPr>
        <w:t>现代物流、商务咨询服务、文旅创意、现代商贸、</w:t>
      </w:r>
      <w:r>
        <w:rPr>
          <w:rFonts w:hint="eastAsia" w:ascii="仿宋_GB2312" w:hAnsi="仿宋_GB2312" w:eastAsia="仿宋_GB2312" w:cs="仿宋_GB2312"/>
          <w:color w:val="auto"/>
          <w:sz w:val="32"/>
          <w:szCs w:val="32"/>
          <w:lang w:val="en-US" w:eastAsia="zh-CN"/>
        </w:rPr>
        <w:t>会展赛事、</w:t>
      </w:r>
      <w:r>
        <w:rPr>
          <w:rFonts w:hint="eastAsia" w:ascii="仿宋_GB2312" w:hAnsi="仿宋_GB2312" w:eastAsia="仿宋_GB2312" w:cs="仿宋_GB2312"/>
          <w:color w:val="auto"/>
          <w:sz w:val="32"/>
          <w:szCs w:val="32"/>
        </w:rPr>
        <w:t>现代民生服务业</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总部经济、</w:t>
      </w:r>
      <w:r>
        <w:rPr>
          <w:rFonts w:hint="eastAsia" w:ascii="仿宋_GB2312" w:hAnsi="仿宋_GB2312" w:eastAsia="仿宋_GB2312" w:cs="仿宋_GB2312"/>
          <w:color w:val="auto"/>
          <w:sz w:val="32"/>
          <w:szCs w:val="32"/>
          <w:lang w:eastAsia="zh-CN"/>
        </w:rPr>
        <w:t>市场主体培育</w:t>
      </w:r>
      <w:r>
        <w:rPr>
          <w:rFonts w:hint="eastAsia" w:ascii="仿宋_GB2312" w:hAnsi="仿宋_GB2312" w:eastAsia="仿宋_GB2312" w:cs="仿宋_GB2312"/>
          <w:color w:val="auto"/>
          <w:sz w:val="32"/>
          <w:szCs w:val="32"/>
        </w:rPr>
        <w:t>等重点领域，实施</w:t>
      </w:r>
      <w:r>
        <w:rPr>
          <w:rFonts w:hint="eastAsia" w:ascii="仿宋_GB2312" w:hAnsi="仿宋_GB2312" w:eastAsia="仿宋_GB2312" w:cs="仿宋_GB2312"/>
          <w:color w:val="auto"/>
          <w:sz w:val="32"/>
          <w:szCs w:val="32"/>
          <w:lang w:val="en-US" w:eastAsia="zh-CN"/>
        </w:rPr>
        <w:t>十</w:t>
      </w:r>
      <w:r>
        <w:rPr>
          <w:rFonts w:hint="eastAsia" w:ascii="仿宋_GB2312" w:hAnsi="仿宋_GB2312" w:eastAsia="仿宋_GB2312" w:cs="仿宋_GB2312"/>
          <w:color w:val="auto"/>
          <w:sz w:val="32"/>
          <w:szCs w:val="32"/>
        </w:rPr>
        <w:t>大攻坚行动，推进生产性服务业向专业化和价值链高端延伸，生活性服务业向高品质和多样化升级。</w:t>
      </w:r>
      <w:r>
        <w:rPr>
          <w:rFonts w:hint="eastAsia" w:ascii="仿宋_GB2312" w:hAnsi="仿宋_GB2312" w:eastAsia="仿宋_GB2312" w:cs="仿宋_GB2312"/>
          <w:color w:val="auto"/>
          <w:sz w:val="32"/>
          <w:szCs w:val="32"/>
          <w:lang w:val="en-US" w:eastAsia="zh-CN"/>
        </w:rPr>
        <w:t>到</w:t>
      </w:r>
      <w:r>
        <w:rPr>
          <w:rFonts w:hint="eastAsia" w:ascii="仿宋_GB2312" w:hAnsi="仿宋_GB2312" w:eastAsia="仿宋_GB2312" w:cs="仿宋_GB2312"/>
          <w:color w:val="auto"/>
          <w:sz w:val="32"/>
          <w:szCs w:val="32"/>
        </w:rPr>
        <w:t>2027年，力争现代服务业增加值增幅</w:t>
      </w:r>
      <w:r>
        <w:rPr>
          <w:rFonts w:hint="eastAsia" w:ascii="仿宋_GB2312" w:hAnsi="仿宋_GB2312" w:eastAsia="仿宋_GB2312" w:cs="仿宋_GB2312"/>
          <w:color w:val="auto"/>
          <w:sz w:val="32"/>
          <w:szCs w:val="32"/>
          <w:lang w:val="en-US" w:eastAsia="zh-CN"/>
        </w:rPr>
        <w:t>居全市“三县一区”前列、其他营利性服务业增速高于全县地区生产总值3个百分点以上</w:t>
      </w:r>
      <w:r>
        <w:rPr>
          <w:rFonts w:hint="eastAsia" w:ascii="仿宋_GB2312" w:hAnsi="仿宋_GB2312" w:eastAsia="仿宋_GB2312" w:cs="仿宋_GB2312"/>
          <w:color w:val="auto"/>
          <w:sz w:val="32"/>
          <w:szCs w:val="32"/>
        </w:rPr>
        <w:t>，新增规模以上服务业企业</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不含传统批零住餐企业</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30</w:t>
      </w:r>
      <w:r>
        <w:rPr>
          <w:rFonts w:hint="eastAsia" w:ascii="仿宋_GB2312" w:hAnsi="仿宋_GB2312" w:eastAsia="仿宋_GB2312" w:cs="仿宋_GB2312"/>
          <w:color w:val="auto"/>
          <w:sz w:val="32"/>
          <w:szCs w:val="32"/>
        </w:rPr>
        <w:t>家、总数</w:t>
      </w:r>
      <w:r>
        <w:rPr>
          <w:rFonts w:hint="eastAsia" w:ascii="仿宋_GB2312" w:hAnsi="仿宋_GB2312" w:eastAsia="仿宋_GB2312" w:cs="仿宋_GB2312"/>
          <w:color w:val="auto"/>
          <w:sz w:val="32"/>
          <w:szCs w:val="32"/>
          <w:lang w:val="en-US" w:eastAsia="zh-CN"/>
        </w:rPr>
        <w:t>超过50</w:t>
      </w:r>
      <w:r>
        <w:rPr>
          <w:rFonts w:hint="eastAsia" w:ascii="仿宋_GB2312" w:hAnsi="仿宋_GB2312" w:eastAsia="仿宋_GB2312" w:cs="仿宋_GB2312"/>
          <w:color w:val="auto"/>
          <w:sz w:val="32"/>
          <w:szCs w:val="32"/>
        </w:rPr>
        <w:t>家，培育营业收入超亿元企业</w:t>
      </w:r>
      <w:r>
        <w:rPr>
          <w:rFonts w:hint="eastAsia" w:ascii="仿宋_GB2312" w:hAnsi="仿宋_GB2312" w:eastAsia="仿宋_GB2312" w:cs="仿宋_GB2312"/>
          <w:color w:val="auto"/>
          <w:sz w:val="32"/>
          <w:szCs w:val="32"/>
          <w:lang w:val="en-US" w:eastAsia="zh-CN"/>
        </w:rPr>
        <w:t>5</w:t>
      </w:r>
      <w:r>
        <w:rPr>
          <w:rFonts w:hint="eastAsia" w:ascii="仿宋_GB2312" w:hAnsi="仿宋_GB2312" w:eastAsia="仿宋_GB2312" w:cs="仿宋_GB2312"/>
          <w:color w:val="auto"/>
          <w:sz w:val="32"/>
          <w:szCs w:val="32"/>
        </w:rPr>
        <w:t>家</w:t>
      </w:r>
      <w:r>
        <w:rPr>
          <w:rFonts w:hint="eastAsia" w:ascii="仿宋_GB2312" w:hAnsi="仿宋_GB2312" w:eastAsia="仿宋_GB2312" w:cs="仿宋_GB2312"/>
          <w:color w:val="auto"/>
          <w:sz w:val="32"/>
          <w:szCs w:val="32"/>
          <w:lang w:val="en-US" w:eastAsia="zh-CN"/>
        </w:rPr>
        <w:t>以上</w:t>
      </w:r>
      <w:r>
        <w:rPr>
          <w:rFonts w:hint="eastAsia" w:ascii="仿宋_GB2312" w:hAnsi="仿宋_GB2312" w:eastAsia="仿宋_GB2312" w:cs="仿宋_GB2312"/>
          <w:color w:val="auto"/>
          <w:sz w:val="32"/>
          <w:szCs w:val="32"/>
        </w:rPr>
        <w:t>、累计达到</w:t>
      </w:r>
      <w:r>
        <w:rPr>
          <w:rFonts w:hint="eastAsia" w:ascii="仿宋_GB2312" w:hAnsi="仿宋_GB2312" w:eastAsia="仿宋_GB2312" w:cs="仿宋_GB2312"/>
          <w:color w:val="auto"/>
          <w:sz w:val="32"/>
          <w:szCs w:val="32"/>
          <w:lang w:val="en-US" w:eastAsia="zh-CN"/>
        </w:rPr>
        <w:t>8</w:t>
      </w:r>
      <w:r>
        <w:rPr>
          <w:rFonts w:hint="eastAsia" w:ascii="仿宋_GB2312" w:hAnsi="仿宋_GB2312" w:eastAsia="仿宋_GB2312" w:cs="仿宋_GB2312"/>
          <w:color w:val="auto"/>
          <w:sz w:val="32"/>
          <w:szCs w:val="32"/>
        </w:rPr>
        <w:t>家</w:t>
      </w:r>
      <w:r>
        <w:rPr>
          <w:rFonts w:hint="eastAsia" w:ascii="仿宋_GB2312" w:hAnsi="仿宋_GB2312" w:eastAsia="仿宋_GB2312" w:cs="仿宋_GB2312"/>
          <w:color w:val="auto"/>
          <w:sz w:val="32"/>
          <w:szCs w:val="32"/>
          <w:lang w:val="en-US" w:eastAsia="zh-CN"/>
        </w:rPr>
        <w:t>左右</w:t>
      </w:r>
      <w:r>
        <w:rPr>
          <w:rFonts w:hint="eastAsia" w:ascii="仿宋_GB2312" w:hAnsi="仿宋_GB2312" w:eastAsia="仿宋_GB2312" w:cs="仿宋_GB2312"/>
          <w:color w:val="auto"/>
          <w:sz w:val="32"/>
          <w:szCs w:val="32"/>
        </w:rPr>
        <w:t>。通过攻坚行动，力争我</w:t>
      </w:r>
      <w:r>
        <w:rPr>
          <w:rFonts w:hint="eastAsia" w:ascii="仿宋_GB2312" w:hAnsi="仿宋_GB2312" w:eastAsia="仿宋_GB2312" w:cs="仿宋_GB2312"/>
          <w:color w:val="auto"/>
          <w:sz w:val="32"/>
          <w:szCs w:val="32"/>
          <w:lang w:eastAsia="zh-CN"/>
        </w:rPr>
        <w:t>县</w:t>
      </w:r>
      <w:r>
        <w:rPr>
          <w:rFonts w:hint="eastAsia" w:ascii="仿宋_GB2312" w:hAnsi="仿宋_GB2312" w:eastAsia="仿宋_GB2312" w:cs="仿宋_GB2312"/>
          <w:color w:val="auto"/>
          <w:sz w:val="32"/>
          <w:szCs w:val="32"/>
        </w:rPr>
        <w:t>服务业</w:t>
      </w:r>
      <w:r>
        <w:rPr>
          <w:rFonts w:hint="eastAsia" w:ascii="仿宋_GB2312" w:hAnsi="仿宋_GB2312" w:eastAsia="仿宋_GB2312" w:cs="仿宋_GB2312"/>
          <w:color w:val="auto"/>
          <w:sz w:val="32"/>
          <w:szCs w:val="32"/>
          <w:lang w:eastAsia="zh-CN"/>
        </w:rPr>
        <w:t>发展</w:t>
      </w:r>
      <w:r>
        <w:rPr>
          <w:rFonts w:hint="eastAsia" w:ascii="仿宋_GB2312" w:hAnsi="仿宋_GB2312" w:eastAsia="仿宋_GB2312" w:cs="仿宋_GB2312"/>
          <w:color w:val="auto"/>
          <w:sz w:val="32"/>
          <w:szCs w:val="32"/>
        </w:rPr>
        <w:t>在全</w:t>
      </w:r>
      <w:r>
        <w:rPr>
          <w:rFonts w:hint="eastAsia" w:ascii="仿宋_GB2312" w:hAnsi="仿宋_GB2312" w:eastAsia="仿宋_GB2312" w:cs="仿宋_GB2312"/>
          <w:color w:val="auto"/>
          <w:sz w:val="32"/>
          <w:szCs w:val="32"/>
          <w:lang w:val="en-US" w:eastAsia="zh-CN"/>
        </w:rPr>
        <w:t>市进位次</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在全县挑大梁</w:t>
      </w:r>
      <w:r>
        <w:rPr>
          <w:rFonts w:hint="eastAsia" w:ascii="仿宋_GB2312" w:hAnsi="仿宋_GB2312" w:eastAsia="仿宋_GB2312" w:cs="仿宋_GB2312"/>
          <w:color w:val="auto"/>
          <w:sz w:val="32"/>
          <w:szCs w:val="32"/>
        </w:rPr>
        <w:t>。</w:t>
      </w:r>
    </w:p>
    <w:p w14:paraId="632959E3">
      <w:pPr>
        <w:keepNext w:val="0"/>
        <w:keepLines w:val="0"/>
        <w:pageBreakBefore w:val="0"/>
        <w:widowControl w:val="0"/>
        <w:kinsoku/>
        <w:wordWrap/>
        <w:overflowPunct/>
        <w:topLinePunct w:val="0"/>
        <w:autoSpaceDE w:val="0"/>
        <w:autoSpaceDN w:val="0"/>
        <w:bidi w:val="0"/>
        <w:adjustRightInd w:val="0"/>
        <w:snapToGrid w:val="0"/>
        <w:spacing w:line="572" w:lineRule="exact"/>
        <w:ind w:firstLine="640" w:firstLineChars="200"/>
        <w:jc w:val="both"/>
        <w:textAlignment w:val="auto"/>
        <w:outlineLvl w:val="9"/>
        <w:rPr>
          <w:rFonts w:hint="eastAsia" w:ascii="黑体" w:hAnsi="黑体" w:eastAsia="黑体" w:cs="黑体"/>
          <w:color w:val="auto"/>
          <w:sz w:val="32"/>
          <w:szCs w:val="32"/>
        </w:rPr>
      </w:pPr>
      <w:r>
        <w:rPr>
          <w:rFonts w:hint="eastAsia" w:ascii="黑体" w:hAnsi="黑体" w:eastAsia="黑体" w:cs="黑体"/>
          <w:color w:val="auto"/>
          <w:sz w:val="32"/>
          <w:szCs w:val="32"/>
        </w:rPr>
        <w:t>二、</w:t>
      </w:r>
      <w:r>
        <w:rPr>
          <w:rFonts w:hint="eastAsia" w:ascii="黑体" w:hAnsi="黑体" w:eastAsia="黑体" w:cs="黑体"/>
          <w:color w:val="auto"/>
          <w:sz w:val="32"/>
          <w:szCs w:val="32"/>
          <w:lang w:val="en-US" w:eastAsia="zh-CN"/>
        </w:rPr>
        <w:t>十</w:t>
      </w:r>
      <w:r>
        <w:rPr>
          <w:rFonts w:hint="eastAsia" w:ascii="黑体" w:hAnsi="黑体" w:eastAsia="黑体" w:cs="黑体"/>
          <w:color w:val="auto"/>
          <w:sz w:val="32"/>
          <w:szCs w:val="32"/>
        </w:rPr>
        <w:t>大攻坚行动</w:t>
      </w:r>
    </w:p>
    <w:p w14:paraId="780BE3E1">
      <w:pPr>
        <w:keepNext w:val="0"/>
        <w:keepLines w:val="0"/>
        <w:pageBreakBefore w:val="0"/>
        <w:widowControl w:val="0"/>
        <w:kinsoku/>
        <w:wordWrap/>
        <w:overflowPunct/>
        <w:topLinePunct w:val="0"/>
        <w:autoSpaceDE w:val="0"/>
        <w:autoSpaceDN w:val="0"/>
        <w:bidi w:val="0"/>
        <w:adjustRightInd w:val="0"/>
        <w:snapToGrid w:val="0"/>
        <w:spacing w:line="572" w:lineRule="exact"/>
        <w:ind w:firstLine="643" w:firstLineChars="200"/>
        <w:jc w:val="both"/>
        <w:textAlignment w:val="auto"/>
        <w:rPr>
          <w:rFonts w:hint="eastAsia" w:ascii="楷体_GB2312" w:hAnsi="楷体_GB2312" w:eastAsia="楷体_GB2312" w:cs="楷体_GB2312"/>
          <w:b/>
          <w:bCs/>
          <w:color w:val="auto"/>
          <w:sz w:val="32"/>
          <w:szCs w:val="32"/>
          <w:lang w:val="en-US" w:eastAsia="en-US"/>
        </w:rPr>
      </w:pPr>
      <w:r>
        <w:rPr>
          <w:rFonts w:hint="eastAsia" w:ascii="楷体_GB2312" w:hAnsi="楷体_GB2312" w:eastAsia="楷体_GB2312" w:cs="楷体_GB2312"/>
          <w:b/>
          <w:bCs/>
          <w:color w:val="auto"/>
          <w:sz w:val="32"/>
          <w:szCs w:val="32"/>
        </w:rPr>
        <w:t>（一）科技服务攻坚行动。</w:t>
      </w:r>
      <w:r>
        <w:rPr>
          <w:rFonts w:hint="eastAsia" w:ascii="仿宋_GB2312" w:hAnsi="仿宋_GB2312" w:eastAsia="仿宋_GB2312" w:cs="仿宋_GB2312"/>
          <w:b/>
          <w:bCs/>
          <w:color w:val="auto"/>
          <w:sz w:val="32"/>
          <w:szCs w:val="32"/>
        </w:rPr>
        <w:t>1.加速制造服务化发展。</w:t>
      </w:r>
      <w:r>
        <w:rPr>
          <w:rFonts w:hint="eastAsia" w:ascii="仿宋_GB2312" w:hAnsi="仿宋_GB2312" w:eastAsia="仿宋_GB2312" w:cs="仿宋_GB2312"/>
          <w:color w:val="auto"/>
          <w:sz w:val="32"/>
          <w:szCs w:val="32"/>
        </w:rPr>
        <w:t>加快制造业和现代服务业深度融合</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推动制造业企业实施主辅分离，单独设立研发、检验检测等机构</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重点聚焦镁基新材料、九华黄精，钙基新材料等产业，依托现有基础，加强校企合作，加大基金扶持，强化招引培育，推进相关产业研究院、检测中心、品牌运营机构等建设。</w:t>
      </w:r>
      <w:r>
        <w:rPr>
          <w:rFonts w:hint="eastAsia" w:ascii="仿宋_GB2312" w:hAnsi="仿宋_GB2312" w:eastAsia="仿宋_GB2312" w:cs="仿宋_GB2312"/>
          <w:b/>
          <w:bCs/>
          <w:color w:val="auto"/>
          <w:sz w:val="32"/>
          <w:szCs w:val="32"/>
        </w:rPr>
        <w:t>2.建强科技服务平台体系。</w:t>
      </w:r>
      <w:r>
        <w:rPr>
          <w:rFonts w:hint="eastAsia" w:ascii="仿宋_GB2312" w:hAnsi="仿宋_GB2312" w:eastAsia="仿宋_GB2312" w:cs="仿宋_GB2312"/>
          <w:color w:val="auto"/>
          <w:sz w:val="32"/>
          <w:szCs w:val="32"/>
          <w:lang w:val="en-US" w:eastAsia="zh-CN"/>
        </w:rPr>
        <w:t>围绕首位产业谋划推进镁基新材料双能谷，依托</w:t>
      </w:r>
      <w:r>
        <w:rPr>
          <w:rFonts w:hint="eastAsia" w:ascii="仿宋_GB2312" w:hAnsi="仿宋_GB2312" w:eastAsia="仿宋_GB2312" w:cs="仿宋_GB2312"/>
          <w:color w:val="auto"/>
          <w:sz w:val="32"/>
          <w:szCs w:val="32"/>
        </w:rPr>
        <w:t>镁基新材料安徽省产业创新研究院等高能级创新平台，</w:t>
      </w:r>
      <w:r>
        <w:rPr>
          <w:rFonts w:hint="eastAsia" w:ascii="仿宋_GB2312" w:hAnsi="仿宋_GB2312" w:eastAsia="仿宋_GB2312" w:cs="仿宋_GB2312"/>
          <w:color w:val="auto"/>
          <w:sz w:val="32"/>
          <w:szCs w:val="32"/>
          <w:lang w:val="en-US" w:eastAsia="zh-CN"/>
        </w:rPr>
        <w:t>整合高校院所、整车企业、汽车零部件头部企业等镁铝产业链上下游科创资源，开展科技攻坚，提升产业核心竞争力。大力支持企业自主创新，推进市级企业研发中心加大投入，积极创建省级企业研发中心，鼓励</w:t>
      </w:r>
      <w:r>
        <w:rPr>
          <w:rFonts w:hint="eastAsia" w:ascii="仿宋_GB2312" w:hAnsi="仿宋_GB2312" w:eastAsia="仿宋_GB2312" w:cs="仿宋_GB2312"/>
          <w:color w:val="auto"/>
          <w:sz w:val="32"/>
          <w:szCs w:val="32"/>
        </w:rPr>
        <w:t>有条件的企业</w:t>
      </w:r>
      <w:r>
        <w:rPr>
          <w:rFonts w:hint="eastAsia" w:ascii="仿宋_GB2312" w:hAnsi="仿宋_GB2312" w:eastAsia="仿宋_GB2312" w:cs="仿宋_GB2312"/>
          <w:color w:val="auto"/>
          <w:sz w:val="32"/>
          <w:szCs w:val="32"/>
          <w:lang w:val="en-US" w:eastAsia="zh-CN"/>
        </w:rPr>
        <w:t>创建省级重点实验室。</w:t>
      </w:r>
      <w:r>
        <w:rPr>
          <w:rFonts w:hint="eastAsia" w:ascii="仿宋_GB2312" w:hAnsi="仿宋_GB2312" w:eastAsia="仿宋_GB2312" w:cs="仿宋_GB2312"/>
          <w:b/>
          <w:bCs/>
          <w:color w:val="auto"/>
          <w:sz w:val="32"/>
          <w:szCs w:val="32"/>
        </w:rPr>
        <w:t>3.大力发展科技中介服务业。</w:t>
      </w:r>
      <w:r>
        <w:rPr>
          <w:rFonts w:hint="eastAsia" w:ascii="仿宋_GB2312" w:hAnsi="仿宋_GB2312" w:eastAsia="仿宋_GB2312" w:cs="仿宋_GB2312"/>
          <w:color w:val="auto"/>
          <w:sz w:val="32"/>
          <w:szCs w:val="32"/>
          <w:lang w:val="en-US" w:eastAsia="zh-CN"/>
        </w:rPr>
        <w:t>大力推进数产融合，大力实施“两新”项目，打包整合传统企业、实体经济实施设备更新、技改升级、智能化数字化改造等项目，招引培育相关企业项目。</w:t>
      </w:r>
      <w:r>
        <w:rPr>
          <w:rFonts w:hint="eastAsia" w:ascii="仿宋_GB2312" w:hAnsi="仿宋_GB2312" w:eastAsia="仿宋_GB2312" w:cs="仿宋_GB2312"/>
          <w:color w:val="auto"/>
          <w:sz w:val="32"/>
          <w:szCs w:val="32"/>
        </w:rPr>
        <w:t>积极参与羚羊工业互联网等平台建设，</w:t>
      </w:r>
      <w:r>
        <w:rPr>
          <w:rFonts w:hint="eastAsia" w:ascii="仿宋_GB2312" w:hAnsi="仿宋_GB2312" w:eastAsia="仿宋_GB2312" w:cs="仿宋_GB2312"/>
          <w:color w:val="auto"/>
          <w:sz w:val="32"/>
          <w:szCs w:val="32"/>
          <w:lang w:val="en-US" w:eastAsia="zh-CN"/>
        </w:rPr>
        <w:t>提升企业注册率。推广惠企数字软件包，提供企业数字化诊断，推进企业数字化转型。</w:t>
      </w:r>
      <w:r>
        <w:rPr>
          <w:rFonts w:hint="eastAsia" w:ascii="仿宋_GB2312" w:hAnsi="仿宋_GB2312" w:eastAsia="仿宋_GB2312" w:cs="仿宋_GB2312"/>
          <w:color w:val="auto"/>
          <w:sz w:val="32"/>
          <w:szCs w:val="32"/>
        </w:rPr>
        <w:t>支持校企联合接办科技攻关项目。到2027年，</w:t>
      </w:r>
      <w:r>
        <w:rPr>
          <w:rFonts w:hint="eastAsia" w:ascii="仿宋_GB2312" w:hAnsi="仿宋_GB2312" w:eastAsia="仿宋_GB2312" w:cs="仿宋_GB2312"/>
          <w:color w:val="auto"/>
          <w:sz w:val="32"/>
          <w:szCs w:val="32"/>
          <w:lang w:val="en-US" w:eastAsia="zh-CN"/>
        </w:rPr>
        <w:t>新增</w:t>
      </w:r>
      <w:r>
        <w:rPr>
          <w:rFonts w:hint="eastAsia" w:ascii="仿宋_GB2312" w:hAnsi="仿宋_GB2312" w:eastAsia="仿宋_GB2312" w:cs="仿宋_GB2312"/>
          <w:color w:val="auto"/>
          <w:sz w:val="32"/>
          <w:szCs w:val="32"/>
        </w:rPr>
        <w:t>信息传输、软件和信息技术服务业</w:t>
      </w:r>
      <w:r>
        <w:rPr>
          <w:rFonts w:hint="eastAsia" w:ascii="仿宋_GB2312" w:hAnsi="仿宋_GB2312" w:eastAsia="仿宋_GB2312" w:cs="仿宋_GB2312"/>
          <w:color w:val="auto"/>
          <w:sz w:val="32"/>
          <w:szCs w:val="32"/>
          <w:lang w:val="en-US" w:eastAsia="zh-CN"/>
        </w:rPr>
        <w:t>规上企业2家、营收超过4000万元。</w:t>
      </w:r>
      <w:r>
        <w:rPr>
          <w:rFonts w:hint="eastAsia" w:ascii="楷体" w:hAnsi="楷体" w:eastAsia="楷体" w:cs="楷体"/>
          <w:b w:val="0"/>
          <w:bCs w:val="0"/>
          <w:color w:val="auto"/>
          <w:sz w:val="32"/>
          <w:szCs w:val="32"/>
        </w:rPr>
        <w:t>（牵头单位：</w:t>
      </w:r>
      <w:r>
        <w:rPr>
          <w:rFonts w:hint="eastAsia" w:ascii="楷体" w:hAnsi="楷体" w:eastAsia="楷体" w:cs="楷体"/>
          <w:b w:val="0"/>
          <w:bCs w:val="0"/>
          <w:color w:val="auto"/>
          <w:sz w:val="32"/>
          <w:szCs w:val="32"/>
          <w:lang w:val="en-US" w:eastAsia="zh-CN"/>
        </w:rPr>
        <w:t>县科技工信</w:t>
      </w:r>
      <w:r>
        <w:rPr>
          <w:rFonts w:hint="eastAsia" w:ascii="楷体" w:hAnsi="楷体" w:eastAsia="楷体" w:cs="楷体"/>
          <w:b w:val="0"/>
          <w:bCs w:val="0"/>
          <w:color w:val="auto"/>
          <w:sz w:val="32"/>
          <w:szCs w:val="32"/>
        </w:rPr>
        <w:t>局）</w:t>
      </w:r>
    </w:p>
    <w:p w14:paraId="30E4BDDD">
      <w:pPr>
        <w:keepNext w:val="0"/>
        <w:keepLines w:val="0"/>
        <w:pageBreakBefore w:val="0"/>
        <w:widowControl w:val="0"/>
        <w:kinsoku/>
        <w:wordWrap/>
        <w:overflowPunct/>
        <w:topLinePunct w:val="0"/>
        <w:autoSpaceDE w:val="0"/>
        <w:autoSpaceDN w:val="0"/>
        <w:bidi w:val="0"/>
        <w:adjustRightInd w:val="0"/>
        <w:snapToGrid w:val="0"/>
        <w:spacing w:line="572" w:lineRule="exact"/>
        <w:ind w:firstLine="643" w:firstLineChars="200"/>
        <w:jc w:val="both"/>
        <w:textAlignment w:val="auto"/>
        <w:rPr>
          <w:rFonts w:hint="eastAsia" w:ascii="楷体" w:hAnsi="楷体" w:eastAsia="楷体" w:cs="楷体"/>
          <w:b w:val="0"/>
          <w:bCs w:val="0"/>
          <w:color w:val="auto"/>
          <w:sz w:val="32"/>
          <w:szCs w:val="32"/>
        </w:rPr>
      </w:pPr>
      <w:r>
        <w:rPr>
          <w:rFonts w:ascii="楷体" w:hAnsi="楷体" w:eastAsia="楷体" w:cs="楷体"/>
          <w:b/>
          <w:bCs/>
          <w:color w:val="auto"/>
          <w:sz w:val="32"/>
          <w:szCs w:val="32"/>
        </w:rPr>
        <w:t>（二）现代金融攻坚行动。</w:t>
      </w:r>
      <w:r>
        <w:rPr>
          <w:rFonts w:hint="eastAsia" w:ascii="仿宋_GB2312" w:hAnsi="仿宋_GB2312" w:eastAsia="仿宋_GB2312" w:cs="仿宋_GB2312"/>
          <w:b/>
          <w:bCs/>
          <w:color w:val="auto"/>
          <w:sz w:val="32"/>
          <w:szCs w:val="32"/>
        </w:rPr>
        <w:t>1.做大做强现代化金融机构体系。</w:t>
      </w:r>
      <w:r>
        <w:rPr>
          <w:rFonts w:hint="eastAsia" w:ascii="仿宋_GB2312" w:hAnsi="仿宋_GB2312" w:eastAsia="仿宋_GB2312" w:cs="仿宋_GB2312"/>
          <w:b w:val="0"/>
          <w:bCs w:val="0"/>
          <w:color w:val="auto"/>
          <w:sz w:val="32"/>
          <w:szCs w:val="32"/>
        </w:rPr>
        <w:t>支持各类金融机构深耕青阳，大力招引银行、保险、基金、期货、证券、信托等机构来青设立分支机构。</w:t>
      </w:r>
      <w:r>
        <w:rPr>
          <w:rFonts w:hint="eastAsia" w:ascii="仿宋_GB2312" w:hAnsi="仿宋_GB2312" w:eastAsia="仿宋_GB2312" w:cs="仿宋_GB2312"/>
          <w:b/>
          <w:bCs/>
          <w:color w:val="auto"/>
          <w:sz w:val="32"/>
          <w:szCs w:val="32"/>
        </w:rPr>
        <w:t>2.健全金融服务实体经济发展体系。</w:t>
      </w:r>
      <w:r>
        <w:rPr>
          <w:rFonts w:hint="eastAsia" w:ascii="仿宋_GB2312" w:hAnsi="仿宋_GB2312" w:eastAsia="仿宋_GB2312" w:cs="仿宋_GB2312"/>
          <w:b w:val="0"/>
          <w:bCs w:val="0"/>
          <w:color w:val="auto"/>
          <w:sz w:val="32"/>
          <w:szCs w:val="32"/>
        </w:rPr>
        <w:t>大力发展数字普惠金融，推动重点领域金融服务“一网通办”。完善科技金融“全周期赋能”，创新“初创信用贷”“成长接力贷”等专属服务。引导金融机构发展绿色贷款、绿色债券等业务。</w:t>
      </w:r>
      <w:r>
        <w:rPr>
          <w:rFonts w:hint="eastAsia" w:ascii="仿宋_GB2312" w:hAnsi="仿宋_GB2312" w:eastAsia="仿宋_GB2312" w:cs="仿宋_GB2312"/>
          <w:b/>
          <w:bCs/>
          <w:color w:val="auto"/>
          <w:sz w:val="32"/>
          <w:szCs w:val="32"/>
        </w:rPr>
        <w:t>3.壮大多层次资本市场。</w:t>
      </w:r>
      <w:r>
        <w:rPr>
          <w:rFonts w:hint="eastAsia" w:ascii="仿宋_GB2312" w:hAnsi="仿宋_GB2312" w:eastAsia="仿宋_GB2312" w:cs="仿宋_GB2312"/>
          <w:b w:val="0"/>
          <w:bCs w:val="0"/>
          <w:color w:val="auto"/>
          <w:sz w:val="32"/>
          <w:szCs w:val="32"/>
          <w:lang w:val="en-US" w:eastAsia="zh-CN"/>
        </w:rPr>
        <w:t>实施上市企业培育攻坚计划，建立A股、新三板等上市培育企业库，成立县级领导服务专班，到2027年确保新增新三板等上市企业1家以上，力争全县A股上市企业取得标志性成果。支持</w:t>
      </w:r>
      <w:r>
        <w:rPr>
          <w:rFonts w:hint="eastAsia" w:ascii="仿宋_GB2312" w:hAnsi="仿宋_GB2312" w:eastAsia="仿宋_GB2312" w:cs="仿宋_GB2312"/>
          <w:b w:val="0"/>
          <w:bCs w:val="0"/>
          <w:color w:val="auto"/>
          <w:sz w:val="32"/>
          <w:szCs w:val="32"/>
        </w:rPr>
        <w:t>符合条件的企业灵活运用公司债、可转债等多元化融资工具。健全政府引导基金体系，鼓励投早、投小、投硬科技，壮大耐心资本。到2027年，</w:t>
      </w:r>
      <w:r>
        <w:rPr>
          <w:rFonts w:hint="eastAsia" w:ascii="仿宋_GB2312" w:hAnsi="仿宋_GB2312" w:eastAsia="仿宋_GB2312" w:cs="仿宋_GB2312"/>
          <w:b w:val="0"/>
          <w:bCs w:val="0"/>
          <w:color w:val="auto"/>
          <w:sz w:val="32"/>
          <w:szCs w:val="32"/>
          <w:lang w:val="en-US" w:eastAsia="zh-CN"/>
        </w:rPr>
        <w:t>全县</w:t>
      </w:r>
      <w:r>
        <w:rPr>
          <w:rFonts w:hint="eastAsia" w:ascii="仿宋_GB2312" w:hAnsi="仿宋_GB2312" w:eastAsia="仿宋_GB2312" w:cs="仿宋_GB2312"/>
          <w:b w:val="0"/>
          <w:bCs w:val="0"/>
          <w:color w:val="auto"/>
          <w:sz w:val="32"/>
          <w:szCs w:val="32"/>
        </w:rPr>
        <w:t>贷款增速位居全市前列，金融业增加值突破10亿元。</w:t>
      </w:r>
      <w:r>
        <w:rPr>
          <w:rFonts w:hint="eastAsia" w:ascii="楷体" w:hAnsi="楷体" w:eastAsia="楷体" w:cs="楷体"/>
          <w:b w:val="0"/>
          <w:bCs w:val="0"/>
          <w:color w:val="auto"/>
          <w:sz w:val="32"/>
          <w:szCs w:val="32"/>
        </w:rPr>
        <w:t>（牵头单位：</w:t>
      </w:r>
      <w:r>
        <w:rPr>
          <w:rFonts w:hint="eastAsia" w:ascii="楷体" w:hAnsi="楷体" w:eastAsia="楷体" w:cs="楷体"/>
          <w:b w:val="0"/>
          <w:bCs w:val="0"/>
          <w:color w:val="auto"/>
          <w:sz w:val="32"/>
          <w:szCs w:val="32"/>
          <w:lang w:val="en-US" w:eastAsia="zh-CN"/>
        </w:rPr>
        <w:t>县</w:t>
      </w:r>
      <w:r>
        <w:rPr>
          <w:rFonts w:hint="eastAsia" w:ascii="楷体" w:hAnsi="楷体" w:eastAsia="楷体" w:cs="楷体"/>
          <w:b w:val="0"/>
          <w:bCs w:val="0"/>
          <w:color w:val="auto"/>
          <w:sz w:val="32"/>
          <w:szCs w:val="32"/>
        </w:rPr>
        <w:t>财政局）</w:t>
      </w:r>
    </w:p>
    <w:p w14:paraId="7175A1DA">
      <w:pPr>
        <w:keepNext w:val="0"/>
        <w:keepLines w:val="0"/>
        <w:pageBreakBefore w:val="0"/>
        <w:widowControl w:val="0"/>
        <w:kinsoku/>
        <w:wordWrap/>
        <w:overflowPunct/>
        <w:topLinePunct w:val="0"/>
        <w:autoSpaceDE w:val="0"/>
        <w:autoSpaceDN w:val="0"/>
        <w:bidi w:val="0"/>
        <w:adjustRightInd w:val="0"/>
        <w:snapToGrid w:val="0"/>
        <w:spacing w:line="572" w:lineRule="exact"/>
        <w:ind w:firstLine="643" w:firstLineChars="200"/>
        <w:jc w:val="both"/>
        <w:textAlignment w:val="auto"/>
        <w:rPr>
          <w:rFonts w:hint="eastAsia" w:ascii="仿宋_GB2312" w:hAnsi="仿宋_GB2312" w:eastAsia="仿宋_GB2312" w:cs="仿宋_GB2312"/>
          <w:color w:val="auto"/>
          <w:sz w:val="32"/>
          <w:szCs w:val="32"/>
        </w:rPr>
      </w:pPr>
      <w:r>
        <w:rPr>
          <w:rFonts w:hint="eastAsia" w:ascii="楷体_GB2312" w:hAnsi="楷体_GB2312" w:eastAsia="楷体_GB2312" w:cs="楷体_GB2312"/>
          <w:b/>
          <w:bCs/>
          <w:color w:val="auto"/>
          <w:sz w:val="32"/>
          <w:szCs w:val="32"/>
          <w:lang w:val="en-US" w:eastAsia="en-US"/>
        </w:rPr>
        <w:t>（</w:t>
      </w:r>
      <w:r>
        <w:rPr>
          <w:rFonts w:hint="eastAsia" w:ascii="楷体_GB2312" w:hAnsi="楷体_GB2312" w:eastAsia="楷体_GB2312" w:cs="楷体_GB2312"/>
          <w:b/>
          <w:bCs/>
          <w:color w:val="auto"/>
          <w:sz w:val="32"/>
          <w:szCs w:val="32"/>
          <w:lang w:val="en-US" w:eastAsia="zh-CN"/>
        </w:rPr>
        <w:t>三</w:t>
      </w:r>
      <w:r>
        <w:rPr>
          <w:rFonts w:hint="eastAsia" w:ascii="楷体_GB2312" w:hAnsi="楷体_GB2312" w:eastAsia="楷体_GB2312" w:cs="楷体_GB2312"/>
          <w:b/>
          <w:bCs/>
          <w:color w:val="auto"/>
          <w:sz w:val="32"/>
          <w:szCs w:val="32"/>
          <w:lang w:val="en-US" w:eastAsia="en-US"/>
        </w:rPr>
        <w:t>）现代物流降本增效攻坚行动。</w:t>
      </w:r>
      <w:r>
        <w:rPr>
          <w:rFonts w:hint="eastAsia" w:ascii="仿宋_GB2312" w:hAnsi="仿宋_GB2312" w:eastAsia="仿宋_GB2312" w:cs="仿宋_GB2312"/>
          <w:b/>
          <w:bCs/>
          <w:color w:val="auto"/>
          <w:sz w:val="32"/>
          <w:szCs w:val="32"/>
          <w:lang w:val="en-US" w:eastAsia="en-US"/>
        </w:rPr>
        <w:t>1.</w:t>
      </w:r>
      <w:r>
        <w:rPr>
          <w:rFonts w:hint="eastAsia" w:ascii="仿宋_GB2312" w:hAnsi="仿宋_GB2312" w:eastAsia="仿宋_GB2312" w:cs="仿宋_GB2312"/>
          <w:b/>
          <w:bCs/>
          <w:color w:val="auto"/>
          <w:sz w:val="32"/>
          <w:szCs w:val="32"/>
          <w:lang w:val="en-US" w:eastAsia="zh-CN"/>
        </w:rPr>
        <w:t>规划建设现代智慧物流园区等重大项目</w:t>
      </w:r>
      <w:r>
        <w:rPr>
          <w:rFonts w:hint="eastAsia" w:ascii="仿宋_GB2312" w:hAnsi="仿宋_GB2312" w:eastAsia="仿宋_GB2312" w:cs="仿宋_GB2312"/>
          <w:b/>
          <w:bCs/>
          <w:color w:val="auto"/>
          <w:sz w:val="32"/>
          <w:szCs w:val="32"/>
          <w:lang w:val="en-US" w:eastAsia="en-US"/>
        </w:rPr>
        <w:t>。</w:t>
      </w:r>
      <w:r>
        <w:rPr>
          <w:rFonts w:hint="eastAsia" w:ascii="仿宋_GB2312" w:hAnsi="仿宋_GB2312" w:eastAsia="仿宋_GB2312" w:cs="仿宋_GB2312"/>
          <w:color w:val="auto"/>
          <w:sz w:val="32"/>
          <w:szCs w:val="32"/>
          <w:lang w:val="en-US" w:eastAsia="zh-CN"/>
        </w:rPr>
        <w:t>制定并落实《青阳县“十五五”现代物流业发展规划》</w:t>
      </w:r>
      <w:r>
        <w:rPr>
          <w:rFonts w:hint="eastAsia" w:ascii="仿宋_GB2312" w:hAnsi="仿宋_GB2312" w:eastAsia="仿宋_GB2312" w:cs="仿宋_GB2312"/>
          <w:color w:val="auto"/>
          <w:sz w:val="32"/>
          <w:szCs w:val="32"/>
          <w:lang w:val="en-US" w:eastAsia="en-US"/>
        </w:rPr>
        <w:t>，</w:t>
      </w:r>
      <w:r>
        <w:rPr>
          <w:rFonts w:hint="eastAsia" w:ascii="仿宋_GB2312" w:hAnsi="仿宋_GB2312" w:eastAsia="仿宋_GB2312" w:cs="仿宋_GB2312"/>
          <w:color w:val="auto"/>
          <w:sz w:val="32"/>
          <w:szCs w:val="32"/>
          <w:lang w:val="en-US" w:eastAsia="zh-CN"/>
        </w:rPr>
        <w:t>发挥我县综合交通优势，大力推进县域现代物流园区、冷链物流园区、物流云仓等项目，</w:t>
      </w:r>
      <w:r>
        <w:rPr>
          <w:rFonts w:hint="eastAsia" w:ascii="仿宋_GB2312" w:hAnsi="仿宋_GB2312" w:eastAsia="仿宋_GB2312" w:cs="仿宋_GB2312"/>
          <w:b w:val="0"/>
          <w:bCs w:val="0"/>
          <w:color w:val="auto"/>
          <w:sz w:val="32"/>
          <w:szCs w:val="32"/>
          <w:lang w:val="en-US" w:eastAsia="en-US"/>
        </w:rPr>
        <w:t>完善“干线运输+区域分拨+城乡配送”的现代物流网络体系</w:t>
      </w:r>
      <w:r>
        <w:rPr>
          <w:rFonts w:hint="eastAsia" w:ascii="仿宋_GB2312" w:hAnsi="仿宋_GB2312" w:eastAsia="仿宋_GB2312" w:cs="仿宋_GB2312"/>
          <w:b w:val="0"/>
          <w:bCs w:val="0"/>
          <w:color w:val="auto"/>
          <w:sz w:val="32"/>
          <w:szCs w:val="32"/>
          <w:lang w:val="en-US" w:eastAsia="zh-CN"/>
        </w:rPr>
        <w:t>，</w:t>
      </w:r>
      <w:r>
        <w:rPr>
          <w:rFonts w:hint="eastAsia" w:ascii="仿宋_GB2312" w:hAnsi="仿宋_GB2312" w:eastAsia="仿宋_GB2312" w:cs="仿宋_GB2312"/>
          <w:color w:val="auto"/>
          <w:sz w:val="32"/>
          <w:szCs w:val="32"/>
          <w:lang w:val="en-US" w:eastAsia="zh-CN"/>
        </w:rPr>
        <w:t>着力打造皖南区域、皖江流域重要的物流次中心</w:t>
      </w:r>
      <w:r>
        <w:rPr>
          <w:rFonts w:hint="eastAsia" w:ascii="仿宋_GB2312" w:hAnsi="仿宋_GB2312" w:eastAsia="仿宋_GB2312" w:cs="仿宋_GB2312"/>
          <w:color w:val="auto"/>
          <w:sz w:val="32"/>
          <w:szCs w:val="32"/>
          <w:lang w:val="en-US" w:eastAsia="en-US"/>
        </w:rPr>
        <w:t>。</w:t>
      </w:r>
      <w:r>
        <w:rPr>
          <w:rFonts w:hint="eastAsia" w:ascii="仿宋_GB2312" w:hAnsi="仿宋_GB2312" w:eastAsia="仿宋_GB2312" w:cs="仿宋_GB2312"/>
          <w:b/>
          <w:bCs/>
          <w:color w:val="auto"/>
          <w:sz w:val="32"/>
          <w:szCs w:val="32"/>
          <w:lang w:val="en-US" w:eastAsia="en-US"/>
        </w:rPr>
        <w:t>2.完善“通道+枢纽+网络”的铁廊水路多式联运体系。</w:t>
      </w:r>
      <w:r>
        <w:rPr>
          <w:rFonts w:hint="eastAsia" w:ascii="仿宋_GB2312" w:hAnsi="仿宋_GB2312" w:eastAsia="仿宋_GB2312" w:cs="仿宋_GB2312"/>
          <w:color w:val="auto"/>
          <w:sz w:val="32"/>
          <w:szCs w:val="32"/>
          <w:lang w:val="en-US" w:eastAsia="zh-CN"/>
        </w:rPr>
        <w:t>推进合池</w:t>
      </w:r>
      <w:r>
        <w:rPr>
          <w:rFonts w:hint="eastAsia" w:ascii="仿宋_GB2312" w:hAnsi="仿宋_GB2312" w:eastAsia="仿宋_GB2312" w:cs="仿宋_GB2312"/>
          <w:color w:val="auto"/>
          <w:sz w:val="32"/>
          <w:szCs w:val="32"/>
          <w:lang w:val="en-US" w:eastAsia="en-US"/>
        </w:rPr>
        <w:t>高铁</w:t>
      </w:r>
      <w:r>
        <w:rPr>
          <w:rFonts w:hint="eastAsia" w:ascii="仿宋_GB2312" w:hAnsi="仿宋_GB2312" w:eastAsia="仿宋_GB2312" w:cs="仿宋_GB2312"/>
          <w:color w:val="auto"/>
          <w:sz w:val="32"/>
          <w:szCs w:val="32"/>
          <w:lang w:val="en-US" w:eastAsia="zh-CN"/>
        </w:rPr>
        <w:t>全面开工</w:t>
      </w:r>
      <w:r>
        <w:rPr>
          <w:rFonts w:hint="eastAsia" w:ascii="仿宋_GB2312" w:hAnsi="仿宋_GB2312" w:eastAsia="仿宋_GB2312" w:cs="仿宋_GB2312"/>
          <w:color w:val="auto"/>
          <w:sz w:val="32"/>
          <w:szCs w:val="32"/>
          <w:lang w:val="en-US" w:eastAsia="en-US"/>
        </w:rPr>
        <w:t>，争取池宣高铁纳入国家“十五五”铁路建设规划及国家新一轮中长期铁路网规划</w:t>
      </w:r>
      <w:r>
        <w:rPr>
          <w:rFonts w:hint="eastAsia" w:ascii="仿宋_GB2312" w:hAnsi="仿宋_GB2312" w:eastAsia="仿宋_GB2312" w:cs="仿宋_GB2312"/>
          <w:color w:val="auto"/>
          <w:sz w:val="32"/>
          <w:szCs w:val="32"/>
          <w:lang w:val="en-US" w:eastAsia="zh-CN"/>
        </w:rPr>
        <w:t>。加快推进S40、S36、S219、S358、S609等重大交通基础设施项目。大力推进青阳通用机场建设。依托宝镁廊道及物流园区，发挥童埠铁路货运站优势，大力推进矿产品运输专用廊道、京台高速童埠出入口等项目建设，加快实施青通港区老山码头、童埠码头</w:t>
      </w:r>
      <w:r>
        <w:rPr>
          <w:rFonts w:hint="eastAsia" w:ascii="仿宋_GB2312" w:hAnsi="仿宋_GB2312" w:eastAsia="仿宋_GB2312" w:cs="仿宋_GB2312"/>
          <w:color w:val="auto"/>
          <w:sz w:val="32"/>
          <w:szCs w:val="32"/>
          <w:lang w:val="en-US" w:eastAsia="en-US"/>
        </w:rPr>
        <w:t>等</w:t>
      </w:r>
      <w:r>
        <w:rPr>
          <w:rFonts w:hint="eastAsia" w:ascii="仿宋_GB2312" w:hAnsi="仿宋_GB2312" w:eastAsia="仿宋_GB2312" w:cs="仿宋_GB2312"/>
          <w:color w:val="auto"/>
          <w:sz w:val="32"/>
          <w:szCs w:val="32"/>
          <w:lang w:val="en-US" w:eastAsia="zh-CN"/>
        </w:rPr>
        <w:t>整合、改造、升级，谋划矿产品及工业品铁路专用线项目</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val="en-US" w:eastAsia="zh-CN"/>
        </w:rPr>
        <w:t>完善全县矿产品、原材料、工业品等铁廊水路多式联运体系，推进青阳发展通江达海</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b/>
          <w:bCs/>
          <w:color w:val="auto"/>
          <w:sz w:val="32"/>
          <w:szCs w:val="32"/>
          <w:lang w:val="en-US" w:eastAsia="zh-CN"/>
        </w:rPr>
        <w:t>3</w:t>
      </w:r>
      <w:r>
        <w:rPr>
          <w:rFonts w:hint="eastAsia" w:ascii="仿宋_GB2312" w:hAnsi="仿宋_GB2312" w:eastAsia="仿宋_GB2312" w:cs="仿宋_GB2312"/>
          <w:b/>
          <w:bCs/>
          <w:color w:val="auto"/>
          <w:sz w:val="32"/>
          <w:szCs w:val="32"/>
        </w:rPr>
        <w:t>.</w:t>
      </w:r>
      <w:r>
        <w:rPr>
          <w:rFonts w:hint="eastAsia" w:ascii="仿宋_GB2312" w:hAnsi="仿宋_GB2312" w:eastAsia="仿宋_GB2312" w:cs="仿宋_GB2312"/>
          <w:b/>
          <w:bCs/>
          <w:color w:val="auto"/>
          <w:sz w:val="32"/>
          <w:szCs w:val="32"/>
          <w:lang w:val="en-US" w:eastAsia="zh-CN"/>
        </w:rPr>
        <w:t>大力招引培育现代智慧物流企业</w:t>
      </w:r>
      <w:r>
        <w:rPr>
          <w:rFonts w:hint="eastAsia" w:ascii="仿宋_GB2312" w:hAnsi="仿宋_GB2312" w:eastAsia="仿宋_GB2312" w:cs="仿宋_GB2312"/>
          <w:b/>
          <w:bCs/>
          <w:color w:val="auto"/>
          <w:sz w:val="32"/>
          <w:szCs w:val="32"/>
        </w:rPr>
        <w:t>。</w:t>
      </w:r>
      <w:r>
        <w:rPr>
          <w:rFonts w:hint="eastAsia" w:ascii="仿宋_GB2312" w:hAnsi="仿宋_GB2312" w:eastAsia="仿宋_GB2312" w:cs="仿宋_GB2312"/>
          <w:color w:val="auto"/>
          <w:sz w:val="32"/>
          <w:szCs w:val="32"/>
          <w:lang w:val="en-US" w:eastAsia="zh-CN"/>
        </w:rPr>
        <w:t>依托重大基础设施、现代物流园区等平台，加大现代智慧物流企业招引培育力度，引</w:t>
      </w:r>
      <w:r>
        <w:rPr>
          <w:rFonts w:hint="eastAsia" w:ascii="仿宋_GB2312" w:hAnsi="仿宋_GB2312" w:eastAsia="仿宋_GB2312" w:cs="仿宋_GB2312"/>
          <w:color w:val="auto"/>
          <w:sz w:val="32"/>
          <w:szCs w:val="32"/>
        </w:rPr>
        <w:t>导企业开展“互联网+”车货匹配、运力优化、运输协同、仓储交易等业态模式创新</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加快数字云商产业港项目建设</w:t>
      </w:r>
      <w:r>
        <w:rPr>
          <w:rFonts w:hint="eastAsia" w:ascii="仿宋_GB2312" w:hAnsi="仿宋_GB2312" w:eastAsia="仿宋_GB2312" w:cs="仿宋_GB2312"/>
          <w:color w:val="auto"/>
          <w:sz w:val="32"/>
          <w:szCs w:val="32"/>
        </w:rPr>
        <w:t>。到2027年，建成</w:t>
      </w:r>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color w:val="auto"/>
          <w:sz w:val="32"/>
          <w:szCs w:val="32"/>
        </w:rPr>
        <w:t>个</w:t>
      </w:r>
      <w:r>
        <w:rPr>
          <w:rFonts w:hint="eastAsia" w:ascii="仿宋_GB2312" w:hAnsi="仿宋_GB2312" w:eastAsia="仿宋_GB2312" w:cs="仿宋_GB2312"/>
          <w:color w:val="auto"/>
          <w:sz w:val="32"/>
          <w:szCs w:val="32"/>
          <w:lang w:val="en-US" w:eastAsia="zh-CN"/>
        </w:rPr>
        <w:t>省级</w:t>
      </w:r>
      <w:r>
        <w:rPr>
          <w:rFonts w:hint="eastAsia" w:ascii="仿宋_GB2312" w:hAnsi="仿宋_GB2312" w:eastAsia="仿宋_GB2312" w:cs="仿宋_GB2312"/>
          <w:color w:val="auto"/>
          <w:sz w:val="32"/>
          <w:szCs w:val="32"/>
        </w:rPr>
        <w:t>冷链集配中心</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1个市级</w:t>
      </w:r>
      <w:r>
        <w:rPr>
          <w:rFonts w:hint="eastAsia" w:ascii="仿宋_GB2312" w:hAnsi="仿宋_GB2312" w:eastAsia="仿宋_GB2312" w:cs="仿宋_GB2312"/>
          <w:color w:val="auto"/>
          <w:sz w:val="32"/>
          <w:szCs w:val="32"/>
        </w:rPr>
        <w:t>物流园区，力争新增</w:t>
      </w:r>
      <w:r>
        <w:rPr>
          <w:rFonts w:hint="eastAsia" w:ascii="仿宋_GB2312" w:hAnsi="仿宋_GB2312" w:eastAsia="仿宋_GB2312" w:cs="仿宋_GB2312"/>
          <w:color w:val="auto"/>
          <w:sz w:val="32"/>
          <w:szCs w:val="32"/>
          <w:lang w:val="en-US" w:eastAsia="zh-CN"/>
        </w:rPr>
        <w:t>1家3A级、2家2A级物流企业，全社会物流总成本占地区生产总值比重降至12%左右</w:t>
      </w:r>
      <w:r>
        <w:rPr>
          <w:rFonts w:hint="eastAsia" w:ascii="仿宋_GB2312" w:hAnsi="仿宋_GB2312" w:eastAsia="仿宋_GB2312" w:cs="仿宋_GB2312"/>
          <w:color w:val="auto"/>
          <w:sz w:val="32"/>
          <w:szCs w:val="32"/>
        </w:rPr>
        <w:t>。</w:t>
      </w:r>
      <w:r>
        <w:rPr>
          <w:rFonts w:hint="eastAsia" w:ascii="楷体" w:hAnsi="楷体" w:eastAsia="楷体" w:cs="楷体"/>
          <w:b w:val="0"/>
          <w:bCs w:val="0"/>
          <w:color w:val="auto"/>
          <w:sz w:val="32"/>
          <w:szCs w:val="32"/>
        </w:rPr>
        <w:t>（牵头单位：</w:t>
      </w:r>
      <w:r>
        <w:rPr>
          <w:rFonts w:hint="eastAsia" w:ascii="楷体" w:hAnsi="楷体" w:eastAsia="楷体" w:cs="楷体"/>
          <w:b w:val="0"/>
          <w:bCs w:val="0"/>
          <w:color w:val="auto"/>
          <w:sz w:val="32"/>
          <w:szCs w:val="32"/>
          <w:lang w:eastAsia="zh-CN"/>
        </w:rPr>
        <w:t>县</w:t>
      </w:r>
      <w:r>
        <w:rPr>
          <w:rFonts w:hint="eastAsia" w:ascii="楷体" w:hAnsi="楷体" w:eastAsia="楷体" w:cs="楷体"/>
          <w:b w:val="0"/>
          <w:bCs w:val="0"/>
          <w:color w:val="auto"/>
          <w:sz w:val="32"/>
          <w:szCs w:val="32"/>
        </w:rPr>
        <w:t>发改委）</w:t>
      </w:r>
    </w:p>
    <w:p w14:paraId="3E847B74">
      <w:pPr>
        <w:keepNext w:val="0"/>
        <w:keepLines w:val="0"/>
        <w:pageBreakBefore w:val="0"/>
        <w:widowControl w:val="0"/>
        <w:kinsoku/>
        <w:wordWrap/>
        <w:overflowPunct/>
        <w:topLinePunct w:val="0"/>
        <w:autoSpaceDE w:val="0"/>
        <w:autoSpaceDN w:val="0"/>
        <w:bidi w:val="0"/>
        <w:adjustRightInd w:val="0"/>
        <w:snapToGrid w:val="0"/>
        <w:spacing w:line="572" w:lineRule="exact"/>
        <w:ind w:firstLine="643" w:firstLineChars="200"/>
        <w:jc w:val="both"/>
        <w:textAlignment w:val="auto"/>
        <w:rPr>
          <w:rFonts w:hint="eastAsia" w:ascii="仿宋_GB2312" w:hAnsi="仿宋_GB2312" w:eastAsia="仿宋_GB2312" w:cs="仿宋_GB2312"/>
          <w:color w:val="auto"/>
          <w:sz w:val="32"/>
          <w:szCs w:val="32"/>
        </w:rPr>
      </w:pPr>
      <w:r>
        <w:rPr>
          <w:rFonts w:hint="eastAsia" w:ascii="楷体_GB2312" w:hAnsi="楷体_GB2312" w:eastAsia="楷体_GB2312" w:cs="楷体_GB2312"/>
          <w:b/>
          <w:bCs/>
          <w:color w:val="auto"/>
          <w:sz w:val="32"/>
          <w:szCs w:val="32"/>
        </w:rPr>
        <w:t>（</w:t>
      </w:r>
      <w:r>
        <w:rPr>
          <w:rFonts w:hint="eastAsia" w:ascii="楷体_GB2312" w:hAnsi="楷体_GB2312" w:eastAsia="楷体_GB2312" w:cs="楷体_GB2312"/>
          <w:b/>
          <w:bCs/>
          <w:color w:val="auto"/>
          <w:sz w:val="32"/>
          <w:szCs w:val="32"/>
          <w:lang w:val="en-US" w:eastAsia="zh-CN"/>
        </w:rPr>
        <w:t>四</w:t>
      </w:r>
      <w:r>
        <w:rPr>
          <w:rFonts w:hint="eastAsia" w:ascii="楷体_GB2312" w:hAnsi="楷体_GB2312" w:eastAsia="楷体_GB2312" w:cs="楷体_GB2312"/>
          <w:b/>
          <w:bCs/>
          <w:color w:val="auto"/>
          <w:sz w:val="32"/>
          <w:szCs w:val="32"/>
        </w:rPr>
        <w:t>）商务咨询服务业攻坚行动。</w:t>
      </w:r>
      <w:r>
        <w:rPr>
          <w:rFonts w:hint="eastAsia" w:ascii="仿宋_GB2312" w:hAnsi="仿宋_GB2312" w:eastAsia="仿宋_GB2312" w:cs="仿宋_GB2312"/>
          <w:b/>
          <w:bCs/>
          <w:color w:val="auto"/>
          <w:sz w:val="32"/>
          <w:szCs w:val="32"/>
        </w:rPr>
        <w:t>1.丰富业态。</w:t>
      </w:r>
      <w:r>
        <w:rPr>
          <w:rFonts w:hint="eastAsia" w:ascii="仿宋_GB2312" w:hAnsi="仿宋_GB2312" w:eastAsia="仿宋_GB2312" w:cs="仿宋_GB2312"/>
          <w:color w:val="auto"/>
          <w:sz w:val="32"/>
          <w:szCs w:val="32"/>
        </w:rPr>
        <w:t>大力发展会计、税务、法律、广告、会议展览、人力资源、旅行社和安全保护等商务服务业，加快引进一批大中型商务服务机构。</w:t>
      </w:r>
      <w:r>
        <w:rPr>
          <w:rFonts w:hint="eastAsia" w:ascii="仿宋_GB2312" w:hAnsi="仿宋_GB2312" w:eastAsia="仿宋_GB2312" w:cs="仿宋_GB2312"/>
          <w:b/>
          <w:bCs/>
          <w:color w:val="auto"/>
          <w:sz w:val="32"/>
          <w:szCs w:val="32"/>
        </w:rPr>
        <w:t>2.提档升级。</w:t>
      </w:r>
      <w:r>
        <w:rPr>
          <w:rFonts w:hint="eastAsia" w:ascii="仿宋_GB2312" w:hAnsi="仿宋_GB2312" w:eastAsia="仿宋_GB2312" w:cs="仿宋_GB2312"/>
          <w:color w:val="auto"/>
          <w:sz w:val="32"/>
          <w:szCs w:val="32"/>
        </w:rPr>
        <w:t>推进咨询评估服务专业化、数字化、规模化发展，积极引入数字化服务商为小微企业提供数字化转型解决方案和场景服务。</w:t>
      </w:r>
      <w:r>
        <w:rPr>
          <w:rFonts w:hint="eastAsia" w:ascii="仿宋_GB2312" w:hAnsi="仿宋_GB2312" w:eastAsia="仿宋_GB2312" w:cs="仿宋_GB2312"/>
          <w:b/>
          <w:bCs/>
          <w:color w:val="auto"/>
          <w:sz w:val="32"/>
          <w:szCs w:val="32"/>
        </w:rPr>
        <w:t>3.重点突破。</w:t>
      </w:r>
      <w:r>
        <w:rPr>
          <w:rFonts w:hint="eastAsia" w:ascii="仿宋_GB2312" w:hAnsi="仿宋_GB2312" w:eastAsia="仿宋_GB2312" w:cs="仿宋_GB2312"/>
          <w:color w:val="auto"/>
          <w:sz w:val="32"/>
          <w:szCs w:val="32"/>
        </w:rPr>
        <w:t>推动法律服务与多行业领域渗透融合，带动知识产权代理、法律人才培养等关联产业发展。鼓励会计师事务所拓展非营利组织审计、政府购买审计服务等新型审计业务。到2027年，</w:t>
      </w:r>
      <w:r>
        <w:rPr>
          <w:rFonts w:hint="eastAsia" w:ascii="仿宋_GB2312" w:hAnsi="仿宋_GB2312" w:eastAsia="仿宋_GB2312" w:cs="仿宋_GB2312"/>
          <w:color w:val="auto"/>
          <w:sz w:val="32"/>
          <w:szCs w:val="32"/>
          <w:lang w:val="en-US" w:eastAsia="zh-CN"/>
        </w:rPr>
        <w:t>实现</w:t>
      </w:r>
      <w:r>
        <w:rPr>
          <w:rFonts w:hint="eastAsia" w:ascii="仿宋_GB2312" w:hAnsi="仿宋_GB2312" w:eastAsia="仿宋_GB2312" w:cs="仿宋_GB2312"/>
          <w:color w:val="auto"/>
          <w:sz w:val="32"/>
          <w:szCs w:val="32"/>
        </w:rPr>
        <w:t>商务咨询服务业规上企业</w:t>
      </w:r>
      <w:r>
        <w:rPr>
          <w:rFonts w:hint="eastAsia" w:ascii="仿宋_GB2312" w:hAnsi="仿宋_GB2312" w:eastAsia="仿宋_GB2312" w:cs="仿宋_GB2312"/>
          <w:color w:val="auto"/>
          <w:sz w:val="32"/>
          <w:szCs w:val="32"/>
          <w:lang w:val="en-US" w:eastAsia="zh-CN"/>
        </w:rPr>
        <w:t>“零”的突破，新增1家以上，营收超过1000万元。</w:t>
      </w:r>
      <w:r>
        <w:rPr>
          <w:rFonts w:hint="eastAsia" w:ascii="楷体" w:hAnsi="楷体" w:eastAsia="楷体" w:cs="楷体"/>
          <w:b w:val="0"/>
          <w:bCs w:val="0"/>
          <w:color w:val="auto"/>
          <w:sz w:val="32"/>
          <w:szCs w:val="32"/>
        </w:rPr>
        <w:t>（牵头单位：</w:t>
      </w:r>
      <w:r>
        <w:rPr>
          <w:rFonts w:hint="eastAsia" w:ascii="楷体" w:hAnsi="楷体" w:eastAsia="楷体" w:cs="楷体"/>
          <w:b w:val="0"/>
          <w:bCs w:val="0"/>
          <w:color w:val="auto"/>
          <w:sz w:val="32"/>
          <w:szCs w:val="32"/>
          <w:lang w:eastAsia="zh-CN"/>
        </w:rPr>
        <w:t>县</w:t>
      </w:r>
      <w:r>
        <w:rPr>
          <w:rFonts w:hint="eastAsia" w:ascii="楷体" w:hAnsi="楷体" w:eastAsia="楷体" w:cs="楷体"/>
          <w:b w:val="0"/>
          <w:bCs w:val="0"/>
          <w:color w:val="auto"/>
          <w:sz w:val="32"/>
          <w:szCs w:val="32"/>
        </w:rPr>
        <w:t>发改委）</w:t>
      </w:r>
    </w:p>
    <w:p w14:paraId="163737D3">
      <w:pPr>
        <w:keepNext w:val="0"/>
        <w:keepLines w:val="0"/>
        <w:pageBreakBefore w:val="0"/>
        <w:widowControl w:val="0"/>
        <w:kinsoku/>
        <w:wordWrap/>
        <w:overflowPunct/>
        <w:topLinePunct w:val="0"/>
        <w:autoSpaceDE w:val="0"/>
        <w:autoSpaceDN w:val="0"/>
        <w:bidi w:val="0"/>
        <w:adjustRightInd w:val="0"/>
        <w:snapToGrid w:val="0"/>
        <w:spacing w:line="572" w:lineRule="exact"/>
        <w:ind w:firstLine="643" w:firstLineChars="200"/>
        <w:jc w:val="both"/>
        <w:textAlignment w:val="auto"/>
        <w:rPr>
          <w:rFonts w:hint="eastAsia" w:ascii="楷体_GB2312" w:hAnsi="楷体_GB2312" w:eastAsia="楷体_GB2312" w:cs="楷体_GB2312"/>
          <w:b/>
          <w:bCs/>
          <w:color w:val="auto"/>
          <w:sz w:val="32"/>
          <w:szCs w:val="32"/>
        </w:rPr>
      </w:pPr>
      <w:r>
        <w:rPr>
          <w:rFonts w:hint="eastAsia" w:ascii="楷体_GB2312" w:hAnsi="楷体_GB2312" w:eastAsia="楷体_GB2312" w:cs="楷体_GB2312"/>
          <w:b/>
          <w:bCs/>
          <w:color w:val="auto"/>
          <w:sz w:val="32"/>
          <w:szCs w:val="32"/>
        </w:rPr>
        <w:t>（</w:t>
      </w:r>
      <w:r>
        <w:rPr>
          <w:rFonts w:hint="eastAsia" w:ascii="楷体_GB2312" w:hAnsi="楷体_GB2312" w:eastAsia="楷体_GB2312" w:cs="楷体_GB2312"/>
          <w:b/>
          <w:bCs/>
          <w:color w:val="auto"/>
          <w:sz w:val="32"/>
          <w:szCs w:val="32"/>
          <w:lang w:val="en-US" w:eastAsia="zh-CN"/>
        </w:rPr>
        <w:t>五</w:t>
      </w:r>
      <w:r>
        <w:rPr>
          <w:rFonts w:hint="eastAsia" w:ascii="楷体_GB2312" w:hAnsi="楷体_GB2312" w:eastAsia="楷体_GB2312" w:cs="楷体_GB2312"/>
          <w:b/>
          <w:bCs/>
          <w:color w:val="auto"/>
          <w:sz w:val="32"/>
          <w:szCs w:val="32"/>
        </w:rPr>
        <w:t>）文旅创意业态攻坚行动。</w:t>
      </w:r>
      <w:r>
        <w:rPr>
          <w:rFonts w:hint="eastAsia" w:ascii="仿宋_GB2312" w:hAnsi="仿宋_GB2312" w:eastAsia="仿宋_GB2312" w:cs="仿宋_GB2312"/>
          <w:b/>
          <w:bCs/>
          <w:color w:val="auto"/>
          <w:sz w:val="32"/>
          <w:szCs w:val="32"/>
        </w:rPr>
        <w:t>1.</w:t>
      </w:r>
      <w:r>
        <w:rPr>
          <w:rFonts w:hint="eastAsia" w:ascii="仿宋_GB2312" w:hAnsi="仿宋_GB2312" w:eastAsia="仿宋_GB2312" w:cs="仿宋_GB2312"/>
          <w:b/>
          <w:bCs/>
          <w:color w:val="auto"/>
          <w:sz w:val="32"/>
          <w:szCs w:val="32"/>
          <w:lang w:val="en-US" w:eastAsia="zh-CN"/>
        </w:rPr>
        <w:t>推进文化文物保护传承利用。</w:t>
      </w:r>
      <w:r>
        <w:rPr>
          <w:rFonts w:hint="eastAsia" w:ascii="仿宋_GB2312" w:hAnsi="仿宋_GB2312" w:eastAsia="仿宋_GB2312" w:cs="仿宋_GB2312"/>
          <w:color w:val="auto"/>
          <w:sz w:val="32"/>
          <w:szCs w:val="32"/>
          <w:lang w:val="en-US" w:eastAsia="zh-CN"/>
        </w:rPr>
        <w:t>依托九华山“双遗产”、陵阳古镇，以及我县古建筑、古遗址、古村落等文化、文物资源，积极谋划编报重大项目，着力盘活存量国有资产、闲置资源、建设项目等，大力引育相关建设项目、文旅业态、运营机构，切实以重大项目引领带动文旅融合、乡村振兴。</w:t>
      </w:r>
      <w:r>
        <w:rPr>
          <w:rFonts w:hint="eastAsia" w:ascii="仿宋_GB2312" w:hAnsi="仿宋_GB2312" w:eastAsia="仿宋_GB2312" w:cs="仿宋_GB2312"/>
          <w:b/>
          <w:bCs/>
          <w:color w:val="auto"/>
          <w:sz w:val="32"/>
          <w:szCs w:val="32"/>
          <w:lang w:val="en-US" w:eastAsia="zh-CN"/>
        </w:rPr>
        <w:t>2.</w:t>
      </w:r>
      <w:r>
        <w:rPr>
          <w:rFonts w:hint="eastAsia" w:ascii="仿宋_GB2312" w:hAnsi="仿宋_GB2312" w:eastAsia="仿宋_GB2312" w:cs="仿宋_GB2312"/>
          <w:b/>
          <w:bCs/>
          <w:color w:val="auto"/>
          <w:sz w:val="32"/>
          <w:szCs w:val="32"/>
        </w:rPr>
        <w:t>谋划打造</w:t>
      </w:r>
      <w:r>
        <w:rPr>
          <w:rFonts w:hint="eastAsia" w:ascii="仿宋_GB2312" w:hAnsi="仿宋_GB2312" w:eastAsia="仿宋_GB2312" w:cs="仿宋_GB2312"/>
          <w:b/>
          <w:bCs/>
          <w:color w:val="auto"/>
          <w:sz w:val="32"/>
          <w:szCs w:val="32"/>
          <w:lang w:val="en-US" w:eastAsia="zh-CN"/>
        </w:rPr>
        <w:t>旅游新场景。</w:t>
      </w:r>
      <w:r>
        <w:rPr>
          <w:rFonts w:hint="eastAsia" w:ascii="仿宋_GB2312" w:hAnsi="仿宋_GB2312" w:eastAsia="仿宋_GB2312" w:cs="仿宋_GB2312"/>
          <w:color w:val="auto"/>
          <w:sz w:val="32"/>
          <w:szCs w:val="32"/>
        </w:rPr>
        <w:t>推动</w:t>
      </w:r>
      <w:r>
        <w:rPr>
          <w:rFonts w:hint="eastAsia" w:ascii="仿宋_GB2312" w:hAnsi="仿宋_GB2312" w:eastAsia="仿宋_GB2312" w:cs="仿宋_GB2312"/>
          <w:color w:val="auto"/>
          <w:sz w:val="32"/>
          <w:szCs w:val="32"/>
          <w:lang w:val="en-US" w:eastAsia="zh-CN"/>
        </w:rPr>
        <w:t>屈原精神、李白诗赋、青阳腔等文化元素融入旅游目的地参与体验、拍摄打卡等场景。</w:t>
      </w:r>
      <w:r>
        <w:rPr>
          <w:rFonts w:hint="eastAsia" w:ascii="仿宋_GB2312" w:hAnsi="仿宋_GB2312" w:eastAsia="仿宋_GB2312" w:cs="仿宋_GB2312"/>
          <w:color w:val="auto"/>
          <w:sz w:val="32"/>
          <w:szCs w:val="32"/>
        </w:rPr>
        <w:t>在</w:t>
      </w:r>
      <w:r>
        <w:rPr>
          <w:rFonts w:hint="eastAsia" w:ascii="仿宋_GB2312" w:hAnsi="仿宋_GB2312" w:eastAsia="仿宋_GB2312" w:cs="仿宋_GB2312"/>
          <w:color w:val="auto"/>
          <w:sz w:val="32"/>
          <w:szCs w:val="32"/>
          <w:lang w:eastAsia="zh-CN"/>
        </w:rPr>
        <w:t>高</w:t>
      </w:r>
      <w:r>
        <w:rPr>
          <w:rFonts w:hint="eastAsia" w:ascii="仿宋_GB2312" w:hAnsi="仿宋_GB2312" w:eastAsia="仿宋_GB2312" w:cs="仿宋_GB2312"/>
          <w:sz w:val="32"/>
          <w:szCs w:val="32"/>
          <w:lang w:eastAsia="zh-CN"/>
        </w:rPr>
        <w:t>铁九华山站</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九子岩景区</w:t>
      </w:r>
      <w:r>
        <w:rPr>
          <w:rFonts w:hint="eastAsia" w:ascii="仿宋_GB2312" w:hAnsi="仿宋_GB2312" w:eastAsia="仿宋_GB2312" w:cs="仿宋_GB2312"/>
          <w:sz w:val="32"/>
          <w:szCs w:val="32"/>
        </w:rPr>
        <w:t>等地</w:t>
      </w:r>
      <w:r>
        <w:rPr>
          <w:rFonts w:hint="eastAsia" w:ascii="仿宋_GB2312" w:hAnsi="仿宋_GB2312" w:eastAsia="仿宋_GB2312" w:cs="仿宋_GB2312"/>
          <w:sz w:val="32"/>
          <w:szCs w:val="32"/>
          <w:lang w:eastAsia="zh-CN"/>
        </w:rPr>
        <w:t>布局演艺场景</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村咖茶吧</w:t>
      </w:r>
      <w:r>
        <w:rPr>
          <w:rFonts w:hint="eastAsia" w:ascii="仿宋_GB2312" w:hAnsi="仿宋_GB2312" w:eastAsia="仿宋_GB2312" w:cs="仿宋_GB2312"/>
          <w:sz w:val="32"/>
          <w:szCs w:val="32"/>
        </w:rPr>
        <w:t>等</w:t>
      </w:r>
      <w:r>
        <w:rPr>
          <w:rFonts w:hint="eastAsia" w:ascii="仿宋_GB2312" w:hAnsi="仿宋_GB2312" w:eastAsia="仿宋_GB2312" w:cs="仿宋_GB2312"/>
          <w:sz w:val="32"/>
          <w:szCs w:val="32"/>
          <w:lang w:eastAsia="zh-CN"/>
        </w:rPr>
        <w:t>消费空间。围绕环九华山片区培育休闲微度假旅游业态，</w:t>
      </w:r>
      <w:r>
        <w:rPr>
          <w:rFonts w:hint="eastAsia" w:ascii="仿宋_GB2312" w:hAnsi="仿宋_GB2312" w:eastAsia="仿宋_GB2312" w:cs="仿宋_GB2312"/>
          <w:sz w:val="32"/>
          <w:szCs w:val="32"/>
        </w:rPr>
        <w:t>推出</w:t>
      </w:r>
      <w:r>
        <w:rPr>
          <w:rFonts w:hint="eastAsia" w:ascii="仿宋_GB2312" w:hAnsi="仿宋_GB2312" w:eastAsia="仿宋_GB2312" w:cs="仿宋_GB2312"/>
          <w:sz w:val="32"/>
          <w:szCs w:val="32"/>
          <w:lang w:eastAsia="zh-CN"/>
        </w:rPr>
        <w:t>亲子游乐、</w:t>
      </w:r>
      <w:r>
        <w:rPr>
          <w:rFonts w:hint="eastAsia" w:ascii="仿宋_GB2312" w:hAnsi="仿宋_GB2312" w:eastAsia="仿宋_GB2312" w:cs="仿宋_GB2312"/>
          <w:sz w:val="32"/>
          <w:szCs w:val="32"/>
        </w:rPr>
        <w:t>夜娱夜游</w:t>
      </w:r>
      <w:r>
        <w:rPr>
          <w:rFonts w:hint="eastAsia" w:ascii="仿宋_GB2312" w:hAnsi="仿宋_GB2312" w:eastAsia="仿宋_GB2312" w:cs="仿宋_GB2312"/>
          <w:sz w:val="32"/>
          <w:szCs w:val="32"/>
          <w:lang w:eastAsia="zh-CN"/>
        </w:rPr>
        <w:t>、帐篷营地</w:t>
      </w:r>
      <w:r>
        <w:rPr>
          <w:rFonts w:hint="eastAsia" w:ascii="仿宋_GB2312" w:hAnsi="仿宋_GB2312" w:eastAsia="仿宋_GB2312" w:cs="仿宋_GB2312"/>
          <w:sz w:val="32"/>
          <w:szCs w:val="32"/>
        </w:rPr>
        <w:t>等优质</w:t>
      </w:r>
      <w:r>
        <w:rPr>
          <w:rFonts w:hint="eastAsia" w:ascii="仿宋_GB2312" w:hAnsi="仿宋_GB2312" w:eastAsia="仿宋_GB2312" w:cs="仿宋_GB2312"/>
          <w:sz w:val="32"/>
          <w:szCs w:val="32"/>
          <w:lang w:eastAsia="zh-CN"/>
        </w:rPr>
        <w:t>产品和旅游线路。</w:t>
      </w:r>
      <w:r>
        <w:rPr>
          <w:rFonts w:hint="eastAsia" w:ascii="仿宋_GB2312" w:hAnsi="仿宋_GB2312" w:eastAsia="仿宋_GB2312" w:cs="仿宋_GB2312"/>
          <w:b/>
          <w:bCs/>
          <w:sz w:val="32"/>
          <w:szCs w:val="32"/>
          <w:lang w:val="en-US" w:eastAsia="zh-CN"/>
        </w:rPr>
        <w:t>3</w:t>
      </w:r>
      <w:r>
        <w:rPr>
          <w:rFonts w:hint="eastAsia" w:ascii="仿宋_GB2312" w:hAnsi="仿宋_GB2312" w:eastAsia="仿宋_GB2312" w:cs="仿宋_GB2312"/>
          <w:b/>
          <w:bCs/>
          <w:sz w:val="32"/>
          <w:szCs w:val="32"/>
        </w:rPr>
        <w:t>.培育发展创意经济。</w:t>
      </w:r>
      <w:r>
        <w:rPr>
          <w:rFonts w:hint="eastAsia" w:ascii="仿宋_GB2312" w:hAnsi="仿宋_GB2312" w:eastAsia="仿宋_GB2312" w:cs="仿宋_GB2312"/>
          <w:sz w:val="32"/>
          <w:szCs w:val="32"/>
          <w:lang w:eastAsia="zh-CN"/>
        </w:rPr>
        <w:t>推动宠物旅游</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非遗演艺</w:t>
      </w:r>
      <w:r>
        <w:rPr>
          <w:rFonts w:hint="eastAsia" w:ascii="仿宋_GB2312" w:hAnsi="仿宋_GB2312" w:eastAsia="仿宋_GB2312" w:cs="仿宋_GB2312"/>
          <w:sz w:val="32"/>
          <w:szCs w:val="32"/>
        </w:rPr>
        <w:t>等新业态</w:t>
      </w:r>
      <w:r>
        <w:rPr>
          <w:rFonts w:hint="eastAsia" w:ascii="仿宋_GB2312" w:hAnsi="仿宋_GB2312" w:eastAsia="仿宋_GB2312" w:cs="仿宋_GB2312"/>
          <w:sz w:val="32"/>
          <w:szCs w:val="32"/>
          <w:lang w:eastAsia="zh-CN"/>
        </w:rPr>
        <w:t>发展</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充分发挥九子岩宠物赛道优势，在东九华片区补充宠物服务、宠物疗愈等产品。推进青阳腔、九华民歌等非遗演艺项目通过市场化运作植入文旅节事、体育赛事等文旅体活动，增加活动吸引力和附加值。</w:t>
      </w:r>
      <w:r>
        <w:rPr>
          <w:rFonts w:hint="eastAsia" w:ascii="仿宋_GB2312" w:hAnsi="仿宋_GB2312" w:eastAsia="仿宋_GB2312" w:cs="仿宋_GB2312"/>
          <w:sz w:val="32"/>
          <w:szCs w:val="32"/>
        </w:rPr>
        <w:t>到2027年，新增规上文化企业</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家，争创省级文化产业示范基地</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家以上</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接待</w:t>
      </w:r>
      <w:r>
        <w:rPr>
          <w:rFonts w:hint="eastAsia" w:ascii="仿宋_GB2312" w:hAnsi="仿宋_GB2312" w:eastAsia="仿宋_GB2312" w:cs="仿宋_GB2312"/>
          <w:sz w:val="32"/>
          <w:szCs w:val="32"/>
          <w:lang w:eastAsia="zh-CN"/>
        </w:rPr>
        <w:t>游客</w:t>
      </w:r>
      <w:r>
        <w:rPr>
          <w:rFonts w:hint="eastAsia" w:ascii="仿宋_GB2312" w:hAnsi="仿宋_GB2312" w:eastAsia="仿宋_GB2312" w:cs="仿宋_GB2312"/>
          <w:sz w:val="32"/>
          <w:szCs w:val="32"/>
          <w:lang w:val="en-US" w:eastAsia="zh-CN"/>
        </w:rPr>
        <w:t>2400</w:t>
      </w:r>
      <w:r>
        <w:rPr>
          <w:rFonts w:hint="eastAsia" w:ascii="仿宋_GB2312" w:hAnsi="仿宋_GB2312" w:eastAsia="仿宋_GB2312" w:cs="仿宋_GB2312"/>
          <w:sz w:val="32"/>
          <w:szCs w:val="32"/>
        </w:rPr>
        <w:t>万人次，国内旅游</w:t>
      </w:r>
      <w:r>
        <w:rPr>
          <w:rFonts w:hint="eastAsia" w:ascii="仿宋_GB2312" w:hAnsi="仿宋_GB2312" w:eastAsia="仿宋_GB2312" w:cs="仿宋_GB2312"/>
          <w:sz w:val="32"/>
          <w:szCs w:val="32"/>
          <w:lang w:val="en-US" w:eastAsia="zh-CN"/>
        </w:rPr>
        <w:t>花费超过300</w:t>
      </w:r>
      <w:r>
        <w:rPr>
          <w:rFonts w:hint="eastAsia" w:ascii="仿宋_GB2312" w:hAnsi="仿宋_GB2312" w:eastAsia="仿宋_GB2312" w:cs="仿宋_GB2312"/>
          <w:sz w:val="32"/>
          <w:szCs w:val="32"/>
        </w:rPr>
        <w:t>亿元，旅游及相关产业增加值占GDP的比重提高1.5个百分点。</w:t>
      </w:r>
      <w:r>
        <w:rPr>
          <w:rFonts w:hint="eastAsia" w:ascii="楷体" w:hAnsi="楷体" w:eastAsia="楷体" w:cs="楷体"/>
          <w:b w:val="0"/>
          <w:bCs w:val="0"/>
          <w:color w:val="auto"/>
          <w:sz w:val="32"/>
          <w:szCs w:val="32"/>
        </w:rPr>
        <w:t>（牵头单位：</w:t>
      </w:r>
      <w:r>
        <w:rPr>
          <w:rFonts w:hint="eastAsia" w:ascii="楷体" w:hAnsi="楷体" w:eastAsia="楷体" w:cs="楷体"/>
          <w:b w:val="0"/>
          <w:bCs w:val="0"/>
          <w:color w:val="auto"/>
          <w:sz w:val="32"/>
          <w:szCs w:val="32"/>
          <w:lang w:eastAsia="zh-CN"/>
        </w:rPr>
        <w:t>县</w:t>
      </w:r>
      <w:r>
        <w:rPr>
          <w:rFonts w:hint="eastAsia" w:ascii="楷体" w:hAnsi="楷体" w:eastAsia="楷体" w:cs="楷体"/>
          <w:b w:val="0"/>
          <w:bCs w:val="0"/>
          <w:color w:val="auto"/>
          <w:sz w:val="32"/>
          <w:szCs w:val="32"/>
        </w:rPr>
        <w:t>文旅局）</w:t>
      </w:r>
    </w:p>
    <w:p w14:paraId="7F685D75">
      <w:pPr>
        <w:keepNext w:val="0"/>
        <w:keepLines w:val="0"/>
        <w:pageBreakBefore w:val="0"/>
        <w:widowControl w:val="0"/>
        <w:kinsoku/>
        <w:wordWrap/>
        <w:overflowPunct/>
        <w:topLinePunct w:val="0"/>
        <w:autoSpaceDE w:val="0"/>
        <w:autoSpaceDN w:val="0"/>
        <w:bidi w:val="0"/>
        <w:adjustRightInd w:val="0"/>
        <w:snapToGrid w:val="0"/>
        <w:spacing w:line="572" w:lineRule="exact"/>
        <w:ind w:firstLine="643" w:firstLineChars="200"/>
        <w:jc w:val="both"/>
        <w:textAlignment w:val="auto"/>
        <w:rPr>
          <w:rFonts w:hint="eastAsia" w:ascii="楷体" w:hAnsi="楷体" w:eastAsia="楷体" w:cs="楷体"/>
          <w:b w:val="0"/>
          <w:bCs w:val="0"/>
          <w:color w:val="auto"/>
          <w:sz w:val="32"/>
          <w:szCs w:val="32"/>
        </w:rPr>
      </w:pPr>
      <w:r>
        <w:rPr>
          <w:rFonts w:hint="eastAsia" w:ascii="楷体_GB2312" w:hAnsi="楷体_GB2312" w:eastAsia="楷体_GB2312" w:cs="楷体_GB2312"/>
          <w:b/>
          <w:bCs/>
          <w:color w:val="auto"/>
          <w:sz w:val="32"/>
          <w:szCs w:val="32"/>
        </w:rPr>
        <w:t>（</w:t>
      </w:r>
      <w:r>
        <w:rPr>
          <w:rFonts w:hint="eastAsia" w:ascii="楷体_GB2312" w:hAnsi="楷体_GB2312" w:eastAsia="楷体_GB2312" w:cs="楷体_GB2312"/>
          <w:b/>
          <w:bCs/>
          <w:color w:val="auto"/>
          <w:sz w:val="32"/>
          <w:szCs w:val="32"/>
          <w:lang w:val="en-US" w:eastAsia="zh-CN"/>
        </w:rPr>
        <w:t>六</w:t>
      </w:r>
      <w:r>
        <w:rPr>
          <w:rFonts w:hint="eastAsia" w:ascii="楷体_GB2312" w:hAnsi="楷体_GB2312" w:eastAsia="楷体_GB2312" w:cs="楷体_GB2312"/>
          <w:b/>
          <w:bCs/>
          <w:color w:val="auto"/>
          <w:sz w:val="32"/>
          <w:szCs w:val="32"/>
        </w:rPr>
        <w:t>）现代商贸业攻坚行动。</w:t>
      </w:r>
      <w:r>
        <w:rPr>
          <w:rFonts w:hint="eastAsia" w:ascii="仿宋_GB2312" w:hAnsi="仿宋_GB2312" w:eastAsia="仿宋_GB2312" w:cs="仿宋_GB2312"/>
          <w:b/>
          <w:bCs/>
          <w:color w:val="auto"/>
          <w:sz w:val="32"/>
          <w:szCs w:val="32"/>
        </w:rPr>
        <w:t>1.</w:t>
      </w:r>
      <w:r>
        <w:rPr>
          <w:rFonts w:hint="eastAsia" w:ascii="仿宋_GB2312" w:hAnsi="仿宋_GB2312" w:eastAsia="仿宋_GB2312" w:cs="仿宋_GB2312"/>
          <w:b/>
          <w:bCs/>
          <w:color w:val="auto"/>
          <w:sz w:val="32"/>
          <w:szCs w:val="32"/>
          <w:lang w:val="en-US" w:eastAsia="zh-CN"/>
        </w:rPr>
        <w:t>推进商贸市场体系建设。</w:t>
      </w:r>
      <w:r>
        <w:rPr>
          <w:rFonts w:hint="eastAsia" w:ascii="仿宋_GB2312" w:hAnsi="仿宋_GB2312" w:eastAsia="仿宋_GB2312" w:cs="仿宋_GB2312"/>
          <w:color w:val="auto"/>
          <w:sz w:val="32"/>
          <w:szCs w:val="32"/>
          <w:lang w:val="en-US" w:eastAsia="zh-CN"/>
        </w:rPr>
        <w:t>加快商业街、酒店等项目建设，盘活亿达广场、商业广场等闲置资产，建立闲置资源信息库，绘制招商地图，线上线下推广招商，丰富商业新业态，点亮商业新街区。</w:t>
      </w:r>
      <w:r>
        <w:rPr>
          <w:rFonts w:hint="eastAsia" w:ascii="仿宋_GB2312" w:hAnsi="仿宋_GB2312" w:eastAsia="仿宋_GB2312" w:cs="仿宋_GB2312"/>
          <w:b/>
          <w:bCs/>
          <w:color w:val="auto"/>
          <w:sz w:val="32"/>
          <w:szCs w:val="32"/>
          <w:lang w:val="en-US" w:eastAsia="zh-CN"/>
        </w:rPr>
        <w:t>2</w:t>
      </w:r>
      <w:r>
        <w:rPr>
          <w:rFonts w:hint="eastAsia" w:ascii="仿宋_GB2312" w:hAnsi="仿宋_GB2312" w:eastAsia="仿宋_GB2312" w:cs="仿宋_GB2312"/>
          <w:b/>
          <w:bCs/>
          <w:color w:val="auto"/>
          <w:sz w:val="32"/>
          <w:szCs w:val="32"/>
        </w:rPr>
        <w:t>.推动消费业态新质化发展。</w:t>
      </w:r>
      <w:r>
        <w:rPr>
          <w:rFonts w:hint="eastAsia" w:ascii="仿宋_GB2312" w:hAnsi="仿宋_GB2312" w:eastAsia="仿宋_GB2312" w:cs="仿宋_GB2312"/>
          <w:color w:val="auto"/>
          <w:sz w:val="32"/>
          <w:szCs w:val="32"/>
        </w:rPr>
        <w:t>促进商文旅体展融合发展，打造一批“皖美消费新场景”。</w:t>
      </w:r>
      <w:r>
        <w:rPr>
          <w:rFonts w:hint="eastAsia" w:ascii="仿宋_GB2312" w:hAnsi="仿宋_GB2312" w:eastAsia="仿宋_GB2312" w:cs="仿宋_GB2312"/>
          <w:color w:val="auto"/>
          <w:sz w:val="32"/>
          <w:szCs w:val="32"/>
          <w:lang w:val="en-US" w:eastAsia="zh-CN"/>
        </w:rPr>
        <w:t>推动消费扩容提质，落实皖美消费促进行动，加大消费券发放，进一步释放消费潜力。</w:t>
      </w:r>
      <w:r>
        <w:rPr>
          <w:rFonts w:hint="eastAsia" w:ascii="仿宋_GB2312" w:hAnsi="仿宋_GB2312" w:eastAsia="仿宋_GB2312" w:cs="仿宋_GB2312"/>
          <w:b/>
          <w:bCs/>
          <w:color w:val="auto"/>
          <w:sz w:val="32"/>
          <w:szCs w:val="32"/>
          <w:lang w:val="en-US" w:eastAsia="zh-CN"/>
        </w:rPr>
        <w:t>3</w:t>
      </w:r>
      <w:r>
        <w:rPr>
          <w:rFonts w:hint="eastAsia" w:ascii="仿宋_GB2312" w:hAnsi="仿宋_GB2312" w:eastAsia="仿宋_GB2312" w:cs="仿宋_GB2312"/>
          <w:b/>
          <w:bCs/>
          <w:color w:val="auto"/>
          <w:sz w:val="32"/>
          <w:szCs w:val="32"/>
        </w:rPr>
        <w:t>.推动电商集聚化发展。</w:t>
      </w:r>
      <w:r>
        <w:rPr>
          <w:rFonts w:hint="eastAsia" w:ascii="仿宋_GB2312" w:hAnsi="仿宋_GB2312" w:eastAsia="仿宋_GB2312" w:cs="仿宋_GB2312"/>
          <w:color w:val="auto"/>
          <w:sz w:val="32"/>
          <w:szCs w:val="32"/>
          <w:lang w:val="en-US" w:eastAsia="zh-CN"/>
        </w:rPr>
        <w:t>强化与浙江人才集团战略合作，大力</w:t>
      </w:r>
      <w:r>
        <w:rPr>
          <w:rFonts w:hint="eastAsia" w:ascii="仿宋_GB2312" w:hAnsi="仿宋_GB2312" w:eastAsia="仿宋_GB2312" w:cs="仿宋_GB2312"/>
          <w:color w:val="auto"/>
          <w:sz w:val="32"/>
          <w:szCs w:val="32"/>
        </w:rPr>
        <w:t>推进新兴信息电子产业</w:t>
      </w:r>
      <w:r>
        <w:rPr>
          <w:rFonts w:hint="eastAsia" w:ascii="仿宋_GB2312" w:hAnsi="仿宋_GB2312" w:eastAsia="仿宋_GB2312" w:cs="仿宋_GB2312"/>
          <w:color w:val="auto"/>
          <w:sz w:val="32"/>
          <w:szCs w:val="32"/>
          <w:lang w:val="en-US" w:eastAsia="zh-CN"/>
        </w:rPr>
        <w:t>园区建设</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val="en-US" w:eastAsia="zh-CN"/>
        </w:rPr>
        <w:t>积极引进相关品牌运行、电商营销企业，助推我县工业终端产品、九华黄精等农特产品企业树立品牌、拓展市场、扩大规模。加</w:t>
      </w:r>
      <w:r>
        <w:rPr>
          <w:rFonts w:hint="eastAsia" w:ascii="仿宋_GB2312" w:hAnsi="仿宋_GB2312" w:eastAsia="仿宋_GB2312" w:cs="仿宋_GB2312"/>
          <w:color w:val="auto"/>
          <w:sz w:val="32"/>
          <w:szCs w:val="32"/>
        </w:rPr>
        <w:t>快电子商务集聚区提质升级，促进平台电商、社交电商、社区团购、生鲜电商一体化发展，鼓励开展“店播”“田播”等特色直播。到2027年，全</w:t>
      </w:r>
      <w:r>
        <w:rPr>
          <w:rFonts w:hint="eastAsia" w:ascii="仿宋_GB2312" w:hAnsi="仿宋_GB2312" w:eastAsia="仿宋_GB2312" w:cs="仿宋_GB2312"/>
          <w:color w:val="auto"/>
          <w:sz w:val="32"/>
          <w:szCs w:val="32"/>
          <w:lang w:val="en-US" w:eastAsia="zh-CN"/>
        </w:rPr>
        <w:t>县</w:t>
      </w:r>
      <w:r>
        <w:rPr>
          <w:rFonts w:hint="eastAsia" w:ascii="仿宋_GB2312" w:hAnsi="仿宋_GB2312" w:eastAsia="仿宋_GB2312" w:cs="仿宋_GB2312"/>
          <w:color w:val="auto"/>
          <w:sz w:val="32"/>
          <w:szCs w:val="32"/>
        </w:rPr>
        <w:t>社会消费品零售总额年均增幅高于全</w:t>
      </w:r>
      <w:r>
        <w:rPr>
          <w:rFonts w:hint="eastAsia" w:ascii="仿宋_GB2312" w:hAnsi="仿宋_GB2312" w:eastAsia="仿宋_GB2312" w:cs="仿宋_GB2312"/>
          <w:color w:val="auto"/>
          <w:sz w:val="32"/>
          <w:szCs w:val="32"/>
          <w:lang w:val="en-US" w:eastAsia="zh-CN"/>
        </w:rPr>
        <w:t>市</w:t>
      </w:r>
      <w:r>
        <w:rPr>
          <w:rFonts w:hint="eastAsia" w:ascii="仿宋_GB2312" w:hAnsi="仿宋_GB2312" w:eastAsia="仿宋_GB2312" w:cs="仿宋_GB2312"/>
          <w:color w:val="auto"/>
          <w:sz w:val="32"/>
          <w:szCs w:val="32"/>
        </w:rPr>
        <w:t>平均水平，限上批零住餐企业达</w:t>
      </w:r>
      <w:r>
        <w:rPr>
          <w:rFonts w:hint="eastAsia" w:ascii="仿宋_GB2312" w:hAnsi="仿宋_GB2312" w:eastAsia="仿宋_GB2312" w:cs="仿宋_GB2312"/>
          <w:color w:val="auto"/>
          <w:sz w:val="32"/>
          <w:szCs w:val="32"/>
          <w:lang w:val="en-US" w:eastAsia="zh-CN"/>
        </w:rPr>
        <w:t>170</w:t>
      </w:r>
      <w:r>
        <w:rPr>
          <w:rFonts w:hint="eastAsia" w:ascii="仿宋_GB2312" w:hAnsi="仿宋_GB2312" w:eastAsia="仿宋_GB2312" w:cs="仿宋_GB2312"/>
          <w:color w:val="auto"/>
          <w:sz w:val="32"/>
          <w:szCs w:val="32"/>
        </w:rPr>
        <w:t>家、其中亿元以上企业</w:t>
      </w:r>
      <w:r>
        <w:rPr>
          <w:rFonts w:hint="eastAsia" w:ascii="仿宋_GB2312" w:hAnsi="仿宋_GB2312" w:eastAsia="仿宋_GB2312" w:cs="仿宋_GB2312"/>
          <w:color w:val="auto"/>
          <w:sz w:val="32"/>
          <w:szCs w:val="32"/>
          <w:lang w:val="en-US" w:eastAsia="zh-CN"/>
        </w:rPr>
        <w:t>6</w:t>
      </w:r>
      <w:r>
        <w:rPr>
          <w:rFonts w:hint="eastAsia" w:ascii="仿宋_GB2312" w:hAnsi="仿宋_GB2312" w:eastAsia="仿宋_GB2312" w:cs="仿宋_GB2312"/>
          <w:color w:val="auto"/>
          <w:sz w:val="32"/>
          <w:szCs w:val="32"/>
        </w:rPr>
        <w:t>家</w:t>
      </w:r>
      <w:r>
        <w:rPr>
          <w:rFonts w:hint="eastAsia" w:ascii="仿宋_GB2312" w:hAnsi="仿宋_GB2312" w:eastAsia="仿宋_GB2312" w:cs="仿宋_GB2312"/>
          <w:color w:val="auto"/>
          <w:sz w:val="32"/>
          <w:szCs w:val="32"/>
          <w:lang w:eastAsia="zh-CN"/>
        </w:rPr>
        <w:t>。</w:t>
      </w:r>
      <w:r>
        <w:rPr>
          <w:rFonts w:hint="eastAsia" w:ascii="楷体" w:hAnsi="楷体" w:eastAsia="楷体" w:cs="楷体"/>
          <w:b w:val="0"/>
          <w:bCs w:val="0"/>
          <w:color w:val="auto"/>
          <w:sz w:val="32"/>
          <w:szCs w:val="32"/>
        </w:rPr>
        <w:t>（牵头单位：</w:t>
      </w:r>
      <w:r>
        <w:rPr>
          <w:rFonts w:hint="eastAsia" w:ascii="楷体" w:hAnsi="楷体" w:eastAsia="楷体" w:cs="楷体"/>
          <w:b w:val="0"/>
          <w:bCs w:val="0"/>
          <w:color w:val="auto"/>
          <w:sz w:val="32"/>
          <w:szCs w:val="32"/>
          <w:lang w:eastAsia="zh-CN"/>
        </w:rPr>
        <w:t>县</w:t>
      </w:r>
      <w:r>
        <w:rPr>
          <w:rFonts w:hint="eastAsia" w:ascii="楷体" w:hAnsi="楷体" w:eastAsia="楷体" w:cs="楷体"/>
          <w:b w:val="0"/>
          <w:bCs w:val="0"/>
          <w:color w:val="auto"/>
          <w:sz w:val="32"/>
          <w:szCs w:val="32"/>
        </w:rPr>
        <w:t>商务局）</w:t>
      </w:r>
    </w:p>
    <w:p w14:paraId="5E55DB65">
      <w:pPr>
        <w:keepNext w:val="0"/>
        <w:keepLines w:val="0"/>
        <w:pageBreakBefore w:val="0"/>
        <w:widowControl w:val="0"/>
        <w:kinsoku/>
        <w:wordWrap/>
        <w:overflowPunct/>
        <w:topLinePunct w:val="0"/>
        <w:autoSpaceDE w:val="0"/>
        <w:autoSpaceDN w:val="0"/>
        <w:bidi w:val="0"/>
        <w:adjustRightInd w:val="0"/>
        <w:snapToGrid w:val="0"/>
        <w:spacing w:line="572" w:lineRule="exact"/>
        <w:ind w:firstLine="643" w:firstLineChars="200"/>
        <w:jc w:val="both"/>
        <w:textAlignment w:val="auto"/>
        <w:rPr>
          <w:rFonts w:hint="eastAsia" w:ascii="楷体" w:hAnsi="楷体" w:eastAsia="楷体" w:cs="楷体"/>
          <w:b w:val="0"/>
          <w:bCs w:val="0"/>
          <w:color w:val="auto"/>
          <w:sz w:val="32"/>
          <w:szCs w:val="32"/>
        </w:rPr>
      </w:pPr>
      <w:r>
        <w:rPr>
          <w:rFonts w:ascii="楷体" w:hAnsi="楷体" w:eastAsia="楷体" w:cs="楷体"/>
          <w:b/>
          <w:bCs/>
          <w:color w:val="auto"/>
          <w:sz w:val="32"/>
          <w:szCs w:val="32"/>
        </w:rPr>
        <w:t>（七）现代</w:t>
      </w:r>
      <w:r>
        <w:rPr>
          <w:rFonts w:hint="eastAsia" w:ascii="楷体" w:hAnsi="楷体" w:eastAsia="楷体" w:cs="楷体"/>
          <w:b/>
          <w:bCs/>
          <w:color w:val="auto"/>
          <w:sz w:val="32"/>
          <w:szCs w:val="32"/>
          <w:lang w:val="en-US" w:eastAsia="zh-CN"/>
        </w:rPr>
        <w:t>会展</w:t>
      </w:r>
      <w:r>
        <w:rPr>
          <w:rFonts w:ascii="楷体" w:hAnsi="楷体" w:eastAsia="楷体" w:cs="楷体"/>
          <w:b/>
          <w:bCs/>
          <w:color w:val="auto"/>
          <w:sz w:val="32"/>
          <w:szCs w:val="32"/>
        </w:rPr>
        <w:t>赛事业攻坚行动。</w:t>
      </w:r>
      <w:r>
        <w:rPr>
          <w:rFonts w:hint="eastAsia" w:ascii="仿宋_GB2312" w:hAnsi="仿宋_GB2312" w:eastAsia="仿宋_GB2312" w:cs="仿宋_GB2312"/>
          <w:color w:val="auto"/>
          <w:sz w:val="32"/>
          <w:szCs w:val="32"/>
          <w:lang w:val="en-US" w:eastAsia="zh-CN"/>
        </w:rPr>
        <w:t>做强特色展会活动，围绕镁铝轻合金、康养休闲、九华黄精等县域主导产业，强化以展带产、以产促展，支持四季永逸、五溪山色、九华山阿尔卡迪亚等品牌企业，积极与行业协会学会、高端会议机构合作，培育世界及全国镁业大会、九华黄精产业大会、非金属矿科技和产业论坛等会展品牌，大力发展企业年会、户外拓展等产业，每年开展各类会议会展论坛等100场次以上，努力将青阳建设成为知名会议目的地。强化以赛促产、以赛促销。加快释放“赛事+消费”活力，加强与行业协会、俱乐部、专业公司对接合作，培育一批动漫、国潮、低空飞行体验、无人机竞速等深受年轻消费人群喜爱的精品综合性活动，扩大徒步大会等赛事活动影响力。到2027年，举办300场左右会议会展论坛、30场左右大型体育赛事。</w:t>
      </w:r>
      <w:r>
        <w:rPr>
          <w:rFonts w:hint="eastAsia" w:ascii="楷体" w:hAnsi="楷体" w:eastAsia="楷体" w:cs="楷体"/>
          <w:b w:val="0"/>
          <w:bCs w:val="0"/>
          <w:color w:val="auto"/>
          <w:sz w:val="32"/>
          <w:szCs w:val="32"/>
        </w:rPr>
        <w:t>（牵头单位：</w:t>
      </w:r>
      <w:r>
        <w:rPr>
          <w:rFonts w:hint="eastAsia" w:ascii="楷体" w:hAnsi="楷体" w:eastAsia="楷体" w:cs="楷体"/>
          <w:b w:val="0"/>
          <w:bCs w:val="0"/>
          <w:color w:val="auto"/>
          <w:sz w:val="32"/>
          <w:szCs w:val="32"/>
          <w:lang w:val="en-US" w:eastAsia="zh-CN"/>
        </w:rPr>
        <w:t>县商务局、</w:t>
      </w:r>
      <w:r>
        <w:rPr>
          <w:rFonts w:hint="eastAsia" w:ascii="楷体" w:hAnsi="楷体" w:eastAsia="楷体" w:cs="楷体"/>
          <w:b w:val="0"/>
          <w:bCs w:val="0"/>
          <w:color w:val="auto"/>
          <w:sz w:val="32"/>
          <w:szCs w:val="32"/>
          <w:lang w:eastAsia="zh-CN"/>
        </w:rPr>
        <w:t>县</w:t>
      </w:r>
      <w:r>
        <w:rPr>
          <w:rFonts w:hint="eastAsia" w:ascii="楷体" w:hAnsi="楷体" w:eastAsia="楷体" w:cs="楷体"/>
          <w:b w:val="0"/>
          <w:bCs w:val="0"/>
          <w:color w:val="auto"/>
          <w:sz w:val="32"/>
          <w:szCs w:val="32"/>
        </w:rPr>
        <w:t>教体局</w:t>
      </w:r>
      <w:r>
        <w:rPr>
          <w:rFonts w:hint="eastAsia" w:ascii="楷体" w:hAnsi="楷体" w:eastAsia="楷体" w:cs="楷体"/>
          <w:b w:val="0"/>
          <w:bCs w:val="0"/>
          <w:color w:val="auto"/>
          <w:sz w:val="32"/>
          <w:szCs w:val="32"/>
          <w:lang w:val="en-US" w:eastAsia="zh-CN"/>
        </w:rPr>
        <w:t>按职能分别负责</w:t>
      </w:r>
      <w:r>
        <w:rPr>
          <w:rFonts w:hint="eastAsia" w:ascii="楷体" w:hAnsi="楷体" w:eastAsia="楷体" w:cs="楷体"/>
          <w:b w:val="0"/>
          <w:bCs w:val="0"/>
          <w:color w:val="auto"/>
          <w:sz w:val="32"/>
          <w:szCs w:val="32"/>
        </w:rPr>
        <w:t>）</w:t>
      </w:r>
    </w:p>
    <w:p w14:paraId="76E83E57">
      <w:pPr>
        <w:keepNext w:val="0"/>
        <w:keepLines w:val="0"/>
        <w:pageBreakBefore w:val="0"/>
        <w:widowControl w:val="0"/>
        <w:kinsoku/>
        <w:wordWrap/>
        <w:overflowPunct/>
        <w:topLinePunct w:val="0"/>
        <w:autoSpaceDE w:val="0"/>
        <w:autoSpaceDN w:val="0"/>
        <w:bidi w:val="0"/>
        <w:adjustRightInd w:val="0"/>
        <w:snapToGrid w:val="0"/>
        <w:spacing w:line="572" w:lineRule="exact"/>
        <w:ind w:firstLine="643" w:firstLineChars="200"/>
        <w:jc w:val="both"/>
        <w:textAlignment w:val="auto"/>
        <w:rPr>
          <w:rFonts w:hint="eastAsia" w:ascii="楷体" w:hAnsi="楷体" w:eastAsia="楷体" w:cs="楷体"/>
          <w:b w:val="0"/>
          <w:bCs w:val="0"/>
          <w:color w:val="auto"/>
          <w:sz w:val="32"/>
          <w:szCs w:val="32"/>
        </w:rPr>
      </w:pPr>
      <w:r>
        <w:rPr>
          <w:rFonts w:hint="eastAsia" w:ascii="楷体_GB2312" w:hAnsi="楷体_GB2312" w:eastAsia="楷体_GB2312" w:cs="楷体_GB2312"/>
          <w:b/>
          <w:bCs/>
          <w:color w:val="auto"/>
          <w:sz w:val="32"/>
          <w:szCs w:val="32"/>
        </w:rPr>
        <w:t>（</w:t>
      </w:r>
      <w:r>
        <w:rPr>
          <w:rFonts w:hint="eastAsia" w:ascii="楷体_GB2312" w:hAnsi="楷体_GB2312" w:eastAsia="楷体_GB2312" w:cs="楷体_GB2312"/>
          <w:b/>
          <w:bCs/>
          <w:color w:val="auto"/>
          <w:sz w:val="32"/>
          <w:szCs w:val="32"/>
          <w:lang w:val="en-US" w:eastAsia="zh-CN"/>
        </w:rPr>
        <w:t>八</w:t>
      </w:r>
      <w:r>
        <w:rPr>
          <w:rFonts w:hint="eastAsia" w:ascii="楷体_GB2312" w:hAnsi="楷体_GB2312" w:eastAsia="楷体_GB2312" w:cs="楷体_GB2312"/>
          <w:b/>
          <w:bCs/>
          <w:color w:val="auto"/>
          <w:sz w:val="32"/>
          <w:szCs w:val="32"/>
        </w:rPr>
        <w:t>）现代民生服务业攻坚行动。</w:t>
      </w:r>
      <w:r>
        <w:rPr>
          <w:rFonts w:hint="eastAsia" w:ascii="仿宋_GB2312" w:hAnsi="仿宋_GB2312" w:eastAsia="仿宋_GB2312" w:cs="仿宋_GB2312"/>
          <w:b/>
          <w:bCs/>
          <w:color w:val="auto"/>
          <w:sz w:val="32"/>
          <w:szCs w:val="32"/>
        </w:rPr>
        <w:t>1.健全城乡居民家庭服务体系。</w:t>
      </w:r>
      <w:r>
        <w:rPr>
          <w:rFonts w:hint="eastAsia" w:ascii="仿宋_GB2312" w:hAnsi="仿宋_GB2312" w:eastAsia="仿宋_GB2312" w:cs="仿宋_GB2312"/>
          <w:color w:val="auto"/>
          <w:sz w:val="32"/>
          <w:szCs w:val="32"/>
        </w:rPr>
        <w:t>积极引进和培育一批市场主体，发展家政服务、物业服务、养老托幼等服务业态，增加高品质社区服务供给。</w:t>
      </w:r>
      <w:r>
        <w:rPr>
          <w:rFonts w:hint="eastAsia" w:ascii="仿宋_GB2312" w:hAnsi="仿宋_GB2312" w:eastAsia="仿宋_GB2312" w:cs="仿宋_GB2312"/>
          <w:b/>
          <w:bCs/>
          <w:color w:val="auto"/>
          <w:sz w:val="32"/>
          <w:szCs w:val="32"/>
        </w:rPr>
        <w:t>2.扩量提质健康服务业。</w:t>
      </w:r>
      <w:r>
        <w:rPr>
          <w:rFonts w:hint="eastAsia" w:ascii="仿宋_GB2312" w:hAnsi="仿宋_GB2312" w:eastAsia="仿宋_GB2312" w:cs="仿宋_GB2312"/>
          <w:color w:val="auto"/>
          <w:sz w:val="32"/>
          <w:szCs w:val="32"/>
          <w:lang w:val="en-US" w:eastAsia="zh-CN"/>
        </w:rPr>
        <w:t>推进县医院、中医院</w:t>
      </w:r>
      <w:r>
        <w:rPr>
          <w:rFonts w:hint="eastAsia" w:ascii="仿宋_GB2312" w:hAnsi="仿宋_GB2312" w:eastAsia="仿宋_GB2312" w:cs="仿宋_GB2312"/>
          <w:color w:val="auto"/>
          <w:sz w:val="32"/>
          <w:szCs w:val="32"/>
        </w:rPr>
        <w:t>加强与</w:t>
      </w:r>
      <w:r>
        <w:rPr>
          <w:rFonts w:hint="eastAsia" w:ascii="仿宋_GB2312" w:hAnsi="仿宋_GB2312" w:eastAsia="仿宋_GB2312" w:cs="仿宋_GB2312"/>
          <w:color w:val="auto"/>
          <w:sz w:val="32"/>
          <w:szCs w:val="32"/>
          <w:lang w:val="en-US" w:eastAsia="zh-CN"/>
        </w:rPr>
        <w:t>长三角</w:t>
      </w:r>
      <w:r>
        <w:rPr>
          <w:rFonts w:hint="eastAsia" w:ascii="仿宋_GB2312" w:hAnsi="仿宋_GB2312" w:eastAsia="仿宋_GB2312" w:cs="仿宋_GB2312"/>
          <w:color w:val="auto"/>
          <w:sz w:val="32"/>
          <w:szCs w:val="32"/>
        </w:rPr>
        <w:t>等地优质医疗机构合作</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提升县域医疗服务水平，积极打造皖南区域医疗中心。</w:t>
      </w:r>
      <w:r>
        <w:rPr>
          <w:rFonts w:hint="eastAsia" w:ascii="仿宋_GB2312" w:hAnsi="仿宋_GB2312" w:eastAsia="仿宋_GB2312" w:cs="仿宋_GB2312"/>
          <w:color w:val="auto"/>
          <w:sz w:val="32"/>
          <w:szCs w:val="32"/>
        </w:rPr>
        <w:t>加快构建全周期健康服务体系，</w:t>
      </w:r>
      <w:r>
        <w:rPr>
          <w:rFonts w:hint="eastAsia" w:ascii="仿宋_GB2312" w:hAnsi="仿宋_GB2312" w:eastAsia="仿宋_GB2312" w:cs="仿宋_GB2312"/>
          <w:color w:val="auto"/>
          <w:sz w:val="32"/>
          <w:szCs w:val="32"/>
          <w:lang w:val="en-US" w:eastAsia="zh-CN"/>
        </w:rPr>
        <w:t>积极引进大健康以及康养、研学等相关项目，</w:t>
      </w:r>
      <w:r>
        <w:rPr>
          <w:rFonts w:hint="eastAsia" w:ascii="仿宋_GB2312" w:hAnsi="仿宋_GB2312" w:eastAsia="仿宋_GB2312" w:cs="仿宋_GB2312"/>
          <w:color w:val="auto"/>
          <w:sz w:val="32"/>
          <w:szCs w:val="32"/>
        </w:rPr>
        <w:t>推动医疗卫生、养老、托育等融合发展。</w:t>
      </w:r>
      <w:r>
        <w:rPr>
          <w:rFonts w:hint="eastAsia" w:ascii="仿宋_GB2312" w:hAnsi="仿宋_GB2312" w:eastAsia="仿宋_GB2312" w:cs="仿宋_GB2312"/>
          <w:b/>
          <w:bCs/>
          <w:color w:val="auto"/>
          <w:sz w:val="32"/>
          <w:szCs w:val="32"/>
        </w:rPr>
        <w:t>3.加快发展养老托幼服务业。</w:t>
      </w:r>
      <w:r>
        <w:rPr>
          <w:rFonts w:hint="eastAsia" w:ascii="仿宋_GB2312" w:hAnsi="仿宋_GB2312" w:eastAsia="仿宋_GB2312" w:cs="仿宋_GB2312"/>
          <w:color w:val="auto"/>
          <w:sz w:val="32"/>
          <w:szCs w:val="32"/>
        </w:rPr>
        <w:t>推动社区适老化改造，大力发展社区嵌入式养老服务机构。实施安心托幼建设工程，积极发展集中托育、育儿辅导、养护培训等育幼服务。</w:t>
      </w:r>
      <w:r>
        <w:rPr>
          <w:rFonts w:hint="eastAsia" w:ascii="仿宋_GB2312" w:hAnsi="仿宋_GB2312" w:eastAsia="仿宋_GB2312" w:cs="仿宋_GB2312"/>
          <w:b/>
          <w:bCs/>
          <w:color w:val="auto"/>
          <w:sz w:val="32"/>
          <w:szCs w:val="32"/>
        </w:rPr>
        <w:t>4.提升社区服务业。</w:t>
      </w:r>
      <w:r>
        <w:rPr>
          <w:rFonts w:hint="eastAsia" w:ascii="仿宋_GB2312" w:hAnsi="仿宋_GB2312" w:eastAsia="仿宋_GB2312" w:cs="仿宋_GB2312"/>
          <w:color w:val="auto"/>
          <w:sz w:val="32"/>
          <w:szCs w:val="32"/>
        </w:rPr>
        <w:t>完善一刻钟便民生活圈服务功能，优化提升送餐、送货、送菜、送药等便民综合服务能力，加强智能充电桩、无人物流车等智能设备推广运用，提供一站式家庭服务解决方案。到2027年，新增居民服务、修理和其他服务业规上企业</w:t>
      </w:r>
      <w:r>
        <w:rPr>
          <w:rFonts w:hint="eastAsia" w:ascii="仿宋_GB2312" w:hAnsi="仿宋_GB2312" w:eastAsia="仿宋_GB2312" w:cs="仿宋_GB2312"/>
          <w:color w:val="auto"/>
          <w:sz w:val="32"/>
          <w:szCs w:val="32"/>
          <w:lang w:val="en-US" w:eastAsia="zh-CN"/>
        </w:rPr>
        <w:t>5</w:t>
      </w:r>
      <w:r>
        <w:rPr>
          <w:rFonts w:hint="eastAsia" w:ascii="仿宋_GB2312" w:hAnsi="仿宋_GB2312" w:eastAsia="仿宋_GB2312" w:cs="仿宋_GB2312"/>
          <w:color w:val="auto"/>
          <w:sz w:val="32"/>
          <w:szCs w:val="32"/>
        </w:rPr>
        <w:t>家，营收超过</w:t>
      </w:r>
      <w:r>
        <w:rPr>
          <w:rFonts w:hint="eastAsia" w:ascii="仿宋_GB2312" w:hAnsi="仿宋_GB2312" w:eastAsia="仿宋_GB2312" w:cs="仿宋_GB2312"/>
          <w:color w:val="auto"/>
          <w:sz w:val="32"/>
          <w:szCs w:val="32"/>
          <w:lang w:val="en-US" w:eastAsia="zh-CN"/>
        </w:rPr>
        <w:t>2500万元</w:t>
      </w:r>
      <w:r>
        <w:rPr>
          <w:rFonts w:hint="eastAsia" w:ascii="仿宋_GB2312" w:hAnsi="仿宋_GB2312" w:eastAsia="仿宋_GB2312" w:cs="仿宋_GB2312"/>
          <w:color w:val="auto"/>
          <w:sz w:val="32"/>
          <w:szCs w:val="32"/>
        </w:rPr>
        <w:t>，年均增幅</w:t>
      </w:r>
      <w:r>
        <w:rPr>
          <w:rFonts w:hint="eastAsia" w:ascii="仿宋_GB2312" w:hAnsi="仿宋_GB2312" w:eastAsia="仿宋_GB2312" w:cs="仿宋_GB2312"/>
          <w:color w:val="auto"/>
          <w:sz w:val="32"/>
          <w:szCs w:val="32"/>
          <w:lang w:val="en-US" w:eastAsia="zh-CN"/>
        </w:rPr>
        <w:t>10</w:t>
      </w:r>
      <w:r>
        <w:rPr>
          <w:rFonts w:hint="eastAsia" w:ascii="仿宋_GB2312" w:hAnsi="仿宋_GB2312" w:eastAsia="仿宋_GB2312" w:cs="仿宋_GB2312"/>
          <w:color w:val="auto"/>
          <w:sz w:val="32"/>
          <w:szCs w:val="32"/>
        </w:rPr>
        <w:t>%以上。</w:t>
      </w:r>
      <w:r>
        <w:rPr>
          <w:rFonts w:hint="eastAsia" w:ascii="楷体" w:hAnsi="楷体" w:eastAsia="楷体" w:cs="楷体"/>
          <w:b w:val="0"/>
          <w:bCs w:val="0"/>
          <w:color w:val="auto"/>
          <w:sz w:val="32"/>
          <w:szCs w:val="32"/>
        </w:rPr>
        <w:t>（牵头单位：</w:t>
      </w:r>
      <w:r>
        <w:rPr>
          <w:rFonts w:hint="eastAsia" w:ascii="楷体" w:hAnsi="楷体" w:eastAsia="楷体" w:cs="楷体"/>
          <w:b w:val="0"/>
          <w:bCs w:val="0"/>
          <w:color w:val="auto"/>
          <w:sz w:val="32"/>
          <w:szCs w:val="32"/>
          <w:lang w:eastAsia="zh-CN"/>
        </w:rPr>
        <w:t>县</w:t>
      </w:r>
      <w:r>
        <w:rPr>
          <w:rFonts w:hint="eastAsia" w:ascii="楷体" w:hAnsi="楷体" w:eastAsia="楷体" w:cs="楷体"/>
          <w:b w:val="0"/>
          <w:bCs w:val="0"/>
          <w:color w:val="auto"/>
          <w:sz w:val="32"/>
          <w:szCs w:val="32"/>
        </w:rPr>
        <w:t>教体局、</w:t>
      </w:r>
      <w:r>
        <w:rPr>
          <w:rFonts w:hint="eastAsia" w:ascii="楷体" w:hAnsi="楷体" w:eastAsia="楷体" w:cs="楷体"/>
          <w:b w:val="0"/>
          <w:bCs w:val="0"/>
          <w:color w:val="auto"/>
          <w:sz w:val="32"/>
          <w:szCs w:val="32"/>
          <w:lang w:eastAsia="zh-CN"/>
        </w:rPr>
        <w:t>县</w:t>
      </w:r>
      <w:r>
        <w:rPr>
          <w:rFonts w:hint="eastAsia" w:ascii="楷体" w:hAnsi="楷体" w:eastAsia="楷体" w:cs="楷体"/>
          <w:b w:val="0"/>
          <w:bCs w:val="0"/>
          <w:color w:val="auto"/>
          <w:sz w:val="32"/>
          <w:szCs w:val="32"/>
        </w:rPr>
        <w:t>卫健委、</w:t>
      </w:r>
      <w:r>
        <w:rPr>
          <w:rFonts w:hint="eastAsia" w:ascii="楷体" w:hAnsi="楷体" w:eastAsia="楷体" w:cs="楷体"/>
          <w:b w:val="0"/>
          <w:bCs w:val="0"/>
          <w:color w:val="auto"/>
          <w:sz w:val="32"/>
          <w:szCs w:val="32"/>
          <w:lang w:eastAsia="zh-CN"/>
        </w:rPr>
        <w:t>县</w:t>
      </w:r>
      <w:r>
        <w:rPr>
          <w:rFonts w:hint="eastAsia" w:ascii="楷体" w:hAnsi="楷体" w:eastAsia="楷体" w:cs="楷体"/>
          <w:b w:val="0"/>
          <w:bCs w:val="0"/>
          <w:color w:val="auto"/>
          <w:sz w:val="32"/>
          <w:szCs w:val="32"/>
        </w:rPr>
        <w:t>民政局、</w:t>
      </w:r>
      <w:r>
        <w:rPr>
          <w:rFonts w:hint="eastAsia" w:ascii="楷体" w:hAnsi="楷体" w:eastAsia="楷体" w:cs="楷体"/>
          <w:b w:val="0"/>
          <w:bCs w:val="0"/>
          <w:color w:val="auto"/>
          <w:sz w:val="32"/>
          <w:szCs w:val="32"/>
          <w:lang w:eastAsia="zh-CN"/>
        </w:rPr>
        <w:t>县</w:t>
      </w:r>
      <w:r>
        <w:rPr>
          <w:rFonts w:hint="eastAsia" w:ascii="楷体" w:hAnsi="楷体" w:eastAsia="楷体" w:cs="楷体"/>
          <w:b w:val="0"/>
          <w:bCs w:val="0"/>
          <w:color w:val="auto"/>
          <w:sz w:val="32"/>
          <w:szCs w:val="32"/>
        </w:rPr>
        <w:t>人社局按职能分别负责）</w:t>
      </w:r>
    </w:p>
    <w:p w14:paraId="154B7041">
      <w:pPr>
        <w:keepNext w:val="0"/>
        <w:keepLines w:val="0"/>
        <w:pageBreakBefore w:val="0"/>
        <w:widowControl w:val="0"/>
        <w:kinsoku/>
        <w:wordWrap/>
        <w:overflowPunct/>
        <w:topLinePunct w:val="0"/>
        <w:autoSpaceDE w:val="0"/>
        <w:autoSpaceDN w:val="0"/>
        <w:bidi w:val="0"/>
        <w:adjustRightInd w:val="0"/>
        <w:snapToGrid w:val="0"/>
        <w:spacing w:line="572" w:lineRule="exact"/>
        <w:ind w:firstLine="643" w:firstLineChars="200"/>
        <w:jc w:val="both"/>
        <w:textAlignment w:val="auto"/>
        <w:rPr>
          <w:rFonts w:hint="eastAsia" w:ascii="楷体" w:hAnsi="楷体" w:eastAsia="楷体" w:cs="楷体"/>
          <w:b w:val="0"/>
          <w:bCs w:val="0"/>
          <w:color w:val="auto"/>
          <w:sz w:val="32"/>
          <w:szCs w:val="32"/>
        </w:rPr>
      </w:pPr>
      <w:r>
        <w:rPr>
          <w:rFonts w:hint="eastAsia" w:ascii="楷体_GB2312" w:hAnsi="楷体_GB2312" w:eastAsia="楷体_GB2312" w:cs="楷体_GB2312"/>
          <w:b/>
          <w:bCs/>
          <w:color w:val="auto"/>
          <w:sz w:val="32"/>
          <w:szCs w:val="32"/>
        </w:rPr>
        <w:t>（</w:t>
      </w:r>
      <w:r>
        <w:rPr>
          <w:rFonts w:hint="eastAsia" w:ascii="楷体_GB2312" w:hAnsi="楷体_GB2312" w:eastAsia="楷体_GB2312" w:cs="楷体_GB2312"/>
          <w:b/>
          <w:bCs/>
          <w:color w:val="auto"/>
          <w:sz w:val="32"/>
          <w:szCs w:val="32"/>
          <w:lang w:val="en-US" w:eastAsia="zh-CN"/>
        </w:rPr>
        <w:t>九</w:t>
      </w:r>
      <w:r>
        <w:rPr>
          <w:rFonts w:hint="eastAsia" w:ascii="楷体_GB2312" w:hAnsi="楷体_GB2312" w:eastAsia="楷体_GB2312" w:cs="楷体_GB2312"/>
          <w:b/>
          <w:bCs/>
          <w:color w:val="auto"/>
          <w:sz w:val="32"/>
          <w:szCs w:val="32"/>
        </w:rPr>
        <w:t>）</w:t>
      </w:r>
      <w:r>
        <w:rPr>
          <w:rFonts w:hint="eastAsia" w:ascii="楷体_GB2312" w:hAnsi="楷体_GB2312" w:eastAsia="楷体_GB2312" w:cs="楷体_GB2312"/>
          <w:b/>
          <w:bCs/>
          <w:color w:val="auto"/>
          <w:sz w:val="32"/>
          <w:szCs w:val="32"/>
          <w:lang w:val="en-US" w:eastAsia="zh-CN"/>
        </w:rPr>
        <w:t>总部经济</w:t>
      </w:r>
      <w:r>
        <w:rPr>
          <w:rFonts w:hint="eastAsia" w:ascii="楷体_GB2312" w:hAnsi="楷体_GB2312" w:eastAsia="楷体_GB2312" w:cs="楷体_GB2312"/>
          <w:b/>
          <w:bCs/>
          <w:color w:val="auto"/>
          <w:sz w:val="32"/>
          <w:szCs w:val="32"/>
        </w:rPr>
        <w:t>攻坚行动。</w:t>
      </w:r>
      <w:r>
        <w:rPr>
          <w:rFonts w:hint="eastAsia" w:ascii="仿宋_GB2312" w:hAnsi="仿宋_GB2312" w:eastAsia="仿宋_GB2312" w:cs="仿宋_GB2312"/>
          <w:b w:val="0"/>
          <w:bCs w:val="0"/>
          <w:color w:val="auto"/>
          <w:sz w:val="32"/>
          <w:szCs w:val="32"/>
        </w:rPr>
        <w:t>大力开展总部项目招商。以</w:t>
      </w:r>
      <w:r>
        <w:rPr>
          <w:rFonts w:hint="eastAsia" w:ascii="仿宋_GB2312" w:hAnsi="仿宋_GB2312" w:eastAsia="仿宋_GB2312" w:cs="仿宋_GB2312"/>
          <w:b w:val="0"/>
          <w:bCs w:val="0"/>
          <w:color w:val="auto"/>
          <w:sz w:val="32"/>
          <w:szCs w:val="32"/>
          <w:lang w:val="en-US" w:eastAsia="zh-CN"/>
        </w:rPr>
        <w:t>县经济开发区</w:t>
      </w:r>
      <w:r>
        <w:rPr>
          <w:rFonts w:hint="eastAsia" w:ascii="仿宋_GB2312" w:hAnsi="仿宋_GB2312" w:eastAsia="仿宋_GB2312" w:cs="仿宋_GB2312"/>
          <w:b w:val="0"/>
          <w:bCs w:val="0"/>
          <w:color w:val="auto"/>
          <w:sz w:val="32"/>
          <w:szCs w:val="32"/>
        </w:rPr>
        <w:t>为重点，加快打造总部经济集聚区。支持全国性、区域性现代服务业企业总部来</w:t>
      </w:r>
      <w:r>
        <w:rPr>
          <w:rFonts w:hint="eastAsia" w:ascii="仿宋_GB2312" w:hAnsi="仿宋_GB2312" w:eastAsia="仿宋_GB2312" w:cs="仿宋_GB2312"/>
          <w:b w:val="0"/>
          <w:bCs w:val="0"/>
          <w:color w:val="auto"/>
          <w:sz w:val="32"/>
          <w:szCs w:val="32"/>
          <w:lang w:val="en-US" w:eastAsia="zh-CN"/>
        </w:rPr>
        <w:t>青</w:t>
      </w:r>
      <w:r>
        <w:rPr>
          <w:rFonts w:hint="eastAsia" w:ascii="仿宋_GB2312" w:hAnsi="仿宋_GB2312" w:eastAsia="仿宋_GB2312" w:cs="仿宋_GB2312"/>
          <w:b w:val="0"/>
          <w:bCs w:val="0"/>
          <w:color w:val="auto"/>
          <w:sz w:val="32"/>
          <w:szCs w:val="32"/>
        </w:rPr>
        <w:t>开展连锁经营和受托管理经营</w:t>
      </w:r>
      <w:r>
        <w:rPr>
          <w:rFonts w:hint="eastAsia" w:ascii="仿宋_GB2312" w:hAnsi="仿宋_GB2312" w:eastAsia="仿宋_GB2312" w:cs="仿宋_GB2312"/>
          <w:b w:val="0"/>
          <w:bCs w:val="0"/>
          <w:color w:val="auto"/>
          <w:sz w:val="32"/>
          <w:szCs w:val="32"/>
          <w:lang w:eastAsia="zh-CN"/>
        </w:rPr>
        <w:t>，</w:t>
      </w:r>
      <w:r>
        <w:rPr>
          <w:rFonts w:hint="eastAsia" w:ascii="仿宋_GB2312" w:hAnsi="仿宋_GB2312" w:eastAsia="仿宋_GB2312" w:cs="仿宋_GB2312"/>
          <w:b w:val="0"/>
          <w:bCs w:val="0"/>
          <w:color w:val="auto"/>
          <w:sz w:val="32"/>
          <w:szCs w:val="32"/>
          <w:lang w:val="en-US" w:eastAsia="zh-CN"/>
        </w:rPr>
        <w:t>积极有序引进人力资源相关企业</w:t>
      </w:r>
      <w:r>
        <w:rPr>
          <w:rFonts w:hint="eastAsia" w:ascii="仿宋_GB2312" w:hAnsi="仿宋_GB2312" w:eastAsia="仿宋_GB2312" w:cs="仿宋_GB2312"/>
          <w:b w:val="0"/>
          <w:bCs w:val="0"/>
          <w:color w:val="auto"/>
          <w:sz w:val="32"/>
          <w:szCs w:val="32"/>
        </w:rPr>
        <w:t>。</w:t>
      </w:r>
      <w:r>
        <w:rPr>
          <w:rFonts w:hint="eastAsia" w:ascii="仿宋_GB2312" w:hAnsi="仿宋_GB2312" w:eastAsia="仿宋_GB2312" w:cs="仿宋_GB2312"/>
          <w:b w:val="0"/>
          <w:bCs w:val="0"/>
          <w:color w:val="auto"/>
          <w:sz w:val="32"/>
          <w:szCs w:val="32"/>
          <w:lang w:val="en-US" w:eastAsia="zh-CN"/>
        </w:rPr>
        <w:t>引导县内骨干企业、重点企业建设总部大楼，</w:t>
      </w:r>
      <w:r>
        <w:rPr>
          <w:rFonts w:hint="eastAsia" w:ascii="仿宋_GB2312" w:hAnsi="仿宋_GB2312" w:eastAsia="仿宋_GB2312" w:cs="仿宋_GB2312"/>
          <w:b w:val="0"/>
          <w:bCs w:val="0"/>
          <w:color w:val="auto"/>
          <w:sz w:val="32"/>
          <w:szCs w:val="32"/>
        </w:rPr>
        <w:t>大力发展楼宇经济</w:t>
      </w:r>
      <w:r>
        <w:rPr>
          <w:rFonts w:hint="eastAsia" w:ascii="仿宋_GB2312" w:hAnsi="仿宋_GB2312" w:eastAsia="仿宋_GB2312" w:cs="仿宋_GB2312"/>
          <w:b w:val="0"/>
          <w:bCs w:val="0"/>
          <w:color w:val="auto"/>
          <w:sz w:val="32"/>
          <w:szCs w:val="32"/>
          <w:lang w:eastAsia="zh-CN"/>
        </w:rPr>
        <w:t>。</w:t>
      </w:r>
      <w:r>
        <w:rPr>
          <w:rFonts w:hint="eastAsia" w:ascii="仿宋_GB2312" w:hAnsi="仿宋_GB2312" w:eastAsia="仿宋_GB2312" w:cs="仿宋_GB2312"/>
          <w:color w:val="auto"/>
          <w:sz w:val="32"/>
          <w:szCs w:val="32"/>
        </w:rPr>
        <w:t>积极盘活存量楼宇资源，建强楼宇功能和基础配套，引育各类创新性、功能性平台。到2027年，新增总部经济企业</w:t>
      </w:r>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color w:val="auto"/>
          <w:sz w:val="32"/>
          <w:szCs w:val="32"/>
        </w:rPr>
        <w:t>家，营收超过</w:t>
      </w: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rPr>
        <w:t>亿元。</w:t>
      </w:r>
      <w:r>
        <w:rPr>
          <w:rFonts w:hint="eastAsia" w:ascii="楷体" w:hAnsi="楷体" w:eastAsia="楷体" w:cs="楷体"/>
          <w:b w:val="0"/>
          <w:bCs w:val="0"/>
          <w:color w:val="auto"/>
          <w:sz w:val="32"/>
          <w:szCs w:val="32"/>
        </w:rPr>
        <w:t>（牵头单位：</w:t>
      </w:r>
      <w:r>
        <w:rPr>
          <w:rFonts w:hint="eastAsia" w:ascii="楷体" w:hAnsi="楷体" w:eastAsia="楷体" w:cs="楷体"/>
          <w:b w:val="0"/>
          <w:bCs w:val="0"/>
          <w:color w:val="auto"/>
          <w:sz w:val="32"/>
          <w:szCs w:val="32"/>
          <w:lang w:eastAsia="zh-CN"/>
        </w:rPr>
        <w:t>县</w:t>
      </w:r>
      <w:r>
        <w:rPr>
          <w:rFonts w:hint="eastAsia" w:ascii="楷体" w:hAnsi="楷体" w:eastAsia="楷体" w:cs="楷体"/>
          <w:b w:val="0"/>
          <w:bCs w:val="0"/>
          <w:color w:val="auto"/>
          <w:sz w:val="32"/>
          <w:szCs w:val="32"/>
        </w:rPr>
        <w:t>发改委）</w:t>
      </w:r>
    </w:p>
    <w:p w14:paraId="4821AE78">
      <w:pPr>
        <w:keepNext w:val="0"/>
        <w:keepLines w:val="0"/>
        <w:pageBreakBefore w:val="0"/>
        <w:widowControl w:val="0"/>
        <w:kinsoku/>
        <w:wordWrap/>
        <w:overflowPunct/>
        <w:topLinePunct w:val="0"/>
        <w:autoSpaceDE w:val="0"/>
        <w:autoSpaceDN w:val="0"/>
        <w:bidi w:val="0"/>
        <w:adjustRightInd w:val="0"/>
        <w:snapToGrid w:val="0"/>
        <w:spacing w:line="572" w:lineRule="exact"/>
        <w:ind w:firstLine="643" w:firstLineChars="200"/>
        <w:jc w:val="both"/>
        <w:textAlignment w:val="auto"/>
        <w:rPr>
          <w:rFonts w:hint="eastAsia" w:ascii="楷体" w:hAnsi="楷体" w:eastAsia="楷体" w:cs="楷体"/>
          <w:b w:val="0"/>
          <w:bCs w:val="0"/>
          <w:color w:val="auto"/>
          <w:sz w:val="32"/>
          <w:szCs w:val="32"/>
        </w:rPr>
      </w:pPr>
      <w:r>
        <w:rPr>
          <w:rFonts w:hint="eastAsia" w:ascii="楷体_GB2312" w:hAnsi="楷体_GB2312" w:eastAsia="楷体_GB2312" w:cs="楷体_GB2312"/>
          <w:b/>
          <w:bCs/>
          <w:color w:val="auto"/>
          <w:sz w:val="32"/>
          <w:szCs w:val="32"/>
        </w:rPr>
        <w:t>（</w:t>
      </w:r>
      <w:r>
        <w:rPr>
          <w:rFonts w:hint="eastAsia" w:ascii="楷体_GB2312" w:hAnsi="楷体_GB2312" w:eastAsia="楷体_GB2312" w:cs="楷体_GB2312"/>
          <w:b/>
          <w:bCs/>
          <w:color w:val="auto"/>
          <w:sz w:val="32"/>
          <w:szCs w:val="32"/>
          <w:lang w:val="en-US" w:eastAsia="zh-CN"/>
        </w:rPr>
        <w:t>十</w:t>
      </w:r>
      <w:r>
        <w:rPr>
          <w:rFonts w:hint="eastAsia" w:ascii="楷体_GB2312" w:hAnsi="楷体_GB2312" w:eastAsia="楷体_GB2312" w:cs="楷体_GB2312"/>
          <w:b/>
          <w:bCs/>
          <w:color w:val="auto"/>
          <w:sz w:val="32"/>
          <w:szCs w:val="32"/>
        </w:rPr>
        <w:t>）市场主体培育攻坚行动。</w:t>
      </w:r>
      <w:r>
        <w:rPr>
          <w:rFonts w:hint="eastAsia" w:ascii="仿宋_GB2312" w:hAnsi="仿宋_GB2312" w:eastAsia="仿宋_GB2312" w:cs="仿宋_GB2312"/>
          <w:b/>
          <w:bCs/>
          <w:color w:val="auto"/>
          <w:sz w:val="32"/>
          <w:szCs w:val="32"/>
        </w:rPr>
        <w:t>1.全面实施市场主体培育“四转”工程。</w:t>
      </w:r>
      <w:r>
        <w:rPr>
          <w:rFonts w:hint="eastAsia" w:ascii="仿宋_GB2312" w:hAnsi="仿宋_GB2312" w:eastAsia="仿宋_GB2312" w:cs="仿宋_GB2312"/>
          <w:color w:val="auto"/>
          <w:sz w:val="32"/>
          <w:szCs w:val="32"/>
        </w:rPr>
        <w:t>每季度对规上企业培育库进行一次更新完善，做好分类指导服务。</w:t>
      </w:r>
      <w:r>
        <w:rPr>
          <w:rFonts w:hint="eastAsia" w:ascii="仿宋_GB2312" w:hAnsi="仿宋_GB2312" w:eastAsia="仿宋_GB2312" w:cs="仿宋_GB2312"/>
          <w:b/>
          <w:bCs/>
          <w:color w:val="auto"/>
          <w:sz w:val="32"/>
          <w:szCs w:val="32"/>
        </w:rPr>
        <w:t>2.加大临规企业培育力度。</w:t>
      </w:r>
      <w:r>
        <w:rPr>
          <w:rFonts w:hint="eastAsia" w:ascii="仿宋_GB2312" w:hAnsi="仿宋_GB2312" w:eastAsia="仿宋_GB2312" w:cs="仿宋_GB2312"/>
          <w:color w:val="auto"/>
          <w:sz w:val="32"/>
          <w:szCs w:val="32"/>
        </w:rPr>
        <w:t>每季度开展一次全面摸排，筛选一批近三年退库但有望再入库或新建并有望达产升规企业，分类制定培育计划，助推上规入库。</w:t>
      </w:r>
      <w:r>
        <w:rPr>
          <w:rFonts w:hint="eastAsia" w:ascii="仿宋_GB2312" w:hAnsi="仿宋_GB2312" w:eastAsia="仿宋_GB2312" w:cs="仿宋_GB2312"/>
          <w:b/>
          <w:bCs/>
          <w:color w:val="auto"/>
          <w:sz w:val="32"/>
          <w:szCs w:val="32"/>
        </w:rPr>
        <w:t>3.稳定壮大在库规上企业。</w:t>
      </w:r>
      <w:r>
        <w:rPr>
          <w:rFonts w:hint="eastAsia" w:ascii="仿宋_GB2312" w:hAnsi="仿宋_GB2312" w:eastAsia="仿宋_GB2312" w:cs="仿宋_GB2312"/>
          <w:color w:val="auto"/>
          <w:sz w:val="32"/>
          <w:szCs w:val="32"/>
        </w:rPr>
        <w:t>分类建立在库规上企业退库预警机制和联系帮扶机制，助推企业稳定发展。</w:t>
      </w:r>
      <w:r>
        <w:rPr>
          <w:rFonts w:hint="eastAsia" w:ascii="仿宋_GB2312" w:hAnsi="仿宋_GB2312" w:eastAsia="仿宋_GB2312" w:cs="仿宋_GB2312"/>
          <w:b/>
          <w:bCs/>
          <w:color w:val="auto"/>
          <w:sz w:val="32"/>
          <w:szCs w:val="32"/>
        </w:rPr>
        <w:t>4.实施龙头企业培育工程。</w:t>
      </w:r>
      <w:r>
        <w:rPr>
          <w:rFonts w:hint="eastAsia" w:ascii="仿宋_GB2312" w:hAnsi="仿宋_GB2312" w:eastAsia="仿宋_GB2312" w:cs="仿宋_GB2312"/>
          <w:color w:val="auto"/>
          <w:sz w:val="32"/>
          <w:szCs w:val="32"/>
        </w:rPr>
        <w:t>加快成长型中小企业专精特新化发展。支持龙头企业通过强强联合、上下游整合、外部引进等方式做大做强。到2027年，新增规上服务业企业</w:t>
      </w:r>
      <w:r>
        <w:rPr>
          <w:rFonts w:hint="eastAsia" w:ascii="仿宋_GB2312" w:hAnsi="仿宋_GB2312" w:eastAsia="仿宋_GB2312" w:cs="仿宋_GB2312"/>
          <w:color w:val="auto"/>
          <w:sz w:val="32"/>
          <w:szCs w:val="32"/>
          <w:lang w:val="en-US" w:eastAsia="zh-CN"/>
        </w:rPr>
        <w:t>30</w:t>
      </w:r>
      <w:r>
        <w:rPr>
          <w:rFonts w:hint="eastAsia" w:ascii="仿宋_GB2312" w:hAnsi="仿宋_GB2312" w:eastAsia="仿宋_GB2312" w:cs="仿宋_GB2312"/>
          <w:color w:val="auto"/>
          <w:sz w:val="32"/>
          <w:szCs w:val="32"/>
        </w:rPr>
        <w:t>家、营收亿元以上企业</w:t>
      </w:r>
      <w:r>
        <w:rPr>
          <w:rFonts w:hint="eastAsia" w:ascii="仿宋_GB2312" w:hAnsi="仿宋_GB2312" w:eastAsia="仿宋_GB2312" w:cs="仿宋_GB2312"/>
          <w:color w:val="auto"/>
          <w:sz w:val="32"/>
          <w:szCs w:val="32"/>
          <w:lang w:val="en-US" w:eastAsia="zh-CN"/>
        </w:rPr>
        <w:t>5</w:t>
      </w:r>
      <w:r>
        <w:rPr>
          <w:rFonts w:hint="eastAsia" w:ascii="仿宋_GB2312" w:hAnsi="仿宋_GB2312" w:eastAsia="仿宋_GB2312" w:cs="仿宋_GB2312"/>
          <w:color w:val="auto"/>
          <w:sz w:val="32"/>
          <w:szCs w:val="32"/>
        </w:rPr>
        <w:t>家。</w:t>
      </w:r>
      <w:r>
        <w:rPr>
          <w:rFonts w:hint="eastAsia" w:ascii="楷体" w:hAnsi="楷体" w:eastAsia="楷体" w:cs="楷体"/>
          <w:b w:val="0"/>
          <w:bCs w:val="0"/>
          <w:color w:val="auto"/>
          <w:sz w:val="32"/>
          <w:szCs w:val="32"/>
        </w:rPr>
        <w:t>（牵头单位：</w:t>
      </w:r>
      <w:r>
        <w:rPr>
          <w:rFonts w:hint="eastAsia" w:ascii="楷体" w:hAnsi="楷体" w:eastAsia="楷体" w:cs="楷体"/>
          <w:b w:val="0"/>
          <w:bCs w:val="0"/>
          <w:color w:val="auto"/>
          <w:sz w:val="32"/>
          <w:szCs w:val="32"/>
          <w:lang w:eastAsia="zh-CN"/>
        </w:rPr>
        <w:t>县</w:t>
      </w:r>
      <w:r>
        <w:rPr>
          <w:rFonts w:hint="eastAsia" w:ascii="楷体" w:hAnsi="楷体" w:eastAsia="楷体" w:cs="楷体"/>
          <w:b w:val="0"/>
          <w:bCs w:val="0"/>
          <w:color w:val="auto"/>
          <w:sz w:val="32"/>
          <w:szCs w:val="32"/>
        </w:rPr>
        <w:t>发改委）</w:t>
      </w:r>
    </w:p>
    <w:p w14:paraId="414B67FA">
      <w:pPr>
        <w:keepNext w:val="0"/>
        <w:keepLines w:val="0"/>
        <w:pageBreakBefore w:val="0"/>
        <w:widowControl w:val="0"/>
        <w:kinsoku/>
        <w:wordWrap/>
        <w:overflowPunct/>
        <w:topLinePunct w:val="0"/>
        <w:autoSpaceDE w:val="0"/>
        <w:autoSpaceDN w:val="0"/>
        <w:bidi w:val="0"/>
        <w:adjustRightInd w:val="0"/>
        <w:snapToGrid w:val="0"/>
        <w:spacing w:line="572" w:lineRule="exact"/>
        <w:ind w:firstLine="640" w:firstLineChars="200"/>
        <w:jc w:val="both"/>
        <w:textAlignment w:val="auto"/>
        <w:outlineLvl w:val="9"/>
        <w:rPr>
          <w:rFonts w:hint="eastAsia" w:ascii="黑体" w:hAnsi="黑体" w:eastAsia="黑体" w:cs="黑体"/>
          <w:color w:val="auto"/>
          <w:sz w:val="32"/>
          <w:szCs w:val="32"/>
        </w:rPr>
      </w:pPr>
      <w:r>
        <w:rPr>
          <w:rFonts w:hint="eastAsia" w:ascii="黑体" w:hAnsi="黑体" w:eastAsia="黑体" w:cs="黑体"/>
          <w:color w:val="auto"/>
          <w:sz w:val="32"/>
          <w:szCs w:val="32"/>
        </w:rPr>
        <w:t>三、保障措施</w:t>
      </w:r>
    </w:p>
    <w:p w14:paraId="0411B0A0">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县</w:t>
      </w:r>
      <w:r>
        <w:rPr>
          <w:rFonts w:hint="eastAsia" w:ascii="仿宋_GB2312" w:hAnsi="仿宋_GB2312" w:eastAsia="仿宋_GB2312" w:cs="仿宋_GB2312"/>
          <w:color w:val="auto"/>
          <w:sz w:val="32"/>
          <w:szCs w:val="32"/>
        </w:rPr>
        <w:t>现代服务业工作专班</w:t>
      </w:r>
      <w:r>
        <w:rPr>
          <w:rFonts w:hint="eastAsia" w:ascii="仿宋_GB2312" w:hAnsi="仿宋_GB2312" w:eastAsia="仿宋_GB2312" w:cs="仿宋_GB2312"/>
          <w:color w:val="auto"/>
          <w:sz w:val="32"/>
          <w:szCs w:val="32"/>
          <w:lang w:eastAsia="zh-CN"/>
        </w:rPr>
        <w:t>按照</w:t>
      </w:r>
      <w:r>
        <w:rPr>
          <w:rFonts w:hint="eastAsia" w:ascii="仿宋_GB2312" w:hAnsi="仿宋_GB2312" w:eastAsia="仿宋_GB2312" w:cs="仿宋_GB2312"/>
          <w:color w:val="auto"/>
          <w:sz w:val="32"/>
          <w:szCs w:val="32"/>
        </w:rPr>
        <w:t>每月最小颗粒化要求，对招商引资、项目建设、市场主体培育、产业发展等工作开展调度，各部门围绕目标任务，强化跟进，密切协同。制定现代服务业发展激励政策。现代服务业发展纳入全</w:t>
      </w:r>
      <w:r>
        <w:rPr>
          <w:rFonts w:hint="eastAsia" w:ascii="仿宋_GB2312" w:hAnsi="仿宋_GB2312" w:eastAsia="仿宋_GB2312" w:cs="仿宋_GB2312"/>
          <w:color w:val="auto"/>
          <w:sz w:val="32"/>
          <w:szCs w:val="32"/>
          <w:lang w:val="en-US" w:eastAsia="zh-CN"/>
        </w:rPr>
        <w:t>县</w:t>
      </w:r>
      <w:r>
        <w:rPr>
          <w:rFonts w:hint="eastAsia" w:ascii="仿宋_GB2312" w:hAnsi="仿宋_GB2312" w:eastAsia="仿宋_GB2312" w:cs="仿宋_GB2312"/>
          <w:color w:val="auto"/>
          <w:sz w:val="32"/>
          <w:szCs w:val="32"/>
        </w:rPr>
        <w:t>目标管理绩效考核。</w:t>
      </w:r>
    </w:p>
    <w:p w14:paraId="46EF1669">
      <w:pPr>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br w:type="page"/>
      </w:r>
    </w:p>
    <w:p w14:paraId="7B93152A">
      <w:pPr>
        <w:spacing w:after="0" w:line="560" w:lineRule="exact"/>
        <w:ind w:left="0" w:leftChars="0" w:firstLine="0" w:firstLineChars="0"/>
        <w:jc w:val="center"/>
        <w:rPr>
          <w:rFonts w:hint="eastAsia" w:ascii="方正小标宋简体" w:hAnsi="方正小标宋简体" w:eastAsia="方正小标宋简体" w:cs="方正小标宋简体"/>
          <w:b w:val="0"/>
          <w:bCs w:val="0"/>
          <w:sz w:val="44"/>
          <w:szCs w:val="44"/>
          <w:lang w:val="en-US" w:eastAsia="zh-CN"/>
        </w:rPr>
      </w:pPr>
      <w:r>
        <w:rPr>
          <w:rFonts w:hint="eastAsia" w:ascii="方正小标宋简体" w:hAnsi="方正小标宋简体" w:eastAsia="方正小标宋简体" w:cs="方正小标宋简体"/>
          <w:b w:val="0"/>
          <w:bCs w:val="0"/>
          <w:sz w:val="44"/>
          <w:szCs w:val="44"/>
          <w:lang w:val="en-US" w:eastAsia="zh-CN"/>
        </w:rPr>
        <w:t>青阳县人民政府</w:t>
      </w:r>
      <w:r>
        <w:rPr>
          <w:rFonts w:hint="eastAsia" w:ascii="方正小标宋简体" w:hAnsi="方正小标宋简体" w:eastAsia="方正小标宋简体" w:cs="方正小标宋简体"/>
          <w:b w:val="0"/>
          <w:bCs w:val="0"/>
          <w:sz w:val="44"/>
          <w:szCs w:val="44"/>
          <w:lang w:val="en-US" w:eastAsia="zh-CN"/>
        </w:rPr>
        <w:t>办公室关于成立安徽省青阳县“五好两宜”和美乡村试点试验</w:t>
      </w:r>
    </w:p>
    <w:p w14:paraId="771B4C15">
      <w:pPr>
        <w:spacing w:after="0" w:line="560" w:lineRule="exact"/>
        <w:ind w:left="0" w:leftChars="0" w:firstLine="0" w:firstLineChars="0"/>
        <w:jc w:val="center"/>
        <w:rPr>
          <w:rFonts w:hint="eastAsia" w:ascii="方正小标宋简体" w:hAnsi="方正小标宋简体" w:eastAsia="方正小标宋简体" w:cs="方正小标宋简体"/>
          <w:b w:val="0"/>
          <w:bCs w:val="0"/>
          <w:sz w:val="44"/>
          <w:szCs w:val="44"/>
          <w:lang w:val="en-US" w:eastAsia="zh-CN"/>
        </w:rPr>
      </w:pPr>
      <w:r>
        <w:rPr>
          <w:rFonts w:hint="eastAsia" w:ascii="方正小标宋简体" w:hAnsi="方正小标宋简体" w:eastAsia="方正小标宋简体" w:cs="方正小标宋简体"/>
          <w:b w:val="0"/>
          <w:bCs w:val="0"/>
          <w:sz w:val="44"/>
          <w:szCs w:val="44"/>
          <w:lang w:val="en-US" w:eastAsia="zh-CN"/>
        </w:rPr>
        <w:t>项目工作专班的通知</w:t>
      </w:r>
    </w:p>
    <w:p w14:paraId="6E31F875">
      <w:pPr>
        <w:pStyle w:val="7"/>
        <w:rPr>
          <w:rFonts w:hint="eastAsia" w:ascii="方正小标宋简体" w:hAnsi="方正小标宋简体" w:eastAsia="方正小标宋简体" w:cs="方正小标宋简体"/>
          <w:b w:val="0"/>
          <w:bCs w:val="0"/>
          <w:sz w:val="44"/>
          <w:szCs w:val="44"/>
        </w:rPr>
      </w:pPr>
    </w:p>
    <w:p w14:paraId="6FD38150">
      <w:pPr>
        <w:keepNext w:val="0"/>
        <w:keepLines w:val="0"/>
        <w:pageBreakBefore w:val="0"/>
        <w:widowControl w:val="0"/>
        <w:kinsoku/>
        <w:wordWrap/>
        <w:overflowPunct/>
        <w:topLinePunct w:val="0"/>
        <w:autoSpaceDE/>
        <w:autoSpaceDN/>
        <w:bidi w:val="0"/>
        <w:adjustRightInd/>
        <w:snapToGrid/>
        <w:spacing w:after="0" w:line="600" w:lineRule="exact"/>
        <w:ind w:left="0" w:leftChars="0" w:firstLine="0" w:firstLineChars="0"/>
        <w:textAlignment w:val="auto"/>
        <w:rPr>
          <w:rStyle w:val="41"/>
          <w:rFonts w:hint="eastAsia" w:ascii="仿宋_GB2312" w:hAnsi="仿宋_GB2312" w:eastAsia="仿宋_GB2312" w:cs="仿宋_GB2312"/>
          <w:kern w:val="2"/>
          <w:sz w:val="32"/>
          <w:szCs w:val="32"/>
          <w:lang w:eastAsia="zh-CN"/>
        </w:rPr>
      </w:pPr>
      <w:r>
        <w:rPr>
          <w:rStyle w:val="41"/>
          <w:rFonts w:hint="eastAsia" w:ascii="仿宋_GB2312" w:hAnsi="仿宋_GB2312" w:eastAsia="仿宋_GB2312" w:cs="仿宋_GB2312"/>
          <w:kern w:val="2"/>
          <w:sz w:val="32"/>
          <w:szCs w:val="32"/>
        </w:rPr>
        <w:t>各乡镇人民政府</w:t>
      </w:r>
      <w:r>
        <w:rPr>
          <w:rStyle w:val="41"/>
          <w:rFonts w:hint="eastAsia" w:ascii="仿宋_GB2312" w:hAnsi="仿宋_GB2312" w:eastAsia="仿宋_GB2312" w:cs="仿宋_GB2312"/>
          <w:kern w:val="2"/>
          <w:sz w:val="32"/>
          <w:szCs w:val="32"/>
          <w:lang w:eastAsia="zh-CN"/>
        </w:rPr>
        <w:t>、</w:t>
      </w:r>
      <w:r>
        <w:rPr>
          <w:rStyle w:val="41"/>
          <w:rFonts w:hint="eastAsia" w:ascii="仿宋_GB2312" w:hAnsi="仿宋_GB2312" w:eastAsia="仿宋_GB2312" w:cs="仿宋_GB2312"/>
          <w:kern w:val="2"/>
          <w:sz w:val="32"/>
          <w:szCs w:val="32"/>
        </w:rPr>
        <w:t>县开发区管委会，县政府各部门、各直属机构，驻青各单位，县</w:t>
      </w:r>
      <w:r>
        <w:rPr>
          <w:rStyle w:val="41"/>
          <w:rFonts w:hint="eastAsia" w:ascii="仿宋_GB2312" w:hAnsi="仿宋_GB2312" w:eastAsia="仿宋_GB2312" w:cs="仿宋_GB2312"/>
          <w:kern w:val="2"/>
          <w:sz w:val="32"/>
          <w:szCs w:val="32"/>
          <w:lang w:eastAsia="zh-CN"/>
        </w:rPr>
        <w:t>建投</w:t>
      </w:r>
      <w:r>
        <w:rPr>
          <w:rStyle w:val="41"/>
          <w:rFonts w:hint="eastAsia" w:ascii="仿宋_GB2312" w:hAnsi="仿宋_GB2312" w:eastAsia="仿宋_GB2312" w:cs="仿宋_GB2312"/>
          <w:kern w:val="2"/>
          <w:sz w:val="32"/>
          <w:szCs w:val="32"/>
        </w:rPr>
        <w:t>集团、乡投集团</w:t>
      </w:r>
      <w:r>
        <w:rPr>
          <w:rStyle w:val="41"/>
          <w:rFonts w:hint="eastAsia" w:ascii="仿宋_GB2312" w:hAnsi="仿宋_GB2312" w:eastAsia="仿宋_GB2312" w:cs="仿宋_GB2312"/>
          <w:kern w:val="2"/>
          <w:sz w:val="32"/>
          <w:szCs w:val="32"/>
          <w:lang w:eastAsia="zh-CN"/>
        </w:rPr>
        <w:t>：</w:t>
      </w:r>
    </w:p>
    <w:p w14:paraId="76F81EDB">
      <w:pPr>
        <w:keepNext w:val="0"/>
        <w:keepLines w:val="0"/>
        <w:pageBreakBefore w:val="0"/>
        <w:widowControl w:val="0"/>
        <w:kinsoku/>
        <w:wordWrap/>
        <w:overflowPunct/>
        <w:topLinePunct w:val="0"/>
        <w:autoSpaceDE/>
        <w:autoSpaceDN/>
        <w:bidi w:val="0"/>
        <w:adjustRightInd/>
        <w:snapToGrid/>
        <w:spacing w:after="0" w:line="600" w:lineRule="exact"/>
        <w:ind w:left="0" w:leftChars="0" w:firstLine="640" w:firstLineChars="200"/>
        <w:textAlignment w:val="auto"/>
        <w:rPr>
          <w:rStyle w:val="41"/>
          <w:rFonts w:hint="eastAsia" w:ascii="仿宋_GB2312" w:hAnsi="仿宋_GB2312" w:eastAsia="仿宋_GB2312" w:cs="仿宋_GB2312"/>
          <w:kern w:val="2"/>
          <w:sz w:val="32"/>
          <w:szCs w:val="32"/>
          <w:lang w:eastAsia="zh-CN"/>
        </w:rPr>
      </w:pPr>
      <w:r>
        <w:rPr>
          <w:rStyle w:val="41"/>
          <w:rFonts w:hint="eastAsia" w:ascii="仿宋_GB2312" w:hAnsi="仿宋_GB2312" w:eastAsia="仿宋_GB2312" w:cs="仿宋_GB2312"/>
          <w:kern w:val="2"/>
          <w:sz w:val="32"/>
          <w:szCs w:val="32"/>
        </w:rPr>
        <w:t>为加快推进项目申报工作，确保完成各项创建任务，</w:t>
      </w:r>
      <w:r>
        <w:rPr>
          <w:rStyle w:val="41"/>
          <w:rFonts w:hint="eastAsia" w:ascii="仿宋_GB2312" w:hAnsi="仿宋_GB2312" w:eastAsia="仿宋_GB2312" w:cs="仿宋_GB2312"/>
          <w:kern w:val="2"/>
          <w:sz w:val="32"/>
          <w:szCs w:val="32"/>
          <w:lang w:val="en-US" w:eastAsia="zh-CN"/>
        </w:rPr>
        <w:t>经县政府同意，建立安徽省青阳县“五好两宜”和美乡村试点试验项目工作专班，组成人员名单如下</w:t>
      </w:r>
      <w:r>
        <w:rPr>
          <w:rStyle w:val="41"/>
          <w:rFonts w:hint="eastAsia" w:ascii="仿宋_GB2312" w:hAnsi="仿宋_GB2312" w:eastAsia="仿宋_GB2312" w:cs="仿宋_GB2312"/>
          <w:kern w:val="2"/>
          <w:sz w:val="32"/>
          <w:szCs w:val="32"/>
          <w:lang w:eastAsia="zh-CN"/>
        </w:rPr>
        <w:t>：</w:t>
      </w:r>
    </w:p>
    <w:p w14:paraId="45B4A100">
      <w:pPr>
        <w:keepNext w:val="0"/>
        <w:keepLines w:val="0"/>
        <w:pageBreakBefore w:val="0"/>
        <w:widowControl w:val="0"/>
        <w:kinsoku/>
        <w:wordWrap/>
        <w:overflowPunct/>
        <w:topLinePunct w:val="0"/>
        <w:autoSpaceDE/>
        <w:autoSpaceDN/>
        <w:bidi w:val="0"/>
        <w:adjustRightInd/>
        <w:snapToGrid/>
        <w:spacing w:after="0" w:line="360" w:lineRule="auto"/>
        <w:ind w:firstLine="640" w:firstLineChars="200"/>
        <w:rPr>
          <w:rFonts w:hint="eastAsia" w:ascii="黑体" w:hAnsi="黑体" w:eastAsia="黑体" w:cs="黑体"/>
          <w:b w:val="0"/>
          <w:bCs w:val="0"/>
          <w:sz w:val="32"/>
          <w:szCs w:val="22"/>
          <w:highlight w:val="none"/>
          <w:lang w:val="en-US" w:eastAsia="zh-CN"/>
        </w:rPr>
      </w:pPr>
      <w:r>
        <w:rPr>
          <w:rFonts w:hint="eastAsia" w:ascii="黑体" w:hAnsi="黑体" w:eastAsia="黑体" w:cs="黑体"/>
          <w:b w:val="0"/>
          <w:bCs w:val="0"/>
          <w:sz w:val="32"/>
          <w:szCs w:val="22"/>
          <w:highlight w:val="none"/>
          <w:lang w:val="en-US" w:eastAsia="zh-CN"/>
        </w:rPr>
        <w:t>组  长：</w:t>
      </w:r>
      <w:r>
        <w:rPr>
          <w:rFonts w:hint="eastAsia" w:ascii="仿宋_GB2312" w:hAnsi="仿宋_GB2312" w:eastAsia="仿宋_GB2312" w:cs="仿宋_GB2312"/>
          <w:b w:val="0"/>
          <w:bCs w:val="0"/>
          <w:sz w:val="32"/>
          <w:szCs w:val="22"/>
          <w:highlight w:val="none"/>
          <w:lang w:val="en-US" w:eastAsia="zh-CN"/>
        </w:rPr>
        <w:t xml:space="preserve">方操胜 </w:t>
      </w:r>
    </w:p>
    <w:p w14:paraId="44E052DB">
      <w:pPr>
        <w:keepNext w:val="0"/>
        <w:keepLines w:val="0"/>
        <w:pageBreakBefore w:val="0"/>
        <w:widowControl w:val="0"/>
        <w:kinsoku/>
        <w:wordWrap/>
        <w:overflowPunct/>
        <w:topLinePunct w:val="0"/>
        <w:autoSpaceDE/>
        <w:autoSpaceDN/>
        <w:bidi w:val="0"/>
        <w:adjustRightInd/>
        <w:snapToGrid/>
        <w:spacing w:after="0" w:line="360" w:lineRule="auto"/>
        <w:ind w:firstLine="640" w:firstLineChars="200"/>
        <w:rPr>
          <w:rFonts w:hint="eastAsia" w:ascii="黑体" w:hAnsi="黑体" w:eastAsia="黑体" w:cs="黑体"/>
          <w:b w:val="0"/>
          <w:bCs w:val="0"/>
          <w:sz w:val="32"/>
          <w:szCs w:val="22"/>
          <w:highlight w:val="none"/>
          <w:lang w:val="en-US" w:eastAsia="zh-CN"/>
        </w:rPr>
      </w:pPr>
      <w:r>
        <w:rPr>
          <w:rFonts w:hint="eastAsia" w:ascii="黑体" w:hAnsi="黑体" w:eastAsia="黑体" w:cs="黑体"/>
          <w:b w:val="0"/>
          <w:bCs w:val="0"/>
          <w:sz w:val="32"/>
          <w:szCs w:val="22"/>
          <w:highlight w:val="none"/>
          <w:lang w:val="en-US" w:eastAsia="zh-CN"/>
        </w:rPr>
        <w:t>副组长：</w:t>
      </w:r>
      <w:r>
        <w:rPr>
          <w:rFonts w:hint="eastAsia" w:ascii="仿宋_GB2312" w:hAnsi="仿宋_GB2312" w:eastAsia="仿宋_GB2312" w:cs="仿宋_GB2312"/>
          <w:b w:val="0"/>
          <w:bCs w:val="0"/>
          <w:sz w:val="32"/>
          <w:szCs w:val="22"/>
          <w:highlight w:val="none"/>
          <w:lang w:val="en-US" w:eastAsia="zh-CN"/>
        </w:rPr>
        <w:t xml:space="preserve">王松华 </w:t>
      </w:r>
    </w:p>
    <w:p w14:paraId="14D405AB">
      <w:pPr>
        <w:keepNext w:val="0"/>
        <w:keepLines w:val="0"/>
        <w:pageBreakBefore w:val="0"/>
        <w:widowControl w:val="0"/>
        <w:kinsoku/>
        <w:wordWrap/>
        <w:overflowPunct/>
        <w:topLinePunct w:val="0"/>
        <w:autoSpaceDE/>
        <w:autoSpaceDN/>
        <w:bidi w:val="0"/>
        <w:adjustRightInd/>
        <w:snapToGrid/>
        <w:spacing w:after="0" w:line="360" w:lineRule="auto"/>
        <w:ind w:firstLine="640" w:firstLineChars="200"/>
        <w:rPr>
          <w:rFonts w:hint="eastAsia" w:ascii="黑体" w:hAnsi="黑体" w:eastAsia="黑体" w:cs="黑体"/>
          <w:b w:val="0"/>
          <w:bCs w:val="0"/>
          <w:sz w:val="32"/>
          <w:szCs w:val="22"/>
          <w:highlight w:val="none"/>
          <w:lang w:val="en-US" w:eastAsia="zh-CN"/>
        </w:rPr>
      </w:pPr>
      <w:r>
        <w:rPr>
          <w:rFonts w:hint="eastAsia" w:ascii="黑体" w:hAnsi="黑体" w:eastAsia="黑体" w:cs="黑体"/>
          <w:b w:val="0"/>
          <w:bCs w:val="0"/>
          <w:sz w:val="32"/>
          <w:szCs w:val="22"/>
          <w:highlight w:val="none"/>
          <w:lang w:val="en-US" w:eastAsia="zh-CN"/>
        </w:rPr>
        <w:t>成  员：</w:t>
      </w:r>
      <w:r>
        <w:rPr>
          <w:rFonts w:hint="eastAsia" w:ascii="仿宋_GB2312" w:hAnsi="仿宋_GB2312" w:eastAsia="仿宋_GB2312" w:cs="仿宋_GB2312"/>
          <w:b w:val="0"/>
          <w:bCs w:val="0"/>
          <w:sz w:val="32"/>
          <w:szCs w:val="22"/>
          <w:highlight w:val="none"/>
          <w:lang w:val="en-US" w:eastAsia="zh-CN"/>
        </w:rPr>
        <w:t>王  敏    县财政局局长</w:t>
      </w:r>
    </w:p>
    <w:p w14:paraId="3FFF1B8F">
      <w:pPr>
        <w:keepNext w:val="0"/>
        <w:keepLines w:val="0"/>
        <w:pageBreakBefore w:val="0"/>
        <w:widowControl w:val="0"/>
        <w:kinsoku/>
        <w:wordWrap/>
        <w:overflowPunct/>
        <w:topLinePunct w:val="0"/>
        <w:autoSpaceDE/>
        <w:autoSpaceDN/>
        <w:bidi w:val="0"/>
        <w:adjustRightInd/>
        <w:snapToGrid/>
        <w:spacing w:after="0" w:line="360" w:lineRule="auto"/>
        <w:ind w:firstLine="1920" w:firstLineChars="600"/>
        <w:rPr>
          <w:rFonts w:hint="eastAsia" w:ascii="仿宋_GB2312" w:hAnsi="仿宋_GB2312" w:eastAsia="仿宋_GB2312" w:cs="仿宋_GB2312"/>
          <w:b w:val="0"/>
          <w:bCs w:val="0"/>
          <w:sz w:val="32"/>
          <w:szCs w:val="22"/>
          <w:highlight w:val="none"/>
          <w:lang w:val="en-US" w:eastAsia="zh-CN"/>
        </w:rPr>
      </w:pPr>
      <w:r>
        <w:rPr>
          <w:rFonts w:hint="eastAsia" w:ascii="仿宋_GB2312" w:hAnsi="仿宋_GB2312" w:eastAsia="仿宋_GB2312" w:cs="仿宋_GB2312"/>
          <w:b w:val="0"/>
          <w:bCs w:val="0"/>
          <w:sz w:val="32"/>
          <w:szCs w:val="22"/>
          <w:highlight w:val="none"/>
          <w:lang w:val="en-US" w:eastAsia="zh-CN"/>
        </w:rPr>
        <w:t>邵染林    县发改委主任</w:t>
      </w:r>
    </w:p>
    <w:p w14:paraId="6FAC519E">
      <w:pPr>
        <w:keepNext w:val="0"/>
        <w:keepLines w:val="0"/>
        <w:pageBreakBefore w:val="0"/>
        <w:widowControl w:val="0"/>
        <w:kinsoku/>
        <w:wordWrap/>
        <w:overflowPunct/>
        <w:topLinePunct w:val="0"/>
        <w:autoSpaceDE/>
        <w:autoSpaceDN/>
        <w:bidi w:val="0"/>
        <w:adjustRightInd/>
        <w:snapToGrid/>
        <w:spacing w:after="0" w:line="360" w:lineRule="auto"/>
        <w:ind w:firstLine="1920" w:firstLineChars="600"/>
        <w:rPr>
          <w:rFonts w:hint="eastAsia" w:ascii="仿宋_GB2312" w:hAnsi="仿宋_GB2312" w:eastAsia="仿宋_GB2312" w:cs="仿宋_GB2312"/>
          <w:b w:val="0"/>
          <w:bCs w:val="0"/>
          <w:sz w:val="32"/>
          <w:szCs w:val="22"/>
          <w:highlight w:val="none"/>
          <w:lang w:val="en-US" w:eastAsia="zh-CN"/>
        </w:rPr>
      </w:pPr>
      <w:r>
        <w:rPr>
          <w:rFonts w:hint="eastAsia" w:ascii="仿宋_GB2312" w:hAnsi="仿宋_GB2312" w:eastAsia="仿宋_GB2312" w:cs="仿宋_GB2312"/>
          <w:b w:val="0"/>
          <w:bCs w:val="0"/>
          <w:sz w:val="32"/>
          <w:szCs w:val="22"/>
          <w:highlight w:val="none"/>
          <w:lang w:val="en-US" w:eastAsia="zh-CN"/>
        </w:rPr>
        <w:t>吴士衡    县农业农村局局长</w:t>
      </w:r>
    </w:p>
    <w:p w14:paraId="415F3C0B">
      <w:pPr>
        <w:keepNext w:val="0"/>
        <w:keepLines w:val="0"/>
        <w:pageBreakBefore w:val="0"/>
        <w:widowControl w:val="0"/>
        <w:kinsoku/>
        <w:wordWrap/>
        <w:overflowPunct/>
        <w:topLinePunct w:val="0"/>
        <w:autoSpaceDE/>
        <w:autoSpaceDN/>
        <w:bidi w:val="0"/>
        <w:adjustRightInd/>
        <w:snapToGrid/>
        <w:spacing w:after="0" w:line="360" w:lineRule="auto"/>
        <w:ind w:firstLine="1920" w:firstLineChars="600"/>
        <w:rPr>
          <w:rFonts w:hint="eastAsia" w:ascii="仿宋_GB2312" w:hAnsi="仿宋_GB2312" w:eastAsia="仿宋_GB2312" w:cs="仿宋_GB2312"/>
          <w:b w:val="0"/>
          <w:bCs w:val="0"/>
          <w:sz w:val="32"/>
          <w:szCs w:val="22"/>
          <w:highlight w:val="none"/>
          <w:lang w:val="en-US" w:eastAsia="zh-CN"/>
        </w:rPr>
      </w:pPr>
      <w:r>
        <w:rPr>
          <w:rFonts w:hint="eastAsia" w:ascii="仿宋_GB2312" w:hAnsi="仿宋_GB2312" w:eastAsia="仿宋_GB2312" w:cs="仿宋_GB2312"/>
          <w:b w:val="0"/>
          <w:bCs w:val="0"/>
          <w:sz w:val="32"/>
          <w:szCs w:val="22"/>
          <w:highlight w:val="none"/>
          <w:lang w:val="en-US" w:eastAsia="zh-CN"/>
        </w:rPr>
        <w:t>程  柳    县文旅局局长</w:t>
      </w:r>
    </w:p>
    <w:p w14:paraId="3618F687">
      <w:pPr>
        <w:keepNext w:val="0"/>
        <w:keepLines w:val="0"/>
        <w:pageBreakBefore w:val="0"/>
        <w:widowControl w:val="0"/>
        <w:kinsoku/>
        <w:wordWrap/>
        <w:overflowPunct/>
        <w:topLinePunct w:val="0"/>
        <w:autoSpaceDE/>
        <w:autoSpaceDN/>
        <w:bidi w:val="0"/>
        <w:adjustRightInd/>
        <w:snapToGrid/>
        <w:spacing w:after="0" w:line="360" w:lineRule="auto"/>
        <w:ind w:firstLine="1920" w:firstLineChars="600"/>
        <w:rPr>
          <w:rFonts w:hint="eastAsia" w:ascii="仿宋_GB2312" w:hAnsi="仿宋_GB2312" w:eastAsia="仿宋_GB2312" w:cs="仿宋_GB2312"/>
          <w:b w:val="0"/>
          <w:bCs w:val="0"/>
          <w:sz w:val="32"/>
          <w:szCs w:val="22"/>
          <w:highlight w:val="none"/>
          <w:lang w:val="en-US" w:eastAsia="zh-CN"/>
        </w:rPr>
      </w:pPr>
      <w:r>
        <w:rPr>
          <w:rFonts w:hint="eastAsia" w:ascii="仿宋_GB2312" w:hAnsi="仿宋_GB2312" w:eastAsia="仿宋_GB2312" w:cs="仿宋_GB2312"/>
          <w:b w:val="0"/>
          <w:bCs w:val="0"/>
          <w:sz w:val="32"/>
          <w:szCs w:val="22"/>
          <w:highlight w:val="none"/>
          <w:lang w:val="en-US" w:eastAsia="zh-CN"/>
        </w:rPr>
        <w:t>黄  亮    县住建局局长</w:t>
      </w:r>
    </w:p>
    <w:p w14:paraId="7E6B45D1">
      <w:pPr>
        <w:keepNext w:val="0"/>
        <w:keepLines w:val="0"/>
        <w:pageBreakBefore w:val="0"/>
        <w:widowControl w:val="0"/>
        <w:kinsoku/>
        <w:wordWrap/>
        <w:overflowPunct/>
        <w:topLinePunct w:val="0"/>
        <w:autoSpaceDE/>
        <w:autoSpaceDN/>
        <w:bidi w:val="0"/>
        <w:adjustRightInd/>
        <w:snapToGrid/>
        <w:spacing w:after="0" w:line="360" w:lineRule="auto"/>
        <w:ind w:firstLine="1920" w:firstLineChars="600"/>
        <w:rPr>
          <w:rFonts w:hint="eastAsia" w:ascii="仿宋_GB2312" w:hAnsi="仿宋_GB2312" w:eastAsia="仿宋_GB2312" w:cs="仿宋_GB2312"/>
          <w:b w:val="0"/>
          <w:bCs w:val="0"/>
          <w:sz w:val="32"/>
          <w:szCs w:val="22"/>
          <w:highlight w:val="none"/>
          <w:lang w:val="en-US" w:eastAsia="zh-CN"/>
        </w:rPr>
      </w:pPr>
      <w:r>
        <w:rPr>
          <w:rFonts w:hint="eastAsia" w:ascii="仿宋_GB2312" w:hAnsi="仿宋_GB2312" w:eastAsia="仿宋_GB2312" w:cs="仿宋_GB2312"/>
          <w:b w:val="0"/>
          <w:bCs w:val="0"/>
          <w:sz w:val="32"/>
          <w:szCs w:val="22"/>
          <w:highlight w:val="none"/>
          <w:lang w:val="en-US" w:eastAsia="zh-CN"/>
        </w:rPr>
        <w:t>江明星    县自然资源和规划局局长</w:t>
      </w:r>
    </w:p>
    <w:p w14:paraId="51792250">
      <w:pPr>
        <w:keepNext w:val="0"/>
        <w:keepLines w:val="0"/>
        <w:pageBreakBefore w:val="0"/>
        <w:widowControl w:val="0"/>
        <w:kinsoku/>
        <w:wordWrap/>
        <w:overflowPunct/>
        <w:topLinePunct w:val="0"/>
        <w:autoSpaceDE/>
        <w:autoSpaceDN/>
        <w:bidi w:val="0"/>
        <w:adjustRightInd/>
        <w:snapToGrid/>
        <w:spacing w:after="0" w:line="360" w:lineRule="auto"/>
        <w:ind w:firstLine="1920" w:firstLineChars="600"/>
        <w:rPr>
          <w:rFonts w:hint="eastAsia" w:ascii="仿宋_GB2312" w:hAnsi="仿宋_GB2312" w:eastAsia="仿宋_GB2312" w:cs="仿宋_GB2312"/>
          <w:b w:val="0"/>
          <w:bCs w:val="0"/>
          <w:sz w:val="32"/>
          <w:szCs w:val="22"/>
          <w:highlight w:val="none"/>
          <w:lang w:val="en-US" w:eastAsia="zh-CN"/>
        </w:rPr>
      </w:pPr>
      <w:r>
        <w:rPr>
          <w:rFonts w:hint="eastAsia" w:ascii="仿宋_GB2312" w:hAnsi="仿宋_GB2312" w:eastAsia="仿宋_GB2312" w:cs="仿宋_GB2312"/>
          <w:b w:val="0"/>
          <w:bCs w:val="0"/>
          <w:sz w:val="32"/>
          <w:szCs w:val="22"/>
          <w:highlight w:val="none"/>
          <w:lang w:val="en-US" w:eastAsia="zh-CN"/>
        </w:rPr>
        <w:t>袁  卿    县生态环境分局局长</w:t>
      </w:r>
    </w:p>
    <w:p w14:paraId="492EBDE4">
      <w:pPr>
        <w:keepNext w:val="0"/>
        <w:keepLines w:val="0"/>
        <w:pageBreakBefore w:val="0"/>
        <w:widowControl w:val="0"/>
        <w:kinsoku/>
        <w:wordWrap/>
        <w:overflowPunct/>
        <w:topLinePunct w:val="0"/>
        <w:autoSpaceDE/>
        <w:autoSpaceDN/>
        <w:bidi w:val="0"/>
        <w:adjustRightInd/>
        <w:snapToGrid/>
        <w:spacing w:after="0" w:line="360" w:lineRule="auto"/>
        <w:ind w:firstLine="1920" w:firstLineChars="600"/>
        <w:rPr>
          <w:rFonts w:hint="eastAsia" w:ascii="仿宋_GB2312" w:hAnsi="仿宋_GB2312" w:eastAsia="仿宋_GB2312" w:cs="仿宋_GB2312"/>
          <w:b w:val="0"/>
          <w:bCs w:val="0"/>
          <w:sz w:val="32"/>
          <w:szCs w:val="22"/>
          <w:highlight w:val="none"/>
          <w:lang w:val="en-US" w:eastAsia="zh-CN"/>
        </w:rPr>
      </w:pPr>
      <w:r>
        <w:rPr>
          <w:rFonts w:hint="eastAsia" w:ascii="仿宋_GB2312" w:hAnsi="仿宋_GB2312" w:eastAsia="仿宋_GB2312" w:cs="仿宋_GB2312"/>
          <w:b w:val="0"/>
          <w:bCs w:val="0"/>
          <w:sz w:val="32"/>
          <w:szCs w:val="22"/>
          <w:highlight w:val="none"/>
          <w:lang w:val="en-US" w:eastAsia="zh-CN"/>
        </w:rPr>
        <w:t>王  军    蓉城镇政府镇长</w:t>
      </w:r>
    </w:p>
    <w:p w14:paraId="0A86C390">
      <w:pPr>
        <w:keepNext w:val="0"/>
        <w:keepLines w:val="0"/>
        <w:pageBreakBefore w:val="0"/>
        <w:widowControl w:val="0"/>
        <w:kinsoku/>
        <w:wordWrap/>
        <w:overflowPunct/>
        <w:topLinePunct w:val="0"/>
        <w:autoSpaceDE/>
        <w:autoSpaceDN/>
        <w:bidi w:val="0"/>
        <w:adjustRightInd/>
        <w:snapToGrid/>
        <w:spacing w:after="0" w:line="360" w:lineRule="auto"/>
        <w:ind w:firstLine="1920" w:firstLineChars="600"/>
        <w:rPr>
          <w:rFonts w:hint="eastAsia" w:ascii="仿宋_GB2312" w:hAnsi="仿宋_GB2312" w:eastAsia="仿宋_GB2312" w:cs="仿宋_GB2312"/>
          <w:b w:val="0"/>
          <w:bCs w:val="0"/>
          <w:sz w:val="32"/>
          <w:szCs w:val="22"/>
          <w:highlight w:val="none"/>
          <w:lang w:val="en-US" w:eastAsia="zh-CN"/>
        </w:rPr>
      </w:pPr>
      <w:r>
        <w:rPr>
          <w:rFonts w:hint="eastAsia" w:ascii="仿宋_GB2312" w:hAnsi="仿宋_GB2312" w:eastAsia="仿宋_GB2312" w:cs="仿宋_GB2312"/>
          <w:b w:val="0"/>
          <w:bCs w:val="0"/>
          <w:sz w:val="32"/>
          <w:szCs w:val="22"/>
          <w:highlight w:val="none"/>
          <w:lang w:val="en-US" w:eastAsia="zh-CN"/>
        </w:rPr>
        <w:t>陈  敏    朱备镇政府镇长</w:t>
      </w:r>
    </w:p>
    <w:p w14:paraId="1E863E5B">
      <w:pPr>
        <w:keepNext w:val="0"/>
        <w:keepLines w:val="0"/>
        <w:pageBreakBefore w:val="0"/>
        <w:widowControl w:val="0"/>
        <w:kinsoku/>
        <w:wordWrap/>
        <w:overflowPunct/>
        <w:topLinePunct w:val="0"/>
        <w:autoSpaceDE/>
        <w:autoSpaceDN/>
        <w:bidi w:val="0"/>
        <w:adjustRightInd/>
        <w:snapToGrid/>
        <w:spacing w:after="0" w:line="360" w:lineRule="auto"/>
        <w:ind w:firstLine="1920" w:firstLineChars="600"/>
        <w:rPr>
          <w:rFonts w:hint="eastAsia" w:ascii="仿宋_GB2312" w:hAnsi="仿宋_GB2312" w:eastAsia="仿宋_GB2312" w:cs="仿宋_GB2312"/>
          <w:b w:val="0"/>
          <w:bCs w:val="0"/>
          <w:sz w:val="32"/>
          <w:szCs w:val="22"/>
          <w:highlight w:val="none"/>
          <w:lang w:val="en-US" w:eastAsia="zh-CN"/>
        </w:rPr>
      </w:pPr>
      <w:r>
        <w:rPr>
          <w:rFonts w:hint="eastAsia" w:ascii="仿宋_GB2312" w:hAnsi="仿宋_GB2312" w:eastAsia="仿宋_GB2312" w:cs="仿宋_GB2312"/>
          <w:b w:val="0"/>
          <w:bCs w:val="0"/>
          <w:sz w:val="32"/>
          <w:szCs w:val="22"/>
          <w:highlight w:val="none"/>
          <w:lang w:val="en-US" w:eastAsia="zh-CN"/>
        </w:rPr>
        <w:t>陈根贵    九华乡政府乡长</w:t>
      </w:r>
    </w:p>
    <w:p w14:paraId="621CA885">
      <w:pPr>
        <w:keepNext w:val="0"/>
        <w:keepLines w:val="0"/>
        <w:pageBreakBefore w:val="0"/>
        <w:widowControl w:val="0"/>
        <w:kinsoku/>
        <w:wordWrap/>
        <w:overflowPunct/>
        <w:topLinePunct w:val="0"/>
        <w:autoSpaceDE/>
        <w:autoSpaceDN/>
        <w:bidi w:val="0"/>
        <w:adjustRightInd/>
        <w:snapToGrid/>
        <w:spacing w:after="0" w:line="360" w:lineRule="auto"/>
        <w:ind w:firstLine="1920" w:firstLineChars="600"/>
        <w:rPr>
          <w:rFonts w:hint="eastAsia" w:ascii="仿宋_GB2312" w:hAnsi="仿宋_GB2312" w:eastAsia="仿宋_GB2312" w:cs="仿宋_GB2312"/>
          <w:b w:val="0"/>
          <w:bCs w:val="0"/>
          <w:sz w:val="32"/>
          <w:szCs w:val="22"/>
          <w:highlight w:val="none"/>
          <w:lang w:val="en-US" w:eastAsia="zh-CN"/>
        </w:rPr>
      </w:pPr>
      <w:r>
        <w:rPr>
          <w:rFonts w:hint="eastAsia" w:ascii="仿宋_GB2312" w:hAnsi="仿宋_GB2312" w:eastAsia="仿宋_GB2312" w:cs="仿宋_GB2312"/>
          <w:b w:val="0"/>
          <w:bCs w:val="0"/>
          <w:sz w:val="32"/>
          <w:szCs w:val="22"/>
          <w:highlight w:val="none"/>
          <w:lang w:val="en-US" w:eastAsia="zh-CN"/>
        </w:rPr>
        <w:t>吴  震    县乡投集团董事长</w:t>
      </w:r>
    </w:p>
    <w:p w14:paraId="7BBA5563">
      <w:pPr>
        <w:keepNext w:val="0"/>
        <w:keepLines w:val="0"/>
        <w:pageBreakBefore w:val="0"/>
        <w:widowControl w:val="0"/>
        <w:kinsoku/>
        <w:wordWrap/>
        <w:overflowPunct/>
        <w:topLinePunct w:val="0"/>
        <w:autoSpaceDE/>
        <w:autoSpaceDN/>
        <w:bidi w:val="0"/>
        <w:adjustRightInd/>
        <w:snapToGrid/>
        <w:spacing w:after="0" w:line="360" w:lineRule="auto"/>
        <w:ind w:firstLine="640" w:firstLineChars="200"/>
        <w:rPr>
          <w:rFonts w:hint="default" w:ascii="仿宋_GB2312" w:hAnsi="仿宋_GB2312" w:eastAsia="仿宋_GB2312" w:cs="仿宋_GB2312"/>
          <w:b w:val="0"/>
          <w:bCs w:val="0"/>
          <w:sz w:val="32"/>
          <w:szCs w:val="22"/>
          <w:highlight w:val="none"/>
          <w:lang w:val="en-US" w:eastAsia="zh-CN"/>
        </w:rPr>
      </w:pPr>
    </w:p>
    <w:p w14:paraId="0E5AF9E3">
      <w:pPr>
        <w:keepNext w:val="0"/>
        <w:keepLines w:val="0"/>
        <w:pageBreakBefore w:val="0"/>
        <w:widowControl w:val="0"/>
        <w:kinsoku/>
        <w:wordWrap/>
        <w:overflowPunct/>
        <w:topLinePunct w:val="0"/>
        <w:autoSpaceDE/>
        <w:autoSpaceDN/>
        <w:bidi w:val="0"/>
        <w:adjustRightInd/>
        <w:snapToGrid/>
        <w:spacing w:after="0" w:line="360" w:lineRule="auto"/>
        <w:ind w:firstLine="640" w:firstLineChars="200"/>
        <w:rPr>
          <w:rFonts w:hint="default" w:ascii="仿宋_GB2312" w:hAnsi="仿宋_GB2312" w:eastAsia="仿宋_GB2312" w:cs="仿宋_GB2312"/>
          <w:b w:val="0"/>
          <w:bCs w:val="0"/>
          <w:sz w:val="32"/>
          <w:szCs w:val="22"/>
          <w:highlight w:val="none"/>
          <w:lang w:val="en-US" w:eastAsia="zh-CN"/>
        </w:rPr>
      </w:pPr>
    </w:p>
    <w:p w14:paraId="383A84EF">
      <w:pPr>
        <w:keepNext w:val="0"/>
        <w:keepLines w:val="0"/>
        <w:pageBreakBefore w:val="0"/>
        <w:widowControl w:val="0"/>
        <w:kinsoku/>
        <w:wordWrap/>
        <w:overflowPunct/>
        <w:topLinePunct w:val="0"/>
        <w:autoSpaceDE/>
        <w:autoSpaceDN/>
        <w:bidi w:val="0"/>
        <w:adjustRightInd/>
        <w:snapToGrid/>
        <w:spacing w:after="0" w:line="360" w:lineRule="auto"/>
        <w:ind w:firstLine="640" w:firstLineChars="200"/>
        <w:rPr>
          <w:rFonts w:hint="default" w:ascii="仿宋_GB2312" w:hAnsi="仿宋_GB2312" w:eastAsia="仿宋_GB2312" w:cs="仿宋_GB2312"/>
          <w:b w:val="0"/>
          <w:bCs w:val="0"/>
          <w:sz w:val="32"/>
          <w:szCs w:val="22"/>
          <w:highlight w:val="none"/>
          <w:lang w:val="en-US" w:eastAsia="zh-CN"/>
        </w:rPr>
      </w:pPr>
    </w:p>
    <w:p w14:paraId="46E418C5">
      <w:pPr>
        <w:keepNext w:val="0"/>
        <w:keepLines w:val="0"/>
        <w:pageBreakBefore w:val="0"/>
        <w:widowControl w:val="0"/>
        <w:kinsoku/>
        <w:wordWrap/>
        <w:overflowPunct/>
        <w:topLinePunct w:val="0"/>
        <w:autoSpaceDE/>
        <w:autoSpaceDN/>
        <w:bidi w:val="0"/>
        <w:adjustRightInd/>
        <w:snapToGrid/>
        <w:spacing w:after="0" w:line="360" w:lineRule="auto"/>
        <w:ind w:firstLine="5120" w:firstLineChars="1600"/>
        <w:rPr>
          <w:rFonts w:hint="default" w:ascii="仿宋_GB2312" w:hAnsi="仿宋_GB2312" w:eastAsia="仿宋_GB2312" w:cs="仿宋_GB2312"/>
          <w:b w:val="0"/>
          <w:bCs w:val="0"/>
          <w:sz w:val="32"/>
          <w:szCs w:val="22"/>
          <w:highlight w:val="none"/>
          <w:lang w:val="en-US" w:eastAsia="zh-CN"/>
        </w:rPr>
      </w:pPr>
      <w:r>
        <w:rPr>
          <w:rFonts w:hint="default" w:ascii="仿宋_GB2312" w:hAnsi="仿宋_GB2312" w:eastAsia="仿宋_GB2312" w:cs="仿宋_GB2312"/>
          <w:b w:val="0"/>
          <w:bCs w:val="0"/>
          <w:sz w:val="32"/>
          <w:szCs w:val="22"/>
          <w:highlight w:val="none"/>
          <w:lang w:val="en-US" w:eastAsia="zh-CN"/>
        </w:rPr>
        <w:t>青阳县人民政府</w:t>
      </w:r>
      <w:r>
        <w:rPr>
          <w:rFonts w:hint="eastAsia" w:ascii="仿宋_GB2312" w:hAnsi="仿宋_GB2312" w:eastAsia="仿宋_GB2312" w:cs="仿宋_GB2312"/>
          <w:b w:val="0"/>
          <w:bCs w:val="0"/>
          <w:sz w:val="32"/>
          <w:szCs w:val="22"/>
          <w:highlight w:val="none"/>
          <w:lang w:val="en-US" w:eastAsia="zh-CN"/>
        </w:rPr>
        <w:t>办公室</w:t>
      </w:r>
    </w:p>
    <w:p w14:paraId="4D7924A6">
      <w:pPr>
        <w:keepNext w:val="0"/>
        <w:keepLines w:val="0"/>
        <w:pageBreakBefore w:val="0"/>
        <w:widowControl w:val="0"/>
        <w:kinsoku/>
        <w:wordWrap/>
        <w:overflowPunct/>
        <w:topLinePunct w:val="0"/>
        <w:autoSpaceDE/>
        <w:autoSpaceDN/>
        <w:bidi w:val="0"/>
        <w:adjustRightInd/>
        <w:snapToGrid/>
        <w:spacing w:after="0" w:line="360" w:lineRule="auto"/>
        <w:ind w:firstLine="640" w:firstLineChars="200"/>
        <w:rPr>
          <w:rFonts w:hint="eastAsia" w:ascii="仿宋_GB2312" w:hAnsi="仿宋_GB2312" w:eastAsia="仿宋_GB2312" w:cs="仿宋_GB2312"/>
          <w:b w:val="0"/>
          <w:bCs w:val="0"/>
          <w:sz w:val="32"/>
          <w:szCs w:val="22"/>
          <w:highlight w:val="none"/>
          <w:lang w:val="en-US" w:eastAsia="zh-CN"/>
        </w:rPr>
      </w:pPr>
      <w:r>
        <w:rPr>
          <w:rFonts w:hint="eastAsia" w:ascii="仿宋_GB2312" w:hAnsi="仿宋_GB2312" w:eastAsia="仿宋_GB2312" w:cs="仿宋_GB2312"/>
          <w:b w:val="0"/>
          <w:bCs w:val="0"/>
          <w:sz w:val="32"/>
          <w:szCs w:val="22"/>
          <w:highlight w:val="none"/>
          <w:lang w:val="en-US" w:eastAsia="zh-CN"/>
        </w:rPr>
        <w:t xml:space="preserve">                               2025年3月21日</w:t>
      </w:r>
    </w:p>
    <w:p w14:paraId="642C6576">
      <w:pPr>
        <w:keepNext w:val="0"/>
        <w:keepLines w:val="0"/>
        <w:pageBreakBefore w:val="0"/>
        <w:widowControl w:val="0"/>
        <w:kinsoku/>
        <w:wordWrap/>
        <w:overflowPunct/>
        <w:topLinePunct w:val="0"/>
        <w:autoSpaceDE/>
        <w:autoSpaceDN/>
        <w:bidi w:val="0"/>
        <w:adjustRightInd/>
        <w:snapToGrid/>
        <w:spacing w:after="0" w:line="360" w:lineRule="auto"/>
        <w:ind w:firstLine="640" w:firstLineChars="200"/>
        <w:rPr>
          <w:rFonts w:hint="eastAsia" w:ascii="黑体" w:hAnsi="黑体" w:eastAsia="黑体" w:cs="黑体"/>
          <w:b w:val="0"/>
          <w:bCs w:val="0"/>
          <w:sz w:val="32"/>
          <w:szCs w:val="22"/>
          <w:highlight w:val="none"/>
          <w:lang w:val="en-US" w:eastAsia="zh-CN"/>
        </w:rPr>
      </w:pPr>
    </w:p>
    <w:p w14:paraId="0CDEAE3B">
      <w:pPr>
        <w:keepNext w:val="0"/>
        <w:keepLines w:val="0"/>
        <w:pageBreakBefore w:val="0"/>
        <w:widowControl w:val="0"/>
        <w:kinsoku/>
        <w:wordWrap/>
        <w:overflowPunct/>
        <w:topLinePunct w:val="0"/>
        <w:autoSpaceDE/>
        <w:autoSpaceDN/>
        <w:bidi w:val="0"/>
        <w:adjustRightInd/>
        <w:snapToGrid/>
        <w:spacing w:after="0" w:line="360" w:lineRule="auto"/>
        <w:ind w:firstLine="640" w:firstLineChars="200"/>
        <w:rPr>
          <w:rFonts w:hint="eastAsia" w:ascii="黑体" w:hAnsi="黑体" w:eastAsia="黑体" w:cs="黑体"/>
          <w:b w:val="0"/>
          <w:bCs w:val="0"/>
          <w:sz w:val="32"/>
          <w:szCs w:val="22"/>
          <w:highlight w:val="none"/>
          <w:lang w:val="en-US" w:eastAsia="zh-CN"/>
        </w:rPr>
      </w:pPr>
    </w:p>
    <w:p w14:paraId="5AC14F71">
      <w:pPr>
        <w:keepNext w:val="0"/>
        <w:keepLines w:val="0"/>
        <w:pageBreakBefore w:val="0"/>
        <w:widowControl w:val="0"/>
        <w:kinsoku/>
        <w:wordWrap/>
        <w:overflowPunct/>
        <w:topLinePunct w:val="0"/>
        <w:autoSpaceDE/>
        <w:autoSpaceDN/>
        <w:bidi w:val="0"/>
        <w:adjustRightInd/>
        <w:snapToGrid/>
        <w:spacing w:after="0" w:line="360" w:lineRule="auto"/>
        <w:ind w:firstLine="640" w:firstLineChars="200"/>
        <w:rPr>
          <w:rFonts w:hint="eastAsia" w:ascii="黑体" w:hAnsi="黑体" w:eastAsia="黑体" w:cs="黑体"/>
          <w:b w:val="0"/>
          <w:bCs w:val="0"/>
          <w:sz w:val="32"/>
          <w:szCs w:val="22"/>
          <w:highlight w:val="none"/>
          <w:lang w:val="en-US" w:eastAsia="zh-CN"/>
        </w:rPr>
      </w:pPr>
    </w:p>
    <w:p w14:paraId="2C8CA4E8">
      <w:pPr>
        <w:keepNext w:val="0"/>
        <w:keepLines w:val="0"/>
        <w:pageBreakBefore w:val="0"/>
        <w:widowControl w:val="0"/>
        <w:kinsoku/>
        <w:wordWrap/>
        <w:overflowPunct/>
        <w:topLinePunct w:val="0"/>
        <w:autoSpaceDE/>
        <w:autoSpaceDN/>
        <w:bidi w:val="0"/>
        <w:adjustRightInd/>
        <w:snapToGrid/>
        <w:spacing w:after="0" w:line="360" w:lineRule="auto"/>
        <w:ind w:firstLine="640" w:firstLineChars="200"/>
        <w:rPr>
          <w:rFonts w:hint="eastAsia" w:ascii="黑体" w:hAnsi="黑体" w:eastAsia="黑体" w:cs="黑体"/>
          <w:b w:val="0"/>
          <w:bCs w:val="0"/>
          <w:sz w:val="32"/>
          <w:szCs w:val="22"/>
          <w:highlight w:val="none"/>
          <w:lang w:val="en-US" w:eastAsia="zh-CN"/>
        </w:rPr>
      </w:pPr>
    </w:p>
    <w:p w14:paraId="0351DB1D">
      <w:pPr>
        <w:keepNext w:val="0"/>
        <w:keepLines w:val="0"/>
        <w:pageBreakBefore w:val="0"/>
        <w:widowControl w:val="0"/>
        <w:kinsoku/>
        <w:wordWrap/>
        <w:overflowPunct/>
        <w:topLinePunct w:val="0"/>
        <w:autoSpaceDE/>
        <w:autoSpaceDN/>
        <w:bidi w:val="0"/>
        <w:adjustRightInd/>
        <w:snapToGrid/>
        <w:spacing w:after="0" w:line="360" w:lineRule="auto"/>
        <w:ind w:firstLine="640" w:firstLineChars="200"/>
        <w:rPr>
          <w:rFonts w:hint="eastAsia" w:ascii="黑体" w:hAnsi="黑体" w:eastAsia="黑体" w:cs="黑体"/>
          <w:b w:val="0"/>
          <w:bCs w:val="0"/>
          <w:sz w:val="32"/>
          <w:szCs w:val="22"/>
          <w:highlight w:val="none"/>
          <w:lang w:val="en-US" w:eastAsia="zh-CN"/>
        </w:rPr>
      </w:pPr>
    </w:p>
    <w:p w14:paraId="04BA792D">
      <w:pPr>
        <w:keepNext w:val="0"/>
        <w:keepLines w:val="0"/>
        <w:pageBreakBefore w:val="0"/>
        <w:widowControl w:val="0"/>
        <w:kinsoku/>
        <w:wordWrap/>
        <w:overflowPunct/>
        <w:topLinePunct w:val="0"/>
        <w:autoSpaceDE/>
        <w:autoSpaceDN/>
        <w:bidi w:val="0"/>
        <w:adjustRightInd/>
        <w:snapToGrid/>
        <w:spacing w:after="0" w:line="360" w:lineRule="auto"/>
        <w:ind w:firstLine="640" w:firstLineChars="200"/>
        <w:rPr>
          <w:rFonts w:hint="eastAsia" w:ascii="黑体" w:hAnsi="黑体" w:eastAsia="黑体" w:cs="黑体"/>
          <w:b w:val="0"/>
          <w:bCs w:val="0"/>
          <w:sz w:val="32"/>
          <w:szCs w:val="22"/>
          <w:highlight w:val="none"/>
          <w:lang w:val="en-US" w:eastAsia="zh-CN"/>
        </w:rPr>
      </w:pPr>
    </w:p>
    <w:p w14:paraId="61C45A9D">
      <w:pPr>
        <w:keepNext w:val="0"/>
        <w:keepLines w:val="0"/>
        <w:pageBreakBefore w:val="0"/>
        <w:widowControl w:val="0"/>
        <w:kinsoku/>
        <w:wordWrap/>
        <w:overflowPunct/>
        <w:topLinePunct w:val="0"/>
        <w:autoSpaceDE/>
        <w:autoSpaceDN/>
        <w:bidi w:val="0"/>
        <w:adjustRightInd/>
        <w:snapToGrid/>
        <w:spacing w:after="0" w:line="360" w:lineRule="auto"/>
        <w:ind w:firstLine="640" w:firstLineChars="200"/>
        <w:rPr>
          <w:rFonts w:hint="eastAsia" w:ascii="黑体" w:hAnsi="黑体" w:eastAsia="黑体" w:cs="黑体"/>
          <w:b w:val="0"/>
          <w:bCs w:val="0"/>
          <w:sz w:val="32"/>
          <w:szCs w:val="22"/>
          <w:highlight w:val="none"/>
          <w:lang w:val="en-US" w:eastAsia="zh-CN"/>
        </w:rPr>
      </w:pPr>
    </w:p>
    <w:p w14:paraId="461B7F52">
      <w:pPr>
        <w:keepNext w:val="0"/>
        <w:keepLines w:val="0"/>
        <w:pageBreakBefore w:val="0"/>
        <w:widowControl w:val="0"/>
        <w:kinsoku/>
        <w:wordWrap/>
        <w:overflowPunct/>
        <w:topLinePunct w:val="0"/>
        <w:autoSpaceDE/>
        <w:autoSpaceDN/>
        <w:bidi w:val="0"/>
        <w:adjustRightInd/>
        <w:snapToGrid/>
        <w:spacing w:after="0" w:line="360" w:lineRule="auto"/>
        <w:ind w:firstLine="640" w:firstLineChars="200"/>
        <w:rPr>
          <w:rFonts w:hint="eastAsia" w:ascii="黑体" w:hAnsi="黑体" w:eastAsia="黑体" w:cs="黑体"/>
          <w:b w:val="0"/>
          <w:bCs w:val="0"/>
          <w:sz w:val="32"/>
          <w:szCs w:val="22"/>
          <w:highlight w:val="none"/>
          <w:lang w:val="en-US" w:eastAsia="zh-CN"/>
        </w:rPr>
      </w:pPr>
    </w:p>
    <w:p w14:paraId="737DB19D">
      <w:pPr>
        <w:keepNext w:val="0"/>
        <w:keepLines w:val="0"/>
        <w:pageBreakBefore w:val="0"/>
        <w:widowControl w:val="0"/>
        <w:kinsoku/>
        <w:wordWrap/>
        <w:overflowPunct/>
        <w:topLinePunct w:val="0"/>
        <w:autoSpaceDE/>
        <w:autoSpaceDN/>
        <w:bidi w:val="0"/>
        <w:adjustRightInd/>
        <w:snapToGrid/>
        <w:spacing w:after="0" w:line="360" w:lineRule="auto"/>
        <w:ind w:firstLine="640" w:firstLineChars="200"/>
        <w:rPr>
          <w:rFonts w:hint="eastAsia" w:ascii="黑体" w:hAnsi="黑体" w:eastAsia="黑体" w:cs="黑体"/>
          <w:b w:val="0"/>
          <w:bCs w:val="0"/>
          <w:sz w:val="32"/>
          <w:szCs w:val="22"/>
          <w:highlight w:val="none"/>
          <w:lang w:val="en-US" w:eastAsia="zh-CN"/>
        </w:rPr>
      </w:pPr>
    </w:p>
    <w:p w14:paraId="3FAC987E">
      <w:pPr>
        <w:keepNext w:val="0"/>
        <w:keepLines w:val="0"/>
        <w:pageBreakBefore w:val="0"/>
        <w:widowControl w:val="0"/>
        <w:kinsoku/>
        <w:wordWrap/>
        <w:overflowPunct/>
        <w:topLinePunct w:val="0"/>
        <w:autoSpaceDE/>
        <w:autoSpaceDN/>
        <w:bidi w:val="0"/>
        <w:adjustRightInd/>
        <w:snapToGrid/>
        <w:spacing w:after="0" w:line="360" w:lineRule="auto"/>
        <w:ind w:firstLine="640" w:firstLineChars="200"/>
        <w:rPr>
          <w:rFonts w:hint="eastAsia" w:ascii="黑体" w:hAnsi="黑体" w:eastAsia="黑体" w:cs="黑体"/>
          <w:b w:val="0"/>
          <w:bCs w:val="0"/>
          <w:sz w:val="32"/>
          <w:szCs w:val="22"/>
          <w:highlight w:val="none"/>
          <w:lang w:val="en-US" w:eastAsia="zh-CN"/>
        </w:rPr>
      </w:pPr>
    </w:p>
    <w:p w14:paraId="75ECE9E7">
      <w:pPr>
        <w:keepNext w:val="0"/>
        <w:keepLines w:val="0"/>
        <w:pageBreakBefore w:val="0"/>
        <w:widowControl w:val="0"/>
        <w:kinsoku/>
        <w:wordWrap/>
        <w:overflowPunct/>
        <w:topLinePunct w:val="0"/>
        <w:autoSpaceDE/>
        <w:autoSpaceDN/>
        <w:bidi w:val="0"/>
        <w:adjustRightInd/>
        <w:snapToGrid/>
        <w:spacing w:after="0" w:line="360" w:lineRule="auto"/>
        <w:ind w:firstLine="640" w:firstLineChars="200"/>
        <w:rPr>
          <w:rFonts w:hint="eastAsia" w:ascii="黑体" w:hAnsi="黑体" w:eastAsia="黑体" w:cs="黑体"/>
          <w:b w:val="0"/>
          <w:bCs w:val="0"/>
          <w:sz w:val="32"/>
          <w:szCs w:val="22"/>
          <w:highlight w:val="none"/>
          <w:lang w:val="en-US" w:eastAsia="zh-CN"/>
        </w:rPr>
      </w:pPr>
    </w:p>
    <w:p w14:paraId="778F8D04">
      <w:pPr>
        <w:keepNext w:val="0"/>
        <w:keepLines w:val="0"/>
        <w:pageBreakBefore w:val="0"/>
        <w:widowControl w:val="0"/>
        <w:kinsoku/>
        <w:wordWrap/>
        <w:overflowPunct/>
        <w:topLinePunct w:val="0"/>
        <w:autoSpaceDE/>
        <w:autoSpaceDN/>
        <w:bidi w:val="0"/>
        <w:adjustRightInd/>
        <w:snapToGrid/>
        <w:spacing w:after="0" w:line="360" w:lineRule="auto"/>
        <w:rPr>
          <w:rFonts w:hint="eastAsia" w:ascii="仿宋_GB2312" w:hAnsi="仿宋_GB2312" w:eastAsia="仿宋_GB2312" w:cs="仿宋_GB2312"/>
          <w:b w:val="0"/>
          <w:bCs w:val="0"/>
          <w:sz w:val="28"/>
          <w:szCs w:val="28"/>
          <w:highlight w:val="none"/>
          <w:lang w:val="en-US" w:eastAsia="zh-CN"/>
        </w:rPr>
      </w:pPr>
      <w:r>
        <w:rPr>
          <w:rFonts w:hint="eastAsia" w:ascii="仿宋_GB2312" w:hAnsi="仿宋_GB2312" w:eastAsia="仿宋_GB2312" w:cs="仿宋_GB2312"/>
          <w:b w:val="0"/>
          <w:bCs w:val="0"/>
          <w:sz w:val="28"/>
          <w:szCs w:val="28"/>
          <w:highlight w:val="none"/>
          <w:lang w:val="en-US" w:eastAsia="zh-CN"/>
        </w:rPr>
        <w:t>抄送：九华乡政府。</w:t>
      </w:r>
    </w:p>
    <w:p w14:paraId="1062684D">
      <w:pPr>
        <w:keepNext w:val="0"/>
        <w:keepLines w:val="0"/>
        <w:pageBreakBefore w:val="0"/>
        <w:widowControl w:val="0"/>
        <w:kinsoku/>
        <w:wordWrap/>
        <w:overflowPunct/>
        <w:topLinePunct w:val="0"/>
        <w:autoSpaceDE/>
        <w:autoSpaceDN/>
        <w:bidi w:val="0"/>
        <w:adjustRightInd/>
        <w:snapToGrid/>
        <w:spacing w:after="0" w:line="360" w:lineRule="auto"/>
        <w:rPr>
          <w:rFonts w:hint="eastAsia" w:ascii="黑体" w:hAnsi="黑体" w:eastAsia="黑体" w:cs="黑体"/>
          <w:b w:val="0"/>
          <w:bCs w:val="0"/>
          <w:sz w:val="32"/>
          <w:szCs w:val="22"/>
          <w:highlight w:val="none"/>
          <w:lang w:val="en-US" w:eastAsia="zh-CN"/>
        </w:rPr>
      </w:pPr>
    </w:p>
    <w:sectPr>
      <w:headerReference r:id="rId4" w:type="default"/>
      <w:footerReference r:id="rId5" w:type="default"/>
      <w:pgSz w:w="11906" w:h="16838"/>
      <w:pgMar w:top="2098" w:right="1531" w:bottom="1984" w:left="1531"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panose1 w:val="03000509000000000000"/>
    <w:charset w:val="86"/>
    <w:family w:val="script"/>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楷体">
    <w:panose1 w:val="02010609060101010101"/>
    <w:charset w:val="86"/>
    <w:family w:val="modern"/>
    <w:pitch w:val="default"/>
    <w:sig w:usb0="800002BF" w:usb1="38CF7CFA" w:usb2="00000016" w:usb3="00000000" w:csb0="00040001" w:csb1="00000000"/>
  </w:font>
  <w:font w:name="方正小标宋简体">
    <w:panose1 w:val="02010601030101010101"/>
    <w:charset w:val="86"/>
    <w:family w:val="script"/>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Times New Roman (正文 CS 字体)">
    <w:altName w:val="宋体"/>
    <w:panose1 w:val="00000000000000000000"/>
    <w:charset w:val="86"/>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B96FB4">
    <w:pPr>
      <w:pStyle w:val="12"/>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DD1F06">
                          <w:pPr>
                            <w:pStyle w:val="12"/>
                            <w:rPr>
                              <w:rFonts w:ascii="宋体" w:hAnsi="宋体" w:eastAsia="宋体" w:cs="宋体"/>
                              <w:sz w:val="28"/>
                              <w:szCs w:val="2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0CDD1F06">
                    <w:pPr>
                      <w:pStyle w:val="12"/>
                      <w:rPr>
                        <w:rFonts w:ascii="宋体" w:hAnsi="宋体" w:eastAsia="宋体" w:cs="宋体"/>
                        <w:sz w:val="28"/>
                        <w:szCs w:val="28"/>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CB5FF0">
    <w:pPr>
      <w:pStyle w:val="12"/>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308F8A">
    <w:pPr>
      <w:pStyle w:val="13"/>
      <w:pBdr>
        <w:bottom w:val="none" w:color="auto" w:sz="0" w:space="0"/>
      </w:pBdr>
      <w:rPr>
        <w:rFonts w:hint="eastAsia" w:eastAsia="宋体"/>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61C4C9E"/>
    <w:multiLevelType w:val="multilevel"/>
    <w:tmpl w:val="761C4C9E"/>
    <w:lvl w:ilvl="0" w:tentative="0">
      <w:start w:val="1"/>
      <w:numFmt w:val="decimal"/>
      <w:lvlText w:val="%1."/>
      <w:lvlJc w:val="left"/>
      <w:pPr>
        <w:ind w:left="432" w:hanging="432"/>
      </w:pPr>
      <w:rPr>
        <w:rFonts w:hint="default"/>
      </w:rPr>
    </w:lvl>
    <w:lvl w:ilvl="1" w:tentative="0">
      <w:start w:val="1"/>
      <w:numFmt w:val="decimal"/>
      <w:lvlText w:val="%1.%2."/>
      <w:lvlJc w:val="left"/>
      <w:pPr>
        <w:ind w:left="575" w:hanging="575"/>
      </w:pPr>
      <w:rPr>
        <w:rFonts w:hint="default"/>
      </w:rPr>
    </w:lvl>
    <w:lvl w:ilvl="2" w:tentative="0">
      <w:start w:val="1"/>
      <w:numFmt w:val="decimal"/>
      <w:lvlText w:val="%1.%2.%3."/>
      <w:lvlJc w:val="left"/>
      <w:pPr>
        <w:ind w:left="720" w:hanging="720"/>
      </w:pPr>
      <w:rPr>
        <w:rFonts w:hint="default"/>
      </w:rPr>
    </w:lvl>
    <w:lvl w:ilvl="3" w:tentative="0">
      <w:start w:val="1"/>
      <w:numFmt w:val="decimal"/>
      <w:pStyle w:val="4"/>
      <w:lvlText w:val="%1.%2.%3.%4."/>
      <w:lvlJc w:val="left"/>
      <w:pPr>
        <w:ind w:left="864" w:hanging="864"/>
      </w:pPr>
      <w:rPr>
        <w:rFonts w:hint="default"/>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RmNjc1MzA4OWYxZmIzMmJiNjdhNzhhOTU5MzQ3MGUifQ=="/>
  </w:docVars>
  <w:rsids>
    <w:rsidRoot w:val="2FB01099"/>
    <w:rsid w:val="01A45770"/>
    <w:rsid w:val="021C02D7"/>
    <w:rsid w:val="04225AE3"/>
    <w:rsid w:val="05766603"/>
    <w:rsid w:val="06FF79A4"/>
    <w:rsid w:val="08440798"/>
    <w:rsid w:val="0C0A474D"/>
    <w:rsid w:val="0D30732B"/>
    <w:rsid w:val="0D9807F1"/>
    <w:rsid w:val="0F063E98"/>
    <w:rsid w:val="0F604919"/>
    <w:rsid w:val="0FC6172E"/>
    <w:rsid w:val="1130645B"/>
    <w:rsid w:val="148835E1"/>
    <w:rsid w:val="14C76E78"/>
    <w:rsid w:val="14DF46F8"/>
    <w:rsid w:val="16F45869"/>
    <w:rsid w:val="173F3295"/>
    <w:rsid w:val="19FF135E"/>
    <w:rsid w:val="225C610A"/>
    <w:rsid w:val="29D5604B"/>
    <w:rsid w:val="2FB01099"/>
    <w:rsid w:val="312F5B0B"/>
    <w:rsid w:val="31924613"/>
    <w:rsid w:val="32D2FD58"/>
    <w:rsid w:val="35B73415"/>
    <w:rsid w:val="385D0642"/>
    <w:rsid w:val="38EA028C"/>
    <w:rsid w:val="391265BF"/>
    <w:rsid w:val="395A26FB"/>
    <w:rsid w:val="3B1F1663"/>
    <w:rsid w:val="3B6D328A"/>
    <w:rsid w:val="3BD79C60"/>
    <w:rsid w:val="3DBC21AF"/>
    <w:rsid w:val="3FAEE73A"/>
    <w:rsid w:val="3FEF81D6"/>
    <w:rsid w:val="41BD2653"/>
    <w:rsid w:val="47B3209C"/>
    <w:rsid w:val="47FB71E1"/>
    <w:rsid w:val="4AD9713C"/>
    <w:rsid w:val="4B22791E"/>
    <w:rsid w:val="4BAB7C3C"/>
    <w:rsid w:val="4BBF2498"/>
    <w:rsid w:val="4BFB776F"/>
    <w:rsid w:val="4D490E6F"/>
    <w:rsid w:val="4EC04D83"/>
    <w:rsid w:val="4EFF07F7"/>
    <w:rsid w:val="4F4F6F06"/>
    <w:rsid w:val="4FEA26A5"/>
    <w:rsid w:val="5361191C"/>
    <w:rsid w:val="5456530E"/>
    <w:rsid w:val="55FCF5CD"/>
    <w:rsid w:val="58011DA5"/>
    <w:rsid w:val="588B1D9A"/>
    <w:rsid w:val="59CB0B48"/>
    <w:rsid w:val="59F21686"/>
    <w:rsid w:val="59F24B7D"/>
    <w:rsid w:val="5D38790B"/>
    <w:rsid w:val="5E9D369D"/>
    <w:rsid w:val="5EFFFC9B"/>
    <w:rsid w:val="6AE98F7C"/>
    <w:rsid w:val="6DC7F33B"/>
    <w:rsid w:val="6FEF45FB"/>
    <w:rsid w:val="6FFF15E6"/>
    <w:rsid w:val="708562F1"/>
    <w:rsid w:val="710B2708"/>
    <w:rsid w:val="71594D33"/>
    <w:rsid w:val="736C78CC"/>
    <w:rsid w:val="739EBC17"/>
    <w:rsid w:val="73EFFBD7"/>
    <w:rsid w:val="73FFF875"/>
    <w:rsid w:val="74EB340A"/>
    <w:rsid w:val="77444F61"/>
    <w:rsid w:val="79E128F2"/>
    <w:rsid w:val="79E92E1E"/>
    <w:rsid w:val="7A7D1B8F"/>
    <w:rsid w:val="7B5A3FD3"/>
    <w:rsid w:val="7BB973BC"/>
    <w:rsid w:val="7BFD9A5A"/>
    <w:rsid w:val="7CDF12C6"/>
    <w:rsid w:val="7DDBF6DE"/>
    <w:rsid w:val="7E5D73CD"/>
    <w:rsid w:val="7EB5673A"/>
    <w:rsid w:val="7EFFA51A"/>
    <w:rsid w:val="7F37D5F2"/>
    <w:rsid w:val="7FED1665"/>
    <w:rsid w:val="7FFD820F"/>
    <w:rsid w:val="7FFDA612"/>
    <w:rsid w:val="7FFF0E8D"/>
    <w:rsid w:val="9B660796"/>
    <w:rsid w:val="ABC9263D"/>
    <w:rsid w:val="AFCFD8BE"/>
    <w:rsid w:val="AFF6EDF8"/>
    <w:rsid w:val="B71FD18D"/>
    <w:rsid w:val="BD72EBE1"/>
    <w:rsid w:val="DBEBE1D1"/>
    <w:rsid w:val="DC7E2BC9"/>
    <w:rsid w:val="DCF9CABC"/>
    <w:rsid w:val="DFF3C0EC"/>
    <w:rsid w:val="E77F48AB"/>
    <w:rsid w:val="E7FF8763"/>
    <w:rsid w:val="ECADEBEC"/>
    <w:rsid w:val="ECBEA320"/>
    <w:rsid w:val="EDFDD69D"/>
    <w:rsid w:val="F3FF1EBB"/>
    <w:rsid w:val="F963D060"/>
    <w:rsid w:val="F9BD6E24"/>
    <w:rsid w:val="FDFF0242"/>
    <w:rsid w:val="FE7BE3F4"/>
    <w:rsid w:val="FEB7BFB2"/>
    <w:rsid w:val="FEF71744"/>
    <w:rsid w:val="FFB7383B"/>
    <w:rsid w:val="FFDFB153"/>
    <w:rsid w:val="FFF78C2B"/>
    <w:rsid w:val="FFFF15C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iPriority="99"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32"/>
    <w:qFormat/>
    <w:uiPriority w:val="0"/>
    <w:pPr>
      <w:keepNext/>
      <w:keepLines/>
      <w:spacing w:before="340" w:after="330" w:line="576" w:lineRule="auto"/>
      <w:outlineLvl w:val="0"/>
    </w:pPr>
    <w:rPr>
      <w:rFonts w:ascii="Calibri" w:hAnsi="Calibri" w:eastAsia="宋体"/>
      <w:b/>
      <w:kern w:val="44"/>
      <w:sz w:val="44"/>
      <w:szCs w:val="24"/>
    </w:rPr>
  </w:style>
  <w:style w:type="paragraph" w:styleId="3">
    <w:name w:val="heading 2"/>
    <w:basedOn w:val="1"/>
    <w:next w:val="1"/>
    <w:qFormat/>
    <w:uiPriority w:val="0"/>
    <w:pPr>
      <w:keepNext/>
      <w:keepLines/>
      <w:tabs>
        <w:tab w:val="left" w:pos="5010"/>
      </w:tabs>
      <w:spacing w:before="260" w:after="260" w:line="415" w:lineRule="auto"/>
      <w:jc w:val="left"/>
      <w:outlineLvl w:val="1"/>
    </w:pPr>
    <w:rPr>
      <w:rFonts w:ascii="黑体" w:hAnsi="黑体" w:eastAsia="黑体"/>
      <w:b/>
      <w:color w:val="FF0000"/>
      <w:kern w:val="0"/>
      <w:sz w:val="30"/>
      <w:szCs w:val="30"/>
    </w:rPr>
  </w:style>
  <w:style w:type="paragraph" w:styleId="4">
    <w:name w:val="heading 4"/>
    <w:basedOn w:val="1"/>
    <w:next w:val="1"/>
    <w:qFormat/>
    <w:uiPriority w:val="0"/>
    <w:pPr>
      <w:keepNext/>
      <w:keepLines/>
      <w:numPr>
        <w:ilvl w:val="3"/>
        <w:numId w:val="1"/>
      </w:numPr>
      <w:spacing w:before="280" w:after="290" w:line="372" w:lineRule="auto"/>
      <w:outlineLvl w:val="3"/>
    </w:pPr>
    <w:rPr>
      <w:rFonts w:ascii="Arial" w:hAnsi="Arial" w:eastAsia="黑体"/>
      <w:b/>
      <w:sz w:val="28"/>
      <w:szCs w:val="24"/>
    </w:rPr>
  </w:style>
  <w:style w:type="character" w:default="1" w:styleId="22">
    <w:name w:val="Default Paragraph Font"/>
    <w:semiHidden/>
    <w:qFormat/>
    <w:uiPriority w:val="0"/>
  </w:style>
  <w:style w:type="table" w:default="1" w:styleId="20">
    <w:name w:val="Normal Table"/>
    <w:semiHidden/>
    <w:qFormat/>
    <w:uiPriority w:val="0"/>
    <w:tblPr>
      <w:tblCellMar>
        <w:top w:w="0" w:type="dxa"/>
        <w:left w:w="108" w:type="dxa"/>
        <w:bottom w:w="0" w:type="dxa"/>
        <w:right w:w="108" w:type="dxa"/>
      </w:tblCellMar>
    </w:tblPr>
  </w:style>
  <w:style w:type="paragraph" w:styleId="5">
    <w:name w:val="Normal Indent"/>
    <w:basedOn w:val="1"/>
    <w:unhideWhenUsed/>
    <w:qFormat/>
    <w:uiPriority w:val="99"/>
    <w:pPr>
      <w:ind w:firstLine="420" w:firstLineChars="200"/>
    </w:pPr>
    <w:rPr>
      <w:rFonts w:ascii="Calibri" w:hAnsi="Calibri" w:eastAsia="宋体" w:cs="Calibri"/>
      <w:sz w:val="21"/>
      <w:szCs w:val="21"/>
    </w:rPr>
  </w:style>
  <w:style w:type="paragraph" w:styleId="6">
    <w:name w:val="annotation text"/>
    <w:basedOn w:val="1"/>
    <w:unhideWhenUsed/>
    <w:qFormat/>
    <w:uiPriority w:val="99"/>
    <w:pPr>
      <w:jc w:val="left"/>
    </w:pPr>
    <w:rPr>
      <w:rFonts w:ascii="Calibri" w:hAnsi="Calibri" w:eastAsia="宋体" w:cs="Calibri"/>
      <w:sz w:val="21"/>
      <w:szCs w:val="21"/>
    </w:rPr>
  </w:style>
  <w:style w:type="paragraph" w:styleId="7">
    <w:name w:val="Body Text"/>
    <w:basedOn w:val="1"/>
    <w:unhideWhenUsed/>
    <w:qFormat/>
    <w:uiPriority w:val="99"/>
    <w:rPr>
      <w:rFonts w:hAnsi="宋体" w:cs="宋体"/>
    </w:rPr>
  </w:style>
  <w:style w:type="paragraph" w:styleId="8">
    <w:name w:val="Body Text Indent"/>
    <w:basedOn w:val="1"/>
    <w:qFormat/>
    <w:uiPriority w:val="0"/>
    <w:pPr>
      <w:spacing w:after="120"/>
      <w:ind w:left="420" w:leftChars="200"/>
    </w:pPr>
  </w:style>
  <w:style w:type="paragraph" w:styleId="9">
    <w:name w:val="toc 3"/>
    <w:basedOn w:val="1"/>
    <w:next w:val="1"/>
    <w:qFormat/>
    <w:uiPriority w:val="0"/>
    <w:pPr>
      <w:ind w:left="840" w:leftChars="400"/>
    </w:pPr>
    <w:rPr>
      <w:rFonts w:ascii="Times New Roman" w:eastAsia="宋体"/>
      <w:sz w:val="21"/>
      <w:szCs w:val="24"/>
    </w:rPr>
  </w:style>
  <w:style w:type="paragraph" w:styleId="10">
    <w:name w:val="Plain Text"/>
    <w:basedOn w:val="1"/>
    <w:qFormat/>
    <w:uiPriority w:val="0"/>
    <w:pPr>
      <w:widowControl/>
      <w:jc w:val="left"/>
    </w:pPr>
    <w:rPr>
      <w:rFonts w:ascii="宋体" w:hAnsi="宋体" w:eastAsia="宋体" w:cs="宋体"/>
      <w:kern w:val="0"/>
      <w:sz w:val="24"/>
      <w:szCs w:val="24"/>
    </w:rPr>
  </w:style>
  <w:style w:type="paragraph" w:styleId="11">
    <w:name w:val="Body Text Indent 2"/>
    <w:basedOn w:val="1"/>
    <w:next w:val="1"/>
    <w:unhideWhenUsed/>
    <w:qFormat/>
    <w:uiPriority w:val="99"/>
    <w:pPr>
      <w:spacing w:line="590" w:lineRule="exact"/>
      <w:ind w:firstLine="880" w:firstLineChars="200"/>
    </w:pPr>
    <w:rPr>
      <w:rFonts w:ascii="Times New Roman" w:hAnsi="Times New Roman" w:eastAsia="方正仿宋_GBK"/>
    </w:rPr>
  </w:style>
  <w:style w:type="paragraph" w:styleId="12">
    <w:name w:val="footer"/>
    <w:basedOn w:val="1"/>
    <w:qFormat/>
    <w:uiPriority w:val="0"/>
    <w:pPr>
      <w:tabs>
        <w:tab w:val="center" w:pos="4153"/>
        <w:tab w:val="right" w:pos="8306"/>
      </w:tabs>
      <w:snapToGrid w:val="0"/>
      <w:jc w:val="left"/>
    </w:pPr>
    <w:rPr>
      <w:rFonts w:ascii="Calibri" w:hAnsi="Calibri" w:eastAsia="宋体"/>
      <w:sz w:val="18"/>
      <w:szCs w:val="18"/>
    </w:rPr>
  </w:style>
  <w:style w:type="paragraph" w:styleId="13">
    <w:name w:val="header"/>
    <w:basedOn w:val="1"/>
    <w:qFormat/>
    <w:uiPriority w:val="0"/>
    <w:pPr>
      <w:pBdr>
        <w:bottom w:val="single" w:color="auto" w:sz="6" w:space="1"/>
      </w:pBdr>
      <w:tabs>
        <w:tab w:val="center" w:pos="4153"/>
        <w:tab w:val="right" w:pos="8306"/>
      </w:tabs>
      <w:snapToGrid w:val="0"/>
      <w:jc w:val="center"/>
    </w:pPr>
    <w:rPr>
      <w:rFonts w:ascii="Calibri" w:hAnsi="Calibri" w:eastAsia="宋体"/>
      <w:sz w:val="18"/>
      <w:szCs w:val="18"/>
    </w:rPr>
  </w:style>
  <w:style w:type="paragraph" w:styleId="14">
    <w:name w:val="toc 1"/>
    <w:basedOn w:val="1"/>
    <w:next w:val="1"/>
    <w:qFormat/>
    <w:uiPriority w:val="0"/>
    <w:rPr>
      <w:rFonts w:ascii="Times New Roman" w:eastAsia="宋体"/>
      <w:sz w:val="21"/>
      <w:szCs w:val="24"/>
    </w:rPr>
  </w:style>
  <w:style w:type="paragraph" w:styleId="15">
    <w:name w:val="toc 2"/>
    <w:basedOn w:val="1"/>
    <w:next w:val="1"/>
    <w:qFormat/>
    <w:uiPriority w:val="0"/>
    <w:pPr>
      <w:ind w:left="420" w:leftChars="200"/>
    </w:pPr>
    <w:rPr>
      <w:rFonts w:ascii="Times New Roman" w:eastAsia="宋体"/>
      <w:sz w:val="21"/>
      <w:szCs w:val="24"/>
    </w:rPr>
  </w:style>
  <w:style w:type="paragraph" w:styleId="16">
    <w:name w:val="HTML Preformatted"/>
    <w:basedOn w:val="1"/>
    <w:unhideWhenUsed/>
    <w:qFormat/>
    <w:uiPriority w:val="99"/>
    <w:pPr>
      <w:jc w:val="left"/>
    </w:pPr>
    <w:rPr>
      <w:rFonts w:ascii="宋体" w:hAnsi="宋体" w:eastAsia="宋体" w:cs="宋体"/>
      <w:kern w:val="0"/>
      <w:sz w:val="24"/>
      <w:szCs w:val="24"/>
    </w:rPr>
  </w:style>
  <w:style w:type="paragraph" w:styleId="17">
    <w:name w:val="Normal (Web)"/>
    <w:basedOn w:val="1"/>
    <w:unhideWhenUsed/>
    <w:qFormat/>
    <w:uiPriority w:val="0"/>
    <w:pPr>
      <w:spacing w:before="100" w:beforeAutospacing="1" w:after="100" w:afterAutospacing="1"/>
      <w:jc w:val="left"/>
    </w:pPr>
    <w:rPr>
      <w:rFonts w:ascii="Calibri" w:hAnsi="Calibri" w:eastAsia="宋体"/>
      <w:kern w:val="0"/>
      <w:sz w:val="24"/>
      <w:szCs w:val="24"/>
    </w:rPr>
  </w:style>
  <w:style w:type="paragraph" w:styleId="18">
    <w:name w:val="Title"/>
    <w:basedOn w:val="1"/>
    <w:next w:val="1"/>
    <w:qFormat/>
    <w:uiPriority w:val="0"/>
    <w:pPr>
      <w:spacing w:before="240" w:after="60"/>
      <w:jc w:val="center"/>
      <w:outlineLvl w:val="0"/>
    </w:pPr>
    <w:rPr>
      <w:rFonts w:ascii="Cambria" w:hAnsi="Cambria" w:eastAsia="宋体" w:cs="Times New Roman"/>
      <w:b/>
      <w:bCs/>
      <w:sz w:val="32"/>
      <w:szCs w:val="32"/>
    </w:rPr>
  </w:style>
  <w:style w:type="paragraph" w:styleId="19">
    <w:name w:val="Body Text First Indent 2"/>
    <w:basedOn w:val="8"/>
    <w:qFormat/>
    <w:uiPriority w:val="0"/>
    <w:pPr>
      <w:ind w:firstLine="420" w:firstLineChars="200"/>
    </w:pPr>
    <w:rPr>
      <w:rFonts w:ascii="Calibri" w:hAnsi="Calibri" w:eastAsia="宋体"/>
      <w:sz w:val="21"/>
      <w:szCs w:val="24"/>
    </w:rPr>
  </w:style>
  <w:style w:type="table" w:styleId="21">
    <w:name w:val="Table Grid"/>
    <w:basedOn w:val="2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page number"/>
    <w:basedOn w:val="22"/>
    <w:qFormat/>
    <w:uiPriority w:val="0"/>
    <w:rPr>
      <w:rFonts w:cs="Times New Roman"/>
    </w:rPr>
  </w:style>
  <w:style w:type="character" w:styleId="24">
    <w:name w:val="Emphasis"/>
    <w:basedOn w:val="22"/>
    <w:qFormat/>
    <w:uiPriority w:val="0"/>
    <w:rPr>
      <w:i/>
      <w:iCs/>
    </w:rPr>
  </w:style>
  <w:style w:type="character" w:styleId="25">
    <w:name w:val="Hyperlink"/>
    <w:unhideWhenUsed/>
    <w:qFormat/>
    <w:uiPriority w:val="99"/>
    <w:rPr>
      <w:color w:val="0000FF"/>
      <w:u w:val="single"/>
    </w:rPr>
  </w:style>
  <w:style w:type="paragraph" w:customStyle="1" w:styleId="26">
    <w:name w:val="BodyText1I2"/>
    <w:basedOn w:val="27"/>
    <w:qFormat/>
    <w:uiPriority w:val="0"/>
    <w:pPr>
      <w:ind w:firstLine="420"/>
      <w:jc w:val="left"/>
    </w:pPr>
  </w:style>
  <w:style w:type="paragraph" w:customStyle="1" w:styleId="27">
    <w:name w:val="BodyTextIndent"/>
    <w:basedOn w:val="1"/>
    <w:qFormat/>
    <w:uiPriority w:val="0"/>
    <w:pPr>
      <w:ind w:firstLine="640"/>
      <w:jc w:val="left"/>
    </w:pPr>
    <w:rPr>
      <w:rFonts w:ascii="宋体" w:hAnsi="宋体"/>
      <w:sz w:val="32"/>
    </w:rPr>
  </w:style>
  <w:style w:type="paragraph" w:customStyle="1" w:styleId="28">
    <w:name w:val="NormalIndent"/>
    <w:basedOn w:val="1"/>
    <w:qFormat/>
    <w:uiPriority w:val="0"/>
    <w:pPr>
      <w:ind w:firstLine="880" w:firstLineChars="200"/>
      <w:jc w:val="both"/>
      <w:textAlignment w:val="baseline"/>
    </w:pPr>
    <w:rPr>
      <w:rFonts w:ascii="Times New Roman" w:hAnsi="Times New Roman" w:cs="Times New Roman"/>
    </w:rPr>
  </w:style>
  <w:style w:type="paragraph" w:customStyle="1" w:styleId="29">
    <w:name w:val="BodyTextIndent2"/>
    <w:basedOn w:val="1"/>
    <w:qFormat/>
    <w:uiPriority w:val="0"/>
    <w:pPr>
      <w:spacing w:line="590" w:lineRule="exact"/>
      <w:ind w:firstLine="880" w:firstLineChars="200"/>
      <w:textAlignment w:val="baseline"/>
    </w:pPr>
    <w:rPr>
      <w:rFonts w:eastAsia="方正仿宋_GBK"/>
    </w:rPr>
  </w:style>
  <w:style w:type="paragraph" w:customStyle="1" w:styleId="30">
    <w:name w:val="文件内容"/>
    <w:basedOn w:val="1"/>
    <w:qFormat/>
    <w:uiPriority w:val="0"/>
    <w:pPr>
      <w:autoSpaceDN w:val="0"/>
      <w:spacing w:line="480" w:lineRule="exact"/>
      <w:ind w:firstLine="200" w:firstLineChars="200"/>
    </w:pPr>
    <w:rPr>
      <w:sz w:val="30"/>
      <w:szCs w:val="24"/>
    </w:rPr>
  </w:style>
  <w:style w:type="character" w:customStyle="1" w:styleId="31">
    <w:name w:val="15"/>
    <w:qFormat/>
    <w:uiPriority w:val="0"/>
    <w:rPr>
      <w:rFonts w:hint="default" w:ascii="Calibri" w:hAnsi="Calibri" w:eastAsia="宋体" w:cs="Calibri"/>
      <w:kern w:val="2"/>
      <w:sz w:val="24"/>
      <w:szCs w:val="24"/>
    </w:rPr>
  </w:style>
  <w:style w:type="character" w:customStyle="1" w:styleId="32">
    <w:name w:val="标题 1 Char"/>
    <w:basedOn w:val="22"/>
    <w:link w:val="2"/>
    <w:qFormat/>
    <w:uiPriority w:val="0"/>
    <w:rPr>
      <w:rFonts w:ascii="Calibri" w:hAnsi="Calibri" w:eastAsia="宋体"/>
      <w:b/>
      <w:kern w:val="44"/>
      <w:sz w:val="44"/>
      <w:szCs w:val="24"/>
    </w:rPr>
  </w:style>
  <w:style w:type="paragraph" w:customStyle="1" w:styleId="33">
    <w:name w:val="_Style 2"/>
    <w:basedOn w:val="1"/>
    <w:qFormat/>
    <w:uiPriority w:val="0"/>
    <w:pPr>
      <w:spacing w:line="351" w:lineRule="atLeast"/>
      <w:ind w:firstLine="623"/>
    </w:pPr>
    <w:rPr>
      <w:rFonts w:ascii="Times New Roman" w:eastAsia="宋体"/>
      <w:color w:val="000000"/>
      <w:sz w:val="31"/>
      <w:szCs w:val="31"/>
    </w:rPr>
  </w:style>
  <w:style w:type="paragraph" w:customStyle="1" w:styleId="34">
    <w:name w:val="List Paragraph"/>
    <w:basedOn w:val="1"/>
    <w:qFormat/>
    <w:uiPriority w:val="0"/>
    <w:pPr>
      <w:spacing w:before="100" w:beforeAutospacing="1" w:after="100" w:afterAutospacing="1"/>
      <w:ind w:left="1064" w:hanging="322"/>
    </w:pPr>
    <w:rPr>
      <w:rFonts w:ascii="楷体" w:hAnsi="楷体" w:eastAsia="楷体" w:cs="宋体"/>
      <w:sz w:val="21"/>
      <w:szCs w:val="21"/>
    </w:rPr>
  </w:style>
  <w:style w:type="paragraph" w:customStyle="1" w:styleId="35">
    <w:name w:val="Table Paragraph"/>
    <w:basedOn w:val="1"/>
    <w:qFormat/>
    <w:uiPriority w:val="0"/>
    <w:rPr>
      <w:rFonts w:ascii="宋体" w:hAnsi="宋体" w:eastAsia="宋体" w:cs="宋体"/>
      <w:sz w:val="21"/>
      <w:szCs w:val="21"/>
    </w:rPr>
  </w:style>
  <w:style w:type="paragraph" w:customStyle="1" w:styleId="36">
    <w:name w:val="&quot;二级条标题&quot;"/>
    <w:basedOn w:val="1"/>
    <w:qFormat/>
    <w:uiPriority w:val="0"/>
    <w:pPr>
      <w:widowControl/>
      <w:jc w:val="left"/>
      <w:outlineLvl w:val="3"/>
    </w:pPr>
    <w:rPr>
      <w:rFonts w:ascii="宋体" w:hAnsi="宋体" w:eastAsia="黑体" w:cs="宋体"/>
      <w:kern w:val="0"/>
      <w:sz w:val="21"/>
      <w:szCs w:val="21"/>
    </w:rPr>
  </w:style>
  <w:style w:type="paragraph" w:customStyle="1" w:styleId="37">
    <w:name w:val="列出段落1"/>
    <w:basedOn w:val="1"/>
    <w:qFormat/>
    <w:uiPriority w:val="99"/>
    <w:pPr>
      <w:ind w:firstLine="420" w:firstLineChars="200"/>
    </w:pPr>
    <w:rPr>
      <w:rFonts w:ascii="Times New Roman" w:eastAsia="宋体"/>
      <w:sz w:val="21"/>
      <w:szCs w:val="21"/>
    </w:rPr>
  </w:style>
  <w:style w:type="paragraph" w:customStyle="1" w:styleId="38">
    <w:name w:val="Header or footer|1"/>
    <w:basedOn w:val="1"/>
    <w:qFormat/>
    <w:uiPriority w:val="0"/>
    <w:pPr>
      <w:widowControl w:val="0"/>
      <w:shd w:val="clear" w:color="auto" w:fill="auto"/>
      <w:jc w:val="center"/>
    </w:pPr>
    <w:rPr>
      <w:sz w:val="26"/>
      <w:szCs w:val="26"/>
      <w:u w:val="none"/>
      <w:shd w:val="clear" w:color="auto" w:fill="auto"/>
    </w:rPr>
  </w:style>
  <w:style w:type="paragraph" w:customStyle="1" w:styleId="39">
    <w:name w:val="无间隔1"/>
    <w:qFormat/>
    <w:uiPriority w:val="0"/>
    <w:pPr>
      <w:widowControl w:val="0"/>
      <w:jc w:val="both"/>
    </w:pPr>
    <w:rPr>
      <w:rFonts w:ascii="Calibri" w:hAnsi="Calibri" w:eastAsia="宋体" w:cs="Calibri"/>
      <w:kern w:val="2"/>
      <w:sz w:val="21"/>
      <w:szCs w:val="21"/>
      <w:lang w:val="en-US" w:eastAsia="zh-CN" w:bidi="ar-SA"/>
    </w:rPr>
  </w:style>
  <w:style w:type="paragraph" w:customStyle="1" w:styleId="40">
    <w:name w:val="正文缩进1"/>
    <w:basedOn w:val="1"/>
    <w:qFormat/>
    <w:uiPriority w:val="0"/>
    <w:pPr>
      <w:ind w:firstLine="624"/>
      <w:textAlignment w:val="center"/>
    </w:pPr>
  </w:style>
  <w:style w:type="character" w:customStyle="1" w:styleId="41">
    <w:name w:val="NormalCharacter"/>
    <w:qFormat/>
    <w:uiPriority w:val="99"/>
    <w:rPr>
      <w:rFonts w:ascii="Times New Roman" w:hAnsi="Times New Roman" w:eastAsia="宋体"/>
    </w:rPr>
  </w:style>
  <w:style w:type="table" w:customStyle="1" w:styleId="42">
    <w:name w:val="Table Normal"/>
    <w:unhideWhenUsed/>
    <w:qFormat/>
    <w:uiPriority w:val="2"/>
    <w:pPr>
      <w:widowControl w:val="0"/>
    </w:pPr>
    <w:rPr>
      <w:rFonts w:ascii="Calibri" w:hAnsi="Calibri" w:eastAsia="宋体" w:cs="Times New Roman"/>
      <w:sz w:val="22"/>
      <w:szCs w:val="22"/>
      <w:lang w:eastAsia="en-US"/>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Pages>
  <Words>9269</Words>
  <Characters>9439</Characters>
  <Lines>0</Lines>
  <Paragraphs>0</Paragraphs>
  <TotalTime>896</TotalTime>
  <ScaleCrop>false</ScaleCrop>
  <LinksUpToDate>false</LinksUpToDate>
  <CharactersWithSpaces>9517</CharactersWithSpaces>
  <Application>WPS Office_12.1.0.18543_F1E327BC-269C-435d-A152-05C5408002CA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2019-12-05T10:35:00Z</dcterms:created>
  <dc:creator>Administrator</dc:creator>
  <cp:lastModifiedBy>凡人g,</cp:lastModifiedBy>
  <dcterms:modified xsi:type="dcterms:W3CDTF">2025-04-17T02:20:52Z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2052-12.1.0.18543</vt:lpwstr>
  </property>
  <property fmtid="{D5CDD505-2E9C-101B-9397-08002B2CF9AE}" pid="3" name="ICV">
    <vt:lpwstr>99EB6CC2BCEA4FB69A98CC776EDAEE79_13</vt:lpwstr>
  </property>
</Properties>
</file>