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C8A2B2">
      <w:pPr>
        <w:pageBreakBefore w:val="0"/>
        <w:widowControl w:val="0"/>
        <w:kinsoku/>
        <w:overflowPunct/>
        <w:topLinePunct w:val="0"/>
        <w:autoSpaceDE/>
        <w:autoSpaceDN/>
        <w:bidi w:val="0"/>
        <w:adjustRightInd/>
        <w:snapToGrid/>
        <w:spacing w:line="600" w:lineRule="exact"/>
        <w:ind w:left="0" w:leftChars="0"/>
        <w:jc w:val="center"/>
        <w:rPr>
          <w:rFonts w:hint="eastAsia" w:ascii="方正小标宋简体" w:hAnsi="方正小标宋简体" w:eastAsia="方正小标宋简体" w:cs="方正小标宋简体"/>
          <w:b/>
          <w:bCs/>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eastAsia="zh-CN"/>
        </w:rPr>
        <w:t>青阳县人民政府公报</w:t>
      </w:r>
      <w:r>
        <w:rPr>
          <w:rFonts w:hint="eastAsia" w:ascii="方正小标宋简体" w:hAnsi="方正小标宋简体" w:eastAsia="方正小标宋简体" w:cs="方正小标宋简体"/>
          <w:b w:val="0"/>
          <w:bCs w:val="0"/>
          <w:color w:val="auto"/>
          <w:sz w:val="44"/>
          <w:szCs w:val="44"/>
          <w:lang w:val="en-US" w:eastAsia="zh-CN"/>
        </w:rPr>
        <w:t>2025年第2号</w:t>
      </w:r>
    </w:p>
    <w:p w14:paraId="7FE48ABC">
      <w:pPr>
        <w:pageBreakBefore w:val="0"/>
        <w:widowControl w:val="0"/>
        <w:kinsoku/>
        <w:overflowPunct/>
        <w:topLinePunct w:val="0"/>
        <w:autoSpaceDE/>
        <w:autoSpaceDN/>
        <w:bidi w:val="0"/>
        <w:adjustRightInd/>
        <w:snapToGrid/>
        <w:spacing w:line="600" w:lineRule="exact"/>
        <w:ind w:left="0" w:leftChars="0"/>
        <w:jc w:val="center"/>
        <w:rPr>
          <w:rFonts w:hint="eastAsia" w:ascii="楷体_GB2312" w:hAnsi="楷体_GB2312" w:eastAsia="楷体_GB2312" w:cs="楷体_GB2312"/>
          <w:b w:val="0"/>
          <w:bCs w:val="0"/>
          <w:color w:val="auto"/>
          <w:sz w:val="36"/>
          <w:szCs w:val="36"/>
          <w:lang w:val="en-US" w:eastAsia="zh-CN"/>
        </w:rPr>
      </w:pPr>
      <w:r>
        <w:rPr>
          <w:rFonts w:hint="eastAsia" w:ascii="楷体_GB2312" w:hAnsi="楷体_GB2312" w:eastAsia="楷体_GB2312" w:cs="楷体_GB2312"/>
          <w:b w:val="0"/>
          <w:bCs w:val="0"/>
          <w:color w:val="auto"/>
          <w:sz w:val="36"/>
          <w:szCs w:val="36"/>
          <w:lang w:val="en-US" w:eastAsia="zh-CN"/>
        </w:rPr>
        <w:t>（总第52期）</w:t>
      </w:r>
    </w:p>
    <w:p w14:paraId="6F195EE5">
      <w:pPr>
        <w:pStyle w:val="14"/>
        <w:pageBreakBefore w:val="0"/>
        <w:widowControl w:val="0"/>
        <w:kinsoku/>
        <w:overflowPunct/>
        <w:topLinePunct w:val="0"/>
        <w:autoSpaceDE/>
        <w:autoSpaceDN/>
        <w:bidi w:val="0"/>
        <w:adjustRightInd/>
        <w:snapToGrid/>
        <w:spacing w:line="600" w:lineRule="exact"/>
        <w:ind w:left="0" w:leftChars="0"/>
        <w:rPr>
          <w:rFonts w:hint="eastAsia" w:asciiTheme="majorEastAsia" w:hAnsiTheme="majorEastAsia" w:eastAsiaTheme="majorEastAsia" w:cstheme="majorEastAsia"/>
          <w:b/>
          <w:bCs/>
          <w:color w:val="auto"/>
          <w:sz w:val="36"/>
          <w:szCs w:val="36"/>
          <w:lang w:val="en-US" w:eastAsia="zh-CN"/>
        </w:rPr>
      </w:pPr>
    </w:p>
    <w:p w14:paraId="0EA1EF44">
      <w:pPr>
        <w:keepNext w:val="0"/>
        <w:keepLines w:val="0"/>
        <w:pageBreakBefore w:val="0"/>
        <w:widowControl w:val="0"/>
        <w:kinsoku/>
        <w:overflowPunct/>
        <w:topLinePunct w:val="0"/>
        <w:autoSpaceDE/>
        <w:autoSpaceDN/>
        <w:bidi w:val="0"/>
        <w:adjustRightInd/>
        <w:snapToGrid/>
        <w:spacing w:line="600" w:lineRule="exact"/>
        <w:ind w:left="0" w:leftChars="0"/>
        <w:rPr>
          <w:rFonts w:hint="eastAsia" w:ascii="仿宋_GB2312" w:hAnsi="宋体" w:eastAsia="仿宋_GB2312" w:cs="Times New Roman"/>
          <w:bCs/>
          <w:color w:val="auto"/>
          <w:sz w:val="32"/>
          <w:szCs w:val="32"/>
          <w:lang w:val="en-US" w:eastAsia="zh-CN"/>
        </w:rPr>
      </w:pPr>
    </w:p>
    <w:p w14:paraId="1B811999">
      <w:pPr>
        <w:pStyle w:val="40"/>
        <w:pageBreakBefore w:val="0"/>
        <w:widowControl w:val="0"/>
        <w:kinsoku/>
        <w:overflowPunct/>
        <w:topLinePunct w:val="0"/>
        <w:autoSpaceDE/>
        <w:autoSpaceDN/>
        <w:bidi w:val="0"/>
        <w:adjustRightInd/>
        <w:snapToGrid/>
        <w:spacing w:line="600" w:lineRule="exact"/>
        <w:ind w:left="0" w:leftChars="0"/>
        <w:rPr>
          <w:rFonts w:hint="eastAsia"/>
          <w:color w:val="auto"/>
          <w:lang w:val="en-US" w:eastAsia="zh-CN"/>
        </w:rPr>
      </w:pPr>
    </w:p>
    <w:p w14:paraId="34C8D54A">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县政府办文件</w:t>
      </w:r>
    </w:p>
    <w:p w14:paraId="65BA64C6">
      <w:pPr>
        <w:pStyle w:val="26"/>
        <w:ind w:left="0" w:leftChars="0" w:firstLine="0" w:firstLineChars="0"/>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青阳县人民政府办公室关于印发《青阳县2025年“徽动消费·乐享青阳”消费券发放工作实施方案》的通知</w:t>
      </w:r>
    </w:p>
    <w:p w14:paraId="661D8B53">
      <w:pPr>
        <w:pStyle w:val="26"/>
        <w:ind w:left="0" w:leftChars="0" w:firstLine="0" w:firstLineChars="0"/>
        <w:rPr>
          <w:rFonts w:hint="eastAsia" w:ascii="仿宋_GB2312" w:hAnsi="宋体" w:eastAsia="仿宋_GB2312" w:cs="Times New Roman"/>
          <w:bCs/>
          <w:color w:val="auto"/>
          <w:sz w:val="32"/>
          <w:szCs w:val="32"/>
          <w:lang w:val="en-US" w:eastAsia="zh-CN"/>
        </w:rPr>
      </w:pPr>
    </w:p>
    <w:p w14:paraId="3CFDB361">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青阳县人民政府办公室关于印发《青阳县政府投资项目工程变更管理办法（试行）》的通知</w:t>
      </w:r>
    </w:p>
    <w:p w14:paraId="7F184165">
      <w:pPr>
        <w:pageBreakBefore w:val="0"/>
        <w:widowControl w:val="0"/>
        <w:kinsoku/>
        <w:overflowPunct/>
        <w:topLinePunct w:val="0"/>
        <w:autoSpaceDE/>
        <w:autoSpaceDN/>
        <w:bidi w:val="0"/>
        <w:adjustRightInd/>
        <w:snapToGrid/>
        <w:spacing w:line="600" w:lineRule="exact"/>
        <w:ind w:left="0" w:leftChars="0"/>
        <w:rPr>
          <w:rFonts w:hint="eastAsia"/>
          <w:color w:val="auto"/>
          <w:lang w:eastAsia="zh-CN"/>
        </w:rPr>
      </w:pPr>
    </w:p>
    <w:p w14:paraId="2CB51A15">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color w:val="auto"/>
          <w:kern w:val="0"/>
          <w:sz w:val="28"/>
          <w:szCs w:val="28"/>
          <w:shd w:val="clear" w:color="auto" w:fill="FFFFFF"/>
          <w:lang w:eastAsia="zh-CN"/>
        </w:rPr>
      </w:pPr>
    </w:p>
    <w:p w14:paraId="6F25FE61">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color w:val="auto"/>
          <w:kern w:val="0"/>
          <w:sz w:val="28"/>
          <w:szCs w:val="28"/>
          <w:shd w:val="clear" w:color="auto" w:fill="FFFFFF"/>
          <w:lang w:eastAsia="zh-CN"/>
        </w:rPr>
      </w:pPr>
    </w:p>
    <w:p w14:paraId="40C55528">
      <w:pPr>
        <w:keepNext w:val="0"/>
        <w:keepLines w:val="0"/>
        <w:pageBreakBefore w:val="0"/>
        <w:widowControl w:val="0"/>
        <w:kinsoku/>
        <w:wordWrap/>
        <w:overflowPunct/>
        <w:topLinePunct w:val="0"/>
        <w:autoSpaceDE/>
        <w:autoSpaceDN/>
        <w:bidi w:val="0"/>
        <w:adjustRightInd/>
        <w:snapToGrid/>
        <w:spacing w:line="600" w:lineRule="exact"/>
        <w:ind w:left="0" w:leftChars="0"/>
        <w:textAlignment w:val="auto"/>
        <w:rPr>
          <w:rFonts w:hint="eastAsia"/>
          <w:color w:val="auto"/>
        </w:rPr>
      </w:pPr>
    </w:p>
    <w:p w14:paraId="44939C40">
      <w:pPr>
        <w:pStyle w:val="11"/>
        <w:rPr>
          <w:rFonts w:hint="eastAsia"/>
          <w:color w:val="auto"/>
        </w:rPr>
      </w:pPr>
    </w:p>
    <w:p w14:paraId="1D49068A">
      <w:pPr>
        <w:rPr>
          <w:rFonts w:hint="eastAsia"/>
        </w:rPr>
      </w:pPr>
    </w:p>
    <w:p w14:paraId="7D7286FB">
      <w:pPr>
        <w:pStyle w:val="40"/>
        <w:pageBreakBefore w:val="0"/>
        <w:widowControl w:val="0"/>
        <w:kinsoku/>
        <w:overflowPunct/>
        <w:topLinePunct w:val="0"/>
        <w:autoSpaceDE/>
        <w:autoSpaceDN/>
        <w:bidi w:val="0"/>
        <w:adjustRightInd/>
        <w:snapToGrid/>
        <w:spacing w:line="600" w:lineRule="exact"/>
        <w:ind w:left="0" w:leftChars="0"/>
        <w:rPr>
          <w:rFonts w:hint="eastAsia"/>
          <w:color w:val="auto"/>
        </w:rPr>
      </w:pPr>
    </w:p>
    <w:p w14:paraId="21773076">
      <w:pPr>
        <w:pStyle w:val="40"/>
        <w:pageBreakBefore w:val="0"/>
        <w:widowControl w:val="0"/>
        <w:kinsoku/>
        <w:overflowPunct/>
        <w:topLinePunct w:val="0"/>
        <w:autoSpaceDE/>
        <w:autoSpaceDN/>
        <w:bidi w:val="0"/>
        <w:adjustRightInd/>
        <w:snapToGrid/>
        <w:spacing w:line="600" w:lineRule="exact"/>
        <w:ind w:left="0" w:leftChars="0"/>
        <w:rPr>
          <w:rFonts w:hint="eastAsia"/>
          <w:color w:val="auto"/>
        </w:rPr>
      </w:pPr>
    </w:p>
    <w:p w14:paraId="4B5E4F0C">
      <w:pPr>
        <w:pStyle w:val="40"/>
        <w:pageBreakBefore w:val="0"/>
        <w:widowControl w:val="0"/>
        <w:kinsoku/>
        <w:overflowPunct/>
        <w:topLinePunct w:val="0"/>
        <w:autoSpaceDE/>
        <w:autoSpaceDN/>
        <w:bidi w:val="0"/>
        <w:adjustRightInd/>
        <w:snapToGrid/>
        <w:spacing w:line="600" w:lineRule="exact"/>
        <w:ind w:left="0" w:leftChars="0"/>
        <w:rPr>
          <w:rFonts w:hint="eastAsia"/>
          <w:color w:val="auto"/>
        </w:rPr>
      </w:pPr>
    </w:p>
    <w:p w14:paraId="19331E25">
      <w:pPr>
        <w:keepNext w:val="0"/>
        <w:keepLines w:val="0"/>
        <w:pageBreakBefore w:val="0"/>
        <w:widowControl w:val="0"/>
        <w:kinsoku/>
        <w:overflowPunct/>
        <w:topLinePunct w:val="0"/>
        <w:autoSpaceDE/>
        <w:autoSpaceDN/>
        <w:bidi w:val="0"/>
        <w:adjustRightInd/>
        <w:snapToGrid/>
        <w:spacing w:line="580" w:lineRule="exact"/>
        <w:jc w:val="both"/>
        <w:textAlignment w:val="auto"/>
        <w:rPr>
          <w:rFonts w:hint="eastAsia" w:ascii="方正小标宋简体" w:hAnsi="方正小标宋简体" w:eastAsia="方正小标宋简体" w:cs="方正小标宋简体"/>
          <w:color w:val="auto"/>
          <w:kern w:val="44"/>
          <w:sz w:val="44"/>
          <w:szCs w:val="44"/>
          <w:shd w:val="clear" w:color="auto" w:fill="FFFFFF"/>
          <w:lang w:eastAsia="zh-CN"/>
        </w:rPr>
      </w:pPr>
    </w:p>
    <w:p w14:paraId="1CDF9726">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方正小标宋简体" w:hAnsi="方正小标宋简体" w:eastAsia="方正小标宋简体" w:cs="方正小标宋简体"/>
          <w:color w:val="auto"/>
          <w:sz w:val="44"/>
          <w:szCs w:val="44"/>
          <w:lang w:eastAsia="zh-CN"/>
        </w:rPr>
      </w:pPr>
    </w:p>
    <w:p w14:paraId="53DFA1CE">
      <w:pPr>
        <w:pStyle w:val="11"/>
        <w:rPr>
          <w:rFonts w:hint="eastAsia" w:ascii="方正小标宋简体" w:hAnsi="方正小标宋简体" w:eastAsia="方正小标宋简体" w:cs="方正小标宋简体"/>
          <w:color w:val="auto"/>
          <w:sz w:val="44"/>
          <w:szCs w:val="44"/>
          <w:lang w:eastAsia="zh-CN"/>
        </w:rPr>
      </w:pPr>
    </w:p>
    <w:p w14:paraId="28E38437">
      <w:pPr>
        <w:rPr>
          <w:rFonts w:hint="eastAsia" w:ascii="方正小标宋简体" w:hAnsi="方正小标宋简体" w:eastAsia="方正小标宋简体" w:cs="方正小标宋简体"/>
          <w:color w:val="auto"/>
          <w:sz w:val="44"/>
          <w:szCs w:val="44"/>
          <w:lang w:eastAsia="zh-CN"/>
        </w:rPr>
      </w:pPr>
    </w:p>
    <w:p w14:paraId="1627BF92">
      <w:pPr>
        <w:pStyle w:val="11"/>
        <w:rPr>
          <w:rFonts w:hint="eastAsia"/>
          <w:lang w:eastAsia="zh-CN"/>
        </w:rPr>
      </w:pPr>
    </w:p>
    <w:p w14:paraId="7C466138">
      <w:pPr>
        <w:rPr>
          <w:rFonts w:hint="eastAsia"/>
          <w:lang w:eastAsia="zh-CN"/>
        </w:rPr>
      </w:pPr>
    </w:p>
    <w:p w14:paraId="45DFB248">
      <w:pPr>
        <w:pStyle w:val="11"/>
        <w:rPr>
          <w:rFonts w:hint="eastAsia"/>
          <w:lang w:eastAsia="zh-CN"/>
        </w:rPr>
      </w:pPr>
    </w:p>
    <w:p w14:paraId="74759C8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青阳县人民政府办公室关于印发《</w:t>
      </w:r>
      <w:r>
        <w:rPr>
          <w:rFonts w:hint="eastAsia" w:ascii="方正小标宋简体" w:hAnsi="方正小标宋简体" w:eastAsia="方正小标宋简体" w:cs="方正小标宋简体"/>
          <w:sz w:val="44"/>
          <w:szCs w:val="44"/>
        </w:rPr>
        <w:t>青阳县2025年“徽动消费·乐享青阳”消费券发放</w:t>
      </w:r>
    </w:p>
    <w:p w14:paraId="098FECA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工作实施方案</w:t>
      </w:r>
      <w:r>
        <w:rPr>
          <w:rFonts w:hint="eastAsia" w:ascii="方正小标宋简体" w:hAnsi="方正小标宋简体" w:eastAsia="方正小标宋简体" w:cs="方正小标宋简体"/>
          <w:sz w:val="44"/>
          <w:szCs w:val="44"/>
          <w:lang w:val="en-US" w:eastAsia="zh-CN"/>
        </w:rPr>
        <w:t>》的通知</w:t>
      </w:r>
    </w:p>
    <w:p w14:paraId="2DE7214A">
      <w:pPr>
        <w:keepNext w:val="0"/>
        <w:keepLines w:val="0"/>
        <w:pageBreakBefore w:val="0"/>
        <w:widowControl w:val="0"/>
        <w:suppressLineNumbers w:val="0"/>
        <w:kinsoku/>
        <w:wordWrap/>
        <w:overflowPunct/>
        <w:topLinePunct w:val="0"/>
        <w:autoSpaceDE/>
        <w:autoSpaceDN/>
        <w:bidi w:val="0"/>
        <w:adjustRightInd/>
        <w:snapToGrid/>
        <w:spacing w:line="560" w:lineRule="exact"/>
        <w:jc w:val="left"/>
        <w:textAlignment w:val="auto"/>
        <w:rPr>
          <w:rFonts w:ascii="仿宋_GB2312" w:hAnsi="宋体" w:eastAsia="仿宋_GB2312" w:cs="仿宋_GB2312"/>
          <w:color w:val="000000"/>
          <w:kern w:val="0"/>
          <w:sz w:val="31"/>
          <w:szCs w:val="31"/>
          <w:lang w:val="en-US" w:eastAsia="zh-CN" w:bidi="ar"/>
        </w:rPr>
      </w:pPr>
    </w:p>
    <w:p w14:paraId="1946DD2B">
      <w:pPr>
        <w:keepNext w:val="0"/>
        <w:keepLines w:val="0"/>
        <w:pageBreakBefore w:val="0"/>
        <w:widowControl w:val="0"/>
        <w:suppressLineNumbers w:val="0"/>
        <w:kinsoku/>
        <w:wordWrap/>
        <w:overflowPunct/>
        <w:topLinePunct w:val="0"/>
        <w:autoSpaceDE/>
        <w:autoSpaceDN/>
        <w:bidi w:val="0"/>
        <w:adjustRightInd/>
        <w:snapToGrid/>
        <w:spacing w:line="560" w:lineRule="exact"/>
        <w:jc w:val="both"/>
        <w:textAlignment w:val="auto"/>
        <w:rPr>
          <w:color w:val="000000" w:themeColor="text1"/>
          <w:sz w:val="32"/>
          <w:szCs w:val="32"/>
          <w14:textFill>
            <w14:solidFill>
              <w14:schemeClr w14:val="tx1"/>
            </w14:solidFill>
          </w14:textFill>
        </w:rPr>
      </w:pPr>
      <w:r>
        <w:rPr>
          <w:rFonts w:ascii="仿宋_GB2312" w:hAnsi="宋体" w:eastAsia="仿宋_GB2312" w:cs="仿宋_GB2312"/>
          <w:color w:val="000000" w:themeColor="text1"/>
          <w:kern w:val="0"/>
          <w:sz w:val="32"/>
          <w:szCs w:val="32"/>
          <w:lang w:val="en-US" w:eastAsia="zh-CN" w:bidi="ar"/>
          <w14:textFill>
            <w14:solidFill>
              <w14:schemeClr w14:val="tx1"/>
            </w14:solidFill>
          </w14:textFill>
        </w:rPr>
        <w:t>各乡镇人民政府，县开发区管委会，县政府各部门、各直属机构，</w:t>
      </w:r>
      <w:r>
        <w:rPr>
          <w:rFonts w:hint="eastAsia" w:ascii="仿宋_GB2312" w:hAnsi="宋体" w:eastAsia="仿宋_GB2312" w:cs="仿宋_GB2312"/>
          <w:color w:val="000000" w:themeColor="text1"/>
          <w:kern w:val="0"/>
          <w:sz w:val="32"/>
          <w:szCs w:val="32"/>
          <w:lang w:val="en-US" w:eastAsia="zh-CN" w:bidi="ar"/>
          <w14:textFill>
            <w14:solidFill>
              <w14:schemeClr w14:val="tx1"/>
            </w14:solidFill>
          </w14:textFill>
        </w:rPr>
        <w:t>驻青各单位，县建投集团、乡投集团：</w:t>
      </w:r>
    </w:p>
    <w:p w14:paraId="1D6F8F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《青阳县2025年“徽动消费·乐享青阳”消费券发放工作实施方案》已经县政府第81次常务会议审议通过，现印发给你们，请结合实际遵照执行。</w:t>
      </w:r>
    </w:p>
    <w:p w14:paraId="61DEE96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14:paraId="0749A28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14:paraId="4EDC617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14:paraId="2D4453C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2025年4月29日</w:t>
      </w:r>
    </w:p>
    <w:p w14:paraId="70369EA2">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14:paraId="41DD996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49744C13">
      <w:pPr>
        <w:pStyle w:val="7"/>
        <w:rPr>
          <w:rFonts w:hint="eastAsia"/>
          <w:lang w:val="en-US" w:eastAsia="zh-CN"/>
        </w:rPr>
      </w:pPr>
    </w:p>
    <w:p w14:paraId="437BB2D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rPr>
      </w:pPr>
    </w:p>
    <w:p w14:paraId="41DFA3D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rPr>
        <w:sectPr>
          <w:headerReference r:id="rId3" w:type="default"/>
          <w:footerReference r:id="rId4" w:type="default"/>
          <w:pgSz w:w="11906" w:h="16838"/>
          <w:pgMar w:top="2098" w:right="1531" w:bottom="1417" w:left="1531" w:header="851" w:footer="992" w:gutter="0"/>
          <w:pgNumType w:fmt="decimal" w:start="1"/>
          <w:cols w:space="720" w:num="1"/>
          <w:docGrid w:type="lines" w:linePitch="312" w:charSpace="0"/>
        </w:sectPr>
      </w:pPr>
    </w:p>
    <w:p w14:paraId="29D132C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青阳县202</w:t>
      </w:r>
      <w:r>
        <w:rPr>
          <w:rFonts w:hint="eastAsia" w:ascii="方正小标宋简体" w:hAnsi="方正小标宋简体" w:eastAsia="方正小标宋简体" w:cs="方正小标宋简体"/>
          <w:b w:val="0"/>
          <w:bCs w:val="0"/>
          <w:sz w:val="44"/>
          <w:szCs w:val="44"/>
          <w:lang w:val="en-US" w:eastAsia="zh-CN"/>
        </w:rPr>
        <w:t>5</w:t>
      </w:r>
      <w:r>
        <w:rPr>
          <w:rFonts w:hint="eastAsia" w:ascii="方正小标宋简体" w:hAnsi="方正小标宋简体" w:eastAsia="方正小标宋简体" w:cs="方正小标宋简体"/>
          <w:b w:val="0"/>
          <w:bCs w:val="0"/>
          <w:sz w:val="44"/>
          <w:szCs w:val="44"/>
        </w:rPr>
        <w:t>年“徽动消费·乐享青阳”消费券发放工作实施方案</w:t>
      </w:r>
    </w:p>
    <w:p w14:paraId="71A2B61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14:paraId="4139498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为深入贯彻</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落实</w:t>
      </w:r>
      <w:r>
        <w:rPr>
          <w:rFonts w:hint="eastAsia" w:ascii="仿宋_GB2312" w:hAnsi="仿宋_GB2312" w:eastAsia="仿宋_GB2312" w:cs="仿宋_GB2312"/>
          <w:color w:val="000000" w:themeColor="text1"/>
          <w:sz w:val="32"/>
          <w:szCs w:val="32"/>
          <w:lang w:eastAsia="zh-CN"/>
          <w14:textFill>
            <w14:solidFill>
              <w14:schemeClr w14:val="tx1"/>
            </w14:solidFill>
          </w14:textFill>
        </w:rPr>
        <w:t>党中央、国务院关于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扩大内需、促进消费的</w:t>
      </w:r>
      <w:r>
        <w:rPr>
          <w:rFonts w:hint="eastAsia" w:ascii="仿宋_GB2312" w:hAnsi="仿宋_GB2312" w:eastAsia="仿宋_GB2312" w:cs="仿宋_GB2312"/>
          <w:color w:val="000000" w:themeColor="text1"/>
          <w:sz w:val="32"/>
          <w:szCs w:val="32"/>
          <w:lang w:eastAsia="zh-CN"/>
          <w14:textFill>
            <w14:solidFill>
              <w14:schemeClr w14:val="tx1"/>
            </w14:solidFill>
          </w14:textFill>
        </w:rPr>
        <w:t>决策部署，根据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安徽省商务厅、安徽省财政厅关于做好2025年商贸领域消费券发放等有关工作的通知》（皖商办运函〔2025〕57号）和《池州市商务局、池州市财政局关于做好2025年商贸领域消费券发放等有关工作的通知》（池商函〔2025〕9号）文件</w:t>
      </w:r>
      <w:r>
        <w:rPr>
          <w:rFonts w:hint="eastAsia" w:ascii="仿宋_GB2312" w:hAnsi="仿宋_GB2312" w:eastAsia="仿宋_GB2312" w:cs="仿宋_GB2312"/>
          <w:color w:val="000000" w:themeColor="text1"/>
          <w:sz w:val="32"/>
          <w:szCs w:val="32"/>
          <w:lang w:eastAsia="zh-CN"/>
          <w14:textFill>
            <w14:solidFill>
              <w14:schemeClr w14:val="tx1"/>
            </w14:solidFill>
          </w14:textFill>
        </w:rPr>
        <w:t>要求，</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组织实施2025年度县级民生实事“实施消费补助行动”项目，</w:t>
      </w:r>
      <w:r>
        <w:rPr>
          <w:rFonts w:hint="eastAsia" w:ascii="仿宋_GB2312" w:hAnsi="仿宋_GB2312" w:eastAsia="仿宋_GB2312" w:cs="仿宋_GB2312"/>
          <w:color w:val="000000" w:themeColor="text1"/>
          <w:sz w:val="32"/>
          <w:szCs w:val="32"/>
          <w:lang w:eastAsia="zh-CN"/>
          <w14:textFill>
            <w14:solidFill>
              <w14:schemeClr w14:val="tx1"/>
            </w14:solidFill>
          </w14:textFill>
        </w:rPr>
        <w:t>开展</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2025年</w:t>
      </w:r>
      <w:r>
        <w:rPr>
          <w:rFonts w:hint="eastAsia" w:ascii="仿宋_GB2312" w:hAnsi="仿宋_GB2312" w:eastAsia="仿宋_GB2312" w:cs="仿宋_GB2312"/>
          <w:color w:val="000000" w:themeColor="text1"/>
          <w:sz w:val="32"/>
          <w:szCs w:val="32"/>
          <w:lang w:eastAsia="zh-CN"/>
          <w14:textFill>
            <w14:solidFill>
              <w14:schemeClr w14:val="tx1"/>
            </w14:solidFill>
          </w14:textFill>
        </w:rPr>
        <w:t>“徽动消费·乐享青阳”</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消费券发放</w:t>
      </w:r>
      <w:r>
        <w:rPr>
          <w:rFonts w:hint="eastAsia" w:ascii="仿宋_GB2312" w:hAnsi="仿宋_GB2312" w:eastAsia="仿宋_GB2312" w:cs="仿宋_GB2312"/>
          <w:color w:val="000000" w:themeColor="text1"/>
          <w:sz w:val="32"/>
          <w:szCs w:val="32"/>
          <w:lang w:eastAsia="zh-CN"/>
          <w14:textFill>
            <w14:solidFill>
              <w14:schemeClr w14:val="tx1"/>
            </w14:solidFill>
          </w14:textFill>
        </w:rPr>
        <w:t>活动，</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特</w:t>
      </w:r>
      <w:r>
        <w:rPr>
          <w:rFonts w:hint="eastAsia" w:ascii="仿宋_GB2312" w:hAnsi="仿宋_GB2312" w:eastAsia="仿宋_GB2312" w:cs="仿宋_GB2312"/>
          <w:color w:val="000000" w:themeColor="text1"/>
          <w:sz w:val="32"/>
          <w:szCs w:val="32"/>
          <w:lang w:eastAsia="zh-CN"/>
          <w14:textFill>
            <w14:solidFill>
              <w14:schemeClr w14:val="tx1"/>
            </w14:solidFill>
          </w14:textFill>
        </w:rPr>
        <w:t>制定本方案。</w:t>
      </w:r>
    </w:p>
    <w:p w14:paraId="1631DFD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一、活动主题</w:t>
      </w:r>
    </w:p>
    <w:p w14:paraId="65A7859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聚焦汽车以及大众消费，开展以“徽动消费·乐享青阳”为主题的消费券发放活动，激发</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市场活力，释放消费潜力</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14:paraId="0C0C418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二、活动时间</w:t>
      </w:r>
    </w:p>
    <w:p w14:paraId="06A1040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lang w:eastAsia="zh-CN"/>
          <w14:textFill>
            <w14:solidFill>
              <w14:schemeClr w14:val="tx1"/>
            </w14:solidFill>
          </w14:textFill>
        </w:rPr>
        <w:t>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lang w:eastAsia="zh-CN"/>
          <w14:textFill>
            <w14:solidFill>
              <w14:schemeClr w14:val="tx1"/>
            </w14:solidFill>
          </w14:textFill>
        </w:rPr>
        <w:t>月至202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lang w:eastAsia="zh-CN"/>
          <w14:textFill>
            <w14:solidFill>
              <w14:schemeClr w14:val="tx1"/>
            </w14:solidFill>
          </w14:textFill>
        </w:rPr>
        <w:t>年12月，原则上分</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五一、中秋国庆2</w:t>
      </w:r>
      <w:r>
        <w:rPr>
          <w:rFonts w:hint="eastAsia" w:ascii="仿宋_GB2312" w:hAnsi="仿宋_GB2312" w:eastAsia="仿宋_GB2312" w:cs="仿宋_GB2312"/>
          <w:color w:val="000000" w:themeColor="text1"/>
          <w:sz w:val="32"/>
          <w:szCs w:val="32"/>
          <w:lang w:eastAsia="zh-CN"/>
          <w14:textFill>
            <w14:solidFill>
              <w14:schemeClr w14:val="tx1"/>
            </w14:solidFill>
          </w14:textFill>
        </w:rPr>
        <w:t>个</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批次</w:t>
      </w:r>
      <w:r>
        <w:rPr>
          <w:rFonts w:hint="eastAsia" w:ascii="仿宋_GB2312" w:hAnsi="仿宋_GB2312" w:eastAsia="仿宋_GB2312" w:cs="仿宋_GB2312"/>
          <w:color w:val="000000" w:themeColor="text1"/>
          <w:sz w:val="32"/>
          <w:szCs w:val="32"/>
          <w:lang w:eastAsia="zh-CN"/>
          <w14:textFill>
            <w14:solidFill>
              <w14:schemeClr w14:val="tx1"/>
            </w14:solidFill>
          </w14:textFill>
        </w:rPr>
        <w:t>进行发放，具体消费券发放和使用时间以活动公告细则为准。</w:t>
      </w:r>
    </w:p>
    <w:p w14:paraId="085DD1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黑体" w:hAnsi="黑体" w:eastAsia="黑体" w:cs="黑体"/>
          <w:b/>
          <w:bCs/>
          <w:sz w:val="32"/>
          <w:szCs w:val="32"/>
          <w:lang w:val="en-US" w:eastAsia="zh-CN"/>
        </w:rPr>
      </w:pPr>
      <w:r>
        <w:rPr>
          <w:rFonts w:hint="eastAsia" w:ascii="黑体" w:hAnsi="黑体" w:eastAsia="黑体" w:cs="黑体"/>
          <w:b w:val="0"/>
          <w:bCs w:val="0"/>
          <w:sz w:val="32"/>
          <w:szCs w:val="32"/>
          <w:lang w:val="en-US" w:eastAsia="zh-CN"/>
        </w:rPr>
        <w:t>三、</w:t>
      </w:r>
      <w:r>
        <w:rPr>
          <w:rFonts w:hint="eastAsia" w:ascii="黑体" w:hAnsi="黑体" w:eastAsia="黑体" w:cs="黑体"/>
          <w:b w:val="0"/>
          <w:bCs w:val="0"/>
          <w:sz w:val="32"/>
          <w:szCs w:val="32"/>
        </w:rPr>
        <w:t>消费券额度</w:t>
      </w:r>
      <w:r>
        <w:rPr>
          <w:rFonts w:hint="eastAsia" w:ascii="黑体" w:hAnsi="黑体" w:eastAsia="黑体" w:cs="黑体"/>
          <w:b w:val="0"/>
          <w:bCs w:val="0"/>
          <w:sz w:val="32"/>
          <w:szCs w:val="32"/>
          <w:lang w:eastAsia="zh-CN"/>
        </w:rPr>
        <w:t>、</w:t>
      </w:r>
      <w:r>
        <w:rPr>
          <w:rFonts w:hint="eastAsia" w:ascii="黑体" w:hAnsi="黑体" w:eastAsia="黑体" w:cs="黑体"/>
          <w:b w:val="0"/>
          <w:bCs w:val="0"/>
          <w:sz w:val="32"/>
          <w:szCs w:val="32"/>
        </w:rPr>
        <w:t>种类</w:t>
      </w:r>
      <w:r>
        <w:rPr>
          <w:rFonts w:hint="eastAsia" w:ascii="黑体" w:hAnsi="黑体" w:eastAsia="黑体" w:cs="黑体"/>
          <w:b w:val="0"/>
          <w:bCs w:val="0"/>
          <w:sz w:val="32"/>
          <w:szCs w:val="32"/>
          <w:lang w:val="en-US" w:eastAsia="zh-CN"/>
        </w:rPr>
        <w:t>及数量</w:t>
      </w:r>
    </w:p>
    <w:p w14:paraId="49F3B98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全县计</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划发放消费券300万元，原则上按照150万元、150万元额度分两批次发放；在实施期间，可根据消费券核销情况动态对发券种类和数量进行统一调配。</w:t>
      </w:r>
    </w:p>
    <w:p w14:paraId="5CEE1B0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sectPr>
          <w:footerReference r:id="rId5" w:type="default"/>
          <w:pgSz w:w="11906" w:h="16838"/>
          <w:pgMar w:top="2098" w:right="1531" w:bottom="1417" w:left="1531" w:header="851" w:footer="992" w:gutter="0"/>
          <w:pgNumType w:fmt="decimal" w:start="2"/>
          <w:cols w:space="720" w:num="1"/>
          <w:docGrid w:type="lines" w:linePitch="312" w:charSpace="0"/>
        </w:sectPr>
      </w:pPr>
    </w:p>
    <w:p w14:paraId="75C14D5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消费券</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种类</w:t>
      </w:r>
      <w:r>
        <w:rPr>
          <w:rFonts w:hint="eastAsia" w:ascii="仿宋_GB2312" w:hAnsi="仿宋_GB2312" w:eastAsia="仿宋_GB2312" w:cs="仿宋_GB2312"/>
          <w:color w:val="000000" w:themeColor="text1"/>
          <w:sz w:val="32"/>
          <w:szCs w:val="32"/>
          <w:lang w:eastAsia="zh-CN"/>
          <w14:textFill>
            <w14:solidFill>
              <w14:schemeClr w14:val="tx1"/>
            </w14:solidFill>
          </w14:textFill>
        </w:rPr>
        <w:t>分汽车补贴券、普惠型消费券</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两</w:t>
      </w:r>
      <w:r>
        <w:rPr>
          <w:rFonts w:hint="eastAsia" w:ascii="仿宋_GB2312" w:hAnsi="仿宋_GB2312" w:eastAsia="仿宋_GB2312" w:cs="仿宋_GB2312"/>
          <w:color w:val="000000" w:themeColor="text1"/>
          <w:sz w:val="32"/>
          <w:szCs w:val="32"/>
          <w:lang w:eastAsia="zh-CN"/>
          <w14:textFill>
            <w14:solidFill>
              <w14:schemeClr w14:val="tx1"/>
            </w14:solidFill>
          </w14:textFill>
        </w:rPr>
        <w:t>种。</w:t>
      </w:r>
    </w:p>
    <w:p w14:paraId="1E2987D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消费券</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每批次</w:t>
      </w:r>
      <w:r>
        <w:rPr>
          <w:rFonts w:hint="eastAsia" w:ascii="仿宋_GB2312" w:hAnsi="仿宋_GB2312" w:eastAsia="仿宋_GB2312" w:cs="仿宋_GB2312"/>
          <w:color w:val="000000" w:themeColor="text1"/>
          <w:sz w:val="32"/>
          <w:szCs w:val="32"/>
          <w:lang w:eastAsia="zh-CN"/>
          <w14:textFill>
            <w14:solidFill>
              <w14:schemeClr w14:val="tx1"/>
            </w14:solidFill>
          </w14:textFill>
        </w:rPr>
        <w:t>发放金额</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150</w:t>
      </w:r>
      <w:r>
        <w:rPr>
          <w:rFonts w:hint="eastAsia" w:ascii="仿宋_GB2312" w:hAnsi="仿宋_GB2312" w:eastAsia="仿宋_GB2312" w:cs="仿宋_GB2312"/>
          <w:color w:val="000000" w:themeColor="text1"/>
          <w:sz w:val="32"/>
          <w:szCs w:val="32"/>
          <w:lang w:eastAsia="zh-CN"/>
          <w14:textFill>
            <w14:solidFill>
              <w14:schemeClr w14:val="tx1"/>
            </w14:solidFill>
          </w14:textFill>
        </w:rPr>
        <w:t>万元，其中</w:t>
      </w:r>
      <w:r>
        <w:rPr>
          <w:rFonts w:hint="eastAsia" w:ascii="仿宋_GB2312" w:hAnsi="仿宋_GB2312" w:eastAsia="仿宋_GB2312" w:cs="仿宋_GB2312"/>
          <w:b/>
          <w:bCs/>
          <w:sz w:val="32"/>
          <w:szCs w:val="32"/>
        </w:rPr>
        <w:t>普惠型消费券1</w:t>
      </w:r>
      <w:r>
        <w:rPr>
          <w:rFonts w:hint="eastAsia" w:ascii="仿宋_GB2312" w:hAnsi="仿宋_GB2312" w:eastAsia="仿宋_GB2312" w:cs="仿宋_GB2312"/>
          <w:b/>
          <w:bCs/>
          <w:sz w:val="32"/>
          <w:szCs w:val="32"/>
          <w:lang w:val="en-US" w:eastAsia="zh-CN"/>
        </w:rPr>
        <w:t>00</w:t>
      </w:r>
      <w:r>
        <w:rPr>
          <w:rFonts w:hint="eastAsia" w:ascii="仿宋_GB2312" w:hAnsi="仿宋_GB2312" w:eastAsia="仿宋_GB2312" w:cs="仿宋_GB2312"/>
          <w:b/>
          <w:bCs/>
          <w:sz w:val="32"/>
          <w:szCs w:val="32"/>
        </w:rPr>
        <w:t>万元</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20元券5000张、40元券5000张</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60元券5000张、100元券4000张</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bCs/>
          <w:sz w:val="32"/>
          <w:szCs w:val="32"/>
          <w:lang w:eastAsia="zh-CN"/>
        </w:rPr>
        <w:t>汽车补贴券</w:t>
      </w:r>
      <w:r>
        <w:rPr>
          <w:rFonts w:hint="eastAsia" w:ascii="仿宋_GB2312" w:hAnsi="仿宋_GB2312" w:eastAsia="仿宋_GB2312" w:cs="仿宋_GB2312"/>
          <w:b/>
          <w:bCs/>
          <w:sz w:val="32"/>
          <w:szCs w:val="32"/>
          <w:lang w:val="en-US" w:eastAsia="zh-CN"/>
        </w:rPr>
        <w:t>50</w:t>
      </w:r>
      <w:r>
        <w:rPr>
          <w:rFonts w:hint="eastAsia" w:ascii="仿宋_GB2312" w:hAnsi="仿宋_GB2312" w:eastAsia="仿宋_GB2312" w:cs="仿宋_GB2312"/>
          <w:b/>
          <w:bCs/>
          <w:sz w:val="32"/>
          <w:szCs w:val="32"/>
          <w:lang w:eastAsia="zh-CN"/>
        </w:rPr>
        <w:t>万元</w:t>
      </w:r>
      <w:r>
        <w:rPr>
          <w:rFonts w:hint="eastAsia" w:ascii="仿宋_GB2312" w:hAnsi="仿宋_GB2312" w:eastAsia="仿宋_GB2312" w:cs="仿宋_GB2312"/>
          <w:color w:val="000000" w:themeColor="text1"/>
          <w:sz w:val="32"/>
          <w:szCs w:val="32"/>
          <w:lang w:eastAsia="zh-CN"/>
          <w14:textFill>
            <w14:solidFill>
              <w14:schemeClr w14:val="tx1"/>
            </w14:solidFill>
          </w14:textFill>
        </w:rPr>
        <w:t>（分为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：1000元燃油车补贴券、1500元新能源汽车补贴券、2000元燃油车补贴券、2500元新能源汽车补贴券、3000元燃油车</w:t>
      </w:r>
      <w:r>
        <w:rPr>
          <w:rFonts w:hint="eastAsia" w:ascii="仿宋_GB2312" w:hAnsi="仿宋_GB2312" w:eastAsia="仿宋_GB2312" w:cs="仿宋_GB2312"/>
          <w:color w:val="000000" w:themeColor="text1"/>
          <w:sz w:val="32"/>
          <w:szCs w:val="32"/>
          <w:lang w:eastAsia="zh-CN"/>
          <w14:textFill>
            <w14:solidFill>
              <w14:schemeClr w14:val="tx1"/>
            </w14:solidFill>
          </w14:textFill>
        </w:rPr>
        <w:t>补贴券、</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3500元新能源汽车补贴券、</w:t>
      </w:r>
      <w:r>
        <w:rPr>
          <w:rFonts w:hint="eastAsia" w:ascii="仿宋_GB2312" w:hAnsi="仿宋_GB2312" w:eastAsia="仿宋_GB2312" w:cs="仿宋_GB2312"/>
          <w:color w:val="000000" w:themeColor="text1"/>
          <w:sz w:val="32"/>
          <w:szCs w:val="32"/>
          <w:lang w:eastAsia="zh-CN"/>
          <w14:textFill>
            <w14:solidFill>
              <w14:schemeClr w14:val="tx1"/>
            </w14:solidFill>
          </w14:textFill>
        </w:rPr>
        <w:t>4</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0</w:t>
      </w:r>
      <w:r>
        <w:rPr>
          <w:rFonts w:hint="eastAsia" w:ascii="仿宋_GB2312" w:hAnsi="仿宋_GB2312" w:eastAsia="仿宋_GB2312" w:cs="仿宋_GB2312"/>
          <w:color w:val="000000" w:themeColor="text1"/>
          <w:sz w:val="32"/>
          <w:szCs w:val="32"/>
          <w:lang w:eastAsia="zh-CN"/>
          <w14:textFill>
            <w14:solidFill>
              <w14:schemeClr w14:val="tx1"/>
            </w14:solidFill>
          </w14:textFill>
        </w:rPr>
        <w:t>00元</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燃油车</w:t>
      </w:r>
      <w:r>
        <w:rPr>
          <w:rFonts w:hint="eastAsia" w:ascii="仿宋_GB2312" w:hAnsi="仿宋_GB2312" w:eastAsia="仿宋_GB2312" w:cs="仿宋_GB2312"/>
          <w:color w:val="000000" w:themeColor="text1"/>
          <w:sz w:val="32"/>
          <w:szCs w:val="32"/>
          <w:lang w:eastAsia="zh-CN"/>
          <w14:textFill>
            <w14:solidFill>
              <w14:schemeClr w14:val="tx1"/>
            </w14:solidFill>
          </w14:textFill>
        </w:rPr>
        <w:t>补贴券、</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4500元新能源汽车补贴券</w:t>
      </w:r>
      <w:r>
        <w:rPr>
          <w:rFonts w:hint="eastAsia" w:ascii="仿宋_GB2312" w:hAnsi="仿宋_GB2312" w:eastAsia="仿宋_GB2312" w:cs="仿宋_GB2312"/>
          <w:color w:val="000000" w:themeColor="text1"/>
          <w:sz w:val="32"/>
          <w:szCs w:val="32"/>
          <w:lang w:eastAsia="zh-CN"/>
          <w14:textFill>
            <w14:solidFill>
              <w14:schemeClr w14:val="tx1"/>
            </w14:solidFill>
          </w14:textFill>
        </w:rPr>
        <w:t>，数量不限，额度用完即止)。</w:t>
      </w:r>
    </w:p>
    <w:p w14:paraId="6586638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四、发放对象</w:t>
      </w:r>
    </w:p>
    <w:p w14:paraId="1D16A2D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青阳县域内全体消费者</w:t>
      </w:r>
    </w:p>
    <w:p w14:paraId="7E92D47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五、发放形式</w:t>
      </w:r>
    </w:p>
    <w:p w14:paraId="69F7A26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汽车补贴券采取到店实际购买核销模式发放，普惠型消费券采取“线上发券、线下消费”模式发放。</w:t>
      </w:r>
    </w:p>
    <w:p w14:paraId="3F94BEB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六、消费券使用规则</w:t>
      </w:r>
    </w:p>
    <w:p w14:paraId="09FAC5D0">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一</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普惠型消费券</w:t>
      </w:r>
    </w:p>
    <w:p w14:paraId="7F6AA1E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普惠型消费券分为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20元、4</w:t>
      </w:r>
      <w:r>
        <w:rPr>
          <w:rFonts w:hint="eastAsia" w:ascii="仿宋_GB2312" w:hAnsi="仿宋_GB2312" w:eastAsia="仿宋_GB2312" w:cs="仿宋_GB2312"/>
          <w:color w:val="000000" w:themeColor="text1"/>
          <w:sz w:val="32"/>
          <w:szCs w:val="32"/>
          <w:lang w:eastAsia="zh-CN"/>
          <w14:textFill>
            <w14:solidFill>
              <w14:schemeClr w14:val="tx1"/>
            </w14:solidFill>
          </w14:textFill>
        </w:rPr>
        <w:t>0元、</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60元、</w:t>
      </w:r>
      <w:r>
        <w:rPr>
          <w:rFonts w:hint="eastAsia" w:ascii="仿宋_GB2312" w:hAnsi="仿宋_GB2312" w:eastAsia="仿宋_GB2312" w:cs="仿宋_GB2312"/>
          <w:color w:val="000000" w:themeColor="text1"/>
          <w:sz w:val="32"/>
          <w:szCs w:val="32"/>
          <w:lang w:eastAsia="zh-CN"/>
          <w14:textFill>
            <w14:solidFill>
              <w14:schemeClr w14:val="tx1"/>
            </w14:solidFill>
          </w14:textFill>
        </w:rPr>
        <w:t>100元</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四</w:t>
      </w:r>
      <w:r>
        <w:rPr>
          <w:rFonts w:hint="eastAsia" w:ascii="仿宋_GB2312" w:hAnsi="仿宋_GB2312" w:eastAsia="仿宋_GB2312" w:cs="仿宋_GB2312"/>
          <w:color w:val="000000" w:themeColor="text1"/>
          <w:sz w:val="32"/>
          <w:szCs w:val="32"/>
          <w:lang w:eastAsia="zh-CN"/>
          <w14:textFill>
            <w14:solidFill>
              <w14:schemeClr w14:val="tx1"/>
            </w14:solidFill>
          </w14:textFill>
        </w:rPr>
        <w:t>种面额，单笔消费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100</w:t>
      </w:r>
      <w:r>
        <w:rPr>
          <w:rFonts w:hint="eastAsia" w:ascii="仿宋_GB2312" w:hAnsi="仿宋_GB2312" w:eastAsia="仿宋_GB2312" w:cs="仿宋_GB2312"/>
          <w:color w:val="000000" w:themeColor="text1"/>
          <w:sz w:val="32"/>
          <w:szCs w:val="32"/>
          <w:lang w:eastAsia="zh-CN"/>
          <w14:textFill>
            <w14:solidFill>
              <w14:schemeClr w14:val="tx1"/>
            </w14:solidFill>
          </w14:textFill>
        </w:rPr>
        <w:t>元以上(含</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100</w:t>
      </w:r>
      <w:r>
        <w:rPr>
          <w:rFonts w:hint="eastAsia" w:ascii="仿宋_GB2312" w:hAnsi="仿宋_GB2312" w:eastAsia="仿宋_GB2312" w:cs="仿宋_GB2312"/>
          <w:color w:val="000000" w:themeColor="text1"/>
          <w:sz w:val="32"/>
          <w:szCs w:val="32"/>
          <w:lang w:eastAsia="zh-CN"/>
          <w14:textFill>
            <w14:solidFill>
              <w14:schemeClr w14:val="tx1"/>
            </w14:solidFill>
          </w14:textFill>
        </w:rPr>
        <w:t>元)，一次性可使用</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lang w:eastAsia="zh-CN"/>
          <w14:textFill>
            <w14:solidFill>
              <w14:schemeClr w14:val="tx1"/>
            </w14:solidFill>
          </w14:textFill>
        </w:rPr>
        <w:t>0元消费券。单笔消费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lang w:eastAsia="zh-CN"/>
          <w14:textFill>
            <w14:solidFill>
              <w14:schemeClr w14:val="tx1"/>
            </w14:solidFill>
          </w14:textFill>
        </w:rPr>
        <w:t>00元以上(含</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lang w:eastAsia="zh-CN"/>
          <w14:textFill>
            <w14:solidFill>
              <w14:schemeClr w14:val="tx1"/>
            </w14:solidFill>
          </w14:textFill>
        </w:rPr>
        <w:t>00元)，一次性可使用</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40元</w:t>
      </w:r>
      <w:r>
        <w:rPr>
          <w:rFonts w:hint="eastAsia" w:ascii="仿宋_GB2312" w:hAnsi="仿宋_GB2312" w:eastAsia="仿宋_GB2312" w:cs="仿宋_GB2312"/>
          <w:color w:val="000000" w:themeColor="text1"/>
          <w:sz w:val="32"/>
          <w:szCs w:val="32"/>
          <w:lang w:eastAsia="zh-CN"/>
          <w14:textFill>
            <w14:solidFill>
              <w14:schemeClr w14:val="tx1"/>
            </w14:solidFill>
          </w14:textFill>
        </w:rPr>
        <w:t>消费券;单笔消费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lang w:eastAsia="zh-CN"/>
          <w14:textFill>
            <w14:solidFill>
              <w14:schemeClr w14:val="tx1"/>
            </w14:solidFill>
          </w14:textFill>
        </w:rPr>
        <w:t>00元以上(含</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lang w:eastAsia="zh-CN"/>
          <w14:textFill>
            <w14:solidFill>
              <w14:schemeClr w14:val="tx1"/>
            </w14:solidFill>
          </w14:textFill>
        </w:rPr>
        <w:t>00元)，一次性可使用</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60元</w:t>
      </w:r>
      <w:r>
        <w:rPr>
          <w:rFonts w:hint="eastAsia" w:ascii="仿宋_GB2312" w:hAnsi="仿宋_GB2312" w:eastAsia="仿宋_GB2312" w:cs="仿宋_GB2312"/>
          <w:color w:val="000000" w:themeColor="text1"/>
          <w:sz w:val="32"/>
          <w:szCs w:val="32"/>
          <w:lang w:eastAsia="zh-CN"/>
          <w14:textFill>
            <w14:solidFill>
              <w14:schemeClr w14:val="tx1"/>
            </w14:solidFill>
          </w14:textFill>
        </w:rPr>
        <w:t>消费券；单笔消费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lang w:eastAsia="zh-CN"/>
          <w14:textFill>
            <w14:solidFill>
              <w14:schemeClr w14:val="tx1"/>
            </w14:solidFill>
          </w14:textFill>
        </w:rPr>
        <w:t>00元以上(含</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lang w:eastAsia="zh-CN"/>
          <w14:textFill>
            <w14:solidFill>
              <w14:schemeClr w14:val="tx1"/>
            </w14:solidFill>
          </w14:textFill>
        </w:rPr>
        <w:t>00元)，一次性可使用</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10</w:t>
      </w:r>
      <w:r>
        <w:rPr>
          <w:rFonts w:hint="eastAsia" w:ascii="仿宋_GB2312" w:hAnsi="仿宋_GB2312" w:eastAsia="仿宋_GB2312" w:cs="仿宋_GB2312"/>
          <w:color w:val="000000" w:themeColor="text1"/>
          <w:sz w:val="32"/>
          <w:szCs w:val="32"/>
          <w:lang w:eastAsia="zh-CN"/>
          <w14:textFill>
            <w14:solidFill>
              <w14:schemeClr w14:val="tx1"/>
            </w14:solidFill>
          </w14:textFill>
        </w:rPr>
        <w:t>0元消费券。</w:t>
      </w:r>
    </w:p>
    <w:p w14:paraId="7E652F72">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lang w:eastAsia="zh-CN"/>
        </w:rPr>
        <w:t>）汽车补贴券</w:t>
      </w:r>
    </w:p>
    <w:p w14:paraId="32D2A4F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按照新购车类型及车价（以机动车销售发票价格为准）分档予以补贴。</w:t>
      </w:r>
    </w:p>
    <w:p w14:paraId="7565DCD3">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lang w:eastAsia="zh-CN"/>
        </w:rPr>
        <w:t>燃油车：</w:t>
      </w:r>
      <w:r>
        <w:rPr>
          <w:rFonts w:hint="eastAsia" w:ascii="仿宋_GB2312" w:hAnsi="仿宋_GB2312" w:eastAsia="仿宋_GB2312" w:cs="仿宋_GB2312"/>
          <w:color w:val="000000" w:themeColor="text1"/>
          <w:sz w:val="32"/>
          <w:szCs w:val="32"/>
          <w:lang w:eastAsia="zh-CN"/>
          <w14:textFill>
            <w14:solidFill>
              <w14:schemeClr w14:val="tx1"/>
            </w14:solidFill>
          </w14:textFill>
        </w:rPr>
        <w:t>车价</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3万元（含3万元）—</w:t>
      </w:r>
      <w:r>
        <w:rPr>
          <w:rFonts w:hint="eastAsia" w:ascii="仿宋_GB2312" w:hAnsi="仿宋_GB2312" w:eastAsia="仿宋_GB2312" w:cs="仿宋_GB2312"/>
          <w:color w:val="000000" w:themeColor="text1"/>
          <w:sz w:val="32"/>
          <w:szCs w:val="32"/>
          <w:lang w:eastAsia="zh-CN"/>
          <w14:textFill>
            <w14:solidFill>
              <w14:schemeClr w14:val="tx1"/>
            </w14:solidFill>
          </w14:textFill>
        </w:rPr>
        <w:t>5万元，补贴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10</w:t>
      </w:r>
      <w:r>
        <w:rPr>
          <w:rFonts w:hint="eastAsia" w:ascii="仿宋_GB2312" w:hAnsi="仿宋_GB2312" w:eastAsia="仿宋_GB2312" w:cs="仿宋_GB2312"/>
          <w:color w:val="000000" w:themeColor="text1"/>
          <w:sz w:val="32"/>
          <w:szCs w:val="32"/>
          <w:lang w:eastAsia="zh-CN"/>
          <w14:textFill>
            <w14:solidFill>
              <w14:schemeClr w14:val="tx1"/>
            </w14:solidFill>
          </w14:textFill>
        </w:rPr>
        <w:t>00元/辆；5万元（含5万元）—10万元，补贴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2000</w:t>
      </w:r>
      <w:r>
        <w:rPr>
          <w:rFonts w:hint="eastAsia" w:ascii="仿宋_GB2312" w:hAnsi="仿宋_GB2312" w:eastAsia="仿宋_GB2312" w:cs="仿宋_GB2312"/>
          <w:color w:val="000000" w:themeColor="text1"/>
          <w:sz w:val="32"/>
          <w:szCs w:val="32"/>
          <w:lang w:eastAsia="zh-CN"/>
          <w14:textFill>
            <w14:solidFill>
              <w14:schemeClr w14:val="tx1"/>
            </w14:solidFill>
          </w14:textFill>
        </w:rPr>
        <w:t>元/辆；10万元（含10万元）—20万元，补贴3</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0</w:t>
      </w:r>
      <w:r>
        <w:rPr>
          <w:rFonts w:hint="eastAsia" w:ascii="仿宋_GB2312" w:hAnsi="仿宋_GB2312" w:eastAsia="仿宋_GB2312" w:cs="仿宋_GB2312"/>
          <w:color w:val="000000" w:themeColor="text1"/>
          <w:sz w:val="32"/>
          <w:szCs w:val="32"/>
          <w:lang w:eastAsia="zh-CN"/>
          <w14:textFill>
            <w14:solidFill>
              <w14:schemeClr w14:val="tx1"/>
            </w14:solidFill>
          </w14:textFill>
        </w:rPr>
        <w:t>00元/辆；20万元以上（含20万元），补贴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40</w:t>
      </w:r>
      <w:r>
        <w:rPr>
          <w:rFonts w:hint="eastAsia" w:ascii="仿宋_GB2312" w:hAnsi="仿宋_GB2312" w:eastAsia="仿宋_GB2312" w:cs="仿宋_GB2312"/>
          <w:color w:val="000000" w:themeColor="text1"/>
          <w:sz w:val="32"/>
          <w:szCs w:val="32"/>
          <w:lang w:eastAsia="zh-CN"/>
          <w14:textFill>
            <w14:solidFill>
              <w14:schemeClr w14:val="tx1"/>
            </w14:solidFill>
          </w14:textFill>
        </w:rPr>
        <w:t>00元/辆。</w:t>
      </w:r>
    </w:p>
    <w:p w14:paraId="145A23FC">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lang w:eastAsia="zh-CN"/>
        </w:rPr>
        <w:t>新能源车：</w:t>
      </w:r>
      <w:r>
        <w:rPr>
          <w:rFonts w:hint="eastAsia" w:ascii="仿宋_GB2312" w:hAnsi="仿宋_GB2312" w:eastAsia="仿宋_GB2312" w:cs="仿宋_GB2312"/>
          <w:color w:val="000000" w:themeColor="text1"/>
          <w:sz w:val="32"/>
          <w:szCs w:val="32"/>
          <w:lang w:eastAsia="zh-CN"/>
          <w14:textFill>
            <w14:solidFill>
              <w14:schemeClr w14:val="tx1"/>
            </w14:solidFill>
          </w14:textFill>
        </w:rPr>
        <w:t>车价</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3万元（含3万元）—</w:t>
      </w:r>
      <w:r>
        <w:rPr>
          <w:rFonts w:hint="eastAsia" w:ascii="仿宋_GB2312" w:hAnsi="仿宋_GB2312" w:eastAsia="仿宋_GB2312" w:cs="仿宋_GB2312"/>
          <w:color w:val="000000" w:themeColor="text1"/>
          <w:sz w:val="32"/>
          <w:szCs w:val="32"/>
          <w:lang w:eastAsia="zh-CN"/>
          <w14:textFill>
            <w14:solidFill>
              <w14:schemeClr w14:val="tx1"/>
            </w14:solidFill>
          </w14:textFill>
        </w:rPr>
        <w:t>5万元，补贴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lang w:eastAsia="zh-CN"/>
          <w14:textFill>
            <w14:solidFill>
              <w14:schemeClr w14:val="tx1"/>
            </w14:solidFill>
          </w14:textFill>
        </w:rPr>
        <w:t>500元/辆；5万元（含5万元）—10万元，补贴2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lang w:eastAsia="zh-CN"/>
          <w14:textFill>
            <w14:solidFill>
              <w14:schemeClr w14:val="tx1"/>
            </w14:solidFill>
          </w14:textFill>
        </w:rPr>
        <w:t>00元/辆；10万元（含10万元）—20万元，补贴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3500</w:t>
      </w:r>
      <w:r>
        <w:rPr>
          <w:rFonts w:hint="eastAsia" w:ascii="仿宋_GB2312" w:hAnsi="仿宋_GB2312" w:eastAsia="仿宋_GB2312" w:cs="仿宋_GB2312"/>
          <w:color w:val="000000" w:themeColor="text1"/>
          <w:sz w:val="32"/>
          <w:szCs w:val="32"/>
          <w:lang w:eastAsia="zh-CN"/>
          <w14:textFill>
            <w14:solidFill>
              <w14:schemeClr w14:val="tx1"/>
            </w14:solidFill>
          </w14:textFill>
        </w:rPr>
        <w:t>元/辆；20万元以上（含20万元），补贴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4500</w:t>
      </w:r>
      <w:r>
        <w:rPr>
          <w:rFonts w:hint="eastAsia" w:ascii="仿宋_GB2312" w:hAnsi="仿宋_GB2312" w:eastAsia="仿宋_GB2312" w:cs="仿宋_GB2312"/>
          <w:color w:val="000000" w:themeColor="text1"/>
          <w:sz w:val="32"/>
          <w:szCs w:val="32"/>
          <w:lang w:eastAsia="zh-CN"/>
          <w14:textFill>
            <w14:solidFill>
              <w14:schemeClr w14:val="tx1"/>
            </w14:solidFill>
          </w14:textFill>
        </w:rPr>
        <w:t>元/辆。</w:t>
      </w:r>
    </w:p>
    <w:p w14:paraId="5792D91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消费者在参与活动的汽车销售企业购置新乘用车，除享受商家自主折扣让利以外,</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汽车补贴券</w:t>
      </w:r>
      <w:r>
        <w:rPr>
          <w:rFonts w:hint="eastAsia" w:ascii="仿宋_GB2312" w:hAnsi="仿宋_GB2312" w:eastAsia="仿宋_GB2312" w:cs="仿宋_GB2312"/>
          <w:color w:val="000000" w:themeColor="text1"/>
          <w:sz w:val="32"/>
          <w:szCs w:val="32"/>
          <w:lang w:eastAsia="zh-CN"/>
          <w14:textFill>
            <w14:solidFill>
              <w14:schemeClr w14:val="tx1"/>
            </w14:solidFill>
          </w14:textFill>
        </w:rPr>
        <w:t>可</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与汽车以旧换新政策叠加使用</w:t>
      </w:r>
      <w:r>
        <w:rPr>
          <w:rFonts w:hint="eastAsia" w:ascii="仿宋_GB2312" w:hAnsi="仿宋_GB2312" w:eastAsia="仿宋_GB2312" w:cs="仿宋_GB2312"/>
          <w:color w:val="000000" w:themeColor="text1"/>
          <w:sz w:val="32"/>
          <w:szCs w:val="32"/>
          <w:lang w:eastAsia="zh-CN"/>
          <w14:textFill>
            <w14:solidFill>
              <w14:schemeClr w14:val="tx1"/>
            </w14:solidFill>
          </w14:textFill>
        </w:rPr>
        <w:t>。每位补贴对象限享受1次，先购先报先补，额度用完为止。</w:t>
      </w:r>
    </w:p>
    <w:p w14:paraId="596F084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七、发放平台遴选</w:t>
      </w:r>
    </w:p>
    <w:p w14:paraId="1678E8C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县商务</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局</w:t>
      </w:r>
      <w:r>
        <w:rPr>
          <w:rFonts w:hint="eastAsia" w:ascii="仿宋_GB2312" w:hAnsi="仿宋_GB2312" w:eastAsia="仿宋_GB2312" w:cs="仿宋_GB2312"/>
          <w:color w:val="000000" w:themeColor="text1"/>
          <w:sz w:val="32"/>
          <w:szCs w:val="32"/>
          <w:lang w:eastAsia="zh-CN"/>
          <w14:textFill>
            <w14:solidFill>
              <w14:schemeClr w14:val="tx1"/>
            </w14:solidFill>
          </w14:textFill>
        </w:rPr>
        <w:t>牵头，通过公开召集、志愿报名的方式，按配比资金高、发券和核销便捷，择优选择发放平台，签订消费券发放合作协议，作为消费券发放承办单位。</w:t>
      </w:r>
    </w:p>
    <w:p w14:paraId="362DE6C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八、参与商户征集：</w:t>
      </w:r>
    </w:p>
    <w:p w14:paraId="7021546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1.参与商户条件：本次消费券发放拟征集参与商户不超过100户，凡</w:t>
      </w:r>
      <w:r>
        <w:rPr>
          <w:rFonts w:hint="eastAsia" w:ascii="仿宋_GB2312" w:hAnsi="仿宋_GB2312" w:eastAsia="仿宋_GB2312" w:cs="仿宋_GB2312"/>
          <w:color w:val="000000" w:themeColor="text1"/>
          <w:sz w:val="32"/>
          <w:szCs w:val="32"/>
          <w:lang w:eastAsia="zh-CN"/>
          <w14:textFill>
            <w14:solidFill>
              <w14:schemeClr w14:val="tx1"/>
            </w14:solidFill>
          </w14:textFill>
        </w:rPr>
        <w:t>在青阳县范围内</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依法经营，具有健全的财务制度、诚信经营、无不良信用记录</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符合发放平台上架审核要求，并服从消费券发放管理和相关要求的商户。</w:t>
      </w:r>
    </w:p>
    <w:p w14:paraId="4A62A23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征集方式：按照“公平、公正、公开”的原则，各乡镇（开发区）负责本辖区符合条件的商户初审推荐，商户按照自愿的原则，在规定的时间内向辖区所在地政府进行报名，提交相关资料，包括商户营业执照、法人身份证、门店信息、联系方式、签订承诺书等自主</w:t>
      </w:r>
      <w:r>
        <w:rPr>
          <w:rFonts w:hint="eastAsia" w:ascii="仿宋_GB2312" w:hAnsi="仿宋_GB2312" w:eastAsia="仿宋_GB2312" w:cs="仿宋_GB2312"/>
          <w:color w:val="000000" w:themeColor="text1"/>
          <w:sz w:val="32"/>
          <w:szCs w:val="32"/>
          <w:lang w:eastAsia="zh-CN"/>
          <w14:textFill>
            <w14:solidFill>
              <w14:schemeClr w14:val="tx1"/>
            </w14:solidFill>
          </w14:textFill>
        </w:rPr>
        <w:t>申报。</w:t>
      </w:r>
    </w:p>
    <w:p w14:paraId="237EC21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3.审核与公布：县商务局会同相关部门和发放平台对乡镇开发区初审推荐的商户进行复审，审核通过的商家名单将通过政府官网、发放平台等渠道公布。</w:t>
      </w:r>
    </w:p>
    <w:p w14:paraId="5385BCA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 xml:space="preserve">九、申报核销流程 </w:t>
      </w:r>
    </w:p>
    <w:p w14:paraId="62A466F7">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楷体_GB2312" w:hAnsi="楷体_GB2312" w:eastAsia="楷体_GB2312" w:cs="楷体_GB2312"/>
          <w:b/>
          <w:bCs/>
          <w:sz w:val="32"/>
          <w:szCs w:val="32"/>
          <w:lang w:val="en-US" w:eastAsia="zh-CN"/>
        </w:rPr>
        <w:t>（一）普惠型消费券：</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消费者必须到平台审核通过的商户经营场所进行消费，并达到满减条件可以使用一张普惠型消费券，不可提现,不可转赠、转让他人，可与商家优惠叠加使用。</w:t>
      </w:r>
    </w:p>
    <w:p w14:paraId="0D3DB57F">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楷体_GB2312" w:hAnsi="楷体_GB2312" w:eastAsia="楷体_GB2312" w:cs="楷体_GB2312"/>
          <w:b/>
          <w:bCs/>
          <w:sz w:val="32"/>
          <w:szCs w:val="32"/>
          <w:lang w:val="en-US" w:eastAsia="zh-CN"/>
        </w:rPr>
        <w:t>（二）汽车消费券：</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消费者核销汽车消费券时需向所在</w:t>
      </w:r>
      <w:r>
        <w:rPr>
          <w:rFonts w:hint="eastAsia" w:ascii="仿宋_GB2312" w:hAnsi="仿宋_GB2312" w:eastAsia="仿宋_GB2312" w:cs="仿宋_GB2312"/>
          <w:color w:val="000000" w:themeColor="text1"/>
          <w:sz w:val="32"/>
          <w:szCs w:val="32"/>
          <w:lang w:eastAsia="zh-CN"/>
          <w14:textFill>
            <w14:solidFill>
              <w14:schemeClr w14:val="tx1"/>
            </w14:solidFill>
          </w14:textFill>
        </w:rPr>
        <w:t>购车企业提供车辆购置协议、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销售</w:t>
      </w:r>
      <w:r>
        <w:rPr>
          <w:rFonts w:hint="eastAsia" w:ascii="仿宋_GB2312" w:hAnsi="仿宋_GB2312" w:eastAsia="仿宋_GB2312" w:cs="仿宋_GB2312"/>
          <w:color w:val="000000" w:themeColor="text1"/>
          <w:sz w:val="32"/>
          <w:szCs w:val="32"/>
          <w:lang w:eastAsia="zh-CN"/>
          <w14:textFill>
            <w14:solidFill>
              <w14:schemeClr w14:val="tx1"/>
            </w14:solidFill>
          </w14:textFill>
        </w:rPr>
        <w:t>发票、完税证明（新能源车提供免税证明）以及身份证等有效核销证明。</w:t>
      </w:r>
    </w:p>
    <w:p w14:paraId="724C516F">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楷体_GB2312" w:hAnsi="楷体_GB2312" w:eastAsia="楷体_GB2312" w:cs="楷体_GB2312"/>
          <w:b/>
          <w:bCs/>
          <w:sz w:val="32"/>
          <w:szCs w:val="32"/>
          <w:lang w:val="en-US" w:eastAsia="zh-CN"/>
        </w:rPr>
        <w:t>（三）资金核销：</w:t>
      </w:r>
      <w:r>
        <w:rPr>
          <w:rFonts w:hint="eastAsia" w:ascii="仿宋_GB2312" w:hAnsi="仿宋_GB2312" w:eastAsia="仿宋_GB2312" w:cs="仿宋_GB2312"/>
          <w:color w:val="000000" w:themeColor="text1"/>
          <w:sz w:val="32"/>
          <w:szCs w:val="32"/>
          <w:lang w:eastAsia="zh-CN"/>
          <w14:textFill>
            <w14:solidFill>
              <w14:schemeClr w14:val="tx1"/>
            </w14:solidFill>
          </w14:textFill>
        </w:rPr>
        <w:t>消费券发放活动结束</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后，</w:t>
      </w:r>
      <w:r>
        <w:rPr>
          <w:rFonts w:hint="eastAsia" w:ascii="仿宋_GB2312" w:hAnsi="仿宋_GB2312" w:eastAsia="仿宋_GB2312" w:cs="仿宋_GB2312"/>
          <w:color w:val="000000" w:themeColor="text1"/>
          <w:sz w:val="32"/>
          <w:szCs w:val="32"/>
          <w:lang w:eastAsia="zh-CN"/>
          <w14:textFill>
            <w14:solidFill>
              <w14:schemeClr w14:val="tx1"/>
            </w14:solidFill>
          </w14:textFill>
        </w:rPr>
        <w:t>经第三方审计，由县财政局、县</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商务局根据审计结果，</w:t>
      </w:r>
      <w:r>
        <w:rPr>
          <w:rFonts w:hint="eastAsia" w:ascii="仿宋_GB2312" w:hAnsi="仿宋_GB2312" w:eastAsia="仿宋_GB2312" w:cs="仿宋_GB2312"/>
          <w:color w:val="000000" w:themeColor="text1"/>
          <w:sz w:val="32"/>
          <w:szCs w:val="32"/>
          <w:lang w:eastAsia="zh-CN"/>
          <w14:textFill>
            <w14:solidFill>
              <w14:schemeClr w14:val="tx1"/>
            </w14:solidFill>
          </w14:textFill>
        </w:rPr>
        <w:t>完成消费券的资金拨付。</w:t>
      </w:r>
    </w:p>
    <w:p w14:paraId="55AD683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十、任务分工</w:t>
      </w:r>
    </w:p>
    <w:p w14:paraId="2897066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1.县委宣传部（网信办）、</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融媒体中心</w:t>
      </w:r>
      <w:r>
        <w:rPr>
          <w:rFonts w:hint="eastAsia" w:ascii="仿宋_GB2312" w:hAnsi="仿宋_GB2312" w:eastAsia="仿宋_GB2312" w:cs="仿宋_GB2312"/>
          <w:color w:val="000000" w:themeColor="text1"/>
          <w:sz w:val="32"/>
          <w:szCs w:val="32"/>
          <w:lang w:eastAsia="zh-CN"/>
          <w14:textFill>
            <w14:solidFill>
              <w14:schemeClr w14:val="tx1"/>
            </w14:solidFill>
          </w14:textFill>
        </w:rPr>
        <w:t>:组织开展消费券发放活动宣传，做好舆情监测和舆论引导工作。</w:t>
      </w:r>
    </w:p>
    <w:p w14:paraId="5697618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2.县商务局:负责制定消费券发放实施方案，组织开展消费券发放情况检查和效果评估，协助申报省级奖补资金，负责办理消费券发放工作领导小组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办公室</w:t>
      </w:r>
      <w:r>
        <w:rPr>
          <w:rFonts w:hint="eastAsia" w:ascii="仿宋_GB2312" w:hAnsi="仿宋_GB2312" w:eastAsia="仿宋_GB2312" w:cs="仿宋_GB2312"/>
          <w:color w:val="000000" w:themeColor="text1"/>
          <w:sz w:val="32"/>
          <w:szCs w:val="32"/>
          <w:lang w:eastAsia="zh-CN"/>
          <w14:textFill>
            <w14:solidFill>
              <w14:schemeClr w14:val="tx1"/>
            </w14:solidFill>
          </w14:textFill>
        </w:rPr>
        <w:t>日常工作。</w:t>
      </w:r>
    </w:p>
    <w:p w14:paraId="2275282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3.县财政局：负责消费券发放专项资金拨付，协助开展消费券发放情况检查和效果评估，配合申报省级奖补资金。</w:t>
      </w:r>
    </w:p>
    <w:p w14:paraId="2FF7997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4.县发改委：负责本次活动居民生活消费品零售价格进行监测，对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参与商户的信用行为进行监管</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14:paraId="70FCA05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lang w:eastAsia="zh-CN"/>
          <w14:textFill>
            <w14:solidFill>
              <w14:schemeClr w14:val="tx1"/>
            </w14:solidFill>
          </w14:textFill>
        </w:rPr>
        <w:t>县审计局:负责组织第三方审计机构做好消费券发放、核销专项审计工作。</w:t>
      </w:r>
    </w:p>
    <w:p w14:paraId="6FB74D8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lang w:eastAsia="zh-CN"/>
          <w14:textFill>
            <w14:solidFill>
              <w14:schemeClr w14:val="tx1"/>
            </w14:solidFill>
          </w14:textFill>
        </w:rPr>
        <w:t>.县市场监管局：负责对发放平台和参与商户开展监督检查， 查处产品质量不合格、虚假宣传、虚构原价、通过刷单虚假交易等违法违规行为，维护消费券使用秩序。</w:t>
      </w:r>
    </w:p>
    <w:p w14:paraId="7D2F266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7</w:t>
      </w:r>
      <w:r>
        <w:rPr>
          <w:rFonts w:hint="eastAsia" w:ascii="仿宋_GB2312" w:hAnsi="仿宋_GB2312" w:eastAsia="仿宋_GB2312" w:cs="仿宋_GB2312"/>
          <w:color w:val="000000" w:themeColor="text1"/>
          <w:sz w:val="32"/>
          <w:szCs w:val="32"/>
          <w:lang w:eastAsia="zh-CN"/>
          <w14:textFill>
            <w14:solidFill>
              <w14:schemeClr w14:val="tx1"/>
            </w14:solidFill>
          </w14:textFill>
        </w:rPr>
        <w:t>.县统计局：负责提供限上零售、住宿、餐饮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单位</w:t>
      </w:r>
      <w:r>
        <w:rPr>
          <w:rFonts w:hint="eastAsia" w:ascii="仿宋_GB2312" w:hAnsi="仿宋_GB2312" w:eastAsia="仿宋_GB2312" w:cs="仿宋_GB2312"/>
          <w:color w:val="000000" w:themeColor="text1"/>
          <w:sz w:val="32"/>
          <w:szCs w:val="32"/>
          <w:lang w:eastAsia="zh-CN"/>
          <w14:textFill>
            <w14:solidFill>
              <w14:schemeClr w14:val="tx1"/>
            </w14:solidFill>
          </w14:textFill>
        </w:rPr>
        <w:t>名单，对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消费券发放</w:t>
      </w:r>
      <w:r>
        <w:rPr>
          <w:rFonts w:hint="eastAsia" w:ascii="仿宋_GB2312" w:hAnsi="仿宋_GB2312" w:eastAsia="仿宋_GB2312" w:cs="仿宋_GB2312"/>
          <w:color w:val="000000" w:themeColor="text1"/>
          <w:sz w:val="32"/>
          <w:szCs w:val="32"/>
          <w:lang w:eastAsia="zh-CN"/>
          <w14:textFill>
            <w14:solidFill>
              <w14:schemeClr w14:val="tx1"/>
            </w14:solidFill>
          </w14:textFill>
        </w:rPr>
        <w:t>期间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限上参与单位销售额</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营业额</w:t>
      </w:r>
      <w:r>
        <w:rPr>
          <w:rFonts w:hint="eastAsia" w:ascii="仿宋_GB2312" w:hAnsi="仿宋_GB2312" w:eastAsia="仿宋_GB2312" w:cs="仿宋_GB2312"/>
          <w:color w:val="000000" w:themeColor="text1"/>
          <w:sz w:val="32"/>
          <w:szCs w:val="32"/>
          <w:lang w:eastAsia="zh-CN"/>
          <w14:textFill>
            <w14:solidFill>
              <w14:schemeClr w14:val="tx1"/>
            </w14:solidFill>
          </w14:textFill>
        </w:rPr>
        <w:t>）进行数据统计和分析。</w:t>
      </w:r>
    </w:p>
    <w:p w14:paraId="424F95F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8</w:t>
      </w:r>
      <w:r>
        <w:rPr>
          <w:rFonts w:hint="eastAsia" w:ascii="仿宋_GB2312" w:hAnsi="仿宋_GB2312" w:eastAsia="仿宋_GB2312" w:cs="仿宋_GB2312"/>
          <w:color w:val="000000" w:themeColor="text1"/>
          <w:sz w:val="32"/>
          <w:szCs w:val="32"/>
          <w:lang w:eastAsia="zh-CN"/>
          <w14:textFill>
            <w14:solidFill>
              <w14:schemeClr w14:val="tx1"/>
            </w14:solidFill>
          </w14:textFill>
        </w:rPr>
        <w:t>.发放平台：要求全过程接受监督与指导，确保落实消费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券发放</w:t>
      </w:r>
      <w:r>
        <w:rPr>
          <w:rFonts w:hint="eastAsia" w:ascii="仿宋_GB2312" w:hAnsi="仿宋_GB2312" w:eastAsia="仿宋_GB2312" w:cs="仿宋_GB2312"/>
          <w:color w:val="000000" w:themeColor="text1"/>
          <w:sz w:val="32"/>
          <w:szCs w:val="32"/>
          <w:lang w:eastAsia="zh-CN"/>
          <w14:textFill>
            <w14:solidFill>
              <w14:schemeClr w14:val="tx1"/>
            </w14:solidFill>
          </w14:textFill>
        </w:rPr>
        <w:t>工作要求；开展线上线下宣传，做好活动信息推广；做好参与商户的服务工作，及时对消费券核销情况以及相应拉动消费情况进行总结分析，为政府评估活动效果提供依据。</w:t>
      </w:r>
    </w:p>
    <w:p w14:paraId="23B033C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十一、工作要求</w:t>
      </w:r>
    </w:p>
    <w:p w14:paraId="3225866A">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楷体_GB2312" w:hAnsi="楷体_GB2312" w:eastAsia="楷体_GB2312" w:cs="楷体_GB2312"/>
          <w:b/>
          <w:bCs/>
          <w:sz w:val="32"/>
          <w:szCs w:val="32"/>
          <w:lang w:val="en-US" w:eastAsia="zh-CN"/>
        </w:rPr>
        <w:t>（一）积极开展动员。</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各乡镇人民政府、开发区管委会要积极动员辖区登记注册并符合相关要求的批发、零售、住宿、餐饮企业（含个体户）参与消费券活动，并指导参加活动企业签订承诺书，要处理好活动期间有关属地企业核销消费券的问题。</w:t>
      </w:r>
    </w:p>
    <w:p w14:paraId="023F8F65">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楷体_GB2312" w:hAnsi="楷体_GB2312" w:eastAsia="楷体_GB2312" w:cs="楷体_GB2312"/>
          <w:b/>
          <w:bCs/>
          <w:sz w:val="32"/>
          <w:szCs w:val="32"/>
          <w:lang w:val="en-US" w:eastAsia="zh-CN"/>
        </w:rPr>
        <w:t>（二）做好舆情引导。</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县委宣传部要开展宣传和舆论引导工作，大力宣传消费券投放信息，加强消费券发放活动的宣传报道，营造促消费氛围，不断扩大居民参与消费券申领和使用的覆盖面；同时做好消费券发放活动期间的网络舆情监测，指导开展舆情引导工作。</w:t>
      </w:r>
    </w:p>
    <w:p w14:paraId="46EF1669">
      <w:pPr>
        <w:ind w:firstLine="643" w:firstLineChars="200"/>
        <w:rPr>
          <w:rFonts w:hint="eastAsia" w:ascii="仿宋_GB2312" w:hAnsi="仿宋_GB2312" w:eastAsia="仿宋_GB2312" w:cs="仿宋_GB2312"/>
          <w:color w:val="auto"/>
          <w:sz w:val="32"/>
          <w:szCs w:val="32"/>
        </w:rPr>
      </w:pPr>
      <w:bookmarkStart w:id="129" w:name="_GoBack"/>
      <w:bookmarkEnd w:id="129"/>
      <w:r>
        <w:rPr>
          <w:rFonts w:hint="eastAsia" w:ascii="楷体_GB2312" w:hAnsi="楷体_GB2312" w:eastAsia="楷体_GB2312" w:cs="楷体_GB2312"/>
          <w:b/>
          <w:bCs/>
          <w:sz w:val="32"/>
          <w:szCs w:val="32"/>
          <w:lang w:val="en-US" w:eastAsia="zh-CN"/>
        </w:rPr>
        <w:t>（三）强化工作保障。</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县商务局要做好消费券发放组织协调等有关工作，县财政局要统筹做好消费券专项资金保障。</w:t>
      </w:r>
      <w:r>
        <w:rPr>
          <w:rFonts w:hint="eastAsia" w:ascii="仿宋_GB2312" w:hAnsi="仿宋_GB2312" w:eastAsia="仿宋_GB2312" w:cs="仿宋_GB2312"/>
          <w:color w:val="auto"/>
          <w:sz w:val="32"/>
          <w:szCs w:val="32"/>
        </w:rPr>
        <w:br w:type="page"/>
      </w:r>
    </w:p>
    <w:p w14:paraId="6A64DC4D">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小标宋简体" w:hAnsi="宋体" w:eastAsia="方正小标宋简体"/>
          <w:sz w:val="44"/>
          <w:szCs w:val="44"/>
          <w:lang w:eastAsia="zh-CN"/>
        </w:rPr>
      </w:pPr>
      <w:bookmarkStart w:id="0" w:name="发文标题"/>
      <w:r>
        <w:rPr>
          <w:rFonts w:hint="eastAsia" w:ascii="方正小标宋简体" w:hAnsi="宋体" w:eastAsia="方正小标宋简体"/>
          <w:sz w:val="44"/>
          <w:szCs w:val="44"/>
          <w:lang w:eastAsia="zh-CN"/>
        </w:rPr>
        <w:t>青阳县人民政府办公室关于印发《青阳县政府</w:t>
      </w:r>
    </w:p>
    <w:p w14:paraId="6F45D8BF">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小标宋简体" w:hAnsi="宋体" w:eastAsia="方正小标宋简体"/>
          <w:sz w:val="44"/>
          <w:szCs w:val="44"/>
          <w:lang w:eastAsia="zh-CN"/>
        </w:rPr>
      </w:pPr>
      <w:r>
        <w:rPr>
          <w:rFonts w:hint="eastAsia" w:ascii="方正小标宋简体" w:hAnsi="宋体" w:eastAsia="方正小标宋简体"/>
          <w:sz w:val="44"/>
          <w:szCs w:val="44"/>
          <w:lang w:eastAsia="zh-CN"/>
        </w:rPr>
        <w:t>投资项目工程变更管理办法（试行）》</w:t>
      </w:r>
    </w:p>
    <w:p w14:paraId="2CE539D3">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ascii="方正小标宋简体" w:hAnsi="宋体" w:eastAsia="方正小标宋简体"/>
          <w:sz w:val="44"/>
          <w:szCs w:val="44"/>
          <w:lang w:eastAsia="zh-CN"/>
        </w:rPr>
      </w:pPr>
      <w:r>
        <w:rPr>
          <w:rFonts w:hint="eastAsia" w:ascii="方正小标宋简体" w:hAnsi="宋体" w:eastAsia="方正小标宋简体"/>
          <w:sz w:val="44"/>
          <w:szCs w:val="44"/>
          <w:lang w:eastAsia="zh-CN"/>
        </w:rPr>
        <w:t>的通知</w:t>
      </w:r>
      <w:bookmarkEnd w:id="0"/>
    </w:p>
    <w:p w14:paraId="2CA1E78C">
      <w:pPr>
        <w:keepNext w:val="0"/>
        <w:keepLines w:val="0"/>
        <w:pageBreakBefore w:val="0"/>
        <w:wordWrap/>
        <w:overflowPunct/>
        <w:topLinePunct w:val="0"/>
        <w:bidi w:val="0"/>
        <w:spacing w:line="600" w:lineRule="exact"/>
        <w:rPr>
          <w:lang w:eastAsia="zh-CN"/>
        </w:rPr>
      </w:pPr>
    </w:p>
    <w:p w14:paraId="71EC5AC4">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各乡镇人民政府、县开发区管委会，县政府各部门、各直属机构，驻青各单位，县建投集团、县乡投集团：</w:t>
      </w:r>
    </w:p>
    <w:p w14:paraId="49302ABE">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《青阳县政府投资项目工程变更管理办法（试行）</w:t>
      </w:r>
      <w:r>
        <w:rPr>
          <w:rFonts w:hint="eastAsia" w:ascii="仿宋_GB2312" w:hAnsi="仿宋_GB2312" w:eastAsia="仿宋_GB2312" w:cs="仿宋_GB2312"/>
          <w:sz w:val="32"/>
          <w:szCs w:val="32"/>
          <w:lang w:val="en-US" w:eastAsia="zh-CN"/>
        </w:rPr>
        <w:t>》已经县政府第85次常务会议审议通过，现印发给你们，请遵照执行。</w:t>
      </w:r>
    </w:p>
    <w:p w14:paraId="65F78370">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rPr>
          <w:rFonts w:hint="eastAsia" w:ascii="仿宋_GB2312" w:hAnsi="仿宋_GB2312" w:eastAsia="仿宋_GB2312" w:cs="仿宋_GB2312"/>
          <w:sz w:val="32"/>
          <w:szCs w:val="32"/>
          <w:lang w:eastAsia="zh-CN"/>
        </w:rPr>
      </w:pPr>
    </w:p>
    <w:p w14:paraId="6DEA5867">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rPr>
          <w:rFonts w:hint="eastAsia" w:ascii="仿宋_GB2312" w:hAnsi="仿宋_GB2312" w:eastAsia="仿宋_GB2312" w:cs="仿宋_GB2312"/>
          <w:sz w:val="32"/>
          <w:szCs w:val="32"/>
          <w:lang w:eastAsia="zh-CN"/>
        </w:rPr>
      </w:pPr>
    </w:p>
    <w:p w14:paraId="40EFB787">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rPr>
          <w:rFonts w:hint="eastAsia" w:ascii="仿宋_GB2312" w:hAnsi="仿宋_GB2312" w:eastAsia="仿宋_GB2312" w:cs="仿宋_GB2312"/>
          <w:sz w:val="32"/>
          <w:szCs w:val="32"/>
          <w:lang w:eastAsia="zh-CN"/>
        </w:rPr>
      </w:pPr>
    </w:p>
    <w:p w14:paraId="00129A83">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 xml:space="preserve">                        青阳县人民政府办公室</w:t>
      </w:r>
    </w:p>
    <w:p w14:paraId="5318A92D">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 xml:space="preserve">                           2025年7月</w:t>
      </w:r>
      <w:r>
        <w:rPr>
          <w:rFonts w:hint="eastAsia" w:ascii="仿宋_GB2312" w:hAnsi="仿宋_GB2312" w:eastAsia="仿宋_GB2312" w:cs="仿宋_GB2312"/>
          <w:sz w:val="32"/>
          <w:szCs w:val="32"/>
          <w:lang w:val="en-US" w:eastAsia="zh-CN"/>
        </w:rPr>
        <w:t>23</w:t>
      </w:r>
      <w:r>
        <w:rPr>
          <w:rFonts w:hint="eastAsia" w:ascii="仿宋_GB2312" w:hAnsi="仿宋_GB2312" w:eastAsia="仿宋_GB2312" w:cs="仿宋_GB2312"/>
          <w:sz w:val="32"/>
          <w:szCs w:val="32"/>
          <w:lang w:eastAsia="zh-CN"/>
        </w:rPr>
        <w:t>日</w:t>
      </w:r>
    </w:p>
    <w:p w14:paraId="70FE60E6"/>
    <w:p w14:paraId="2B2CB1E7">
      <w:pPr>
        <w:pStyle w:val="2"/>
      </w:pPr>
    </w:p>
    <w:p w14:paraId="08354DBE">
      <w:pPr>
        <w:pStyle w:val="2"/>
      </w:pPr>
    </w:p>
    <w:p w14:paraId="5C85A49B">
      <w:pPr>
        <w:pStyle w:val="2"/>
      </w:pPr>
    </w:p>
    <w:p w14:paraId="15FA7FB0">
      <w:pPr>
        <w:pStyle w:val="2"/>
      </w:pPr>
    </w:p>
    <w:p w14:paraId="593AC8FA">
      <w:pPr>
        <w:pStyle w:val="2"/>
      </w:pPr>
    </w:p>
    <w:p w14:paraId="2432728D">
      <w:pPr>
        <w:pStyle w:val="2"/>
        <w:ind w:left="0" w:leftChars="0" w:firstLine="0" w:firstLineChars="0"/>
      </w:pPr>
    </w:p>
    <w:p w14:paraId="73DA379C">
      <w:pPr>
        <w:pStyle w:val="2"/>
        <w:ind w:left="0" w:leftChars="0" w:firstLine="0" w:firstLineChars="0"/>
      </w:pPr>
    </w:p>
    <w:p w14:paraId="5F245B9A">
      <w:pPr>
        <w:pStyle w:val="2"/>
      </w:pPr>
    </w:p>
    <w:p w14:paraId="08A5E663">
      <w:pPr>
        <w:pStyle w:val="2"/>
      </w:pPr>
    </w:p>
    <w:p w14:paraId="43D3EE31">
      <w:pPr>
        <w:pStyle w:val="2"/>
      </w:pPr>
    </w:p>
    <w:p w14:paraId="6A8C0DD9">
      <w:pPr>
        <w:pStyle w:val="17"/>
        <w:keepNext w:val="0"/>
        <w:keepLines w:val="0"/>
        <w:pageBreakBefore w:val="0"/>
        <w:shd w:val="clear" w:color="auto" w:fill="FFFFFF"/>
        <w:wordWrap/>
        <w:overflowPunct/>
        <w:topLinePunct w:val="0"/>
        <w:bidi w:val="0"/>
        <w:snapToGrid/>
        <w:spacing w:before="0" w:beforeAutospacing="0" w:after="0" w:afterAutospacing="0" w:line="560" w:lineRule="exact"/>
        <w:contextualSpacing/>
        <w:jc w:val="both"/>
        <w:rPr>
          <w:rFonts w:hint="eastAsia" w:ascii="仿宋_GB2312" w:eastAsia="仿宋_GB2312"/>
          <w:spacing w:val="8"/>
          <w:sz w:val="32"/>
          <w:szCs w:val="32"/>
          <w:lang w:eastAsia="zh-CN"/>
        </w:rPr>
      </w:pPr>
      <w:r>
        <w:rPr>
          <w:rFonts w:hint="eastAsia" w:ascii="仿宋_GB2312" w:eastAsia="仿宋_GB2312"/>
          <w:spacing w:val="8"/>
          <w:sz w:val="32"/>
          <w:szCs w:val="32"/>
          <w:lang w:eastAsia="zh-CN"/>
        </w:rPr>
        <w:t>（此件公开发布）</w:t>
      </w:r>
    </w:p>
    <w:p w14:paraId="4A8F47E9">
      <w:pPr>
        <w:pStyle w:val="2"/>
      </w:pPr>
    </w:p>
    <w:p w14:paraId="534C1962">
      <w:pPr>
        <w:pStyle w:val="2"/>
      </w:pPr>
    </w:p>
    <w:p w14:paraId="6819AF5A">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小标宋简体" w:hAnsi="宋体" w:eastAsia="方正小标宋简体"/>
          <w:sz w:val="44"/>
          <w:szCs w:val="44"/>
          <w:lang w:eastAsia="zh-CN"/>
        </w:rPr>
        <w:sectPr>
          <w:pgSz w:w="11906" w:h="16838"/>
          <w:pgMar w:top="2098" w:right="1531" w:bottom="1984" w:left="1531" w:header="851" w:footer="992" w:gutter="0"/>
          <w:pgNumType w:fmt="decimal"/>
          <w:cols w:space="0" w:num="1"/>
          <w:rtlGutter w:val="0"/>
          <w:docGrid w:type="lines" w:linePitch="312" w:charSpace="0"/>
        </w:sectPr>
      </w:pPr>
      <w:bookmarkStart w:id="1" w:name="OLE_LINK35"/>
      <w:bookmarkStart w:id="2" w:name="OLE_LINK34"/>
      <w:bookmarkStart w:id="3" w:name="OLE_LINK29"/>
      <w:bookmarkStart w:id="4" w:name="OLE_LINK30"/>
      <w:bookmarkStart w:id="5" w:name="OLE_LINK33"/>
      <w:bookmarkStart w:id="6" w:name="OLE_LINK45"/>
      <w:bookmarkStart w:id="7" w:name="OLE_LINK44"/>
    </w:p>
    <w:p w14:paraId="201C814A">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小标宋简体" w:hAnsi="宋体" w:eastAsia="方正小标宋简体"/>
          <w:sz w:val="44"/>
          <w:szCs w:val="44"/>
          <w:lang w:eastAsia="zh-CN"/>
        </w:rPr>
      </w:pPr>
    </w:p>
    <w:bookmarkEnd w:id="1"/>
    <w:bookmarkEnd w:id="2"/>
    <w:bookmarkEnd w:id="3"/>
    <w:bookmarkEnd w:id="4"/>
    <w:bookmarkEnd w:id="5"/>
    <w:bookmarkEnd w:id="6"/>
    <w:bookmarkEnd w:id="7"/>
    <w:p w14:paraId="1E9EFAC5">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小标宋简体" w:hAnsi="宋体" w:eastAsia="方正小标宋简体"/>
          <w:sz w:val="44"/>
          <w:szCs w:val="44"/>
          <w:lang w:eastAsia="zh-CN"/>
        </w:rPr>
      </w:pPr>
      <w:r>
        <w:rPr>
          <w:rFonts w:hint="eastAsia" w:ascii="方正小标宋简体" w:hAnsi="宋体" w:eastAsia="方正小标宋简体"/>
          <w:sz w:val="44"/>
          <w:szCs w:val="44"/>
          <w:lang w:eastAsia="zh-CN"/>
        </w:rPr>
        <w:t>青阳县政府投资项目工程变更管理办法（试行）</w:t>
      </w:r>
    </w:p>
    <w:p w14:paraId="11B58080">
      <w:pPr>
        <w:snapToGrid/>
        <w:spacing w:before="140" w:line="560" w:lineRule="exact"/>
        <w:contextualSpacing/>
        <w:jc w:val="center"/>
        <w:rPr>
          <w:rFonts w:ascii="楷体_GB2312" w:hAnsi="宋体" w:eastAsia="楷体_GB2312" w:cs="宋体"/>
          <w:color w:val="auto"/>
          <w:sz w:val="32"/>
          <w:szCs w:val="32"/>
          <w:lang w:eastAsia="zh-CN"/>
        </w:rPr>
      </w:pPr>
    </w:p>
    <w:p w14:paraId="08183A32">
      <w:pPr>
        <w:keepNext w:val="0"/>
        <w:keepLines w:val="0"/>
        <w:pageBreakBefore w:val="0"/>
        <w:wordWrap/>
        <w:overflowPunct/>
        <w:topLinePunct w:val="0"/>
        <w:bidi w:val="0"/>
        <w:snapToGrid/>
        <w:spacing w:line="560" w:lineRule="exact"/>
        <w:contextualSpacing/>
        <w:jc w:val="center"/>
        <w:rPr>
          <w:rFonts w:ascii="黑体" w:hAnsi="黑体" w:eastAsia="黑体" w:cs="黑体"/>
          <w:color w:val="auto"/>
          <w:sz w:val="31"/>
          <w:szCs w:val="31"/>
          <w:lang w:eastAsia="zh-CN"/>
        </w:rPr>
      </w:pPr>
      <w:r>
        <w:rPr>
          <w:rFonts w:ascii="黑体" w:hAnsi="黑体" w:eastAsia="黑体" w:cs="黑体"/>
          <w:color w:val="auto"/>
          <w:spacing w:val="1"/>
          <w:sz w:val="31"/>
          <w:szCs w:val="31"/>
          <w:lang w:eastAsia="zh-CN"/>
        </w:rPr>
        <w:t>第一章</w:t>
      </w:r>
      <w:r>
        <w:rPr>
          <w:rFonts w:ascii="黑体" w:hAnsi="黑体" w:eastAsia="黑体" w:cs="黑体"/>
          <w:color w:val="auto"/>
          <w:spacing w:val="14"/>
          <w:sz w:val="31"/>
          <w:szCs w:val="31"/>
          <w:lang w:eastAsia="zh-CN"/>
        </w:rPr>
        <w:t xml:space="preserve">  </w:t>
      </w:r>
      <w:r>
        <w:rPr>
          <w:rFonts w:ascii="黑体" w:hAnsi="黑体" w:eastAsia="黑体" w:cs="黑体"/>
          <w:color w:val="auto"/>
          <w:spacing w:val="1"/>
          <w:sz w:val="31"/>
          <w:szCs w:val="31"/>
          <w:lang w:eastAsia="zh-CN"/>
        </w:rPr>
        <w:t>总</w:t>
      </w:r>
      <w:r>
        <w:rPr>
          <w:rFonts w:ascii="黑体" w:hAnsi="黑体" w:eastAsia="黑体" w:cs="黑体"/>
          <w:color w:val="auto"/>
          <w:spacing w:val="12"/>
          <w:sz w:val="31"/>
          <w:szCs w:val="31"/>
          <w:lang w:eastAsia="zh-CN"/>
        </w:rPr>
        <w:t xml:space="preserve">  </w:t>
      </w:r>
      <w:r>
        <w:rPr>
          <w:rFonts w:ascii="黑体" w:hAnsi="黑体" w:eastAsia="黑体" w:cs="黑体"/>
          <w:color w:val="auto"/>
          <w:spacing w:val="1"/>
          <w:sz w:val="31"/>
          <w:szCs w:val="31"/>
          <w:lang w:eastAsia="zh-CN"/>
        </w:rPr>
        <w:t>则</w:t>
      </w:r>
    </w:p>
    <w:p w14:paraId="73BF0C15">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r>
        <w:rPr>
          <w:rFonts w:hint="eastAsia" w:ascii="楷体_GB2312" w:hAnsi="楷体_GB2312" w:eastAsia="楷体_GB2312" w:cs="楷体_GB2312"/>
          <w:b/>
          <w:bCs/>
          <w:spacing w:val="8"/>
          <w:sz w:val="32"/>
          <w:szCs w:val="32"/>
        </w:rPr>
        <w:t xml:space="preserve">第一条 </w:t>
      </w:r>
      <w:bookmarkStart w:id="8" w:name="OLE_LINK37"/>
      <w:bookmarkStart w:id="9" w:name="OLE_LINK36"/>
      <w:r>
        <w:rPr>
          <w:rFonts w:hint="eastAsia" w:ascii="仿宋_GB2312" w:eastAsia="仿宋_GB2312"/>
          <w:spacing w:val="8"/>
          <w:sz w:val="32"/>
          <w:szCs w:val="32"/>
        </w:rPr>
        <w:t>为进一步规范政府投资项目工程变更行为</w:t>
      </w:r>
      <w:bookmarkEnd w:id="8"/>
      <w:bookmarkEnd w:id="9"/>
      <w:r>
        <w:rPr>
          <w:rFonts w:hint="eastAsia" w:ascii="仿宋_GB2312" w:eastAsia="仿宋_GB2312"/>
          <w:spacing w:val="8"/>
          <w:sz w:val="32"/>
          <w:szCs w:val="32"/>
        </w:rPr>
        <w:t>，保证工程质量，合理控制工程成本，确保工程建设顺利实施，根据《中华人民共和国建筑法》</w:t>
      </w:r>
      <w:bookmarkStart w:id="10" w:name="OLE_LINK40"/>
      <w:bookmarkStart w:id="11" w:name="OLE_LINK41"/>
      <w:r>
        <w:rPr>
          <w:rFonts w:hint="eastAsia" w:ascii="仿宋_GB2312" w:eastAsia="仿宋_GB2312"/>
          <w:spacing w:val="8"/>
          <w:sz w:val="32"/>
          <w:szCs w:val="32"/>
        </w:rPr>
        <w:t>《中华人民共和国招标投标法》</w:t>
      </w:r>
      <w:bookmarkEnd w:id="10"/>
      <w:bookmarkEnd w:id="11"/>
      <w:r>
        <w:rPr>
          <w:rFonts w:hint="eastAsia" w:ascii="仿宋_GB2312" w:eastAsia="仿宋_GB2312"/>
          <w:spacing w:val="8"/>
          <w:sz w:val="32"/>
          <w:szCs w:val="32"/>
        </w:rPr>
        <w:t>《中华人民共和国政府采购法》《政府投资条例》《</w:t>
      </w:r>
      <w:r>
        <w:rPr>
          <w:rFonts w:ascii="仿宋_GB2312" w:eastAsia="仿宋_GB2312"/>
          <w:spacing w:val="8"/>
          <w:sz w:val="32"/>
          <w:szCs w:val="32"/>
        </w:rPr>
        <w:t>安徽省公共资源交易监督管理办法</w:t>
      </w:r>
      <w:r>
        <w:rPr>
          <w:rFonts w:hint="eastAsia" w:ascii="仿宋_GB2312" w:eastAsia="仿宋_GB2312"/>
          <w:spacing w:val="8"/>
          <w:sz w:val="32"/>
          <w:szCs w:val="32"/>
        </w:rPr>
        <w:t>》《安徽省政府投资管理办法》等法律法规及相关规定，结合我县实际，制定本办法。</w:t>
      </w:r>
    </w:p>
    <w:p w14:paraId="440B0E36">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r>
        <w:rPr>
          <w:rFonts w:hint="eastAsia" w:ascii="楷体_GB2312" w:hAnsi="楷体_GB2312" w:eastAsia="楷体_GB2312" w:cs="楷体_GB2312"/>
          <w:b/>
          <w:bCs/>
          <w:spacing w:val="8"/>
          <w:sz w:val="32"/>
          <w:szCs w:val="32"/>
        </w:rPr>
        <w:t>第二条</w:t>
      </w:r>
      <w:r>
        <w:rPr>
          <w:rFonts w:hint="eastAsia" w:ascii="仿宋_GB2312" w:eastAsia="仿宋_GB2312"/>
          <w:spacing w:val="8"/>
          <w:sz w:val="32"/>
          <w:szCs w:val="32"/>
        </w:rPr>
        <w:t xml:space="preserve"> 本办法所称政府投资项目，是指县本级决策实施的使用财政预算资金、政府专项建设资金（基金）、政府债务资金和其他财政性资金占概算总投资比例50%以上的建设项目，或者不足50%但政府拥有控制权的投资项目；以及法律、法规、规章和县级以上人民政府规定的其他政府投资项目。其他政府性投资项目，按照谁决策、谁负责的原则分级强化变更管理。</w:t>
      </w:r>
    </w:p>
    <w:p w14:paraId="0571FC6B">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hAnsi="仿宋_GB2312" w:eastAsia="仿宋_GB2312" w:cs="仿宋_GB2312"/>
          <w:sz w:val="32"/>
          <w:szCs w:val="32"/>
        </w:rPr>
      </w:pPr>
      <w:bookmarkStart w:id="12" w:name="OLE_LINK64"/>
      <w:bookmarkStart w:id="13" w:name="OLE_LINK65"/>
      <w:bookmarkStart w:id="14" w:name="OLE_LINK76"/>
      <w:bookmarkStart w:id="15" w:name="OLE_LINK78"/>
      <w:bookmarkStart w:id="16" w:name="OLE_LINK80"/>
      <w:bookmarkStart w:id="17" w:name="OLE_LINK79"/>
      <w:bookmarkStart w:id="18" w:name="OLE_LINK81"/>
      <w:bookmarkStart w:id="19" w:name="OLE_LINK77"/>
      <w:r>
        <w:rPr>
          <w:rFonts w:hint="eastAsia" w:ascii="楷体_GB2312" w:hAnsi="楷体_GB2312" w:eastAsia="楷体_GB2312" w:cs="楷体_GB2312"/>
          <w:b/>
          <w:bCs/>
          <w:spacing w:val="8"/>
          <w:sz w:val="32"/>
          <w:szCs w:val="32"/>
        </w:rPr>
        <w:t xml:space="preserve">第三条 </w:t>
      </w:r>
      <w:r>
        <w:rPr>
          <w:rFonts w:hint="eastAsia" w:ascii="仿宋_GB2312" w:hAnsi="仿宋_GB2312" w:eastAsia="仿宋_GB2312" w:cs="仿宋_GB2312"/>
          <w:sz w:val="32"/>
          <w:szCs w:val="32"/>
        </w:rPr>
        <w:t>本办法所称牵头审查单位是指负责牵头组织变更审查的项目行业主管单位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对项目行业类别难以明确的，由综合监管部门协调确定牵头审查单位。</w:t>
      </w:r>
      <w:r>
        <w:rPr>
          <w:rFonts w:hint="eastAsia" w:ascii="仿宋_GB2312" w:eastAsia="仿宋_GB2312" w:cs="Times New Roman"/>
          <w:sz w:val="32"/>
          <w:szCs w:val="32"/>
        </w:rPr>
        <w:t>县发改委、县财政局、县司法局、县公共资源交易服务中心等单位根据各单位工作职责共同参与会审。</w:t>
      </w:r>
    </w:p>
    <w:p w14:paraId="5738F24A">
      <w:pPr>
        <w:keepNext w:val="0"/>
        <w:keepLines w:val="0"/>
        <w:pageBreakBefore w:val="0"/>
        <w:wordWrap/>
        <w:overflowPunct/>
        <w:topLinePunct w:val="0"/>
        <w:bidi w:val="0"/>
        <w:snapToGrid/>
        <w:spacing w:line="560" w:lineRule="exact"/>
        <w:ind w:firstLine="675" w:firstLineChars="200"/>
        <w:contextualSpacing/>
        <w:jc w:val="both"/>
        <w:rPr>
          <w:rFonts w:ascii="仿宋_GB2312" w:hAnsi="宋体" w:eastAsia="仿宋_GB2312" w:cs="宋体"/>
          <w:color w:val="auto"/>
          <w:sz w:val="32"/>
          <w:szCs w:val="32"/>
          <w:lang w:eastAsia="zh-CN"/>
        </w:rPr>
      </w:pPr>
      <w:r>
        <w:rPr>
          <w:rFonts w:hint="eastAsia" w:ascii="楷体_GB2312" w:hAnsi="楷体_GB2312" w:eastAsia="楷体_GB2312" w:cs="楷体_GB2312"/>
          <w:b/>
          <w:bCs/>
          <w:snapToGrid/>
          <w:color w:val="auto"/>
          <w:spacing w:val="8"/>
          <w:kern w:val="0"/>
          <w:sz w:val="32"/>
          <w:szCs w:val="32"/>
          <w:lang w:val="en-US" w:eastAsia="zh-CN" w:bidi="ar-SA"/>
        </w:rPr>
        <w:t>第四条</w:t>
      </w:r>
      <w:r>
        <w:rPr>
          <w:rFonts w:hint="eastAsia" w:ascii="仿宋_GB2312" w:eastAsia="仿宋_GB2312"/>
          <w:color w:val="auto"/>
          <w:spacing w:val="8"/>
          <w:sz w:val="32"/>
          <w:szCs w:val="32"/>
          <w:lang w:eastAsia="zh-CN"/>
        </w:rPr>
        <w:t xml:space="preserve"> </w:t>
      </w:r>
      <w:r>
        <w:rPr>
          <w:rFonts w:hint="eastAsia" w:ascii="仿宋_GB2312" w:hAnsi="宋体" w:eastAsia="仿宋_GB2312" w:cs="宋体"/>
          <w:color w:val="auto"/>
          <w:sz w:val="32"/>
          <w:szCs w:val="32"/>
          <w:lang w:eastAsia="zh-CN"/>
        </w:rPr>
        <w:t>工程变更应遵循科学审慎、真实合理、经济高效原则</w:t>
      </w:r>
      <w:r>
        <w:rPr>
          <w:rFonts w:hint="eastAsia" w:ascii="仿宋_GB2312" w:eastAsia="仿宋_GB2312"/>
          <w:color w:val="auto"/>
          <w:spacing w:val="8"/>
          <w:sz w:val="32"/>
          <w:szCs w:val="32"/>
          <w:lang w:eastAsia="zh-CN"/>
        </w:rPr>
        <w:t>，</w:t>
      </w:r>
      <w:bookmarkEnd w:id="12"/>
      <w:bookmarkEnd w:id="13"/>
      <w:r>
        <w:rPr>
          <w:rFonts w:hint="eastAsia" w:ascii="仿宋_GB2312" w:hAnsi="宋体" w:eastAsia="仿宋_GB2312" w:cs="宋体"/>
          <w:color w:val="auto"/>
          <w:sz w:val="32"/>
          <w:szCs w:val="32"/>
          <w:lang w:eastAsia="zh-CN"/>
        </w:rPr>
        <w:t>坚持“变更先查因，过错必追责”的要求，严控工程变更行为。</w:t>
      </w:r>
      <w:bookmarkStart w:id="20" w:name="OLE_LINK60"/>
      <w:bookmarkStart w:id="21" w:name="OLE_LINK61"/>
      <w:bookmarkStart w:id="22" w:name="OLE_LINK68"/>
      <w:bookmarkStart w:id="23" w:name="OLE_LINK69"/>
      <w:r>
        <w:rPr>
          <w:rFonts w:hint="eastAsia" w:ascii="仿宋_GB2312" w:eastAsia="仿宋_GB2312"/>
          <w:color w:val="auto"/>
          <w:spacing w:val="8"/>
          <w:sz w:val="32"/>
          <w:szCs w:val="32"/>
          <w:lang w:eastAsia="zh-CN"/>
        </w:rPr>
        <w:t>对未经批</w:t>
      </w:r>
      <w:bookmarkEnd w:id="20"/>
      <w:bookmarkEnd w:id="21"/>
      <w:r>
        <w:rPr>
          <w:rFonts w:hint="eastAsia" w:ascii="仿宋_GB2312" w:eastAsia="仿宋_GB2312"/>
          <w:color w:val="auto"/>
          <w:spacing w:val="8"/>
          <w:sz w:val="32"/>
          <w:szCs w:val="32"/>
          <w:lang w:eastAsia="zh-CN"/>
        </w:rPr>
        <w:t>准而先行实施的变更工程，</w:t>
      </w:r>
      <w:bookmarkStart w:id="24" w:name="OLE_LINK52"/>
      <w:bookmarkStart w:id="25" w:name="OLE_LINK54"/>
      <w:bookmarkStart w:id="26" w:name="OLE_LINK53"/>
      <w:r>
        <w:rPr>
          <w:rFonts w:hint="eastAsia" w:ascii="仿宋_GB2312" w:eastAsia="仿宋_GB2312"/>
          <w:color w:val="auto"/>
          <w:spacing w:val="8"/>
          <w:sz w:val="32"/>
          <w:szCs w:val="32"/>
          <w:lang w:eastAsia="zh-CN"/>
        </w:rPr>
        <w:t>一律不得按变更程序办理变更。</w:t>
      </w:r>
      <w:bookmarkEnd w:id="24"/>
      <w:bookmarkEnd w:id="25"/>
      <w:bookmarkEnd w:id="26"/>
    </w:p>
    <w:bookmarkEnd w:id="14"/>
    <w:bookmarkEnd w:id="15"/>
    <w:bookmarkEnd w:id="16"/>
    <w:bookmarkEnd w:id="17"/>
    <w:bookmarkEnd w:id="18"/>
    <w:bookmarkEnd w:id="19"/>
    <w:bookmarkEnd w:id="22"/>
    <w:bookmarkEnd w:id="23"/>
    <w:p w14:paraId="4AD9BF33">
      <w:pPr>
        <w:pStyle w:val="17"/>
        <w:keepNext w:val="0"/>
        <w:keepLines w:val="0"/>
        <w:pageBreakBefore w:val="0"/>
        <w:shd w:val="clear" w:color="auto" w:fill="FFFFFF"/>
        <w:wordWrap/>
        <w:overflowPunct/>
        <w:topLinePunct w:val="0"/>
        <w:bidi w:val="0"/>
        <w:snapToGrid/>
        <w:spacing w:before="0" w:beforeAutospacing="0" w:after="0" w:afterAutospacing="0" w:line="560" w:lineRule="exact"/>
        <w:contextualSpacing/>
        <w:jc w:val="both"/>
        <w:rPr>
          <w:rFonts w:ascii="黑体" w:hAnsi="黑体" w:eastAsia="黑体" w:cs="黑体"/>
          <w:spacing w:val="21"/>
          <w:sz w:val="31"/>
          <w:szCs w:val="31"/>
        </w:rPr>
      </w:pPr>
      <w:bookmarkStart w:id="27" w:name="OLE_LINK43"/>
    </w:p>
    <w:p w14:paraId="08683C81">
      <w:pPr>
        <w:pStyle w:val="17"/>
        <w:keepNext w:val="0"/>
        <w:keepLines w:val="0"/>
        <w:pageBreakBefore w:val="0"/>
        <w:shd w:val="clear" w:color="auto" w:fill="FFFFFF"/>
        <w:wordWrap/>
        <w:overflowPunct/>
        <w:topLinePunct w:val="0"/>
        <w:bidi w:val="0"/>
        <w:snapToGrid/>
        <w:spacing w:before="0" w:beforeAutospacing="0" w:after="0" w:afterAutospacing="0" w:line="560" w:lineRule="exact"/>
        <w:contextualSpacing/>
        <w:jc w:val="center"/>
        <w:rPr>
          <w:rFonts w:ascii="黑体" w:hAnsi="黑体" w:eastAsia="黑体" w:cs="黑体"/>
          <w:spacing w:val="21"/>
          <w:sz w:val="31"/>
          <w:szCs w:val="31"/>
        </w:rPr>
      </w:pPr>
      <w:r>
        <w:rPr>
          <w:rFonts w:ascii="黑体" w:hAnsi="黑体" w:eastAsia="黑体" w:cs="黑体"/>
          <w:spacing w:val="21"/>
          <w:sz w:val="31"/>
          <w:szCs w:val="31"/>
        </w:rPr>
        <w:t>第二章  适用范围</w:t>
      </w:r>
      <w:bookmarkStart w:id="28" w:name="OLE_LINK32"/>
    </w:p>
    <w:p w14:paraId="04F50759">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r>
        <w:rPr>
          <w:rFonts w:hint="eastAsia" w:ascii="楷体_GB2312" w:hAnsi="楷体_GB2312" w:eastAsia="楷体_GB2312" w:cs="楷体_GB2312"/>
          <w:b/>
          <w:bCs/>
          <w:spacing w:val="8"/>
          <w:sz w:val="32"/>
          <w:szCs w:val="32"/>
        </w:rPr>
        <w:t xml:space="preserve">第五条 </w:t>
      </w:r>
      <w:r>
        <w:rPr>
          <w:rFonts w:hint="eastAsia" w:ascii="仿宋_GB2312" w:eastAsia="仿宋_GB2312"/>
          <w:spacing w:val="8"/>
          <w:sz w:val="32"/>
          <w:szCs w:val="32"/>
        </w:rPr>
        <w:t xml:space="preserve"> 工程变更的适用范围：</w:t>
      </w:r>
    </w:p>
    <w:p w14:paraId="04833A6A">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bookmarkStart w:id="29" w:name="OLE_LINK111"/>
      <w:r>
        <w:rPr>
          <w:rFonts w:hint="eastAsia" w:ascii="仿宋_GB2312" w:eastAsia="仿宋_GB2312"/>
          <w:spacing w:val="8"/>
          <w:sz w:val="32"/>
          <w:szCs w:val="32"/>
        </w:rPr>
        <w:t>（一）</w:t>
      </w:r>
      <w:bookmarkEnd w:id="29"/>
      <w:r>
        <w:rPr>
          <w:rFonts w:hint="eastAsia" w:ascii="仿宋_GB2312" w:eastAsia="仿宋_GB2312"/>
          <w:spacing w:val="8"/>
          <w:sz w:val="32"/>
          <w:szCs w:val="32"/>
        </w:rPr>
        <w:t>因建设规划、功能、设计的调整，引起工程的实施内容、范围、方式、建设规模及标准等方面发生变化；</w:t>
      </w:r>
    </w:p>
    <w:p w14:paraId="172D69AD">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bookmarkStart w:id="30" w:name="OLE_LINK114"/>
      <w:bookmarkStart w:id="31" w:name="OLE_LINK113"/>
      <w:bookmarkStart w:id="32" w:name="OLE_LINK112"/>
      <w:r>
        <w:rPr>
          <w:rFonts w:hint="eastAsia" w:ascii="仿宋_GB2312" w:eastAsia="仿宋_GB2312"/>
          <w:spacing w:val="8"/>
          <w:sz w:val="32"/>
          <w:szCs w:val="32"/>
        </w:rPr>
        <w:t>（二）</w:t>
      </w:r>
      <w:bookmarkEnd w:id="30"/>
      <w:bookmarkEnd w:id="31"/>
      <w:bookmarkEnd w:id="32"/>
      <w:r>
        <w:rPr>
          <w:rFonts w:hint="eastAsia" w:ascii="仿宋_GB2312" w:eastAsia="仿宋_GB2312"/>
          <w:spacing w:val="8"/>
          <w:sz w:val="32"/>
          <w:szCs w:val="32"/>
        </w:rPr>
        <w:t>因外部环境、不可抗力、工期变化等其他非施工单位原因引起的工程变更；</w:t>
      </w:r>
    </w:p>
    <w:p w14:paraId="634CF7D7">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（三）国家</w:t>
      </w:r>
      <w:bookmarkStart w:id="33" w:name="OLE_LINK47"/>
      <w:bookmarkStart w:id="34" w:name="OLE_LINK46"/>
      <w:r>
        <w:rPr>
          <w:rFonts w:hint="eastAsia" w:ascii="仿宋_GB2312" w:eastAsia="仿宋_GB2312"/>
          <w:spacing w:val="8"/>
          <w:sz w:val="32"/>
          <w:szCs w:val="32"/>
        </w:rPr>
        <w:t>颁布新的技术标准和设计规范以及行政监督 部门对工程建设提出了新的技术要求，或者法律法规及其他政策性调整引起工程造</w:t>
      </w:r>
      <w:bookmarkEnd w:id="28"/>
      <w:r>
        <w:rPr>
          <w:rFonts w:hint="eastAsia" w:ascii="仿宋_GB2312" w:eastAsia="仿宋_GB2312"/>
          <w:spacing w:val="8"/>
          <w:sz w:val="32"/>
          <w:szCs w:val="32"/>
        </w:rPr>
        <w:t>价变更；</w:t>
      </w:r>
    </w:p>
    <w:p w14:paraId="056CA3F5">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（四）应用先进的技术能节省投资、缩短工期的，或者变更有利于农田、水利</w:t>
      </w:r>
      <w:bookmarkEnd w:id="33"/>
      <w:bookmarkEnd w:id="34"/>
      <w:r>
        <w:rPr>
          <w:rFonts w:hint="eastAsia" w:ascii="仿宋_GB2312" w:eastAsia="仿宋_GB2312"/>
          <w:spacing w:val="8"/>
          <w:sz w:val="32"/>
          <w:szCs w:val="32"/>
        </w:rPr>
        <w:t>、工矿建设、地方交通、环境保护及文物保护的；</w:t>
      </w:r>
    </w:p>
    <w:p w14:paraId="3C3D0049">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（五）合同工程量清单漏项、项目清单描述错误或清单工程量计算存在偏差且合同约定可调的；</w:t>
      </w:r>
    </w:p>
    <w:p w14:paraId="4A56D821">
      <w:pPr>
        <w:pStyle w:val="43"/>
        <w:keepNext w:val="0"/>
        <w:keepLines w:val="0"/>
        <w:pageBreakBefore w:val="0"/>
        <w:wordWrap/>
        <w:overflowPunct/>
        <w:topLinePunct w:val="0"/>
        <w:bidi w:val="0"/>
        <w:snapToGrid/>
        <w:spacing w:line="560" w:lineRule="exact"/>
        <w:ind w:firstLine="672"/>
        <w:contextualSpacing/>
        <w:jc w:val="both"/>
        <w:rPr>
          <w:rFonts w:ascii="仿宋_GB2312" w:eastAsia="仿宋_GB2312"/>
          <w:spacing w:val="8"/>
        </w:rPr>
      </w:pPr>
      <w:r>
        <w:rPr>
          <w:rFonts w:hint="eastAsia" w:ascii="仿宋_GB2312" w:eastAsia="仿宋_GB2312"/>
          <w:spacing w:val="8"/>
        </w:rPr>
        <w:t>（六）依法应当变更或根据实际应当变更的其他情形。</w:t>
      </w:r>
    </w:p>
    <w:p w14:paraId="5BC27D49">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r>
        <w:rPr>
          <w:rFonts w:hint="eastAsia" w:ascii="楷体_GB2312" w:hAnsi="楷体_GB2312" w:eastAsia="楷体_GB2312" w:cs="楷体_GB2312"/>
          <w:b/>
          <w:bCs/>
          <w:spacing w:val="8"/>
          <w:sz w:val="32"/>
          <w:szCs w:val="32"/>
        </w:rPr>
        <w:t>第六条</w:t>
      </w:r>
      <w:r>
        <w:rPr>
          <w:rFonts w:hint="eastAsia" w:ascii="仿宋_GB2312" w:eastAsia="仿宋_GB2312"/>
          <w:spacing w:val="8"/>
          <w:sz w:val="32"/>
          <w:szCs w:val="32"/>
        </w:rPr>
        <w:t xml:space="preserve"> 以下情形不纳入工程变更管理范围：</w:t>
      </w:r>
    </w:p>
    <w:p w14:paraId="339659AD">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（一）经上级政府或部门以及县政府有关会议明确同意的变更；</w:t>
      </w:r>
    </w:p>
    <w:p w14:paraId="706874C5">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hint="eastAsia" w:ascii="仿宋_GB2312" w:eastAsia="仿宋_GB2312"/>
          <w:spacing w:val="8"/>
          <w:sz w:val="32"/>
          <w:szCs w:val="32"/>
        </w:rPr>
      </w:pPr>
      <w:r>
        <w:rPr>
          <w:rFonts w:hint="eastAsia" w:ascii="仿宋_GB2312" w:eastAsia="仿宋_GB2312"/>
          <w:snapToGrid w:val="0"/>
          <w:spacing w:val="8"/>
          <w:sz w:val="32"/>
          <w:szCs w:val="32"/>
        </w:rPr>
        <w:t>（二）</w:t>
      </w:r>
      <w:r>
        <w:rPr>
          <w:rFonts w:hint="eastAsia" w:ascii="仿宋_GB2312" w:eastAsia="仿宋_GB2312"/>
          <w:spacing w:val="8"/>
          <w:sz w:val="32"/>
          <w:szCs w:val="32"/>
        </w:rPr>
        <w:t>合同中约定的政策性调整、建设期材料和设备价</w:t>
      </w:r>
    </w:p>
    <w:p w14:paraId="0D891EB2">
      <w:pPr>
        <w:pStyle w:val="17"/>
        <w:keepNext w:val="0"/>
        <w:keepLines w:val="0"/>
        <w:pageBreakBefore w:val="0"/>
        <w:shd w:val="clear" w:color="auto" w:fill="FFFFFF"/>
        <w:wordWrap/>
        <w:overflowPunct/>
        <w:topLinePunct w:val="0"/>
        <w:bidi w:val="0"/>
        <w:snapToGrid/>
        <w:spacing w:before="0" w:beforeAutospacing="0" w:after="0" w:afterAutospacing="0" w:line="560" w:lineRule="exact"/>
        <w:contextualSpacing/>
        <w:jc w:val="both"/>
        <w:rPr>
          <w:rFonts w:ascii="仿宋_GB2312" w:eastAsia="仿宋_GB2312"/>
          <w:spacing w:val="8"/>
          <w:sz w:val="32"/>
          <w:szCs w:val="32"/>
        </w:rPr>
      </w:pPr>
      <w:r>
        <w:rPr>
          <w:rFonts w:hint="eastAsia" w:ascii="仿宋_GB2312" w:eastAsia="仿宋_GB2312"/>
          <w:spacing w:val="8"/>
          <w:sz w:val="32"/>
          <w:szCs w:val="32"/>
        </w:rPr>
        <w:t>格上涨或下调引起工程价款的变化；</w:t>
      </w:r>
    </w:p>
    <w:p w14:paraId="604071C4">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（三</w:t>
      </w:r>
      <w:r>
        <w:rPr>
          <w:rFonts w:hint="eastAsia" w:ascii="仿宋_GB2312" w:eastAsia="仿宋_GB2312"/>
          <w:spacing w:val="8"/>
          <w:sz w:val="32"/>
          <w:szCs w:val="32"/>
          <w:lang w:eastAsia="zh-CN"/>
        </w:rPr>
        <w:t>）</w:t>
      </w:r>
      <w:r>
        <w:rPr>
          <w:rFonts w:hint="eastAsia" w:ascii="仿宋_GB2312" w:eastAsia="仿宋_GB2312"/>
          <w:spacing w:val="8"/>
          <w:sz w:val="32"/>
          <w:szCs w:val="32"/>
        </w:rPr>
        <w:t>由人民法院生效判决或仲裁裁决决定的造价增减；</w:t>
      </w:r>
    </w:p>
    <w:p w14:paraId="1ECC8D49">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（四）其他不纳入变更管理的情形。</w:t>
      </w:r>
    </w:p>
    <w:p w14:paraId="569ABC2F">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bookmarkStart w:id="35" w:name="OLE_LINK130"/>
      <w:r>
        <w:rPr>
          <w:rFonts w:hint="eastAsia" w:ascii="楷体_GB2312" w:hAnsi="楷体_GB2312" w:eastAsia="楷体_GB2312" w:cs="楷体_GB2312"/>
          <w:b/>
          <w:bCs/>
          <w:spacing w:val="8"/>
          <w:sz w:val="32"/>
          <w:szCs w:val="32"/>
        </w:rPr>
        <w:t>第</w:t>
      </w:r>
      <w:bookmarkStart w:id="36" w:name="OLE_LINK131"/>
      <w:bookmarkStart w:id="37" w:name="OLE_LINK132"/>
      <w:r>
        <w:rPr>
          <w:rFonts w:hint="eastAsia" w:ascii="楷体_GB2312" w:hAnsi="楷体_GB2312" w:eastAsia="楷体_GB2312" w:cs="楷体_GB2312"/>
          <w:b/>
          <w:bCs/>
          <w:spacing w:val="8"/>
          <w:sz w:val="32"/>
          <w:szCs w:val="32"/>
        </w:rPr>
        <w:t xml:space="preserve">七条 </w:t>
      </w:r>
      <w:r>
        <w:rPr>
          <w:rFonts w:hint="eastAsia" w:ascii="仿宋_GB2312" w:eastAsia="仿宋_GB2312"/>
          <w:spacing w:val="8"/>
          <w:sz w:val="32"/>
          <w:szCs w:val="32"/>
        </w:rPr>
        <w:t>项目实施过程中如存在下列情况导致工程量发生变化，不予办理工程变更。</w:t>
      </w:r>
    </w:p>
    <w:p w14:paraId="1149B837">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（一）未按照规划、设计要求和监理指令实施，造成工程质量不合格而返工的；</w:t>
      </w:r>
    </w:p>
    <w:p w14:paraId="5D0B23FF">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（二）因施工方法不正确、工序不合理或保障措施不到位导致工程返工的；</w:t>
      </w:r>
    </w:p>
    <w:p w14:paraId="144AE2E0">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（三）缺乏安全、环保措施以及缺少相应设施的；</w:t>
      </w:r>
    </w:p>
    <w:p w14:paraId="018B9563">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（四）利用清单子目不平衡报价，变更施工方案的；</w:t>
      </w:r>
    </w:p>
    <w:p w14:paraId="6875194E">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（五）对施工图理解不够，或对地质、地形、气候条件错判导致方案改变、工程返工的；</w:t>
      </w:r>
    </w:p>
    <w:p w14:paraId="7CBC1309">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（六）未经同意擅自在施工图和技术规范要求以外实施的工作量；</w:t>
      </w:r>
    </w:p>
    <w:p w14:paraId="41EE615F">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（七）工程合同和施工图中虽未明确但根据国家有关强制性标准、技术规范和施工工艺要求必须实施的辅助工作内容；</w:t>
      </w:r>
    </w:p>
    <w:p w14:paraId="6E15B2C9">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（八）对能够预见的特殊事件未采取措施，或不能预见的特殊事件发生后未采取有效措施进行控制或采取措施不力的；</w:t>
      </w:r>
    </w:p>
    <w:p w14:paraId="00B82D1C">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（九）未按规定进行招投标的；</w:t>
      </w:r>
    </w:p>
    <w:p w14:paraId="27054C20">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（十）除具有第十五条所述情况外，工程变更已事先实施的；</w:t>
      </w:r>
    </w:p>
    <w:p w14:paraId="01DD4A1C">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（十一）</w:t>
      </w:r>
      <w:bookmarkStart w:id="38" w:name="OLE_LINK50"/>
      <w:bookmarkStart w:id="39" w:name="OLE_LINK42"/>
      <w:bookmarkStart w:id="40" w:name="OLE_LINK48"/>
      <w:bookmarkStart w:id="41" w:name="OLE_LINK39"/>
      <w:r>
        <w:rPr>
          <w:rFonts w:hint="eastAsia" w:ascii="仿宋_GB2312" w:eastAsia="仿宋_GB2312"/>
          <w:spacing w:val="8"/>
          <w:sz w:val="32"/>
          <w:szCs w:val="32"/>
        </w:rPr>
        <w:t>其他不予办理工程变更的情形</w:t>
      </w:r>
      <w:bookmarkEnd w:id="38"/>
      <w:bookmarkEnd w:id="39"/>
      <w:bookmarkEnd w:id="40"/>
      <w:r>
        <w:rPr>
          <w:rFonts w:hint="eastAsia" w:ascii="仿宋_GB2312" w:eastAsia="仿宋_GB2312"/>
          <w:spacing w:val="8"/>
          <w:sz w:val="32"/>
          <w:szCs w:val="32"/>
        </w:rPr>
        <w:t>。</w:t>
      </w:r>
      <w:bookmarkEnd w:id="41"/>
    </w:p>
    <w:p w14:paraId="25910A7B">
      <w:pPr>
        <w:keepNext w:val="0"/>
        <w:keepLines w:val="0"/>
        <w:pageBreakBefore w:val="0"/>
        <w:wordWrap/>
        <w:overflowPunct/>
        <w:topLinePunct w:val="0"/>
        <w:bidi w:val="0"/>
        <w:snapToGrid/>
        <w:spacing w:line="560" w:lineRule="exact"/>
        <w:contextualSpacing/>
        <w:jc w:val="both"/>
        <w:rPr>
          <w:rFonts w:ascii="黑体" w:hAnsi="黑体" w:eastAsia="黑体" w:cs="黑体"/>
          <w:color w:val="auto"/>
          <w:spacing w:val="21"/>
          <w:sz w:val="31"/>
          <w:szCs w:val="31"/>
          <w:lang w:eastAsia="zh-CN"/>
        </w:rPr>
      </w:pPr>
    </w:p>
    <w:p w14:paraId="3F9CD4CF">
      <w:pPr>
        <w:keepNext w:val="0"/>
        <w:keepLines w:val="0"/>
        <w:pageBreakBefore w:val="0"/>
        <w:wordWrap/>
        <w:overflowPunct/>
        <w:topLinePunct w:val="0"/>
        <w:bidi w:val="0"/>
        <w:snapToGrid/>
        <w:spacing w:line="560" w:lineRule="exact"/>
        <w:contextualSpacing/>
        <w:jc w:val="center"/>
        <w:rPr>
          <w:rFonts w:ascii="黑体" w:hAnsi="黑体" w:eastAsia="黑体" w:cs="黑体"/>
          <w:color w:val="auto"/>
          <w:spacing w:val="21"/>
          <w:sz w:val="31"/>
          <w:szCs w:val="31"/>
          <w:lang w:eastAsia="zh-CN"/>
        </w:rPr>
      </w:pPr>
      <w:r>
        <w:rPr>
          <w:rFonts w:ascii="黑体" w:hAnsi="黑体" w:eastAsia="黑体" w:cs="黑体"/>
          <w:color w:val="auto"/>
          <w:spacing w:val="21"/>
          <w:sz w:val="31"/>
          <w:szCs w:val="31"/>
          <w:lang w:eastAsia="zh-CN"/>
        </w:rPr>
        <w:t xml:space="preserve">第三章  </w:t>
      </w:r>
      <w:r>
        <w:rPr>
          <w:rFonts w:hint="eastAsia" w:ascii="黑体" w:hAnsi="黑体" w:eastAsia="黑体" w:cs="黑体"/>
          <w:color w:val="auto"/>
          <w:spacing w:val="21"/>
          <w:sz w:val="31"/>
          <w:szCs w:val="31"/>
          <w:lang w:eastAsia="zh-CN"/>
        </w:rPr>
        <w:t>变更审批</w:t>
      </w:r>
    </w:p>
    <w:p w14:paraId="464B4C8C">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bookmarkStart w:id="42" w:name="OLE_LINK72"/>
      <w:bookmarkStart w:id="43" w:name="OLE_LINK73"/>
      <w:bookmarkStart w:id="44" w:name="OLE_LINK75"/>
      <w:bookmarkStart w:id="45" w:name="OLE_LINK19"/>
      <w:bookmarkStart w:id="46" w:name="OLE_LINK18"/>
      <w:r>
        <w:rPr>
          <w:rFonts w:hint="eastAsia" w:ascii="楷体_GB2312" w:hAnsi="楷体_GB2312" w:eastAsia="楷体_GB2312" w:cs="楷体_GB2312"/>
          <w:b/>
          <w:bCs/>
          <w:spacing w:val="8"/>
          <w:sz w:val="32"/>
          <w:szCs w:val="32"/>
        </w:rPr>
        <w:t>第八条</w:t>
      </w:r>
      <w:r>
        <w:rPr>
          <w:rFonts w:hint="eastAsia" w:ascii="仿宋_GB2312" w:eastAsia="仿宋_GB2312"/>
          <w:spacing w:val="8"/>
          <w:sz w:val="32"/>
          <w:szCs w:val="32"/>
        </w:rPr>
        <w:t xml:space="preserve"> </w:t>
      </w:r>
      <w:bookmarkStart w:id="47" w:name="OLE_LINK107"/>
      <w:bookmarkStart w:id="48" w:name="OLE_LINK106"/>
      <w:bookmarkStart w:id="49" w:name="OLE_LINK51"/>
      <w:r>
        <w:rPr>
          <w:rFonts w:hint="eastAsia" w:ascii="仿宋_GB2312" w:eastAsia="仿宋_GB2312"/>
          <w:spacing w:val="8"/>
          <w:sz w:val="32"/>
          <w:szCs w:val="32"/>
        </w:rPr>
        <w:t>工程</w:t>
      </w:r>
      <w:bookmarkStart w:id="50" w:name="OLE_LINK121"/>
      <w:bookmarkStart w:id="51" w:name="OLE_LINK122"/>
      <w:bookmarkStart w:id="52" w:name="OLE_LINK38"/>
      <w:bookmarkStart w:id="53" w:name="OLE_LINK62"/>
      <w:r>
        <w:rPr>
          <w:rFonts w:hint="eastAsia" w:ascii="仿宋_GB2312" w:eastAsia="仿宋_GB2312"/>
          <w:spacing w:val="8"/>
          <w:sz w:val="32"/>
          <w:szCs w:val="32"/>
        </w:rPr>
        <w:t>单项</w:t>
      </w:r>
      <w:bookmarkEnd w:id="50"/>
      <w:bookmarkEnd w:id="51"/>
      <w:bookmarkStart w:id="54" w:name="OLE_LINK118"/>
      <w:bookmarkStart w:id="55" w:name="OLE_LINK116"/>
      <w:bookmarkStart w:id="56" w:name="OLE_LINK117"/>
      <w:bookmarkStart w:id="57" w:name="OLE_LINK119"/>
      <w:bookmarkStart w:id="58" w:name="OLE_LINK120"/>
      <w:r>
        <w:rPr>
          <w:rFonts w:hint="eastAsia" w:ascii="仿宋_GB2312" w:eastAsia="仿宋_GB2312"/>
          <w:spacing w:val="8"/>
          <w:sz w:val="32"/>
          <w:szCs w:val="32"/>
        </w:rPr>
        <w:t>变</w:t>
      </w:r>
      <w:bookmarkEnd w:id="54"/>
      <w:r>
        <w:rPr>
          <w:rFonts w:hint="eastAsia" w:ascii="仿宋_GB2312" w:eastAsia="仿宋_GB2312"/>
          <w:spacing w:val="8"/>
          <w:sz w:val="32"/>
          <w:szCs w:val="32"/>
        </w:rPr>
        <w:t>更</w:t>
      </w:r>
      <w:bookmarkEnd w:id="55"/>
      <w:bookmarkEnd w:id="56"/>
      <w:r>
        <w:rPr>
          <w:rFonts w:hint="eastAsia" w:ascii="仿宋_GB2312" w:eastAsia="仿宋_GB2312"/>
          <w:spacing w:val="8"/>
          <w:sz w:val="32"/>
          <w:szCs w:val="32"/>
        </w:rPr>
        <w:t>造价</w:t>
      </w:r>
      <w:bookmarkStart w:id="59" w:name="OLE_LINK71"/>
      <w:bookmarkStart w:id="60" w:name="OLE_LINK70"/>
      <w:bookmarkStart w:id="61" w:name="OLE_LINK3"/>
      <w:r>
        <w:rPr>
          <w:rFonts w:hint="eastAsia" w:ascii="仿宋_GB2312" w:eastAsia="仿宋_GB2312"/>
          <w:spacing w:val="8"/>
          <w:sz w:val="32"/>
          <w:szCs w:val="32"/>
        </w:rPr>
        <w:t>净增加</w:t>
      </w:r>
      <w:bookmarkEnd w:id="52"/>
      <w:bookmarkEnd w:id="53"/>
      <w:bookmarkEnd w:id="57"/>
      <w:bookmarkEnd w:id="58"/>
      <w:r>
        <w:rPr>
          <w:rFonts w:hint="eastAsia" w:ascii="仿宋_GB2312" w:eastAsia="仿宋_GB2312"/>
          <w:spacing w:val="8"/>
          <w:sz w:val="32"/>
          <w:szCs w:val="32"/>
        </w:rPr>
        <w:t>在10万元</w:t>
      </w:r>
      <w:r>
        <w:rPr>
          <w:rFonts w:hint="eastAsia" w:ascii="仿宋_GB2312" w:eastAsia="仿宋_GB2312"/>
          <w:spacing w:val="8"/>
          <w:sz w:val="32"/>
          <w:szCs w:val="32"/>
          <w:lang w:eastAsia="zh-CN"/>
        </w:rPr>
        <w:t>（</w:t>
      </w:r>
      <w:r>
        <w:rPr>
          <w:rFonts w:hint="eastAsia" w:ascii="仿宋_GB2312" w:eastAsia="仿宋_GB2312"/>
          <w:spacing w:val="8"/>
          <w:sz w:val="32"/>
          <w:szCs w:val="32"/>
        </w:rPr>
        <w:t>含</w:t>
      </w:r>
      <w:r>
        <w:rPr>
          <w:rFonts w:hint="eastAsia" w:ascii="仿宋_GB2312" w:eastAsia="仿宋_GB2312"/>
          <w:spacing w:val="8"/>
          <w:sz w:val="32"/>
          <w:szCs w:val="32"/>
          <w:lang w:eastAsia="zh-CN"/>
        </w:rPr>
        <w:t>）</w:t>
      </w:r>
      <w:r>
        <w:rPr>
          <w:rFonts w:hint="eastAsia" w:ascii="仿宋_GB2312" w:eastAsia="仿宋_GB2312"/>
          <w:spacing w:val="8"/>
          <w:sz w:val="32"/>
          <w:szCs w:val="32"/>
        </w:rPr>
        <w:t>以下，或</w:t>
      </w:r>
      <w:bookmarkStart w:id="62" w:name="OLE_LINK125"/>
      <w:bookmarkStart w:id="63" w:name="OLE_LINK123"/>
      <w:bookmarkStart w:id="64" w:name="OLE_LINK124"/>
      <w:r>
        <w:rPr>
          <w:rFonts w:hint="eastAsia" w:ascii="仿宋_GB2312" w:eastAsia="仿宋_GB2312"/>
          <w:spacing w:val="8"/>
          <w:sz w:val="32"/>
          <w:szCs w:val="32"/>
        </w:rPr>
        <w:t>累计变更造价净增加</w:t>
      </w:r>
      <w:bookmarkEnd w:id="62"/>
      <w:bookmarkEnd w:id="63"/>
      <w:bookmarkEnd w:id="64"/>
      <w:r>
        <w:rPr>
          <w:rFonts w:hint="eastAsia" w:ascii="仿宋_GB2312" w:eastAsia="仿宋_GB2312"/>
          <w:spacing w:val="8"/>
          <w:sz w:val="32"/>
          <w:szCs w:val="32"/>
        </w:rPr>
        <w:t>在20万元（含）以下的</w:t>
      </w:r>
      <w:bookmarkEnd w:id="42"/>
      <w:bookmarkEnd w:id="43"/>
      <w:bookmarkEnd w:id="44"/>
      <w:bookmarkEnd w:id="59"/>
      <w:bookmarkEnd w:id="60"/>
      <w:bookmarkEnd w:id="61"/>
      <w:r>
        <w:rPr>
          <w:rFonts w:hint="eastAsia" w:ascii="仿宋_GB2312" w:eastAsia="仿宋_GB2312"/>
          <w:spacing w:val="8"/>
          <w:sz w:val="32"/>
          <w:szCs w:val="32"/>
        </w:rPr>
        <w:t>，由建设单位负责向其主管部门提交工程变更申请</w:t>
      </w:r>
      <w:r>
        <w:rPr>
          <w:rFonts w:hint="eastAsia" w:ascii="仿宋_GB2312" w:eastAsia="仿宋_GB2312"/>
          <w:spacing w:val="8"/>
          <w:sz w:val="32"/>
          <w:szCs w:val="32"/>
          <w:lang w:eastAsia="zh-CN"/>
        </w:rPr>
        <w:t>（</w:t>
      </w:r>
      <w:r>
        <w:rPr>
          <w:rFonts w:hint="eastAsia" w:ascii="仿宋_GB2312" w:eastAsia="仿宋_GB2312"/>
          <w:spacing w:val="8"/>
          <w:sz w:val="32"/>
          <w:szCs w:val="32"/>
        </w:rPr>
        <w:t>无主管部门的，建设单位也须完善内部审批手续</w:t>
      </w:r>
      <w:r>
        <w:rPr>
          <w:rFonts w:hint="eastAsia" w:ascii="仿宋_GB2312" w:eastAsia="仿宋_GB2312"/>
          <w:spacing w:val="8"/>
          <w:sz w:val="32"/>
          <w:szCs w:val="32"/>
          <w:lang w:eastAsia="zh-CN"/>
        </w:rPr>
        <w:t>）</w:t>
      </w:r>
      <w:r>
        <w:rPr>
          <w:rFonts w:hint="eastAsia" w:ascii="仿宋_GB2312" w:eastAsia="仿宋_GB2312"/>
          <w:spacing w:val="8"/>
          <w:sz w:val="32"/>
          <w:szCs w:val="32"/>
        </w:rPr>
        <w:t>；</w:t>
      </w:r>
      <w:bookmarkStart w:id="65" w:name="OLE_LINK74"/>
      <w:r>
        <w:rPr>
          <w:rFonts w:hint="eastAsia" w:ascii="仿宋_GB2312" w:eastAsia="仿宋_GB2312"/>
          <w:spacing w:val="8"/>
          <w:sz w:val="32"/>
          <w:szCs w:val="32"/>
        </w:rPr>
        <w:t>对工程单项变更造价净增加在10万元以上</w:t>
      </w:r>
      <w:bookmarkStart w:id="66" w:name="OLE_LINK14"/>
      <w:bookmarkStart w:id="67" w:name="OLE_LINK10"/>
      <w:r>
        <w:rPr>
          <w:rFonts w:hint="eastAsia" w:ascii="仿宋_GB2312" w:eastAsia="仿宋_GB2312"/>
          <w:spacing w:val="8"/>
          <w:sz w:val="32"/>
          <w:szCs w:val="32"/>
        </w:rPr>
        <w:t>、</w:t>
      </w:r>
      <w:bookmarkEnd w:id="66"/>
      <w:bookmarkEnd w:id="67"/>
      <w:r>
        <w:rPr>
          <w:rFonts w:hint="eastAsia" w:ascii="仿宋_GB2312" w:eastAsia="仿宋_GB2312"/>
          <w:spacing w:val="8"/>
          <w:sz w:val="32"/>
          <w:szCs w:val="32"/>
        </w:rPr>
        <w:t>累计变更造价净增加在20万元以上的</w:t>
      </w:r>
      <w:bookmarkEnd w:id="65"/>
      <w:r>
        <w:rPr>
          <w:rFonts w:hint="eastAsia" w:ascii="仿宋_GB2312" w:eastAsia="仿宋_GB2312"/>
          <w:spacing w:val="8"/>
          <w:sz w:val="32"/>
          <w:szCs w:val="32"/>
        </w:rPr>
        <w:t>，</w:t>
      </w:r>
      <w:bookmarkStart w:id="68" w:name="OLE_LINK9"/>
      <w:bookmarkStart w:id="69" w:name="OLE_LINK8"/>
      <w:r>
        <w:rPr>
          <w:rFonts w:hint="eastAsia" w:ascii="仿宋_GB2312" w:eastAsia="仿宋_GB2312"/>
          <w:spacing w:val="8"/>
          <w:sz w:val="32"/>
          <w:szCs w:val="32"/>
        </w:rPr>
        <w:t>或</w:t>
      </w:r>
      <w:bookmarkStart w:id="70" w:name="OLE_LINK1"/>
      <w:r>
        <w:rPr>
          <w:rFonts w:hint="eastAsia" w:ascii="仿宋_GB2312" w:eastAsia="仿宋_GB2312"/>
          <w:spacing w:val="8"/>
          <w:sz w:val="32"/>
          <w:szCs w:val="32"/>
        </w:rPr>
        <w:t>单项工程变更增、减变化量在20万元以上的</w:t>
      </w:r>
      <w:bookmarkEnd w:id="70"/>
      <w:r>
        <w:rPr>
          <w:rFonts w:hint="eastAsia" w:ascii="仿宋_GB2312" w:eastAsia="仿宋_GB2312"/>
          <w:spacing w:val="8"/>
          <w:sz w:val="32"/>
          <w:szCs w:val="32"/>
        </w:rPr>
        <w:t>，需履行变更会审程序。</w:t>
      </w:r>
      <w:bookmarkEnd w:id="45"/>
      <w:bookmarkEnd w:id="46"/>
      <w:bookmarkEnd w:id="47"/>
      <w:bookmarkEnd w:id="48"/>
      <w:bookmarkEnd w:id="68"/>
      <w:bookmarkEnd w:id="69"/>
    </w:p>
    <w:bookmarkEnd w:id="49"/>
    <w:p w14:paraId="723E2C2B">
      <w:pPr>
        <w:keepNext w:val="0"/>
        <w:keepLines w:val="0"/>
        <w:pageBreakBefore w:val="0"/>
        <w:wordWrap/>
        <w:overflowPunct/>
        <w:topLinePunct w:val="0"/>
        <w:bidi w:val="0"/>
        <w:snapToGrid/>
        <w:spacing w:line="560" w:lineRule="exact"/>
        <w:ind w:firstLine="675" w:firstLineChars="200"/>
        <w:contextualSpacing/>
        <w:jc w:val="both"/>
        <w:rPr>
          <w:rFonts w:hint="eastAsia" w:ascii="仿宋_GB2312" w:hAnsi="仿宋_GB2312" w:eastAsia="仿宋_GB2312" w:cs="仿宋_GB2312"/>
          <w:color w:val="auto"/>
          <w:sz w:val="32"/>
          <w:szCs w:val="32"/>
          <w:lang w:eastAsia="zh-CN"/>
        </w:rPr>
      </w:pPr>
      <w:bookmarkStart w:id="71" w:name="OLE_LINK15"/>
      <w:bookmarkStart w:id="72" w:name="OLE_LINK13"/>
      <w:r>
        <w:rPr>
          <w:rFonts w:hint="eastAsia" w:ascii="楷体_GB2312" w:hAnsi="楷体_GB2312" w:eastAsia="楷体_GB2312" w:cs="楷体_GB2312"/>
          <w:b/>
          <w:bCs/>
          <w:snapToGrid/>
          <w:color w:val="auto"/>
          <w:spacing w:val="8"/>
          <w:kern w:val="0"/>
          <w:sz w:val="32"/>
          <w:szCs w:val="32"/>
          <w:lang w:val="en-US" w:eastAsia="zh-CN" w:bidi="ar-SA"/>
        </w:rPr>
        <w:t xml:space="preserve">第九条 </w:t>
      </w:r>
      <w:bookmarkStart w:id="73" w:name="OLE_LINK105"/>
      <w:bookmarkStart w:id="74" w:name="OLE_LINK63"/>
      <w:bookmarkStart w:id="75" w:name="OLE_LINK110"/>
      <w:bookmarkStart w:id="76" w:name="OLE_LINK108"/>
      <w:bookmarkStart w:id="77" w:name="OLE_LINK109"/>
      <w:r>
        <w:rPr>
          <w:rFonts w:hint="eastAsia" w:ascii="仿宋_GB2312" w:hAnsi="仿宋_GB2312" w:eastAsia="仿宋_GB2312" w:cs="仿宋_GB2312"/>
          <w:color w:val="auto"/>
          <w:sz w:val="32"/>
          <w:szCs w:val="32"/>
          <w:lang w:eastAsia="zh-CN"/>
        </w:rPr>
        <w:t>对工程</w:t>
      </w:r>
      <w:r>
        <w:rPr>
          <w:rFonts w:hint="eastAsia" w:ascii="仿宋_GB2312" w:eastAsia="仿宋_GB2312"/>
          <w:color w:val="auto"/>
          <w:spacing w:val="8"/>
          <w:sz w:val="32"/>
          <w:szCs w:val="32"/>
          <w:lang w:eastAsia="zh-CN"/>
        </w:rPr>
        <w:t>单项变更造价净增加</w:t>
      </w:r>
      <w:r>
        <w:rPr>
          <w:rFonts w:hint="eastAsia" w:ascii="仿宋_GB2312" w:hAnsi="仿宋_GB2312" w:eastAsia="仿宋_GB2312" w:cs="仿宋_GB2312"/>
          <w:color w:val="auto"/>
          <w:sz w:val="32"/>
          <w:szCs w:val="32"/>
          <w:lang w:eastAsia="zh-CN"/>
        </w:rPr>
        <w:t>超过</w:t>
      </w:r>
      <w:bookmarkEnd w:id="73"/>
      <w:bookmarkEnd w:id="74"/>
      <w:r>
        <w:rPr>
          <w:rFonts w:hint="eastAsia" w:ascii="仿宋_GB2312" w:hAnsi="仿宋_GB2312" w:eastAsia="仿宋_GB2312" w:cs="仿宋_GB2312"/>
          <w:color w:val="auto"/>
          <w:sz w:val="32"/>
          <w:szCs w:val="32"/>
          <w:lang w:eastAsia="zh-CN"/>
        </w:rPr>
        <w:t>50万元（含）、累计</w:t>
      </w:r>
      <w:r>
        <w:rPr>
          <w:rFonts w:hint="eastAsia" w:ascii="仿宋_GB2312" w:eastAsia="仿宋_GB2312"/>
          <w:color w:val="auto"/>
          <w:spacing w:val="8"/>
          <w:sz w:val="32"/>
          <w:szCs w:val="32"/>
          <w:lang w:eastAsia="zh-CN"/>
        </w:rPr>
        <w:t>变更造价净增加</w:t>
      </w:r>
      <w:r>
        <w:rPr>
          <w:rFonts w:hint="eastAsia" w:ascii="仿宋_GB2312" w:hAnsi="仿宋_GB2312" w:eastAsia="仿宋_GB2312" w:cs="仿宋_GB2312"/>
          <w:color w:val="auto"/>
          <w:sz w:val="32"/>
          <w:szCs w:val="32"/>
          <w:lang w:eastAsia="zh-CN"/>
        </w:rPr>
        <w:t>超过100万（含），或</w:t>
      </w:r>
      <w:r>
        <w:rPr>
          <w:rFonts w:hint="eastAsia" w:ascii="仿宋_GB2312" w:eastAsia="仿宋_GB2312"/>
          <w:color w:val="auto"/>
          <w:spacing w:val="8"/>
          <w:sz w:val="32"/>
          <w:szCs w:val="32"/>
          <w:lang w:eastAsia="zh-CN"/>
        </w:rPr>
        <w:t>单项工程变更增、减变化量在200万元以上的，</w:t>
      </w:r>
      <w:r>
        <w:rPr>
          <w:rFonts w:hint="eastAsia" w:ascii="仿宋_GB2312" w:hAnsi="仿宋_GB2312" w:eastAsia="仿宋_GB2312" w:cs="仿宋_GB2312"/>
          <w:color w:val="auto"/>
          <w:sz w:val="32"/>
          <w:szCs w:val="32"/>
          <w:lang w:eastAsia="zh-CN"/>
        </w:rPr>
        <w:t>变更会审通过后，经牵头审查单位分管副县长批准方可实施；对于单项净变更造价增加金额超过100万元（含）、累计</w:t>
      </w:r>
      <w:r>
        <w:rPr>
          <w:rFonts w:hint="eastAsia" w:ascii="仿宋_GB2312" w:eastAsia="仿宋_GB2312"/>
          <w:color w:val="auto"/>
          <w:spacing w:val="8"/>
          <w:sz w:val="32"/>
          <w:szCs w:val="32"/>
          <w:lang w:eastAsia="zh-CN"/>
        </w:rPr>
        <w:t>变更造价净增加</w:t>
      </w:r>
      <w:r>
        <w:rPr>
          <w:rFonts w:hint="eastAsia" w:ascii="仿宋_GB2312" w:hAnsi="仿宋_GB2312" w:eastAsia="仿宋_GB2312" w:cs="仿宋_GB2312"/>
          <w:color w:val="auto"/>
          <w:sz w:val="32"/>
          <w:szCs w:val="32"/>
          <w:lang w:eastAsia="zh-CN"/>
        </w:rPr>
        <w:t>超过200万（含），或</w:t>
      </w:r>
      <w:r>
        <w:rPr>
          <w:rFonts w:hint="eastAsia" w:ascii="仿宋_GB2312" w:eastAsia="仿宋_GB2312"/>
          <w:color w:val="auto"/>
          <w:spacing w:val="8"/>
          <w:sz w:val="32"/>
          <w:szCs w:val="32"/>
          <w:lang w:eastAsia="zh-CN"/>
        </w:rPr>
        <w:t>单项工程变更增、减变化量在400万元以上的，</w:t>
      </w:r>
      <w:r>
        <w:rPr>
          <w:rFonts w:hint="eastAsia" w:ascii="仿宋_GB2312" w:hAnsi="仿宋_GB2312" w:eastAsia="仿宋_GB2312" w:cs="仿宋_GB2312"/>
          <w:color w:val="auto"/>
          <w:sz w:val="32"/>
          <w:szCs w:val="32"/>
          <w:lang w:eastAsia="zh-CN"/>
        </w:rPr>
        <w:t>变更会审通过后，经县政府常务会议批准方可实施。工程变更具体实施方法依据审批意见执行。</w:t>
      </w:r>
      <w:bookmarkEnd w:id="75"/>
      <w:bookmarkEnd w:id="76"/>
      <w:bookmarkEnd w:id="77"/>
      <w:bookmarkStart w:id="78" w:name="OLE_LINK23"/>
      <w:bookmarkStart w:id="79" w:name="OLE_LINK66"/>
      <w:bookmarkStart w:id="80" w:name="OLE_LINK55"/>
      <w:bookmarkStart w:id="81" w:name="OLE_LINK57"/>
      <w:bookmarkStart w:id="82" w:name="OLE_LINK21"/>
      <w:r>
        <w:rPr>
          <w:rFonts w:hint="eastAsia" w:ascii="仿宋_GB2312" w:hAnsi="仿宋_GB2312" w:eastAsia="仿宋_GB2312" w:cs="仿宋_GB2312"/>
          <w:color w:val="auto"/>
          <w:sz w:val="32"/>
          <w:szCs w:val="32"/>
          <w:lang w:eastAsia="zh-CN"/>
        </w:rPr>
        <w:t>其他金额的单项变更，</w:t>
      </w:r>
      <w:bookmarkStart w:id="83" w:name="OLE_LINK7"/>
      <w:bookmarkStart w:id="84" w:name="OLE_LINK2"/>
      <w:r>
        <w:rPr>
          <w:rFonts w:hint="eastAsia" w:ascii="仿宋_GB2312" w:hAnsi="仿宋_GB2312" w:eastAsia="仿宋_GB2312" w:cs="仿宋_GB2312"/>
          <w:color w:val="auto"/>
          <w:sz w:val="32"/>
          <w:szCs w:val="32"/>
          <w:lang w:eastAsia="zh-CN"/>
        </w:rPr>
        <w:t>变更会审通过后，</w:t>
      </w:r>
      <w:bookmarkEnd w:id="83"/>
      <w:bookmarkEnd w:id="84"/>
      <w:r>
        <w:rPr>
          <w:rFonts w:hint="eastAsia" w:ascii="仿宋_GB2312" w:hAnsi="仿宋_GB2312" w:eastAsia="仿宋_GB2312" w:cs="仿宋_GB2312"/>
          <w:color w:val="auto"/>
          <w:sz w:val="32"/>
          <w:szCs w:val="32"/>
          <w:lang w:eastAsia="zh-CN"/>
        </w:rPr>
        <w:t>牵头审查</w:t>
      </w:r>
    </w:p>
    <w:p w14:paraId="34063283">
      <w:pPr>
        <w:keepNext w:val="0"/>
        <w:keepLines w:val="0"/>
        <w:pageBreakBefore w:val="0"/>
        <w:wordWrap/>
        <w:overflowPunct/>
        <w:topLinePunct w:val="0"/>
        <w:bidi w:val="0"/>
        <w:snapToGrid/>
        <w:spacing w:line="560" w:lineRule="exact"/>
        <w:contextualSpacing/>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单位原则上不再上报分管副县长或县政府常务会议批准，项目</w:t>
      </w:r>
    </w:p>
    <w:p w14:paraId="04D93D2E">
      <w:pPr>
        <w:keepNext w:val="0"/>
        <w:keepLines w:val="0"/>
        <w:pageBreakBefore w:val="0"/>
        <w:wordWrap/>
        <w:overflowPunct/>
        <w:topLinePunct w:val="0"/>
        <w:bidi w:val="0"/>
        <w:snapToGrid/>
        <w:spacing w:line="560" w:lineRule="exact"/>
        <w:contextualSpacing/>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建设单位认为确有需要的可自行上报。</w:t>
      </w:r>
    </w:p>
    <w:bookmarkEnd w:id="78"/>
    <w:bookmarkEnd w:id="79"/>
    <w:bookmarkEnd w:id="80"/>
    <w:bookmarkEnd w:id="81"/>
    <w:bookmarkEnd w:id="82"/>
    <w:p w14:paraId="776F463E">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hAnsi="仿宋_GB2312" w:eastAsia="仿宋_GB2312" w:cs="仿宋_GB2312"/>
          <w:sz w:val="32"/>
          <w:szCs w:val="32"/>
        </w:rPr>
      </w:pPr>
      <w:r>
        <w:rPr>
          <w:rFonts w:hint="eastAsia" w:ascii="楷体_GB2312" w:hAnsi="楷体_GB2312" w:eastAsia="楷体_GB2312" w:cs="楷体_GB2312"/>
          <w:b/>
          <w:bCs/>
          <w:spacing w:val="8"/>
          <w:sz w:val="32"/>
          <w:szCs w:val="32"/>
        </w:rPr>
        <w:t>第十条</w:t>
      </w:r>
      <w:r>
        <w:rPr>
          <w:rFonts w:ascii="仿宋_GB2312" w:eastAsia="仿宋_GB2312"/>
          <w:spacing w:val="8"/>
          <w:sz w:val="32"/>
          <w:szCs w:val="32"/>
        </w:rPr>
        <w:t xml:space="preserve"> 下述情况</w:t>
      </w:r>
      <w:bookmarkStart w:id="85" w:name="OLE_LINK100"/>
      <w:bookmarkStart w:id="86" w:name="OLE_LINK67"/>
      <w:r>
        <w:rPr>
          <w:rFonts w:ascii="仿宋_GB2312" w:eastAsia="仿宋_GB2312"/>
          <w:spacing w:val="8"/>
          <w:sz w:val="32"/>
          <w:szCs w:val="32"/>
        </w:rPr>
        <w:t>不需履行会审程序</w:t>
      </w:r>
      <w:bookmarkEnd w:id="85"/>
      <w:bookmarkEnd w:id="86"/>
      <w:r>
        <w:rPr>
          <w:rFonts w:ascii="仿宋_GB2312" w:eastAsia="仿宋_GB2312"/>
          <w:spacing w:val="8"/>
          <w:sz w:val="32"/>
          <w:szCs w:val="32"/>
        </w:rPr>
        <w:t>，结算时据实扣除：</w:t>
      </w:r>
      <w:bookmarkStart w:id="87" w:name="OLE_LINK6"/>
    </w:p>
    <w:bookmarkEnd w:id="71"/>
    <w:bookmarkEnd w:id="72"/>
    <w:bookmarkEnd w:id="87"/>
    <w:p w14:paraId="759987E1">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ascii="仿宋_GB2312" w:eastAsia="仿宋_GB2312"/>
          <w:spacing w:val="8"/>
          <w:sz w:val="32"/>
          <w:szCs w:val="32"/>
        </w:rPr>
        <w:t>（一）因征地、拆迁等原因导致项目部分工程无法实施而进行甩项处理的，原则上</w:t>
      </w:r>
      <w:r>
        <w:rPr>
          <w:rFonts w:hint="eastAsia" w:ascii="仿宋_GB2312" w:eastAsia="仿宋_GB2312"/>
          <w:spacing w:val="8"/>
          <w:sz w:val="32"/>
          <w:szCs w:val="32"/>
        </w:rPr>
        <w:t>无需</w:t>
      </w:r>
      <w:r>
        <w:rPr>
          <w:rFonts w:ascii="仿宋_GB2312" w:eastAsia="仿宋_GB2312"/>
          <w:spacing w:val="8"/>
          <w:sz w:val="32"/>
          <w:szCs w:val="32"/>
        </w:rPr>
        <w:t>作为变更上报会审。项目建设单位依据辖区政府出具的征地拆迁近期无法完成并建议甩项处理的函件，在确保道路交通设施功能齐全和交通安全的前提下，报县政府批准同意后，做甩项处理，结算时据实扣除，甩项部分由相应辖区负责出资建设。</w:t>
      </w:r>
    </w:p>
    <w:p w14:paraId="6BBF7DE6">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ascii="仿宋_GB2312" w:eastAsia="仿宋_GB2312"/>
          <w:spacing w:val="8"/>
          <w:sz w:val="32"/>
          <w:szCs w:val="32"/>
        </w:rPr>
        <w:t>（二）合同</w:t>
      </w:r>
      <w:bookmarkStart w:id="88" w:name="OLE_LINK134"/>
      <w:bookmarkStart w:id="89" w:name="OLE_LINK133"/>
      <w:r>
        <w:rPr>
          <w:rFonts w:ascii="仿宋_GB2312" w:eastAsia="仿宋_GB2312"/>
          <w:spacing w:val="8"/>
          <w:sz w:val="32"/>
          <w:szCs w:val="32"/>
        </w:rPr>
        <w:t>内工程内容因实际情况并经项目建设单位论证确属不需要实施的</w:t>
      </w:r>
      <w:r>
        <w:rPr>
          <w:rFonts w:hint="eastAsia" w:ascii="仿宋_GB2312" w:eastAsia="仿宋_GB2312"/>
          <w:spacing w:val="8"/>
          <w:sz w:val="32"/>
          <w:szCs w:val="32"/>
          <w:lang w:eastAsia="zh-CN"/>
        </w:rPr>
        <w:t>：</w:t>
      </w:r>
    </w:p>
    <w:p w14:paraId="4B97F27C">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ascii="仿宋_GB2312" w:eastAsia="仿宋_GB2312"/>
          <w:spacing w:val="8"/>
          <w:sz w:val="32"/>
          <w:szCs w:val="32"/>
        </w:rPr>
        <w:t>1.合同价0-1000万元以下（含1000万元），工程单项负变更金额（绝对值）小于10万元且负变更（绝对值）累计不超过工程总造价5%;</w:t>
      </w:r>
    </w:p>
    <w:p w14:paraId="224B7658">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ascii="仿宋_GB2312" w:eastAsia="仿宋_GB2312"/>
          <w:spacing w:val="8"/>
          <w:sz w:val="32"/>
          <w:szCs w:val="32"/>
        </w:rPr>
        <w:t>2.合同价1000-3000万元以下（含3000万元），工程单项负变更金额（绝对值）小于20万元且负变更（绝对值）累计不超过工程总造价5%；</w:t>
      </w:r>
    </w:p>
    <w:p w14:paraId="2D72E5D3">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ascii="仿宋_GB2312" w:eastAsia="仿宋_GB2312"/>
          <w:spacing w:val="8"/>
          <w:sz w:val="32"/>
          <w:szCs w:val="32"/>
        </w:rPr>
        <w:t>3.合同价3000-5000万元以下（含5000万元），工程单项负变更金额（绝对值）小于30万元且负变更（绝对值）累计不超过工程总造价5%；</w:t>
      </w:r>
    </w:p>
    <w:p w14:paraId="68217FCE">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ascii="仿宋_GB2312" w:eastAsia="仿宋_GB2312"/>
          <w:spacing w:val="8"/>
          <w:sz w:val="32"/>
          <w:szCs w:val="32"/>
        </w:rPr>
        <w:t>4.合同价5000万元以上，工程单项负变更金额（绝对值）小于50万元且负变更（绝对值）累计不超过工程总造价5%。</w:t>
      </w:r>
    </w:p>
    <w:p w14:paraId="739132C8">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hint="eastAsia" w:ascii="仿宋_GB2312" w:eastAsia="仿宋_GB2312"/>
          <w:spacing w:val="8"/>
          <w:sz w:val="32"/>
          <w:szCs w:val="32"/>
        </w:rPr>
      </w:pPr>
      <w:r>
        <w:rPr>
          <w:rFonts w:hint="eastAsia" w:ascii="楷体_GB2312" w:hAnsi="楷体_GB2312" w:eastAsia="楷体_GB2312" w:cs="楷体_GB2312"/>
          <w:b/>
          <w:bCs/>
          <w:spacing w:val="8"/>
          <w:sz w:val="32"/>
          <w:szCs w:val="32"/>
        </w:rPr>
        <w:t>第十一条</w:t>
      </w:r>
      <w:r>
        <w:rPr>
          <w:rFonts w:hint="eastAsia" w:ascii="仿宋_GB2312" w:eastAsia="仿宋_GB2312"/>
          <w:spacing w:val="8"/>
          <w:sz w:val="32"/>
          <w:szCs w:val="32"/>
        </w:rPr>
        <w:t xml:space="preserve">  工程施工招标时，列入清单内的暂定量和暂</w:t>
      </w:r>
    </w:p>
    <w:p w14:paraId="21466460">
      <w:pPr>
        <w:pStyle w:val="17"/>
        <w:keepNext w:val="0"/>
        <w:keepLines w:val="0"/>
        <w:pageBreakBefore w:val="0"/>
        <w:shd w:val="clear" w:color="auto" w:fill="FFFFFF"/>
        <w:wordWrap/>
        <w:overflowPunct/>
        <w:topLinePunct w:val="0"/>
        <w:bidi w:val="0"/>
        <w:snapToGrid/>
        <w:spacing w:before="0" w:beforeAutospacing="0" w:after="0" w:afterAutospacing="0" w:line="560" w:lineRule="exact"/>
        <w:contextualSpacing/>
        <w:jc w:val="both"/>
        <w:rPr>
          <w:rFonts w:hint="eastAsia" w:ascii="仿宋_GB2312" w:eastAsia="仿宋_GB2312"/>
          <w:spacing w:val="8"/>
          <w:sz w:val="32"/>
          <w:szCs w:val="32"/>
        </w:rPr>
      </w:pPr>
      <w:r>
        <w:rPr>
          <w:rFonts w:hint="eastAsia" w:ascii="仿宋_GB2312" w:eastAsia="仿宋_GB2312"/>
          <w:spacing w:val="8"/>
          <w:sz w:val="32"/>
          <w:szCs w:val="32"/>
        </w:rPr>
        <w:t>定价的总额各自不得超过控制价</w:t>
      </w:r>
      <w:r>
        <w:rPr>
          <w:rFonts w:ascii="仿宋_GB2312" w:eastAsia="仿宋_GB2312"/>
          <w:spacing w:val="8"/>
          <w:sz w:val="32"/>
          <w:szCs w:val="32"/>
        </w:rPr>
        <w:t>5%</w:t>
      </w:r>
      <w:r>
        <w:rPr>
          <w:rFonts w:hint="eastAsia" w:ascii="仿宋_GB2312" w:eastAsia="仿宋_GB2312"/>
          <w:spacing w:val="8"/>
          <w:sz w:val="32"/>
          <w:szCs w:val="32"/>
        </w:rPr>
        <w:t>，且明确使用范围和内容，</w:t>
      </w:r>
    </w:p>
    <w:p w14:paraId="1B2B8C26">
      <w:pPr>
        <w:pStyle w:val="17"/>
        <w:keepNext w:val="0"/>
        <w:keepLines w:val="0"/>
        <w:pageBreakBefore w:val="0"/>
        <w:shd w:val="clear" w:color="auto" w:fill="FFFFFF"/>
        <w:wordWrap/>
        <w:overflowPunct/>
        <w:topLinePunct w:val="0"/>
        <w:bidi w:val="0"/>
        <w:snapToGrid/>
        <w:spacing w:before="0" w:beforeAutospacing="0" w:after="0" w:afterAutospacing="0" w:line="560" w:lineRule="exact"/>
        <w:contextualSpacing/>
        <w:jc w:val="both"/>
        <w:rPr>
          <w:rFonts w:ascii="仿宋_GB2312" w:eastAsia="仿宋_GB2312"/>
          <w:spacing w:val="8"/>
          <w:sz w:val="32"/>
          <w:szCs w:val="32"/>
        </w:rPr>
      </w:pPr>
      <w:r>
        <w:rPr>
          <w:rFonts w:hint="eastAsia" w:ascii="仿宋_GB2312" w:eastAsia="仿宋_GB2312"/>
          <w:spacing w:val="8"/>
          <w:sz w:val="32"/>
          <w:szCs w:val="32"/>
        </w:rPr>
        <w:t>其中，</w:t>
      </w:r>
      <w:bookmarkStart w:id="90" w:name="OLE_LINK4"/>
      <w:bookmarkStart w:id="91" w:name="OLE_LINK5"/>
      <w:r>
        <w:rPr>
          <w:rFonts w:hint="eastAsia" w:ascii="仿宋_GB2312" w:eastAsia="仿宋_GB2312"/>
          <w:spacing w:val="8"/>
          <w:sz w:val="32"/>
          <w:szCs w:val="32"/>
        </w:rPr>
        <w:t>单项暂定量的累计调整增量不得超过该项暂定量的</w:t>
      </w:r>
      <w:r>
        <w:rPr>
          <w:rFonts w:ascii="仿宋_GB2312" w:eastAsia="仿宋_GB2312"/>
          <w:spacing w:val="8"/>
          <w:sz w:val="32"/>
          <w:szCs w:val="32"/>
        </w:rPr>
        <w:t>20%</w:t>
      </w:r>
      <w:r>
        <w:rPr>
          <w:rFonts w:hint="eastAsia" w:ascii="仿宋_GB2312" w:eastAsia="仿宋_GB2312"/>
          <w:spacing w:val="8"/>
          <w:sz w:val="32"/>
          <w:szCs w:val="32"/>
        </w:rPr>
        <w:t>。</w:t>
      </w:r>
      <w:bookmarkEnd w:id="90"/>
      <w:bookmarkEnd w:id="91"/>
      <w:r>
        <w:rPr>
          <w:rFonts w:hint="eastAsia" w:ascii="仿宋_GB2312" w:eastAsia="仿宋_GB2312"/>
          <w:spacing w:val="8"/>
          <w:sz w:val="32"/>
          <w:szCs w:val="32"/>
        </w:rPr>
        <w:t>暂定量和暂定价在额度范围内的使用不再履行变更会审审批程序，项目监理单位和建设单位应严格做好现场计量工作，并保留相关资料备查。</w:t>
      </w:r>
    </w:p>
    <w:p w14:paraId="0B54E45B">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r>
        <w:rPr>
          <w:rFonts w:hint="eastAsia" w:ascii="楷体_GB2312" w:hAnsi="楷体_GB2312" w:eastAsia="楷体_GB2312" w:cs="楷体_GB2312"/>
          <w:b/>
          <w:bCs/>
          <w:spacing w:val="8"/>
          <w:sz w:val="32"/>
          <w:szCs w:val="32"/>
        </w:rPr>
        <w:t>第十二条</w:t>
      </w:r>
      <w:bookmarkStart w:id="92" w:name="OLE_LINK98"/>
      <w:bookmarkStart w:id="93" w:name="OLE_LINK99"/>
      <w:r>
        <w:rPr>
          <w:rFonts w:ascii="仿宋_GB2312" w:eastAsia="仿宋_GB2312"/>
          <w:spacing w:val="8"/>
          <w:sz w:val="32"/>
          <w:szCs w:val="32"/>
        </w:rPr>
        <w:t xml:space="preserve"> </w:t>
      </w:r>
      <w:bookmarkStart w:id="94" w:name="OLE_LINK92"/>
      <w:bookmarkStart w:id="95" w:name="OLE_LINK91"/>
      <w:bookmarkStart w:id="96" w:name="OLE_LINK87"/>
      <w:bookmarkStart w:id="97" w:name="OLE_LINK88"/>
      <w:bookmarkStart w:id="98" w:name="OLE_LINK86"/>
      <w:bookmarkStart w:id="99" w:name="OLE_LINK85"/>
      <w:bookmarkStart w:id="100" w:name="OLE_LINK95"/>
      <w:bookmarkStart w:id="101" w:name="OLE_LINK94"/>
      <w:bookmarkStart w:id="102" w:name="OLE_LINK84"/>
      <w:bookmarkStart w:id="103" w:name="OLE_LINK82"/>
      <w:bookmarkStart w:id="104" w:name="OLE_LINK89"/>
      <w:bookmarkStart w:id="105" w:name="OLE_LINK97"/>
      <w:bookmarkStart w:id="106" w:name="OLE_LINK93"/>
      <w:bookmarkStart w:id="107" w:name="OLE_LINK83"/>
      <w:bookmarkStart w:id="108" w:name="OLE_LINK96"/>
      <w:bookmarkStart w:id="109" w:name="OLE_LINK90"/>
      <w:r>
        <w:rPr>
          <w:rFonts w:ascii="仿宋_GB2312" w:eastAsia="仿宋_GB2312"/>
          <w:spacing w:val="8"/>
          <w:sz w:val="32"/>
          <w:szCs w:val="32"/>
        </w:rPr>
        <w:t>凡未按程序申请的变更原则上不予会审，</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仿宋_GB2312" w:eastAsia="仿宋_GB2312"/>
          <w:spacing w:val="8"/>
          <w:sz w:val="32"/>
          <w:szCs w:val="32"/>
        </w:rPr>
        <w:t>但确属应急抢险范畴且非合同乙方应当自行承担费用的变更工程，可由建设单位先行组织开展应急抢险工作，同步办理涉及变更相关手续。</w:t>
      </w:r>
    </w:p>
    <w:p w14:paraId="57D4579A">
      <w:pPr>
        <w:keepNext w:val="0"/>
        <w:keepLines w:val="0"/>
        <w:pageBreakBefore w:val="0"/>
        <w:wordWrap/>
        <w:overflowPunct/>
        <w:topLinePunct w:val="0"/>
        <w:bidi w:val="0"/>
        <w:snapToGrid/>
        <w:spacing w:line="560" w:lineRule="exact"/>
        <w:contextualSpacing/>
        <w:jc w:val="both"/>
        <w:rPr>
          <w:rFonts w:ascii="黑体" w:hAnsi="黑体" w:eastAsia="黑体" w:cs="黑体"/>
          <w:color w:val="auto"/>
          <w:spacing w:val="21"/>
          <w:sz w:val="31"/>
          <w:szCs w:val="31"/>
          <w:lang w:eastAsia="zh-CN"/>
        </w:rPr>
      </w:pPr>
    </w:p>
    <w:p w14:paraId="55968466">
      <w:pPr>
        <w:keepNext w:val="0"/>
        <w:keepLines w:val="0"/>
        <w:pageBreakBefore w:val="0"/>
        <w:wordWrap/>
        <w:overflowPunct/>
        <w:topLinePunct w:val="0"/>
        <w:bidi w:val="0"/>
        <w:snapToGrid/>
        <w:spacing w:line="560" w:lineRule="exact"/>
        <w:contextualSpacing/>
        <w:jc w:val="center"/>
        <w:rPr>
          <w:rFonts w:ascii="黑体" w:hAnsi="黑体" w:eastAsia="黑体" w:cs="黑体"/>
          <w:color w:val="auto"/>
          <w:spacing w:val="21"/>
          <w:sz w:val="31"/>
          <w:szCs w:val="31"/>
          <w:lang w:eastAsia="zh-CN"/>
        </w:rPr>
      </w:pPr>
      <w:r>
        <w:rPr>
          <w:rFonts w:ascii="黑体" w:hAnsi="黑体" w:eastAsia="黑体" w:cs="黑体"/>
          <w:color w:val="auto"/>
          <w:spacing w:val="21"/>
          <w:sz w:val="31"/>
          <w:szCs w:val="31"/>
          <w:lang w:eastAsia="zh-CN"/>
        </w:rPr>
        <w:t>第四章</w:t>
      </w:r>
      <w:r>
        <w:rPr>
          <w:rFonts w:hint="eastAsia" w:ascii="黑体" w:hAnsi="黑体" w:eastAsia="黑体" w:cs="黑体"/>
          <w:color w:val="auto"/>
          <w:spacing w:val="21"/>
          <w:sz w:val="31"/>
          <w:szCs w:val="31"/>
          <w:lang w:eastAsia="zh-CN"/>
        </w:rPr>
        <w:t xml:space="preserve">  会审</w:t>
      </w:r>
      <w:r>
        <w:rPr>
          <w:rFonts w:ascii="黑体" w:hAnsi="黑体" w:eastAsia="黑体" w:cs="黑体"/>
          <w:color w:val="auto"/>
          <w:spacing w:val="21"/>
          <w:sz w:val="31"/>
          <w:szCs w:val="31"/>
          <w:lang w:eastAsia="zh-CN"/>
        </w:rPr>
        <w:t>程序</w:t>
      </w:r>
    </w:p>
    <w:p w14:paraId="217F91B3">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r>
        <w:rPr>
          <w:rFonts w:hint="eastAsia" w:ascii="楷体_GB2312" w:hAnsi="楷体_GB2312" w:eastAsia="楷体_GB2312" w:cs="楷体_GB2312"/>
          <w:b/>
          <w:bCs/>
          <w:spacing w:val="8"/>
          <w:sz w:val="32"/>
          <w:szCs w:val="32"/>
        </w:rPr>
        <w:t>第十三条</w:t>
      </w:r>
      <w:r>
        <w:rPr>
          <w:rFonts w:ascii="仿宋_GB2312" w:eastAsia="仿宋_GB2312"/>
          <w:spacing w:val="8"/>
          <w:sz w:val="32"/>
          <w:szCs w:val="32"/>
        </w:rPr>
        <w:t xml:space="preserve"> </w:t>
      </w:r>
      <w:r>
        <w:rPr>
          <w:rFonts w:hint="eastAsia" w:ascii="仿宋_GB2312" w:eastAsia="仿宋_GB2312"/>
          <w:spacing w:val="8"/>
          <w:sz w:val="32"/>
          <w:szCs w:val="32"/>
        </w:rPr>
        <w:t>建设规划的调整需变更工程的，应提供规划批准意见书，政府或行政监督部门的批准文件等资料。</w:t>
      </w:r>
    </w:p>
    <w:p w14:paraId="792CA348">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r>
        <w:rPr>
          <w:rFonts w:hint="eastAsia" w:ascii="楷体_GB2312" w:hAnsi="楷体_GB2312" w:eastAsia="楷体_GB2312" w:cs="楷体_GB2312"/>
          <w:b/>
          <w:bCs/>
          <w:spacing w:val="8"/>
          <w:sz w:val="32"/>
          <w:szCs w:val="32"/>
        </w:rPr>
        <w:t>第十四条</w:t>
      </w:r>
      <w:r>
        <w:rPr>
          <w:rFonts w:ascii="仿宋_GB2312" w:eastAsia="仿宋_GB2312"/>
          <w:spacing w:val="8"/>
          <w:sz w:val="32"/>
          <w:szCs w:val="32"/>
        </w:rPr>
        <w:t xml:space="preserve"> </w:t>
      </w:r>
      <w:r>
        <w:rPr>
          <w:rFonts w:hint="eastAsia" w:ascii="仿宋_GB2312" w:eastAsia="仿宋_GB2312"/>
          <w:spacing w:val="8"/>
          <w:sz w:val="32"/>
          <w:szCs w:val="32"/>
        </w:rPr>
        <w:t>因外部环境、不可抗力、工期变化等非施工单位原因造成工程变更，应提供有建设、施工、监理等单位签字认可的原因分析和论证等资料。</w:t>
      </w:r>
    </w:p>
    <w:p w14:paraId="570AC709">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r>
        <w:rPr>
          <w:rFonts w:hint="eastAsia" w:ascii="楷体_GB2312" w:hAnsi="楷体_GB2312" w:eastAsia="楷体_GB2312" w:cs="楷体_GB2312"/>
          <w:b/>
          <w:bCs/>
          <w:spacing w:val="8"/>
          <w:sz w:val="32"/>
          <w:szCs w:val="32"/>
        </w:rPr>
        <w:t>第十五条</w:t>
      </w:r>
      <w:r>
        <w:rPr>
          <w:rFonts w:ascii="仿宋_GB2312" w:eastAsia="仿宋_GB2312"/>
          <w:spacing w:val="8"/>
          <w:sz w:val="32"/>
          <w:szCs w:val="32"/>
        </w:rPr>
        <w:t xml:space="preserve"> </w:t>
      </w:r>
      <w:r>
        <w:rPr>
          <w:rFonts w:hint="eastAsia" w:ascii="仿宋_GB2312" w:eastAsia="仿宋_GB2312"/>
          <w:spacing w:val="8"/>
          <w:sz w:val="32"/>
          <w:szCs w:val="32"/>
        </w:rPr>
        <w:t>设计变更应提供可选择的设计变更方案，原设计单位的书面意见及监理单位的技术审核和经济论证资料，需专家论证的提供专家论证资料，涉及节能部分变更的还应提供工程原审图部门的重新审查意见。</w:t>
      </w:r>
    </w:p>
    <w:p w14:paraId="507A970D">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r>
        <w:rPr>
          <w:rFonts w:hint="eastAsia" w:ascii="楷体_GB2312" w:hAnsi="楷体_GB2312" w:eastAsia="楷体_GB2312" w:cs="楷体_GB2312"/>
          <w:b/>
          <w:bCs/>
          <w:spacing w:val="8"/>
          <w:sz w:val="32"/>
          <w:szCs w:val="32"/>
        </w:rPr>
        <w:t>第十六条</w:t>
      </w:r>
      <w:r>
        <w:rPr>
          <w:rFonts w:ascii="仿宋_GB2312" w:eastAsia="仿宋_GB2312"/>
          <w:spacing w:val="8"/>
          <w:sz w:val="32"/>
          <w:szCs w:val="32"/>
        </w:rPr>
        <w:t xml:space="preserve"> </w:t>
      </w:r>
      <w:r>
        <w:rPr>
          <w:rFonts w:hint="eastAsia" w:ascii="仿宋_GB2312" w:eastAsia="仿宋_GB2312"/>
          <w:spacing w:val="8"/>
          <w:sz w:val="32"/>
          <w:szCs w:val="32"/>
        </w:rPr>
        <w:t>材料与设备换用、招标时暂定价的确认，应提</w:t>
      </w:r>
      <w:r>
        <w:rPr>
          <w:rFonts w:ascii="仿宋_GB2312" w:eastAsia="仿宋_GB2312"/>
          <w:spacing w:val="8"/>
          <w:sz w:val="32"/>
          <w:szCs w:val="32"/>
        </w:rPr>
        <w:t xml:space="preserve"> </w:t>
      </w:r>
      <w:r>
        <w:rPr>
          <w:rFonts w:hint="eastAsia" w:ascii="仿宋_GB2312" w:eastAsia="仿宋_GB2312"/>
          <w:spacing w:val="8"/>
          <w:sz w:val="32"/>
          <w:szCs w:val="32"/>
        </w:rPr>
        <w:t>供建设单位、设计单位、监理单位、造价咨询单位的书面意见、材料设备的规格、型号、品牌、质量等级、生产厂家以及现场询价签证等资料，经批准以后，方可进行材料采购招标和造价变更。</w:t>
      </w:r>
    </w:p>
    <w:p w14:paraId="776B3AD0">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r>
        <w:rPr>
          <w:rFonts w:hint="eastAsia" w:ascii="楷体_GB2312" w:hAnsi="楷体_GB2312" w:eastAsia="楷体_GB2312" w:cs="楷体_GB2312"/>
          <w:b/>
          <w:bCs/>
          <w:spacing w:val="8"/>
          <w:sz w:val="32"/>
          <w:szCs w:val="32"/>
        </w:rPr>
        <w:t>第十七条</w:t>
      </w:r>
      <w:r>
        <w:rPr>
          <w:rFonts w:ascii="仿宋_GB2312" w:eastAsia="仿宋_GB2312"/>
          <w:spacing w:val="8"/>
          <w:sz w:val="32"/>
          <w:szCs w:val="32"/>
        </w:rPr>
        <w:t xml:space="preserve"> </w:t>
      </w:r>
      <w:bookmarkStart w:id="110" w:name="OLE_LINK16"/>
      <w:bookmarkStart w:id="111" w:name="OLE_LINK22"/>
      <w:bookmarkStart w:id="112" w:name="OLE_LINK17"/>
      <w:r>
        <w:rPr>
          <w:rFonts w:ascii="仿宋_GB2312" w:eastAsia="仿宋_GB2312"/>
          <w:spacing w:val="8"/>
          <w:sz w:val="32"/>
          <w:szCs w:val="32"/>
        </w:rPr>
        <w:t>工程勘察、设计、施工及监理单位均可向项目建设单位提出工程变更建议，项目建设单位也可以直接提出工程变更建议。变更建议应当以书面形式提出，并注明变更理由。</w:t>
      </w:r>
    </w:p>
    <w:p w14:paraId="6052D061">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ascii="仿宋_GB2312" w:eastAsia="仿宋_GB2312"/>
          <w:spacing w:val="8"/>
          <w:sz w:val="32"/>
          <w:szCs w:val="32"/>
        </w:rPr>
        <w:t>项目建设单位应组织勘察设计单位完成变更的施工图设计，会同施工及监理单位对工程变更的方案、内容、造价等进行审查。经审查同意后，</w:t>
      </w:r>
      <w:r>
        <w:rPr>
          <w:rFonts w:hint="eastAsia" w:ascii="仿宋_GB2312" w:eastAsia="仿宋_GB2312"/>
          <w:spacing w:val="8"/>
          <w:sz w:val="32"/>
          <w:szCs w:val="32"/>
        </w:rPr>
        <w:t>报项目行政主管部门审查</w:t>
      </w:r>
      <w:r>
        <w:rPr>
          <w:rFonts w:ascii="仿宋_GB2312" w:eastAsia="仿宋_GB2312"/>
          <w:spacing w:val="8"/>
          <w:sz w:val="32"/>
          <w:szCs w:val="32"/>
        </w:rPr>
        <w:t>。</w:t>
      </w:r>
      <w:bookmarkEnd w:id="110"/>
      <w:bookmarkEnd w:id="111"/>
      <w:bookmarkEnd w:id="112"/>
      <w:r>
        <w:rPr>
          <w:rFonts w:ascii="仿宋_GB2312" w:eastAsia="仿宋_GB2312"/>
          <w:spacing w:val="8"/>
          <w:sz w:val="32"/>
          <w:szCs w:val="32"/>
        </w:rPr>
        <w:t xml:space="preserve"> </w:t>
      </w:r>
    </w:p>
    <w:p w14:paraId="4B858CFE">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r>
        <w:rPr>
          <w:rFonts w:hint="eastAsia" w:ascii="楷体_GB2312" w:hAnsi="楷体_GB2312" w:eastAsia="楷体_GB2312" w:cs="楷体_GB2312"/>
          <w:b/>
          <w:bCs/>
          <w:spacing w:val="8"/>
          <w:sz w:val="32"/>
          <w:szCs w:val="32"/>
        </w:rPr>
        <w:t>第十八条</w:t>
      </w:r>
      <w:r>
        <w:rPr>
          <w:rFonts w:ascii="仿宋_GB2312" w:eastAsia="仿宋_GB2312"/>
          <w:spacing w:val="8"/>
          <w:sz w:val="32"/>
          <w:szCs w:val="32"/>
        </w:rPr>
        <w:t xml:space="preserve"> </w:t>
      </w:r>
      <w:bookmarkStart w:id="113" w:name="OLE_LINK104"/>
      <w:bookmarkStart w:id="114" w:name="OLE_LINK103"/>
      <w:r>
        <w:rPr>
          <w:rFonts w:ascii="仿宋_GB2312" w:eastAsia="仿宋_GB2312"/>
          <w:spacing w:val="8"/>
          <w:sz w:val="32"/>
          <w:szCs w:val="32"/>
        </w:rPr>
        <w:t xml:space="preserve">项目建设单位提出工程变更申请时应提供以下资料： </w:t>
      </w:r>
    </w:p>
    <w:p w14:paraId="51CD1AE3">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（一）</w:t>
      </w:r>
      <w:r>
        <w:rPr>
          <w:rFonts w:ascii="仿宋_GB2312" w:eastAsia="仿宋_GB2312"/>
          <w:spacing w:val="8"/>
          <w:sz w:val="32"/>
          <w:szCs w:val="32"/>
        </w:rPr>
        <w:t xml:space="preserve">工程变更申请函件和工程变更情况总体说明。总体说明须包含项目基本情况、变更原因、责任分析以及依据合同约定对责任单位的处理意见等； </w:t>
      </w:r>
    </w:p>
    <w:bookmarkEnd w:id="113"/>
    <w:bookmarkEnd w:id="114"/>
    <w:p w14:paraId="785D7E92">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（二）经牵头审查单位分管县长批示同意的工程变更书面报告（会审程序提供）；</w:t>
      </w:r>
    </w:p>
    <w:p w14:paraId="7BE4BB05">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（三）经建设、监理、设计、勘察、施工，以及项目行政主管等单位签字盖章的工程变更审批表；</w:t>
      </w:r>
    </w:p>
    <w:p w14:paraId="0023A23F">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（四）工程变更部位的原施工图纸和变更后的图纸（无施工图纸的除外）；</w:t>
      </w:r>
    </w:p>
    <w:p w14:paraId="52504A4C">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hint="eastAsia" w:ascii="仿宋_GB2312" w:eastAsia="仿宋_GB2312"/>
          <w:spacing w:val="8"/>
          <w:sz w:val="32"/>
          <w:szCs w:val="32"/>
        </w:rPr>
      </w:pPr>
      <w:r>
        <w:rPr>
          <w:rFonts w:hint="eastAsia" w:ascii="仿宋_GB2312" w:eastAsia="仿宋_GB2312"/>
          <w:spacing w:val="8"/>
          <w:sz w:val="32"/>
          <w:szCs w:val="32"/>
        </w:rPr>
        <w:t>（五）经监理单位、建设单位及其委派的跟踪审计组审</w:t>
      </w:r>
    </w:p>
    <w:p w14:paraId="6F43055A">
      <w:pPr>
        <w:pStyle w:val="17"/>
        <w:keepNext w:val="0"/>
        <w:keepLines w:val="0"/>
        <w:pageBreakBefore w:val="0"/>
        <w:shd w:val="clear" w:color="auto" w:fill="FFFFFF"/>
        <w:wordWrap/>
        <w:overflowPunct/>
        <w:topLinePunct w:val="0"/>
        <w:bidi w:val="0"/>
        <w:snapToGrid/>
        <w:spacing w:before="0" w:beforeAutospacing="0" w:after="0" w:afterAutospacing="0" w:line="560" w:lineRule="exact"/>
        <w:contextualSpacing/>
        <w:jc w:val="both"/>
        <w:rPr>
          <w:rFonts w:ascii="仿宋_GB2312" w:eastAsia="仿宋_GB2312"/>
          <w:spacing w:val="8"/>
          <w:sz w:val="32"/>
          <w:szCs w:val="32"/>
        </w:rPr>
      </w:pPr>
      <w:r>
        <w:rPr>
          <w:rFonts w:hint="eastAsia" w:ascii="仿宋_GB2312" w:eastAsia="仿宋_GB2312"/>
          <w:spacing w:val="8"/>
          <w:sz w:val="32"/>
          <w:szCs w:val="32"/>
        </w:rPr>
        <w:t>核同意的工程变更预算；</w:t>
      </w:r>
    </w:p>
    <w:p w14:paraId="60888AB1">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（六）工程变更专家论证会会议纪要或论证报告（根据变更</w:t>
      </w:r>
      <w:r>
        <w:rPr>
          <w:rFonts w:ascii="仿宋_GB2312" w:eastAsia="仿宋_GB2312"/>
          <w:spacing w:val="8"/>
          <w:sz w:val="32"/>
          <w:szCs w:val="32"/>
        </w:rPr>
        <w:t xml:space="preserve"> </w:t>
      </w:r>
      <w:r>
        <w:rPr>
          <w:rFonts w:hint="eastAsia" w:ascii="仿宋_GB2312" w:eastAsia="仿宋_GB2312"/>
          <w:spacing w:val="8"/>
          <w:sz w:val="32"/>
          <w:szCs w:val="32"/>
        </w:rPr>
        <w:t>性质，须组织专家论证的）；</w:t>
      </w:r>
    </w:p>
    <w:p w14:paraId="06D3FEDA">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（七）经批准的工程概算；</w:t>
      </w:r>
    </w:p>
    <w:p w14:paraId="010633E3">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（八）工程施工合同；</w:t>
      </w:r>
    </w:p>
    <w:p w14:paraId="0873AF0F">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（九）招标、投标文件。</w:t>
      </w:r>
    </w:p>
    <w:p w14:paraId="62D21647">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ascii="仿宋_GB2312" w:eastAsia="仿宋_GB2312"/>
          <w:spacing w:val="8"/>
          <w:sz w:val="32"/>
          <w:szCs w:val="32"/>
        </w:rPr>
        <w:t>根据项目情况应当提供的</w:t>
      </w:r>
      <w:r>
        <w:rPr>
          <w:rFonts w:hint="eastAsia" w:ascii="仿宋_GB2312" w:eastAsia="仿宋_GB2312"/>
          <w:spacing w:val="8"/>
          <w:sz w:val="32"/>
          <w:szCs w:val="32"/>
        </w:rPr>
        <w:t>其他</w:t>
      </w:r>
      <w:r>
        <w:rPr>
          <w:rFonts w:ascii="仿宋_GB2312" w:eastAsia="仿宋_GB2312"/>
          <w:spacing w:val="8"/>
          <w:sz w:val="32"/>
          <w:szCs w:val="32"/>
        </w:rPr>
        <w:t>资料：</w:t>
      </w:r>
    </w:p>
    <w:p w14:paraId="1E7D2C87">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（一）工程变更部位的工程地质勘察测量资料；</w:t>
      </w:r>
    </w:p>
    <w:p w14:paraId="5EE13B70">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（二）工程变更现场影像图片资料（隐蔽工程等）；</w:t>
      </w:r>
    </w:p>
    <w:p w14:paraId="7EBA2F53">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（三）其他证明材料。</w:t>
      </w:r>
    </w:p>
    <w:p w14:paraId="44409E54">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r>
        <w:rPr>
          <w:rFonts w:hint="eastAsia" w:ascii="楷体_GB2312" w:hAnsi="楷体_GB2312" w:eastAsia="楷体_GB2312" w:cs="楷体_GB2312"/>
          <w:b/>
          <w:bCs/>
          <w:spacing w:val="8"/>
          <w:sz w:val="32"/>
          <w:szCs w:val="32"/>
        </w:rPr>
        <w:t>第十九条</w:t>
      </w:r>
      <w:r>
        <w:rPr>
          <w:rFonts w:ascii="仿宋_GB2312" w:eastAsia="仿宋_GB2312"/>
          <w:spacing w:val="8"/>
          <w:sz w:val="32"/>
          <w:szCs w:val="32"/>
        </w:rPr>
        <w:t xml:space="preserve"> </w:t>
      </w:r>
      <w:r>
        <w:rPr>
          <w:rFonts w:hint="eastAsia" w:ascii="仿宋_GB2312" w:eastAsia="仿宋_GB2312"/>
          <w:spacing w:val="8"/>
          <w:sz w:val="32"/>
          <w:szCs w:val="32"/>
        </w:rPr>
        <w:t>工程变更会审和报批按下列程序进行</w:t>
      </w:r>
      <w:r>
        <w:rPr>
          <w:rFonts w:hint="eastAsia" w:ascii="仿宋_GB2312" w:eastAsia="仿宋_GB2312"/>
          <w:spacing w:val="8"/>
          <w:sz w:val="32"/>
          <w:szCs w:val="32"/>
          <w:lang w:eastAsia="zh-CN"/>
        </w:rPr>
        <w:t>：</w:t>
      </w:r>
    </w:p>
    <w:p w14:paraId="45AB12B3">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bookmarkStart w:id="115" w:name="OLE_LINK27"/>
      <w:bookmarkStart w:id="116" w:name="OLE_LINK28"/>
      <w:r>
        <w:rPr>
          <w:rFonts w:hint="eastAsia" w:ascii="仿宋_GB2312" w:eastAsia="仿宋_GB2312"/>
          <w:spacing w:val="8"/>
          <w:sz w:val="32"/>
          <w:szCs w:val="32"/>
          <w:lang w:eastAsia="zh-CN"/>
        </w:rPr>
        <w:t>（</w:t>
      </w:r>
      <w:r>
        <w:rPr>
          <w:rFonts w:hint="eastAsia" w:ascii="仿宋_GB2312" w:eastAsia="仿宋_GB2312"/>
          <w:spacing w:val="8"/>
          <w:sz w:val="32"/>
          <w:szCs w:val="32"/>
        </w:rPr>
        <w:t>一</w:t>
      </w:r>
      <w:r>
        <w:rPr>
          <w:rFonts w:hint="eastAsia" w:ascii="仿宋_GB2312" w:eastAsia="仿宋_GB2312"/>
          <w:spacing w:val="8"/>
          <w:sz w:val="32"/>
          <w:szCs w:val="32"/>
          <w:lang w:eastAsia="zh-CN"/>
        </w:rPr>
        <w:t>）</w:t>
      </w:r>
      <w:r>
        <w:rPr>
          <w:rFonts w:hint="eastAsia" w:ascii="仿宋_GB2312" w:eastAsia="仿宋_GB2312"/>
          <w:spacing w:val="8"/>
          <w:sz w:val="32"/>
          <w:szCs w:val="32"/>
        </w:rPr>
        <w:t>审查牵头单位受理报审资料，对资料不全的应当场指出，项目建设单位负责补充齐全。</w:t>
      </w:r>
    </w:p>
    <w:p w14:paraId="64403D21">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lang w:eastAsia="zh-CN"/>
        </w:rPr>
        <w:t>（</w:t>
      </w:r>
      <w:r>
        <w:rPr>
          <w:rFonts w:hint="eastAsia" w:ascii="仿宋_GB2312" w:eastAsia="仿宋_GB2312"/>
          <w:spacing w:val="8"/>
          <w:sz w:val="32"/>
          <w:szCs w:val="32"/>
        </w:rPr>
        <w:t>二</w:t>
      </w:r>
      <w:r>
        <w:rPr>
          <w:rFonts w:hint="eastAsia" w:ascii="仿宋_GB2312" w:eastAsia="仿宋_GB2312"/>
          <w:spacing w:val="8"/>
          <w:sz w:val="32"/>
          <w:szCs w:val="32"/>
          <w:lang w:eastAsia="zh-CN"/>
        </w:rPr>
        <w:t>）</w:t>
      </w:r>
      <w:r>
        <w:rPr>
          <w:rFonts w:hint="eastAsia" w:ascii="仿宋_GB2312" w:eastAsia="仿宋_GB2312"/>
          <w:spacing w:val="8"/>
          <w:sz w:val="32"/>
          <w:szCs w:val="32"/>
        </w:rPr>
        <w:t>审查牵头单位适时组织参加会审单位对工程变更的必要性和科学性进行会审，需要进行现场确认的，会审单位应当对现场进行踏勘。项目建设单位应组织设计、监理、施工等单位根据会审单位要求，积极配合做好会审和踏勘工作。</w:t>
      </w:r>
      <w:bookmarkEnd w:id="115"/>
      <w:bookmarkEnd w:id="116"/>
      <w:bookmarkStart w:id="117" w:name="OLE_LINK20"/>
    </w:p>
    <w:p w14:paraId="4C67674C">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hint="eastAsia" w:ascii="仿宋_GB2312" w:eastAsia="仿宋_GB2312"/>
          <w:spacing w:val="8"/>
          <w:sz w:val="32"/>
          <w:szCs w:val="32"/>
        </w:rPr>
      </w:pPr>
      <w:r>
        <w:rPr>
          <w:rFonts w:hint="eastAsia" w:ascii="仿宋_GB2312" w:eastAsia="仿宋_GB2312"/>
          <w:spacing w:val="8"/>
          <w:sz w:val="32"/>
          <w:szCs w:val="32"/>
          <w:lang w:eastAsia="zh-CN"/>
        </w:rPr>
        <w:t>（</w:t>
      </w:r>
      <w:r>
        <w:rPr>
          <w:rFonts w:hint="eastAsia" w:ascii="仿宋_GB2312" w:eastAsia="仿宋_GB2312"/>
          <w:spacing w:val="8"/>
          <w:sz w:val="32"/>
          <w:szCs w:val="32"/>
        </w:rPr>
        <w:t>三</w:t>
      </w:r>
      <w:r>
        <w:rPr>
          <w:rFonts w:hint="eastAsia" w:ascii="仿宋_GB2312" w:eastAsia="仿宋_GB2312"/>
          <w:spacing w:val="8"/>
          <w:sz w:val="32"/>
          <w:szCs w:val="32"/>
          <w:lang w:eastAsia="zh-CN"/>
        </w:rPr>
        <w:t>）</w:t>
      </w:r>
      <w:bookmarkEnd w:id="117"/>
      <w:r>
        <w:rPr>
          <w:rFonts w:hint="eastAsia" w:ascii="仿宋_GB2312" w:eastAsia="仿宋_GB2312"/>
          <w:spacing w:val="8"/>
          <w:sz w:val="32"/>
          <w:szCs w:val="32"/>
        </w:rPr>
        <w:t>参加会审单位应当逐条回复明确的审查意见，</w:t>
      </w:r>
      <w:bookmarkStart w:id="118" w:name="OLE_LINK102"/>
      <w:bookmarkStart w:id="119" w:name="OLE_LINK101"/>
      <w:r>
        <w:rPr>
          <w:rFonts w:hint="eastAsia" w:ascii="仿宋_GB2312" w:eastAsia="仿宋_GB2312"/>
          <w:spacing w:val="8"/>
          <w:sz w:val="32"/>
          <w:szCs w:val="32"/>
        </w:rPr>
        <w:t>审查意见由会审成员代表单位签字并盖章确认，</w:t>
      </w:r>
      <w:bookmarkEnd w:id="118"/>
      <w:bookmarkEnd w:id="119"/>
      <w:r>
        <w:rPr>
          <w:rFonts w:hint="eastAsia" w:ascii="仿宋_GB2312" w:eastAsia="仿宋_GB2312"/>
          <w:spacing w:val="8"/>
          <w:sz w:val="32"/>
          <w:szCs w:val="32"/>
        </w:rPr>
        <w:t>会审单位半数以上</w:t>
      </w:r>
      <w:r>
        <w:rPr>
          <w:rFonts w:hint="eastAsia" w:ascii="仿宋_GB2312" w:eastAsia="仿宋_GB2312"/>
          <w:spacing w:val="8"/>
          <w:sz w:val="32"/>
          <w:szCs w:val="32"/>
          <w:lang w:eastAsia="zh-CN"/>
        </w:rPr>
        <w:t>（</w:t>
      </w:r>
      <w:r>
        <w:rPr>
          <w:rFonts w:hint="eastAsia" w:ascii="仿宋_GB2312" w:eastAsia="仿宋_GB2312"/>
          <w:spacing w:val="8"/>
          <w:sz w:val="32"/>
          <w:szCs w:val="32"/>
        </w:rPr>
        <w:t>含</w:t>
      </w:r>
      <w:r>
        <w:rPr>
          <w:rFonts w:hint="eastAsia" w:ascii="仿宋_GB2312" w:eastAsia="仿宋_GB2312"/>
          <w:spacing w:val="8"/>
          <w:sz w:val="32"/>
          <w:szCs w:val="32"/>
          <w:lang w:eastAsia="zh-CN"/>
        </w:rPr>
        <w:t>）</w:t>
      </w:r>
      <w:r>
        <w:rPr>
          <w:rFonts w:hint="eastAsia" w:ascii="仿宋_GB2312" w:eastAsia="仿宋_GB2312"/>
          <w:spacing w:val="8"/>
          <w:sz w:val="32"/>
          <w:szCs w:val="32"/>
        </w:rPr>
        <w:t>不同意的，牵头审查单位不得作出同意变更确认。</w:t>
      </w:r>
    </w:p>
    <w:p w14:paraId="09B56E46">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672" w:firstLineChars="200"/>
        <w:contextualSpacing/>
        <w:jc w:val="both"/>
        <w:rPr>
          <w:rFonts w:hint="eastAsia" w:ascii="仿宋_GB2312" w:eastAsia="仿宋_GB2312"/>
          <w:spacing w:val="8"/>
          <w:sz w:val="32"/>
          <w:szCs w:val="32"/>
        </w:rPr>
      </w:pPr>
      <w:r>
        <w:rPr>
          <w:rFonts w:hint="eastAsia" w:ascii="仿宋_GB2312" w:eastAsia="仿宋_GB2312"/>
          <w:spacing w:val="8"/>
          <w:sz w:val="32"/>
          <w:szCs w:val="32"/>
        </w:rPr>
        <w:t>（四）经会审和现场确认，需项目建设单位重新复核或</w:t>
      </w:r>
    </w:p>
    <w:p w14:paraId="76A46956">
      <w:pPr>
        <w:pStyle w:val="17"/>
        <w:keepNext w:val="0"/>
        <w:keepLines w:val="0"/>
        <w:pageBreakBefore w:val="0"/>
        <w:shd w:val="clear" w:color="auto" w:fill="FFFFFF"/>
        <w:wordWrap/>
        <w:overflowPunct/>
        <w:topLinePunct w:val="0"/>
        <w:bidi w:val="0"/>
        <w:snapToGrid/>
        <w:spacing w:before="0" w:beforeAutospacing="0" w:after="0" w:afterAutospacing="0" w:line="560" w:lineRule="exact"/>
        <w:contextualSpacing/>
        <w:jc w:val="both"/>
        <w:rPr>
          <w:rFonts w:hint="eastAsia" w:ascii="仿宋_GB2312" w:eastAsia="仿宋_GB2312"/>
          <w:spacing w:val="8"/>
          <w:sz w:val="32"/>
          <w:szCs w:val="32"/>
        </w:rPr>
      </w:pPr>
      <w:r>
        <w:rPr>
          <w:rFonts w:hint="eastAsia" w:ascii="仿宋_GB2312" w:eastAsia="仿宋_GB2312"/>
          <w:spacing w:val="8"/>
          <w:sz w:val="32"/>
          <w:szCs w:val="32"/>
        </w:rPr>
        <w:t>另行补充资料的，项目建设单位应及时完善。变更资料齐全</w:t>
      </w:r>
    </w:p>
    <w:p w14:paraId="70B1E64F">
      <w:pPr>
        <w:pStyle w:val="17"/>
        <w:keepNext w:val="0"/>
        <w:keepLines w:val="0"/>
        <w:pageBreakBefore w:val="0"/>
        <w:shd w:val="clear" w:color="auto" w:fill="FFFFFF"/>
        <w:wordWrap/>
        <w:overflowPunct/>
        <w:topLinePunct w:val="0"/>
        <w:bidi w:val="0"/>
        <w:snapToGrid/>
        <w:spacing w:before="0" w:beforeAutospacing="0" w:after="0" w:afterAutospacing="0" w:line="560" w:lineRule="exact"/>
        <w:contextualSpacing/>
        <w:jc w:val="both"/>
        <w:rPr>
          <w:rFonts w:ascii="仿宋_GB2312" w:eastAsia="仿宋_GB2312"/>
          <w:spacing w:val="8"/>
          <w:sz w:val="32"/>
          <w:szCs w:val="32"/>
        </w:rPr>
      </w:pPr>
      <w:r>
        <w:rPr>
          <w:rFonts w:hint="eastAsia" w:ascii="仿宋_GB2312" w:eastAsia="仿宋_GB2312"/>
          <w:spacing w:val="8"/>
          <w:sz w:val="32"/>
          <w:szCs w:val="32"/>
        </w:rPr>
        <w:t>后，牵头审查单位在2个工作日内印发变更会审纪要。</w:t>
      </w:r>
    </w:p>
    <w:p w14:paraId="30E83DCE">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pacing w:val="8"/>
          <w:sz w:val="32"/>
          <w:szCs w:val="32"/>
        </w:rPr>
      </w:pPr>
      <w:r>
        <w:rPr>
          <w:rFonts w:hint="eastAsia" w:ascii="仿宋_GB2312" w:eastAsia="仿宋_GB2312"/>
          <w:spacing w:val="8"/>
          <w:sz w:val="32"/>
          <w:szCs w:val="32"/>
        </w:rPr>
        <w:t>（五）工</w:t>
      </w:r>
      <w:r>
        <w:rPr>
          <w:rFonts w:ascii="仿宋_GB2312" w:eastAsia="仿宋_GB2312"/>
          <w:spacing w:val="8"/>
          <w:sz w:val="32"/>
          <w:szCs w:val="32"/>
        </w:rPr>
        <w:t>程变更会审由牵头审查单位会同参加审查单位共同进行</w:t>
      </w:r>
      <w:r>
        <w:rPr>
          <w:rFonts w:hint="eastAsia" w:ascii="仿宋_GB2312" w:eastAsia="仿宋_GB2312"/>
          <w:spacing w:val="8"/>
          <w:sz w:val="32"/>
          <w:szCs w:val="32"/>
        </w:rPr>
        <w:t>，</w:t>
      </w:r>
      <w:r>
        <w:rPr>
          <w:rFonts w:ascii="仿宋_GB2312" w:eastAsia="仿宋_GB2312"/>
          <w:spacing w:val="8"/>
          <w:sz w:val="32"/>
          <w:szCs w:val="32"/>
        </w:rPr>
        <w:t>审查结果为会议纪要形式，为项目变更决策提供参考。审查结果不能代替监理、建设等部门对工程变更的具体量和价审查</w:t>
      </w:r>
      <w:r>
        <w:rPr>
          <w:rFonts w:hint="eastAsia" w:ascii="仿宋_GB2312" w:eastAsia="仿宋_GB2312"/>
          <w:spacing w:val="8"/>
          <w:sz w:val="32"/>
          <w:szCs w:val="32"/>
        </w:rPr>
        <w:t>，</w:t>
      </w:r>
      <w:r>
        <w:rPr>
          <w:rFonts w:ascii="仿宋_GB2312" w:eastAsia="仿宋_GB2312"/>
          <w:spacing w:val="8"/>
          <w:sz w:val="32"/>
          <w:szCs w:val="32"/>
        </w:rPr>
        <w:t>工程变更最终的量和价，以</w:t>
      </w:r>
      <w:r>
        <w:rPr>
          <w:rFonts w:hint="eastAsia" w:ascii="仿宋_GB2312" w:eastAsia="仿宋_GB2312"/>
          <w:spacing w:val="8"/>
          <w:sz w:val="32"/>
          <w:szCs w:val="32"/>
        </w:rPr>
        <w:t>工程</w:t>
      </w:r>
      <w:r>
        <w:rPr>
          <w:rFonts w:ascii="仿宋_GB2312" w:eastAsia="仿宋_GB2312"/>
          <w:spacing w:val="8"/>
          <w:sz w:val="32"/>
          <w:szCs w:val="32"/>
        </w:rPr>
        <w:t>决算审计结果为准，定价原则按照项目招标文件、合同约定及县政府相关规定执行。牵头审查单位在出具的变更会审纪要中，</w:t>
      </w:r>
      <w:r>
        <w:rPr>
          <w:rFonts w:hint="eastAsia" w:ascii="仿宋_GB2312" w:eastAsia="仿宋_GB2312"/>
          <w:spacing w:val="8"/>
          <w:sz w:val="32"/>
          <w:szCs w:val="32"/>
        </w:rPr>
        <w:t>应</w:t>
      </w:r>
      <w:r>
        <w:rPr>
          <w:rFonts w:ascii="仿宋_GB2312" w:eastAsia="仿宋_GB2312"/>
          <w:spacing w:val="8"/>
          <w:sz w:val="32"/>
          <w:szCs w:val="32"/>
        </w:rPr>
        <w:t>明确变更原因、变更估算价款、变更责任单位及相关处理意见。</w:t>
      </w:r>
    </w:p>
    <w:p w14:paraId="6B79F63B">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pacing w:val="8"/>
          <w:sz w:val="32"/>
          <w:szCs w:val="32"/>
        </w:rPr>
      </w:pPr>
      <w:bookmarkStart w:id="120" w:name="OLE_LINK135"/>
      <w:bookmarkStart w:id="121" w:name="OLE_LINK136"/>
      <w:r>
        <w:rPr>
          <w:rFonts w:hint="eastAsia" w:ascii="楷体_GB2312" w:hAnsi="楷体_GB2312" w:eastAsia="楷体_GB2312" w:cs="楷体_GB2312"/>
          <w:b/>
          <w:bCs/>
          <w:spacing w:val="8"/>
          <w:sz w:val="32"/>
          <w:szCs w:val="32"/>
        </w:rPr>
        <w:t>第二十条</w:t>
      </w:r>
      <w:r>
        <w:rPr>
          <w:rFonts w:ascii="仿宋_GB2312" w:eastAsia="仿宋_GB2312"/>
          <w:spacing w:val="8"/>
          <w:sz w:val="32"/>
          <w:szCs w:val="32"/>
        </w:rPr>
        <w:t xml:space="preserve"> </w:t>
      </w:r>
      <w:r>
        <w:rPr>
          <w:rFonts w:hint="eastAsia" w:ascii="仿宋_GB2312" w:eastAsia="仿宋_GB2312"/>
          <w:spacing w:val="8"/>
          <w:sz w:val="32"/>
          <w:szCs w:val="32"/>
        </w:rPr>
        <w:t>以下几种情况可以申请工程变更与施工同步进行</w:t>
      </w:r>
      <w:r>
        <w:rPr>
          <w:rFonts w:hint="eastAsia" w:ascii="仿宋_GB2312" w:eastAsia="仿宋_GB2312"/>
          <w:spacing w:val="8"/>
          <w:sz w:val="32"/>
          <w:szCs w:val="32"/>
          <w:lang w:eastAsia="zh-CN"/>
        </w:rPr>
        <w:t>：</w:t>
      </w:r>
    </w:p>
    <w:p w14:paraId="41CF6FF5">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39" w:firstLineChars="220"/>
        <w:contextualSpacing/>
        <w:jc w:val="both"/>
        <w:rPr>
          <w:rFonts w:ascii="仿宋_GB2312" w:eastAsia="仿宋_GB2312"/>
          <w:sz w:val="32"/>
          <w:szCs w:val="32"/>
        </w:rPr>
      </w:pPr>
      <w:r>
        <w:rPr>
          <w:rFonts w:ascii="仿宋_GB2312" w:eastAsia="仿宋_GB2312"/>
          <w:spacing w:val="8"/>
          <w:sz w:val="32"/>
          <w:szCs w:val="32"/>
        </w:rPr>
        <w:t>（一）紧急抢险工程发生工程变更时，可先进行应急处理，</w:t>
      </w:r>
      <w:r>
        <w:rPr>
          <w:rFonts w:ascii="仿宋_GB2312" w:eastAsia="仿宋_GB2312"/>
          <w:sz w:val="32"/>
          <w:szCs w:val="32"/>
        </w:rPr>
        <w:t>应急处理结束后及时履行报批手续，并提供相关影像、工程量、工程变更等完整资料</w:t>
      </w:r>
      <w:bookmarkStart w:id="122" w:name="OLE_LINK26"/>
      <w:bookmarkStart w:id="123" w:name="OLE_LINK25"/>
      <w:r>
        <w:rPr>
          <w:rFonts w:ascii="仿宋_GB2312" w:eastAsia="仿宋_GB2312"/>
          <w:sz w:val="32"/>
          <w:szCs w:val="32"/>
        </w:rPr>
        <w:t>。</w:t>
      </w:r>
      <w:bookmarkEnd w:id="122"/>
      <w:bookmarkEnd w:id="123"/>
    </w:p>
    <w:p w14:paraId="13F05CE9">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04" w:firstLineChars="220"/>
        <w:contextualSpacing/>
        <w:jc w:val="both"/>
        <w:rPr>
          <w:rFonts w:ascii="仿宋_GB2312" w:eastAsia="仿宋_GB2312"/>
          <w:sz w:val="32"/>
          <w:szCs w:val="32"/>
        </w:rPr>
      </w:pPr>
      <w:r>
        <w:rPr>
          <w:rFonts w:ascii="仿宋_GB2312" w:eastAsia="仿宋_GB2312"/>
          <w:sz w:val="32"/>
          <w:szCs w:val="32"/>
        </w:rPr>
        <w:t>（二）因地质条件发生变化或其他不可预见的因素导致工程基础及隐蔽工程发生变更时，建设单位可以先安排勘察、设计、监理、造价等单位联合处理，保存相关影像资料，同时按照程序履行报批手续。</w:t>
      </w:r>
    </w:p>
    <w:p w14:paraId="104F9BB0">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04" w:firstLineChars="220"/>
        <w:contextualSpacing/>
        <w:jc w:val="both"/>
        <w:rPr>
          <w:rFonts w:ascii="仿宋_GB2312" w:eastAsia="仿宋_GB2312"/>
          <w:sz w:val="32"/>
          <w:szCs w:val="32"/>
        </w:rPr>
      </w:pPr>
      <w:r>
        <w:rPr>
          <w:rFonts w:ascii="仿宋_GB2312" w:eastAsia="仿宋_GB2312"/>
          <w:sz w:val="32"/>
          <w:szCs w:val="32"/>
        </w:rPr>
        <w:t>（三）工程基础开挖遇不明障碍物、重要文物，需要及时采取防护措施的。应急处理后及时履行报批手续，并保留相关影像资料。</w:t>
      </w:r>
    </w:p>
    <w:p w14:paraId="7A24E21A">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04" w:firstLineChars="220"/>
        <w:contextualSpacing/>
        <w:jc w:val="both"/>
        <w:rPr>
          <w:rFonts w:ascii="仿宋_GB2312" w:eastAsia="仿宋_GB2312"/>
          <w:sz w:val="32"/>
          <w:szCs w:val="32"/>
        </w:rPr>
      </w:pPr>
      <w:r>
        <w:rPr>
          <w:rFonts w:ascii="仿宋_GB2312" w:eastAsia="仿宋_GB2312"/>
          <w:sz w:val="32"/>
          <w:szCs w:val="32"/>
        </w:rPr>
        <w:t>（四）必须申请工程变更与施工同步进行的其他情况。</w:t>
      </w:r>
    </w:p>
    <w:p w14:paraId="5AA4284F">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z w:val="32"/>
          <w:szCs w:val="32"/>
        </w:rPr>
      </w:pPr>
      <w:r>
        <w:rPr>
          <w:rFonts w:hint="eastAsia" w:ascii="楷体_GB2312" w:hAnsi="楷体_GB2312" w:eastAsia="楷体_GB2312" w:cs="楷体_GB2312"/>
          <w:b/>
          <w:bCs/>
          <w:spacing w:val="8"/>
          <w:sz w:val="32"/>
          <w:szCs w:val="32"/>
        </w:rPr>
        <w:t xml:space="preserve">第二十一条 </w:t>
      </w:r>
      <w:r>
        <w:rPr>
          <w:rFonts w:hint="eastAsia" w:ascii="仿宋_GB2312" w:eastAsia="仿宋_GB2312"/>
          <w:sz w:val="32"/>
          <w:szCs w:val="32"/>
        </w:rPr>
        <w:t>隐蔽工程验收记录、工程量计算应在分项工程</w:t>
      </w:r>
    </w:p>
    <w:p w14:paraId="138AFA32">
      <w:pPr>
        <w:pStyle w:val="17"/>
        <w:keepNext w:val="0"/>
        <w:keepLines w:val="0"/>
        <w:pageBreakBefore w:val="0"/>
        <w:shd w:val="clear" w:color="auto" w:fill="FFFFFF"/>
        <w:wordWrap/>
        <w:overflowPunct/>
        <w:topLinePunct w:val="0"/>
        <w:bidi w:val="0"/>
        <w:snapToGrid/>
        <w:spacing w:before="0" w:beforeAutospacing="0" w:after="0" w:afterAutospacing="0" w:line="560" w:lineRule="exact"/>
        <w:contextualSpacing/>
        <w:jc w:val="both"/>
        <w:rPr>
          <w:rFonts w:ascii="仿宋_GB2312" w:eastAsia="仿宋_GB2312"/>
          <w:sz w:val="32"/>
          <w:szCs w:val="32"/>
        </w:rPr>
      </w:pPr>
      <w:r>
        <w:rPr>
          <w:rFonts w:hint="eastAsia" w:ascii="仿宋_GB2312" w:eastAsia="仿宋_GB2312"/>
          <w:sz w:val="32"/>
          <w:szCs w:val="32"/>
        </w:rPr>
        <w:t>被隐蔽前完成复核，并附详图和工程量计算式，提供有明显标示尺度的影像资料，经办人、复核人、建设单位管理人员及监理应在附件上签署具体意见，禁止仅签原则性意见或只</w:t>
      </w:r>
      <w:r>
        <w:rPr>
          <w:rFonts w:hint="eastAsia" w:ascii="仿宋_GB2312" w:eastAsia="仿宋_GB2312"/>
          <w:sz w:val="32"/>
          <w:szCs w:val="32"/>
          <w:lang w:eastAsia="zh-CN"/>
        </w:rPr>
        <w:t>签</w:t>
      </w:r>
      <w:r>
        <w:rPr>
          <w:rFonts w:hint="eastAsia" w:ascii="仿宋_GB2312" w:eastAsia="仿宋_GB2312"/>
          <w:sz w:val="32"/>
          <w:szCs w:val="32"/>
        </w:rPr>
        <w:t>无具体意见。</w:t>
      </w:r>
    </w:p>
    <w:p w14:paraId="0929345E">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z w:val="32"/>
          <w:szCs w:val="32"/>
        </w:rPr>
      </w:pPr>
      <w:r>
        <w:rPr>
          <w:rFonts w:hint="eastAsia" w:ascii="楷体_GB2312" w:hAnsi="楷体_GB2312" w:eastAsia="楷体_GB2312" w:cs="楷体_GB2312"/>
          <w:b/>
          <w:bCs/>
          <w:spacing w:val="8"/>
          <w:sz w:val="32"/>
          <w:szCs w:val="32"/>
        </w:rPr>
        <w:t>第二十二条</w:t>
      </w:r>
      <w:r>
        <w:rPr>
          <w:rFonts w:ascii="仿宋_GB2312" w:eastAsia="仿宋_GB2312"/>
          <w:sz w:val="32"/>
          <w:szCs w:val="32"/>
        </w:rPr>
        <w:t xml:space="preserve"> </w:t>
      </w:r>
      <w:r>
        <w:rPr>
          <w:rFonts w:hint="eastAsia" w:ascii="仿宋_GB2312" w:eastAsia="仿宋_GB2312"/>
          <w:sz w:val="32"/>
          <w:szCs w:val="32"/>
        </w:rPr>
        <w:t>合同内容外的工程变更，造价增加金额在</w:t>
      </w:r>
      <w:r>
        <w:rPr>
          <w:rFonts w:ascii="仿宋_GB2312" w:eastAsia="仿宋_GB2312"/>
          <w:sz w:val="32"/>
          <w:szCs w:val="32"/>
        </w:rPr>
        <w:t>60</w:t>
      </w:r>
      <w:r>
        <w:rPr>
          <w:rFonts w:hint="eastAsia" w:ascii="仿宋_GB2312" w:eastAsia="仿宋_GB2312"/>
          <w:sz w:val="32"/>
          <w:szCs w:val="32"/>
        </w:rPr>
        <w:t>万元以上，且与主体工程可分割实施或与原施工单位不存在施工工序上的前后连续性的，建设单位应按照规定程序选择施工单位；工程变更后原施工单位不具备相应资质等级的，建设单位仍应按照规定程序选择施工单位。</w:t>
      </w:r>
    </w:p>
    <w:p w14:paraId="10A42237">
      <w:pPr>
        <w:keepNext w:val="0"/>
        <w:keepLines w:val="0"/>
        <w:pageBreakBefore w:val="0"/>
        <w:wordWrap/>
        <w:overflowPunct/>
        <w:topLinePunct w:val="0"/>
        <w:bidi w:val="0"/>
        <w:snapToGrid/>
        <w:spacing w:line="560" w:lineRule="exact"/>
        <w:contextualSpacing/>
        <w:jc w:val="both"/>
        <w:rPr>
          <w:rFonts w:ascii="黑体" w:hAnsi="黑体" w:eastAsia="黑体" w:cs="黑体"/>
          <w:color w:val="auto"/>
          <w:spacing w:val="7"/>
          <w:sz w:val="31"/>
          <w:szCs w:val="31"/>
          <w:lang w:eastAsia="zh-CN"/>
        </w:rPr>
      </w:pPr>
    </w:p>
    <w:p w14:paraId="0D08CB2B">
      <w:pPr>
        <w:keepNext w:val="0"/>
        <w:keepLines w:val="0"/>
        <w:pageBreakBefore w:val="0"/>
        <w:wordWrap/>
        <w:overflowPunct/>
        <w:topLinePunct w:val="0"/>
        <w:bidi w:val="0"/>
        <w:snapToGrid/>
        <w:spacing w:line="560" w:lineRule="exact"/>
        <w:contextualSpacing/>
        <w:jc w:val="center"/>
        <w:rPr>
          <w:rFonts w:ascii="黑体" w:hAnsi="黑体" w:eastAsia="黑体" w:cs="黑体"/>
          <w:color w:val="auto"/>
          <w:sz w:val="31"/>
          <w:szCs w:val="31"/>
          <w:lang w:eastAsia="zh-CN"/>
        </w:rPr>
      </w:pPr>
      <w:r>
        <w:rPr>
          <w:rFonts w:ascii="黑体" w:hAnsi="黑体" w:eastAsia="黑体" w:cs="黑体"/>
          <w:color w:val="auto"/>
          <w:spacing w:val="7"/>
          <w:sz w:val="31"/>
          <w:szCs w:val="31"/>
          <w:lang w:eastAsia="zh-CN"/>
        </w:rPr>
        <w:t>第</w:t>
      </w:r>
      <w:r>
        <w:rPr>
          <w:rFonts w:hint="eastAsia" w:ascii="黑体" w:hAnsi="黑体" w:eastAsia="黑体" w:cs="黑体"/>
          <w:color w:val="auto"/>
          <w:spacing w:val="7"/>
          <w:sz w:val="31"/>
          <w:szCs w:val="31"/>
          <w:lang w:eastAsia="zh-CN"/>
        </w:rPr>
        <w:t>五</w:t>
      </w:r>
      <w:r>
        <w:rPr>
          <w:rFonts w:ascii="黑体" w:hAnsi="黑体" w:eastAsia="黑体" w:cs="黑体"/>
          <w:color w:val="auto"/>
          <w:spacing w:val="7"/>
          <w:sz w:val="31"/>
          <w:szCs w:val="31"/>
          <w:lang w:eastAsia="zh-CN"/>
        </w:rPr>
        <w:t xml:space="preserve">章  </w:t>
      </w:r>
      <w:r>
        <w:rPr>
          <w:rFonts w:hint="eastAsia" w:ascii="黑体" w:hAnsi="黑体" w:eastAsia="黑体" w:cs="黑体"/>
          <w:color w:val="auto"/>
          <w:spacing w:val="7"/>
          <w:sz w:val="31"/>
          <w:szCs w:val="31"/>
          <w:lang w:eastAsia="zh-CN"/>
        </w:rPr>
        <w:t>法律</w:t>
      </w:r>
      <w:r>
        <w:rPr>
          <w:rFonts w:ascii="黑体" w:hAnsi="黑体" w:eastAsia="黑体" w:cs="黑体"/>
          <w:color w:val="auto"/>
          <w:spacing w:val="7"/>
          <w:sz w:val="31"/>
          <w:szCs w:val="31"/>
          <w:lang w:eastAsia="zh-CN"/>
        </w:rPr>
        <w:t>责任</w:t>
      </w:r>
    </w:p>
    <w:p w14:paraId="107A147A">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z w:val="32"/>
          <w:szCs w:val="32"/>
        </w:rPr>
      </w:pPr>
      <w:r>
        <w:rPr>
          <w:rFonts w:hint="eastAsia" w:ascii="楷体_GB2312" w:hAnsi="楷体_GB2312" w:eastAsia="楷体_GB2312" w:cs="楷体_GB2312"/>
          <w:b/>
          <w:bCs/>
          <w:spacing w:val="8"/>
          <w:sz w:val="32"/>
          <w:szCs w:val="32"/>
        </w:rPr>
        <w:t>第二十三条</w:t>
      </w:r>
      <w:r>
        <w:rPr>
          <w:rFonts w:ascii="仿宋_GB2312" w:eastAsia="仿宋_GB2312"/>
          <w:sz w:val="32"/>
          <w:szCs w:val="32"/>
        </w:rPr>
        <w:t xml:space="preserve">  </w:t>
      </w:r>
      <w:r>
        <w:rPr>
          <w:rFonts w:hint="eastAsia" w:ascii="仿宋_GB2312" w:eastAsia="仿宋_GB2312"/>
          <w:sz w:val="32"/>
          <w:szCs w:val="32"/>
        </w:rPr>
        <w:t>因建设单位自身原因，未办理工程变更报批手续造成的事实工程变更费用，工程结算时不予认可。由此引起诉讼或仲裁认定需支付该变更费用的，由建设单位自行承担。相关材料作为线索移交有关部门依法依规调查处理。</w:t>
      </w:r>
    </w:p>
    <w:p w14:paraId="688F36E9">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z w:val="32"/>
          <w:szCs w:val="32"/>
        </w:rPr>
      </w:pPr>
      <w:r>
        <w:rPr>
          <w:rFonts w:hint="eastAsia" w:ascii="楷体_GB2312" w:hAnsi="楷体_GB2312" w:eastAsia="楷体_GB2312" w:cs="楷体_GB2312"/>
          <w:b/>
          <w:bCs/>
          <w:spacing w:val="8"/>
          <w:sz w:val="32"/>
          <w:szCs w:val="32"/>
        </w:rPr>
        <w:t>第二十四条</w:t>
      </w:r>
      <w:r>
        <w:rPr>
          <w:rFonts w:hint="eastAsia" w:ascii="仿宋_GB2312" w:eastAsia="仿宋_GB2312"/>
          <w:sz w:val="32"/>
          <w:szCs w:val="32"/>
        </w:rPr>
        <w:t xml:space="preserve"> 项目建设单位应在项目各类招标文件和发承包合同中设置造成工程变更的惩罚性条款，因勘察、设计、施工、监理、预算等单位责任引起工程变更，造成重大经济损失或不良影响的，一经认定，按照合同约定和相关法律法规依法处理。</w:t>
      </w:r>
    </w:p>
    <w:p w14:paraId="1E4AC1CB">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z w:val="32"/>
          <w:szCs w:val="32"/>
        </w:rPr>
      </w:pPr>
      <w:r>
        <w:rPr>
          <w:rFonts w:hint="eastAsia" w:ascii="楷体_GB2312" w:hAnsi="楷体_GB2312" w:eastAsia="楷体_GB2312" w:cs="楷体_GB2312"/>
          <w:b/>
          <w:bCs/>
          <w:spacing w:val="8"/>
          <w:sz w:val="32"/>
          <w:szCs w:val="32"/>
        </w:rPr>
        <w:t>第二十五条</w:t>
      </w:r>
      <w:r>
        <w:rPr>
          <w:rFonts w:hint="eastAsia" w:ascii="仿宋_GB2312" w:eastAsia="仿宋_GB2312"/>
          <w:sz w:val="32"/>
          <w:szCs w:val="32"/>
        </w:rPr>
        <w:t xml:space="preserve"> 项目建设单位、施工单位、监理单位、设计单位相互串通，采取弄虚作假等手段谋取非法利益的，由建设行政主管部门按照国家相关法律法规追究相应责任；涉嫌犯罪的，移送司法机关处理。</w:t>
      </w:r>
    </w:p>
    <w:p w14:paraId="4CE33490">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z w:val="32"/>
          <w:szCs w:val="32"/>
        </w:rPr>
      </w:pPr>
      <w:r>
        <w:rPr>
          <w:rFonts w:hint="eastAsia" w:ascii="楷体_GB2312" w:hAnsi="楷体_GB2312" w:eastAsia="楷体_GB2312" w:cs="楷体_GB2312"/>
          <w:b/>
          <w:bCs/>
          <w:spacing w:val="8"/>
          <w:sz w:val="32"/>
          <w:szCs w:val="32"/>
        </w:rPr>
        <w:t>第二十六条</w:t>
      </w:r>
      <w:r>
        <w:rPr>
          <w:rFonts w:hint="eastAsia" w:ascii="仿宋_GB2312" w:eastAsia="仿宋_GB2312"/>
          <w:sz w:val="32"/>
          <w:szCs w:val="32"/>
        </w:rPr>
        <w:t xml:space="preserve"> 审查单位工作人员在工程变更审查过程中存在玩忽职守、滥用职权以及谋取不正当利益等行为的，由行政主管部门和纪检监察机关给予处分；涉嫌犯罪的，移送司法机关处理。</w:t>
      </w:r>
    </w:p>
    <w:p w14:paraId="02337EAD">
      <w:pPr>
        <w:keepNext w:val="0"/>
        <w:keepLines w:val="0"/>
        <w:pageBreakBefore w:val="0"/>
        <w:wordWrap/>
        <w:overflowPunct/>
        <w:topLinePunct w:val="0"/>
        <w:bidi w:val="0"/>
        <w:snapToGrid/>
        <w:spacing w:line="560" w:lineRule="exact"/>
        <w:contextualSpacing/>
        <w:jc w:val="both"/>
        <w:rPr>
          <w:rFonts w:ascii="黑体" w:hAnsi="黑体" w:eastAsia="黑体" w:cs="黑体"/>
          <w:color w:val="auto"/>
          <w:spacing w:val="2"/>
          <w:sz w:val="31"/>
          <w:szCs w:val="31"/>
          <w:lang w:eastAsia="zh-CN"/>
        </w:rPr>
      </w:pPr>
    </w:p>
    <w:p w14:paraId="166680B7">
      <w:pPr>
        <w:keepNext w:val="0"/>
        <w:keepLines w:val="0"/>
        <w:pageBreakBefore w:val="0"/>
        <w:wordWrap/>
        <w:overflowPunct/>
        <w:topLinePunct w:val="0"/>
        <w:bidi w:val="0"/>
        <w:snapToGrid/>
        <w:spacing w:line="560" w:lineRule="exact"/>
        <w:contextualSpacing/>
        <w:jc w:val="center"/>
        <w:rPr>
          <w:rFonts w:ascii="黑体" w:hAnsi="黑体" w:eastAsia="黑体" w:cs="黑体"/>
          <w:color w:val="auto"/>
          <w:sz w:val="31"/>
          <w:szCs w:val="31"/>
          <w:lang w:eastAsia="zh-CN"/>
        </w:rPr>
      </w:pPr>
      <w:r>
        <w:rPr>
          <w:rFonts w:ascii="黑体" w:hAnsi="黑体" w:eastAsia="黑体" w:cs="黑体"/>
          <w:color w:val="auto"/>
          <w:spacing w:val="2"/>
          <w:sz w:val="31"/>
          <w:szCs w:val="31"/>
          <w:lang w:eastAsia="zh-CN"/>
        </w:rPr>
        <w:t>第</w:t>
      </w:r>
      <w:r>
        <w:rPr>
          <w:rFonts w:hint="eastAsia" w:ascii="黑体" w:hAnsi="黑体" w:eastAsia="黑体" w:cs="黑体"/>
          <w:color w:val="auto"/>
          <w:spacing w:val="2"/>
          <w:sz w:val="31"/>
          <w:szCs w:val="31"/>
          <w:lang w:eastAsia="zh-CN"/>
        </w:rPr>
        <w:t>六</w:t>
      </w:r>
      <w:r>
        <w:rPr>
          <w:rFonts w:ascii="黑体" w:hAnsi="黑体" w:eastAsia="黑体" w:cs="黑体"/>
          <w:color w:val="auto"/>
          <w:spacing w:val="2"/>
          <w:sz w:val="31"/>
          <w:szCs w:val="31"/>
          <w:lang w:eastAsia="zh-CN"/>
        </w:rPr>
        <w:t>章</w:t>
      </w:r>
      <w:r>
        <w:rPr>
          <w:rFonts w:ascii="黑体" w:hAnsi="黑体" w:eastAsia="黑体" w:cs="黑体"/>
          <w:color w:val="auto"/>
          <w:spacing w:val="21"/>
          <w:sz w:val="31"/>
          <w:szCs w:val="31"/>
          <w:lang w:eastAsia="zh-CN"/>
        </w:rPr>
        <w:t xml:space="preserve">  </w:t>
      </w:r>
      <w:r>
        <w:rPr>
          <w:rFonts w:ascii="黑体" w:hAnsi="黑体" w:eastAsia="黑体" w:cs="黑体"/>
          <w:color w:val="auto"/>
          <w:spacing w:val="2"/>
          <w:sz w:val="31"/>
          <w:szCs w:val="31"/>
          <w:lang w:eastAsia="zh-CN"/>
        </w:rPr>
        <w:t>附则</w:t>
      </w:r>
    </w:p>
    <w:p w14:paraId="760E56CF">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z w:val="32"/>
          <w:szCs w:val="32"/>
        </w:rPr>
      </w:pPr>
      <w:r>
        <w:rPr>
          <w:rFonts w:hint="eastAsia" w:ascii="楷体_GB2312" w:hAnsi="楷体_GB2312" w:eastAsia="楷体_GB2312" w:cs="楷体_GB2312"/>
          <w:b/>
          <w:bCs/>
          <w:spacing w:val="8"/>
          <w:sz w:val="32"/>
          <w:szCs w:val="32"/>
        </w:rPr>
        <w:t>第二十七条</w:t>
      </w:r>
      <w:r>
        <w:rPr>
          <w:rFonts w:ascii="仿宋_GB2312" w:eastAsia="仿宋_GB2312"/>
          <w:sz w:val="32"/>
          <w:szCs w:val="32"/>
        </w:rPr>
        <w:t xml:space="preserve"> </w:t>
      </w:r>
      <w:r>
        <w:rPr>
          <w:rFonts w:hint="eastAsia" w:ascii="仿宋_GB2312" w:eastAsia="仿宋_GB2312"/>
          <w:sz w:val="32"/>
          <w:szCs w:val="32"/>
        </w:rPr>
        <w:t>国家、省、市行业主管部门另有相关规定的，按其规定执行。各乡镇、</w:t>
      </w:r>
      <w:r>
        <w:rPr>
          <w:rFonts w:hint="eastAsia" w:ascii="仿宋_GB2312" w:eastAsia="仿宋_GB2312"/>
          <w:sz w:val="32"/>
          <w:szCs w:val="32"/>
          <w:lang w:eastAsia="zh-CN"/>
        </w:rPr>
        <w:t>县</w:t>
      </w:r>
      <w:r>
        <w:rPr>
          <w:rFonts w:hint="eastAsia" w:ascii="仿宋_GB2312" w:eastAsia="仿宋_GB2312"/>
          <w:sz w:val="32"/>
          <w:szCs w:val="32"/>
        </w:rPr>
        <w:t>开发区、县属国有企业参照本办法制订具体实施细则。</w:t>
      </w:r>
    </w:p>
    <w:p w14:paraId="18162714">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ascii="仿宋_GB2312" w:eastAsia="仿宋_GB2312"/>
          <w:sz w:val="32"/>
          <w:szCs w:val="32"/>
        </w:rPr>
      </w:pPr>
      <w:r>
        <w:rPr>
          <w:rFonts w:hint="eastAsia" w:ascii="楷体_GB2312" w:hAnsi="楷体_GB2312" w:eastAsia="楷体_GB2312" w:cs="楷体_GB2312"/>
          <w:b/>
          <w:bCs/>
          <w:spacing w:val="8"/>
          <w:sz w:val="32"/>
          <w:szCs w:val="32"/>
        </w:rPr>
        <w:t>第二十八条</w:t>
      </w:r>
      <w:r>
        <w:rPr>
          <w:rFonts w:ascii="仿宋_GB2312" w:eastAsia="仿宋_GB2312"/>
          <w:sz w:val="32"/>
          <w:szCs w:val="32"/>
        </w:rPr>
        <w:t xml:space="preserve"> </w:t>
      </w:r>
      <w:r>
        <w:rPr>
          <w:rFonts w:hint="eastAsia" w:ascii="仿宋_GB2312" w:eastAsia="仿宋_GB2312"/>
          <w:sz w:val="32"/>
          <w:szCs w:val="32"/>
        </w:rPr>
        <w:t>本办法自发布之日起施行，试行期一年。原</w:t>
      </w:r>
      <w:bookmarkStart w:id="124" w:name="OLE_LINK56"/>
      <w:bookmarkStart w:id="125" w:name="OLE_LINK49"/>
      <w:r>
        <w:rPr>
          <w:rFonts w:hint="eastAsia" w:ascii="仿宋_GB2312" w:eastAsia="仿宋_GB2312"/>
          <w:sz w:val="32"/>
          <w:szCs w:val="32"/>
        </w:rPr>
        <w:t>《青阳县政府投资项目工程变更管理办法》（青政办〔</w:t>
      </w:r>
      <w:r>
        <w:rPr>
          <w:rFonts w:ascii="仿宋_GB2312" w:eastAsia="仿宋_GB2312"/>
          <w:sz w:val="32"/>
          <w:szCs w:val="32"/>
        </w:rPr>
        <w:t>20</w:t>
      </w:r>
      <w:r>
        <w:rPr>
          <w:rFonts w:hint="eastAsia" w:ascii="仿宋_GB2312" w:eastAsia="仿宋_GB2312"/>
          <w:sz w:val="32"/>
          <w:szCs w:val="32"/>
        </w:rPr>
        <w:t>23〕2号）</w:t>
      </w:r>
      <w:bookmarkEnd w:id="124"/>
      <w:bookmarkEnd w:id="125"/>
      <w:r>
        <w:rPr>
          <w:rFonts w:hint="eastAsia" w:ascii="仿宋_GB2312" w:eastAsia="仿宋_GB2312"/>
          <w:sz w:val="32"/>
          <w:szCs w:val="32"/>
        </w:rPr>
        <w:t>同时废止。</w:t>
      </w:r>
    </w:p>
    <w:p w14:paraId="2153528F">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42" w:firstLineChars="220"/>
        <w:contextualSpacing/>
        <w:jc w:val="both"/>
        <w:rPr>
          <w:rFonts w:hint="eastAsia" w:ascii="仿宋_GB2312" w:eastAsia="仿宋_GB2312"/>
          <w:sz w:val="32"/>
          <w:szCs w:val="32"/>
        </w:rPr>
      </w:pPr>
      <w:r>
        <w:rPr>
          <w:rFonts w:hint="eastAsia" w:ascii="楷体_GB2312" w:hAnsi="楷体_GB2312" w:eastAsia="楷体_GB2312" w:cs="楷体_GB2312"/>
          <w:b/>
          <w:bCs/>
          <w:spacing w:val="8"/>
          <w:sz w:val="32"/>
          <w:szCs w:val="32"/>
        </w:rPr>
        <w:t>第二十九条</w:t>
      </w:r>
      <w:r>
        <w:rPr>
          <w:rFonts w:ascii="仿宋_GB2312" w:eastAsia="仿宋_GB2312"/>
          <w:sz w:val="32"/>
          <w:szCs w:val="32"/>
        </w:rPr>
        <w:t xml:space="preserve"> </w:t>
      </w:r>
      <w:r>
        <w:rPr>
          <w:rFonts w:hint="eastAsia" w:ascii="仿宋_GB2312" w:eastAsia="仿宋_GB2312"/>
          <w:sz w:val="32"/>
          <w:szCs w:val="32"/>
        </w:rPr>
        <w:t>本办法由县发改委负责解释。</w:t>
      </w:r>
    </w:p>
    <w:p w14:paraId="2A4DB7AF">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704" w:firstLineChars="220"/>
        <w:contextualSpacing/>
        <w:jc w:val="both"/>
        <w:rPr>
          <w:rFonts w:hint="eastAsia" w:ascii="仿宋_GB2312" w:eastAsia="仿宋_GB2312"/>
          <w:sz w:val="32"/>
          <w:szCs w:val="32"/>
          <w:lang w:eastAsia="zh-CN"/>
        </w:rPr>
      </w:pPr>
    </w:p>
    <w:p w14:paraId="376EE1F4">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640" w:firstLineChars="200"/>
        <w:contextualSpacing/>
        <w:jc w:val="both"/>
        <w:rPr>
          <w:rFonts w:hint="eastAsia" w:ascii="仿宋_GB2312" w:eastAsia="仿宋_GB2312"/>
          <w:sz w:val="32"/>
          <w:szCs w:val="32"/>
          <w:lang w:eastAsia="zh-CN"/>
        </w:rPr>
      </w:pPr>
    </w:p>
    <w:p w14:paraId="3E8F4864">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640" w:firstLineChars="200"/>
        <w:contextualSpacing/>
        <w:jc w:val="both"/>
        <w:rPr>
          <w:rFonts w:hint="eastAsia" w:ascii="仿宋_GB2312" w:eastAsia="仿宋_GB2312"/>
          <w:sz w:val="32"/>
          <w:szCs w:val="32"/>
          <w:lang w:eastAsia="zh-CN"/>
        </w:rPr>
      </w:pPr>
    </w:p>
    <w:p w14:paraId="73D4BC58">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640" w:firstLineChars="200"/>
        <w:contextualSpacing/>
        <w:jc w:val="both"/>
        <w:rPr>
          <w:rFonts w:hint="eastAsia" w:ascii="仿宋_GB2312" w:eastAsia="仿宋_GB2312"/>
          <w:sz w:val="32"/>
          <w:szCs w:val="32"/>
          <w:lang w:eastAsia="zh-CN"/>
        </w:rPr>
      </w:pPr>
    </w:p>
    <w:p w14:paraId="3D061BB8">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640" w:firstLineChars="200"/>
        <w:contextualSpacing/>
        <w:jc w:val="both"/>
        <w:rPr>
          <w:rFonts w:hint="eastAsia" w:ascii="仿宋_GB2312" w:eastAsia="仿宋_GB2312"/>
          <w:sz w:val="32"/>
          <w:szCs w:val="32"/>
          <w:lang w:eastAsia="zh-CN"/>
        </w:rPr>
      </w:pPr>
    </w:p>
    <w:p w14:paraId="558E0B67">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640" w:firstLineChars="200"/>
        <w:contextualSpacing/>
        <w:jc w:val="both"/>
        <w:rPr>
          <w:rFonts w:hint="eastAsia" w:ascii="仿宋_GB2312" w:eastAsia="仿宋_GB2312"/>
          <w:sz w:val="32"/>
          <w:szCs w:val="32"/>
          <w:lang w:eastAsia="zh-CN"/>
        </w:rPr>
      </w:pPr>
    </w:p>
    <w:p w14:paraId="647A1A6F">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640" w:firstLineChars="200"/>
        <w:contextualSpacing/>
        <w:jc w:val="both"/>
        <w:rPr>
          <w:rFonts w:hint="eastAsia" w:ascii="仿宋_GB2312" w:eastAsia="仿宋_GB2312"/>
          <w:sz w:val="32"/>
          <w:szCs w:val="32"/>
          <w:lang w:eastAsia="zh-CN"/>
        </w:rPr>
      </w:pPr>
    </w:p>
    <w:p w14:paraId="7BCE3D5A">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640" w:firstLineChars="200"/>
        <w:contextualSpacing/>
        <w:jc w:val="both"/>
        <w:rPr>
          <w:rFonts w:hint="eastAsia" w:ascii="仿宋_GB2312" w:eastAsia="仿宋_GB2312"/>
          <w:sz w:val="32"/>
          <w:szCs w:val="32"/>
          <w:lang w:eastAsia="zh-CN"/>
        </w:rPr>
      </w:pPr>
      <w:r>
        <w:rPr>
          <w:rFonts w:hint="eastAsia" w:ascii="仿宋_GB2312" w:eastAsia="仿宋_GB2312"/>
          <w:sz w:val="32"/>
          <w:szCs w:val="32"/>
          <w:lang w:eastAsia="zh-CN"/>
        </w:rPr>
        <w:t>附件：青阳县政府投资项目工程变更审批表</w:t>
      </w:r>
    </w:p>
    <w:p w14:paraId="07D04C46">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640" w:firstLineChars="200"/>
        <w:contextualSpacing/>
        <w:jc w:val="both"/>
        <w:rPr>
          <w:rFonts w:hint="eastAsia" w:ascii="仿宋_GB2312" w:eastAsia="仿宋_GB2312"/>
          <w:sz w:val="32"/>
          <w:szCs w:val="32"/>
          <w:lang w:eastAsia="zh-CN"/>
        </w:rPr>
      </w:pPr>
    </w:p>
    <w:p w14:paraId="34F240AD">
      <w:pPr>
        <w:pStyle w:val="17"/>
        <w:keepNext w:val="0"/>
        <w:keepLines w:val="0"/>
        <w:pageBreakBefore w:val="0"/>
        <w:shd w:val="clear" w:color="auto" w:fill="FFFFFF"/>
        <w:wordWrap/>
        <w:overflowPunct/>
        <w:topLinePunct w:val="0"/>
        <w:bidi w:val="0"/>
        <w:snapToGrid/>
        <w:spacing w:before="0" w:beforeAutospacing="0" w:after="0" w:afterAutospacing="0" w:line="560" w:lineRule="exact"/>
        <w:contextualSpacing/>
        <w:jc w:val="both"/>
        <w:rPr>
          <w:rFonts w:hint="eastAsia" w:ascii="仿宋_GB2312" w:eastAsia="仿宋_GB2312"/>
          <w:sz w:val="32"/>
          <w:szCs w:val="32"/>
          <w:lang w:eastAsia="zh-CN"/>
        </w:rPr>
      </w:pPr>
    </w:p>
    <w:p w14:paraId="2A3D8AE8">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280" w:firstLineChars="100"/>
        <w:contextualSpacing/>
        <w:jc w:val="both"/>
        <w:rPr>
          <w:rFonts w:hint="eastAsia" w:ascii="仿宋_GB2312" w:eastAsia="仿宋_GB2312"/>
          <w:sz w:val="28"/>
          <w:szCs w:val="28"/>
          <w:lang w:eastAsia="zh-CN"/>
        </w:rPr>
      </w:pPr>
    </w:p>
    <w:p w14:paraId="6443170D">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280" w:firstLineChars="100"/>
        <w:contextualSpacing/>
        <w:jc w:val="both"/>
        <w:rPr>
          <w:rFonts w:hint="eastAsia" w:ascii="仿宋_GB2312" w:eastAsia="仿宋_GB2312"/>
          <w:sz w:val="28"/>
          <w:szCs w:val="28"/>
          <w:lang w:eastAsia="zh-CN"/>
        </w:rPr>
      </w:pPr>
    </w:p>
    <w:p w14:paraId="6237E9F2">
      <w:pPr>
        <w:pStyle w:val="17"/>
        <w:keepNext w:val="0"/>
        <w:keepLines w:val="0"/>
        <w:pageBreakBefore w:val="0"/>
        <w:shd w:val="clear" w:color="auto" w:fill="FFFFFF"/>
        <w:wordWrap/>
        <w:overflowPunct/>
        <w:topLinePunct w:val="0"/>
        <w:bidi w:val="0"/>
        <w:snapToGrid/>
        <w:spacing w:before="0" w:beforeAutospacing="0" w:after="0" w:afterAutospacing="0" w:line="560" w:lineRule="exact"/>
        <w:ind w:firstLine="280" w:firstLineChars="100"/>
        <w:contextualSpacing/>
        <w:jc w:val="both"/>
        <w:rPr>
          <w:rFonts w:hint="eastAsia" w:ascii="仿宋_GB2312" w:eastAsia="仿宋_GB2312"/>
          <w:sz w:val="28"/>
          <w:szCs w:val="28"/>
          <w:lang w:eastAsia="zh-CN"/>
        </w:rPr>
      </w:pPr>
    </w:p>
    <w:p w14:paraId="11F8E945">
      <w:pPr>
        <w:snapToGrid/>
        <w:spacing w:before="101" w:line="560" w:lineRule="exact"/>
        <w:ind w:left="142"/>
        <w:contextualSpacing/>
        <w:rPr>
          <w:rFonts w:ascii="黑体" w:hAnsi="黑体" w:eastAsia="黑体" w:cs="黑体"/>
          <w:color w:val="auto"/>
          <w:spacing w:val="-4"/>
          <w:sz w:val="31"/>
          <w:szCs w:val="31"/>
          <w:lang w:eastAsia="zh-CN"/>
        </w:rPr>
      </w:pPr>
    </w:p>
    <w:p w14:paraId="7228E739">
      <w:pPr>
        <w:snapToGrid/>
        <w:spacing w:before="101" w:line="560" w:lineRule="exact"/>
        <w:ind w:left="142"/>
        <w:contextualSpacing/>
        <w:rPr>
          <w:rFonts w:ascii="黑体" w:hAnsi="黑体" w:eastAsia="黑体" w:cs="黑体"/>
          <w:color w:val="auto"/>
          <w:spacing w:val="-4"/>
          <w:sz w:val="31"/>
          <w:szCs w:val="31"/>
          <w:lang w:eastAsia="zh-CN"/>
        </w:rPr>
      </w:pPr>
    </w:p>
    <w:p w14:paraId="55BB43DD">
      <w:pPr>
        <w:snapToGrid/>
        <w:spacing w:before="101" w:line="560" w:lineRule="exact"/>
        <w:ind w:left="142"/>
        <w:contextualSpacing/>
        <w:rPr>
          <w:rFonts w:ascii="黑体" w:hAnsi="黑体" w:eastAsia="黑体" w:cs="黑体"/>
          <w:color w:val="auto"/>
          <w:spacing w:val="-4"/>
          <w:sz w:val="31"/>
          <w:szCs w:val="31"/>
          <w:lang w:eastAsia="zh-CN"/>
        </w:rPr>
      </w:pPr>
      <w:r>
        <w:rPr>
          <w:rFonts w:ascii="黑体" w:hAnsi="黑体" w:eastAsia="黑体" w:cs="黑体"/>
          <w:color w:val="auto"/>
          <w:spacing w:val="-4"/>
          <w:sz w:val="31"/>
          <w:szCs w:val="31"/>
          <w:lang w:eastAsia="zh-CN"/>
        </w:rPr>
        <w:t>附件</w:t>
      </w:r>
      <w:r>
        <w:rPr>
          <w:rFonts w:ascii="黑体" w:hAnsi="黑体" w:eastAsia="黑体" w:cs="黑体"/>
          <w:color w:val="auto"/>
          <w:spacing w:val="-45"/>
          <w:sz w:val="31"/>
          <w:szCs w:val="31"/>
          <w:lang w:eastAsia="zh-CN"/>
        </w:rPr>
        <w:t xml:space="preserve"> </w:t>
      </w:r>
    </w:p>
    <w:p w14:paraId="336D01BB">
      <w:pPr>
        <w:keepNext w:val="0"/>
        <w:keepLines w:val="0"/>
        <w:pageBreakBefore w:val="0"/>
        <w:widowControl/>
        <w:kinsoku w:val="0"/>
        <w:wordWrap/>
        <w:overflowPunct/>
        <w:topLinePunct w:val="0"/>
        <w:autoSpaceDE w:val="0"/>
        <w:autoSpaceDN w:val="0"/>
        <w:bidi w:val="0"/>
        <w:adjustRightInd w:val="0"/>
        <w:snapToGrid/>
        <w:spacing w:line="240" w:lineRule="exact"/>
        <w:contextualSpacing/>
        <w:jc w:val="center"/>
        <w:textAlignment w:val="baseline"/>
        <w:rPr>
          <w:rFonts w:hint="eastAsia" w:ascii="方正小标宋简体" w:hAnsi="仿宋_GB2312" w:eastAsia="方正小标宋简体" w:cs="仿宋_GB2312"/>
          <w:color w:val="auto"/>
          <w:sz w:val="44"/>
          <w:szCs w:val="44"/>
          <w:lang w:eastAsia="zh-CN"/>
        </w:rPr>
      </w:pPr>
    </w:p>
    <w:p w14:paraId="7D60F2C5">
      <w:pPr>
        <w:keepNext w:val="0"/>
        <w:keepLines w:val="0"/>
        <w:pageBreakBefore w:val="0"/>
        <w:widowControl/>
        <w:kinsoku w:val="0"/>
        <w:wordWrap/>
        <w:overflowPunct/>
        <w:topLinePunct w:val="0"/>
        <w:autoSpaceDE w:val="0"/>
        <w:autoSpaceDN w:val="0"/>
        <w:bidi w:val="0"/>
        <w:adjustRightInd w:val="0"/>
        <w:snapToGrid/>
        <w:spacing w:line="520" w:lineRule="exact"/>
        <w:contextualSpacing/>
        <w:jc w:val="center"/>
        <w:textAlignment w:val="baseline"/>
        <w:rPr>
          <w:rFonts w:ascii="方正小标宋简体" w:hAnsi="仿宋_GB2312" w:eastAsia="方正小标宋简体" w:cs="仿宋_GB2312"/>
          <w:color w:val="auto"/>
          <w:sz w:val="44"/>
          <w:szCs w:val="44"/>
          <w:lang w:eastAsia="zh-CN"/>
        </w:rPr>
      </w:pPr>
      <w:r>
        <w:rPr>
          <w:rFonts w:hint="eastAsia" w:ascii="方正小标宋简体" w:hAnsi="仿宋_GB2312" w:eastAsia="方正小标宋简体" w:cs="仿宋_GB2312"/>
          <w:color w:val="auto"/>
          <w:sz w:val="44"/>
          <w:szCs w:val="44"/>
          <w:lang w:eastAsia="zh-CN"/>
        </w:rPr>
        <w:t>青阳县政府投资项目工程变更审批表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4"/>
        <w:gridCol w:w="1746"/>
        <w:gridCol w:w="1420"/>
        <w:gridCol w:w="1420"/>
        <w:gridCol w:w="1421"/>
        <w:gridCol w:w="1421"/>
      </w:tblGrid>
      <w:tr w14:paraId="2D746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1094" w:type="dxa"/>
            <w:vAlign w:val="center"/>
          </w:tcPr>
          <w:p w14:paraId="61FF3522">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项目</w:t>
            </w:r>
          </w:p>
          <w:p w14:paraId="4C886965">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名称</w:t>
            </w:r>
          </w:p>
        </w:tc>
        <w:tc>
          <w:tcPr>
            <w:tcW w:w="7428" w:type="dxa"/>
            <w:gridSpan w:val="5"/>
          </w:tcPr>
          <w:p w14:paraId="6B376702">
            <w:pPr>
              <w:widowControl w:val="0"/>
              <w:snapToGrid/>
              <w:spacing w:line="440" w:lineRule="exact"/>
              <w:contextualSpacing/>
              <w:jc w:val="center"/>
              <w:rPr>
                <w:rFonts w:ascii="仿宋_GB2312" w:hAnsi="仿宋_GB2312" w:eastAsia="仿宋_GB2312" w:cs="仿宋_GB2312"/>
                <w:color w:val="auto"/>
                <w:sz w:val="24"/>
              </w:rPr>
            </w:pPr>
          </w:p>
        </w:tc>
      </w:tr>
      <w:tr w14:paraId="4C3A2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094" w:type="dxa"/>
            <w:vAlign w:val="center"/>
          </w:tcPr>
          <w:p w14:paraId="5FD03199">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申请变</w:t>
            </w:r>
          </w:p>
          <w:p w14:paraId="22B3210B">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更单位</w:t>
            </w:r>
          </w:p>
        </w:tc>
        <w:tc>
          <w:tcPr>
            <w:tcW w:w="1746" w:type="dxa"/>
          </w:tcPr>
          <w:p w14:paraId="43FEA88B">
            <w:pPr>
              <w:widowControl w:val="0"/>
              <w:snapToGrid/>
              <w:spacing w:line="440" w:lineRule="exact"/>
              <w:contextualSpacing/>
              <w:jc w:val="center"/>
              <w:rPr>
                <w:rFonts w:ascii="仿宋_GB2312" w:hAnsi="仿宋_GB2312" w:eastAsia="仿宋_GB2312" w:cs="仿宋_GB2312"/>
                <w:color w:val="auto"/>
                <w:sz w:val="24"/>
              </w:rPr>
            </w:pPr>
          </w:p>
        </w:tc>
        <w:tc>
          <w:tcPr>
            <w:tcW w:w="1420" w:type="dxa"/>
            <w:vAlign w:val="center"/>
          </w:tcPr>
          <w:p w14:paraId="47383630">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申请</w:t>
            </w:r>
          </w:p>
          <w:p w14:paraId="644BC5CD">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文号</w:t>
            </w:r>
          </w:p>
        </w:tc>
        <w:tc>
          <w:tcPr>
            <w:tcW w:w="1420" w:type="dxa"/>
            <w:vAlign w:val="center"/>
          </w:tcPr>
          <w:p w14:paraId="74D8D758">
            <w:pPr>
              <w:widowControl w:val="0"/>
              <w:snapToGrid/>
              <w:spacing w:line="440" w:lineRule="exact"/>
              <w:contextualSpacing/>
              <w:jc w:val="center"/>
              <w:rPr>
                <w:rFonts w:ascii="仿宋_GB2312" w:hAnsi="仿宋_GB2312" w:eastAsia="仿宋_GB2312" w:cs="仿宋_GB2312"/>
                <w:color w:val="auto"/>
                <w:sz w:val="24"/>
              </w:rPr>
            </w:pPr>
          </w:p>
        </w:tc>
        <w:tc>
          <w:tcPr>
            <w:tcW w:w="1421" w:type="dxa"/>
            <w:vAlign w:val="center"/>
          </w:tcPr>
          <w:p w14:paraId="2825F537">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申请</w:t>
            </w:r>
          </w:p>
          <w:p w14:paraId="24206D99">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时间</w:t>
            </w:r>
          </w:p>
        </w:tc>
        <w:tc>
          <w:tcPr>
            <w:tcW w:w="1421" w:type="dxa"/>
            <w:vAlign w:val="center"/>
          </w:tcPr>
          <w:p w14:paraId="17588EF0">
            <w:pPr>
              <w:widowControl w:val="0"/>
              <w:snapToGrid/>
              <w:spacing w:line="440" w:lineRule="exact"/>
              <w:contextualSpacing/>
              <w:jc w:val="left"/>
              <w:rPr>
                <w:color w:val="auto"/>
                <w:sz w:val="20"/>
              </w:rPr>
            </w:pPr>
          </w:p>
        </w:tc>
      </w:tr>
      <w:tr w14:paraId="19EEA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1094" w:type="dxa"/>
            <w:vAlign w:val="center"/>
          </w:tcPr>
          <w:p w14:paraId="449E83D4">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工  程</w:t>
            </w:r>
          </w:p>
          <w:p w14:paraId="482B4AFA">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合同价</w:t>
            </w:r>
          </w:p>
        </w:tc>
        <w:tc>
          <w:tcPr>
            <w:tcW w:w="3166" w:type="dxa"/>
            <w:gridSpan w:val="2"/>
            <w:vAlign w:val="center"/>
          </w:tcPr>
          <w:p w14:paraId="2FCE51B0">
            <w:pPr>
              <w:widowControl w:val="0"/>
              <w:snapToGrid/>
              <w:spacing w:line="440" w:lineRule="exact"/>
              <w:contextualSpacing/>
              <w:jc w:val="center"/>
              <w:rPr>
                <w:rFonts w:ascii="仿宋_GB2312" w:hAnsi="仿宋_GB2312" w:eastAsia="仿宋_GB2312" w:cs="仿宋_GB2312"/>
                <w:color w:val="auto"/>
                <w:sz w:val="24"/>
              </w:rPr>
            </w:pPr>
          </w:p>
        </w:tc>
        <w:tc>
          <w:tcPr>
            <w:tcW w:w="1420" w:type="dxa"/>
            <w:vAlign w:val="center"/>
          </w:tcPr>
          <w:p w14:paraId="2D6495D1">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工程开</w:t>
            </w:r>
          </w:p>
          <w:p w14:paraId="0B17932B">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工时间</w:t>
            </w:r>
          </w:p>
        </w:tc>
        <w:tc>
          <w:tcPr>
            <w:tcW w:w="2842" w:type="dxa"/>
            <w:gridSpan w:val="2"/>
            <w:vAlign w:val="center"/>
          </w:tcPr>
          <w:p w14:paraId="6510CFB5">
            <w:pPr>
              <w:widowControl w:val="0"/>
              <w:snapToGrid/>
              <w:spacing w:line="440" w:lineRule="exact"/>
              <w:contextualSpacing/>
              <w:jc w:val="center"/>
              <w:rPr>
                <w:rFonts w:ascii="仿宋_GB2312" w:hAnsi="仿宋_GB2312" w:eastAsia="仿宋_GB2312" w:cs="仿宋_GB2312"/>
                <w:color w:val="auto"/>
                <w:sz w:val="24"/>
              </w:rPr>
            </w:pPr>
          </w:p>
        </w:tc>
      </w:tr>
      <w:tr w14:paraId="1F680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094" w:type="dxa"/>
            <w:vAlign w:val="center"/>
          </w:tcPr>
          <w:p w14:paraId="5C0F3D4C">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本次变</w:t>
            </w:r>
          </w:p>
          <w:p w14:paraId="202A2CB9">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更预算</w:t>
            </w:r>
          </w:p>
        </w:tc>
        <w:tc>
          <w:tcPr>
            <w:tcW w:w="7428" w:type="dxa"/>
            <w:gridSpan w:val="5"/>
            <w:vAlign w:val="center"/>
          </w:tcPr>
          <w:p w14:paraId="1CE8CF44">
            <w:pPr>
              <w:widowControl w:val="0"/>
              <w:snapToGrid/>
              <w:spacing w:line="440" w:lineRule="exact"/>
              <w:contextualSpacing/>
              <w:jc w:val="center"/>
              <w:rPr>
                <w:rFonts w:ascii="仿宋_GB2312" w:hAnsi="仿宋_GB2312" w:eastAsia="仿宋_GB2312" w:cs="仿宋_GB2312"/>
                <w:color w:val="auto"/>
                <w:sz w:val="24"/>
              </w:rPr>
            </w:pPr>
          </w:p>
        </w:tc>
      </w:tr>
      <w:tr w14:paraId="3FD57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3" w:hRule="atLeast"/>
        </w:trPr>
        <w:tc>
          <w:tcPr>
            <w:tcW w:w="1094" w:type="dxa"/>
            <w:vAlign w:val="center"/>
          </w:tcPr>
          <w:p w14:paraId="630AEA5D">
            <w:pPr>
              <w:widowControl w:val="0"/>
              <w:snapToGrid/>
              <w:spacing w:line="440" w:lineRule="exact"/>
              <w:contextualSpacing/>
              <w:jc w:val="both"/>
              <w:rPr>
                <w:rFonts w:ascii="仿宋_GB2312" w:hAnsi="仿宋_GB2312" w:eastAsia="仿宋_GB2312" w:cs="仿宋_GB2312"/>
                <w:color w:val="auto"/>
                <w:sz w:val="24"/>
              </w:rPr>
            </w:pPr>
          </w:p>
          <w:p w14:paraId="4A87337F">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变</w:t>
            </w:r>
          </w:p>
          <w:p w14:paraId="42F65867">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更</w:t>
            </w:r>
          </w:p>
          <w:p w14:paraId="1C540E1E">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内</w:t>
            </w:r>
          </w:p>
          <w:p w14:paraId="2507790D">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容</w:t>
            </w:r>
          </w:p>
          <w:p w14:paraId="7C1D3E0F">
            <w:pPr>
              <w:widowControl w:val="0"/>
              <w:snapToGrid/>
              <w:spacing w:line="440" w:lineRule="exact"/>
              <w:contextualSpacing/>
              <w:jc w:val="center"/>
              <w:rPr>
                <w:rFonts w:ascii="仿宋_GB2312" w:hAnsi="仿宋_GB2312" w:eastAsia="仿宋_GB2312" w:cs="仿宋_GB2312"/>
                <w:color w:val="auto"/>
                <w:sz w:val="24"/>
              </w:rPr>
            </w:pPr>
          </w:p>
        </w:tc>
        <w:tc>
          <w:tcPr>
            <w:tcW w:w="7428" w:type="dxa"/>
            <w:gridSpan w:val="5"/>
          </w:tcPr>
          <w:p w14:paraId="0F72BF0C">
            <w:pPr>
              <w:widowControl w:val="0"/>
              <w:snapToGrid/>
              <w:spacing w:line="440" w:lineRule="exact"/>
              <w:contextualSpacing/>
              <w:jc w:val="center"/>
              <w:rPr>
                <w:rFonts w:ascii="仿宋_GB2312" w:hAnsi="仿宋_GB2312" w:eastAsia="仿宋_GB2312" w:cs="仿宋_GB2312"/>
                <w:color w:val="auto"/>
                <w:sz w:val="24"/>
              </w:rPr>
            </w:pPr>
          </w:p>
          <w:p w14:paraId="65B29648">
            <w:pPr>
              <w:widowControl w:val="0"/>
              <w:snapToGrid/>
              <w:spacing w:line="440" w:lineRule="exact"/>
              <w:contextualSpacing/>
              <w:jc w:val="center"/>
              <w:rPr>
                <w:rFonts w:ascii="仿宋_GB2312" w:hAnsi="仿宋_GB2312" w:eastAsia="仿宋_GB2312" w:cs="仿宋_GB2312"/>
                <w:color w:val="auto"/>
                <w:sz w:val="24"/>
              </w:rPr>
            </w:pPr>
          </w:p>
        </w:tc>
      </w:tr>
      <w:tr w14:paraId="53E3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1094" w:type="dxa"/>
            <w:vAlign w:val="center"/>
          </w:tcPr>
          <w:p w14:paraId="49113DD5">
            <w:pPr>
              <w:widowControl w:val="0"/>
              <w:snapToGrid/>
              <w:spacing w:line="440" w:lineRule="exact"/>
              <w:contextualSpacing/>
              <w:jc w:val="center"/>
              <w:rPr>
                <w:rFonts w:ascii="黑体" w:hAnsi="黑体" w:eastAsia="黑体" w:cs="仿宋_GB2312"/>
                <w:color w:val="auto"/>
                <w:sz w:val="24"/>
              </w:rPr>
            </w:pPr>
          </w:p>
          <w:p w14:paraId="0C90E9AB">
            <w:pPr>
              <w:widowControl w:val="0"/>
              <w:snapToGrid/>
              <w:spacing w:line="440" w:lineRule="exact"/>
              <w:contextualSpacing/>
              <w:jc w:val="center"/>
              <w:rPr>
                <w:rFonts w:ascii="黑体" w:hAnsi="黑体" w:eastAsia="黑体" w:cs="仿宋_GB2312"/>
                <w:color w:val="auto"/>
                <w:sz w:val="24"/>
              </w:rPr>
            </w:pPr>
            <w:r>
              <w:rPr>
                <w:rFonts w:hint="eastAsia" w:ascii="黑体" w:hAnsi="黑体" w:eastAsia="黑体" w:cs="仿宋_GB2312"/>
                <w:color w:val="auto"/>
                <w:sz w:val="24"/>
              </w:rPr>
              <w:t>变更原因及责任分析</w:t>
            </w:r>
          </w:p>
          <w:p w14:paraId="35B70049">
            <w:pPr>
              <w:widowControl w:val="0"/>
              <w:snapToGrid/>
              <w:spacing w:line="440" w:lineRule="exact"/>
              <w:contextualSpacing/>
              <w:jc w:val="center"/>
              <w:rPr>
                <w:rFonts w:ascii="黑体" w:hAnsi="黑体" w:eastAsia="黑体" w:cs="仿宋_GB2312"/>
                <w:color w:val="auto"/>
                <w:sz w:val="24"/>
              </w:rPr>
            </w:pPr>
          </w:p>
        </w:tc>
        <w:tc>
          <w:tcPr>
            <w:tcW w:w="7428" w:type="dxa"/>
            <w:gridSpan w:val="5"/>
          </w:tcPr>
          <w:p w14:paraId="771E990F">
            <w:pPr>
              <w:widowControl w:val="0"/>
              <w:snapToGrid/>
              <w:spacing w:line="440" w:lineRule="exact"/>
              <w:contextualSpacing/>
              <w:jc w:val="center"/>
              <w:rPr>
                <w:rFonts w:ascii="仿宋_GB2312" w:hAnsi="仿宋_GB2312" w:eastAsia="仿宋_GB2312" w:cs="仿宋_GB2312"/>
                <w:color w:val="auto"/>
                <w:sz w:val="24"/>
              </w:rPr>
            </w:pPr>
          </w:p>
        </w:tc>
      </w:tr>
      <w:tr w14:paraId="24FE9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5" w:hRule="atLeast"/>
        </w:trPr>
        <w:tc>
          <w:tcPr>
            <w:tcW w:w="1094" w:type="dxa"/>
            <w:vAlign w:val="center"/>
          </w:tcPr>
          <w:p w14:paraId="32A3132B">
            <w:pPr>
              <w:widowControl w:val="0"/>
              <w:snapToGrid/>
              <w:spacing w:line="440" w:lineRule="exact"/>
              <w:contextualSpacing/>
              <w:jc w:val="center"/>
              <w:rPr>
                <w:rFonts w:ascii="黑体" w:hAnsi="黑体" w:eastAsia="黑体" w:cs="仿宋_GB2312"/>
                <w:color w:val="auto"/>
                <w:sz w:val="24"/>
                <w:lang w:eastAsia="zh-CN"/>
              </w:rPr>
            </w:pPr>
            <w:r>
              <w:rPr>
                <w:rFonts w:hint="eastAsia" w:ascii="黑体" w:hAnsi="黑体" w:eastAsia="黑体" w:cs="仿宋_GB2312"/>
                <w:color w:val="auto"/>
                <w:sz w:val="24"/>
                <w:lang w:eastAsia="zh-CN"/>
              </w:rPr>
              <w:t>拟对责任单位或责任人的处理意见</w:t>
            </w:r>
          </w:p>
        </w:tc>
        <w:tc>
          <w:tcPr>
            <w:tcW w:w="7428" w:type="dxa"/>
            <w:gridSpan w:val="5"/>
          </w:tcPr>
          <w:p w14:paraId="29AB6930">
            <w:pPr>
              <w:widowControl w:val="0"/>
              <w:snapToGrid/>
              <w:spacing w:line="440" w:lineRule="exact"/>
              <w:contextualSpacing/>
              <w:jc w:val="center"/>
              <w:rPr>
                <w:rFonts w:ascii="仿宋_GB2312" w:hAnsi="仿宋_GB2312" w:eastAsia="仿宋_GB2312" w:cs="仿宋_GB2312"/>
                <w:color w:val="auto"/>
                <w:sz w:val="24"/>
                <w:lang w:eastAsia="zh-CN"/>
              </w:rPr>
            </w:pPr>
          </w:p>
        </w:tc>
      </w:tr>
      <w:tr w14:paraId="647E6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8" w:hRule="atLeast"/>
        </w:trPr>
        <w:tc>
          <w:tcPr>
            <w:tcW w:w="1094" w:type="dxa"/>
            <w:vAlign w:val="center"/>
          </w:tcPr>
          <w:p w14:paraId="488894AD">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设计单</w:t>
            </w:r>
          </w:p>
          <w:p w14:paraId="76E5FC7B">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位意见</w:t>
            </w:r>
          </w:p>
        </w:tc>
        <w:tc>
          <w:tcPr>
            <w:tcW w:w="7428" w:type="dxa"/>
            <w:gridSpan w:val="5"/>
          </w:tcPr>
          <w:p w14:paraId="23447AA5">
            <w:pPr>
              <w:widowControl w:val="0"/>
              <w:snapToGrid/>
              <w:spacing w:line="440" w:lineRule="exact"/>
              <w:contextualSpacing/>
              <w:jc w:val="center"/>
              <w:rPr>
                <w:rFonts w:ascii="仿宋_GB2312" w:hAnsi="仿宋_GB2312" w:eastAsia="仿宋_GB2312" w:cs="仿宋_GB2312"/>
                <w:color w:val="auto"/>
                <w:sz w:val="24"/>
                <w:lang w:eastAsia="zh-CN"/>
              </w:rPr>
            </w:pPr>
          </w:p>
          <w:p w14:paraId="0035CC14">
            <w:pPr>
              <w:widowControl w:val="0"/>
              <w:snapToGrid/>
              <w:spacing w:line="440" w:lineRule="exact"/>
              <w:contextualSpacing/>
              <w:jc w:val="center"/>
              <w:rPr>
                <w:rFonts w:ascii="仿宋_GB2312" w:hAnsi="仿宋_GB2312" w:eastAsia="仿宋_GB2312" w:cs="仿宋_GB2312"/>
                <w:color w:val="auto"/>
                <w:sz w:val="24"/>
                <w:lang w:eastAsia="zh-CN"/>
              </w:rPr>
            </w:pPr>
          </w:p>
          <w:p w14:paraId="0FCC2F29">
            <w:pPr>
              <w:widowControl w:val="0"/>
              <w:snapToGrid/>
              <w:spacing w:line="440" w:lineRule="exact"/>
              <w:contextualSpacing/>
              <w:jc w:val="center"/>
              <w:rPr>
                <w:rFonts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                    盖章：           责任人签字：</w:t>
            </w:r>
          </w:p>
          <w:p w14:paraId="6490A3DF">
            <w:pPr>
              <w:widowControl w:val="0"/>
              <w:snapToGrid/>
              <w:spacing w:line="440" w:lineRule="exact"/>
              <w:contextualSpacing/>
              <w:jc w:val="center"/>
              <w:rPr>
                <w:rFonts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                                              年  月  日</w:t>
            </w:r>
          </w:p>
        </w:tc>
      </w:tr>
      <w:tr w14:paraId="4D3C9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0" w:hRule="atLeast"/>
        </w:trPr>
        <w:tc>
          <w:tcPr>
            <w:tcW w:w="1094" w:type="dxa"/>
            <w:vAlign w:val="center"/>
          </w:tcPr>
          <w:p w14:paraId="509100E0">
            <w:pPr>
              <w:widowControl w:val="0"/>
              <w:snapToGrid/>
              <w:spacing w:line="440" w:lineRule="exact"/>
              <w:contextualSpacing/>
              <w:jc w:val="center"/>
              <w:rPr>
                <w:rFonts w:ascii="仿宋_GB2312" w:hAnsi="仿宋_GB2312" w:eastAsia="仿宋_GB2312" w:cs="仿宋_GB2312"/>
                <w:color w:val="auto"/>
                <w:sz w:val="24"/>
                <w:lang w:eastAsia="zh-CN"/>
              </w:rPr>
            </w:pPr>
          </w:p>
          <w:p w14:paraId="3E78B714">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监理单</w:t>
            </w:r>
          </w:p>
          <w:p w14:paraId="3EECC348">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位意见</w:t>
            </w:r>
          </w:p>
          <w:p w14:paraId="4E7FA5BC">
            <w:pPr>
              <w:widowControl w:val="0"/>
              <w:snapToGrid/>
              <w:spacing w:line="440" w:lineRule="exact"/>
              <w:contextualSpacing/>
              <w:jc w:val="center"/>
              <w:rPr>
                <w:rFonts w:ascii="仿宋_GB2312" w:hAnsi="仿宋_GB2312" w:eastAsia="仿宋_GB2312" w:cs="仿宋_GB2312"/>
                <w:color w:val="auto"/>
                <w:sz w:val="24"/>
              </w:rPr>
            </w:pPr>
          </w:p>
        </w:tc>
        <w:tc>
          <w:tcPr>
            <w:tcW w:w="7428" w:type="dxa"/>
            <w:gridSpan w:val="5"/>
          </w:tcPr>
          <w:p w14:paraId="62FABC99">
            <w:pPr>
              <w:widowControl w:val="0"/>
              <w:snapToGrid/>
              <w:spacing w:line="440" w:lineRule="exact"/>
              <w:contextualSpacing/>
              <w:jc w:val="center"/>
              <w:rPr>
                <w:rFonts w:ascii="仿宋_GB2312" w:hAnsi="仿宋_GB2312" w:eastAsia="仿宋_GB2312" w:cs="仿宋_GB2312"/>
                <w:color w:val="auto"/>
                <w:sz w:val="24"/>
                <w:lang w:eastAsia="zh-CN"/>
              </w:rPr>
            </w:pPr>
          </w:p>
          <w:p w14:paraId="2E788DE1">
            <w:pPr>
              <w:widowControl w:val="0"/>
              <w:snapToGrid/>
              <w:spacing w:line="440" w:lineRule="exact"/>
              <w:contextualSpacing/>
              <w:jc w:val="center"/>
              <w:rPr>
                <w:rFonts w:ascii="仿宋_GB2312" w:hAnsi="仿宋_GB2312" w:eastAsia="仿宋_GB2312" w:cs="仿宋_GB2312"/>
                <w:color w:val="auto"/>
                <w:sz w:val="24"/>
                <w:lang w:eastAsia="zh-CN"/>
              </w:rPr>
            </w:pPr>
          </w:p>
          <w:p w14:paraId="77A9AE5A">
            <w:pPr>
              <w:widowControl w:val="0"/>
              <w:snapToGrid/>
              <w:spacing w:line="440" w:lineRule="exact"/>
              <w:contextualSpacing/>
              <w:jc w:val="center"/>
              <w:rPr>
                <w:rFonts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                    盖章：           责任人签字：</w:t>
            </w:r>
          </w:p>
          <w:p w14:paraId="7A4BCC3D">
            <w:pPr>
              <w:widowControl w:val="0"/>
              <w:snapToGrid/>
              <w:spacing w:line="440" w:lineRule="exact"/>
              <w:contextualSpacing/>
              <w:jc w:val="center"/>
              <w:rPr>
                <w:rFonts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                                              年  月  日</w:t>
            </w:r>
          </w:p>
        </w:tc>
      </w:tr>
      <w:tr w14:paraId="5607F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trPr>
        <w:tc>
          <w:tcPr>
            <w:tcW w:w="1094" w:type="dxa"/>
            <w:vAlign w:val="center"/>
          </w:tcPr>
          <w:p w14:paraId="65C727CE">
            <w:pPr>
              <w:widowControl w:val="0"/>
              <w:snapToGrid/>
              <w:spacing w:line="440" w:lineRule="exact"/>
              <w:contextualSpacing/>
              <w:jc w:val="center"/>
              <w:rPr>
                <w:rFonts w:ascii="仿宋_GB2312" w:hAnsi="仿宋_GB2312" w:eastAsia="仿宋_GB2312" w:cs="仿宋_GB2312"/>
                <w:color w:val="auto"/>
                <w:sz w:val="24"/>
                <w:lang w:eastAsia="zh-CN"/>
              </w:rPr>
            </w:pPr>
          </w:p>
          <w:p w14:paraId="1B852A13">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建设单</w:t>
            </w:r>
          </w:p>
          <w:p w14:paraId="3FF58943">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位意见</w:t>
            </w:r>
          </w:p>
          <w:p w14:paraId="287C6A77">
            <w:pPr>
              <w:widowControl w:val="0"/>
              <w:snapToGrid/>
              <w:spacing w:line="440" w:lineRule="exact"/>
              <w:contextualSpacing/>
              <w:jc w:val="center"/>
              <w:rPr>
                <w:rFonts w:ascii="仿宋_GB2312" w:hAnsi="仿宋_GB2312" w:eastAsia="仿宋_GB2312" w:cs="仿宋_GB2312"/>
                <w:color w:val="auto"/>
                <w:sz w:val="24"/>
              </w:rPr>
            </w:pPr>
          </w:p>
        </w:tc>
        <w:tc>
          <w:tcPr>
            <w:tcW w:w="7428" w:type="dxa"/>
            <w:gridSpan w:val="5"/>
          </w:tcPr>
          <w:p w14:paraId="0F6CD7C8">
            <w:pPr>
              <w:widowControl w:val="0"/>
              <w:snapToGrid/>
              <w:spacing w:line="440" w:lineRule="exact"/>
              <w:contextualSpacing/>
              <w:jc w:val="center"/>
              <w:rPr>
                <w:rFonts w:ascii="仿宋_GB2312" w:hAnsi="仿宋_GB2312" w:eastAsia="仿宋_GB2312" w:cs="仿宋_GB2312"/>
                <w:color w:val="auto"/>
                <w:sz w:val="24"/>
                <w:lang w:eastAsia="zh-CN"/>
              </w:rPr>
            </w:pPr>
          </w:p>
          <w:p w14:paraId="6DAC9550">
            <w:pPr>
              <w:widowControl w:val="0"/>
              <w:snapToGrid/>
              <w:spacing w:line="440" w:lineRule="exact"/>
              <w:contextualSpacing/>
              <w:jc w:val="center"/>
              <w:rPr>
                <w:rFonts w:ascii="仿宋_GB2312" w:hAnsi="仿宋_GB2312" w:eastAsia="仿宋_GB2312" w:cs="仿宋_GB2312"/>
                <w:color w:val="auto"/>
                <w:sz w:val="24"/>
                <w:lang w:eastAsia="zh-CN"/>
              </w:rPr>
            </w:pPr>
          </w:p>
          <w:p w14:paraId="6F678159">
            <w:pPr>
              <w:widowControl w:val="0"/>
              <w:snapToGrid/>
              <w:spacing w:line="440" w:lineRule="exact"/>
              <w:contextualSpacing/>
              <w:jc w:val="center"/>
              <w:rPr>
                <w:rFonts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                    盖章：           责任人签字：</w:t>
            </w:r>
          </w:p>
          <w:p w14:paraId="6C100239">
            <w:pPr>
              <w:widowControl w:val="0"/>
              <w:snapToGrid/>
              <w:spacing w:line="440" w:lineRule="exact"/>
              <w:contextualSpacing/>
              <w:jc w:val="center"/>
              <w:rPr>
                <w:rFonts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                                              年  月  日</w:t>
            </w:r>
          </w:p>
        </w:tc>
      </w:tr>
      <w:tr w14:paraId="41C6D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trPr>
        <w:tc>
          <w:tcPr>
            <w:tcW w:w="1094" w:type="dxa"/>
            <w:vAlign w:val="center"/>
          </w:tcPr>
          <w:p w14:paraId="2D4B8A6A">
            <w:pPr>
              <w:widowControl w:val="0"/>
              <w:snapToGrid/>
              <w:spacing w:line="440" w:lineRule="exact"/>
              <w:contextualSpacing/>
              <w:jc w:val="center"/>
              <w:rPr>
                <w:rFonts w:ascii="仿宋_GB2312" w:hAnsi="仿宋_GB2312" w:eastAsia="仿宋_GB2312" w:cs="仿宋_GB2312"/>
                <w:color w:val="auto"/>
                <w:sz w:val="24"/>
                <w:lang w:eastAsia="zh-CN"/>
              </w:rPr>
            </w:pPr>
          </w:p>
          <w:p w14:paraId="0BD4DCBA">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主管部</w:t>
            </w:r>
          </w:p>
          <w:p w14:paraId="6A0F319B">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门意见</w:t>
            </w:r>
          </w:p>
          <w:p w14:paraId="137B1379">
            <w:pPr>
              <w:widowControl w:val="0"/>
              <w:snapToGrid/>
              <w:spacing w:line="440" w:lineRule="exact"/>
              <w:contextualSpacing/>
              <w:jc w:val="center"/>
              <w:rPr>
                <w:rFonts w:ascii="仿宋_GB2312" w:hAnsi="仿宋_GB2312" w:eastAsia="仿宋_GB2312" w:cs="仿宋_GB2312"/>
                <w:color w:val="auto"/>
                <w:sz w:val="24"/>
              </w:rPr>
            </w:pPr>
          </w:p>
        </w:tc>
        <w:tc>
          <w:tcPr>
            <w:tcW w:w="7428" w:type="dxa"/>
            <w:gridSpan w:val="5"/>
          </w:tcPr>
          <w:p w14:paraId="4180DBE2">
            <w:pPr>
              <w:widowControl w:val="0"/>
              <w:snapToGrid/>
              <w:spacing w:line="440" w:lineRule="exact"/>
              <w:contextualSpacing/>
              <w:jc w:val="center"/>
              <w:rPr>
                <w:rFonts w:ascii="仿宋_GB2312" w:hAnsi="仿宋_GB2312" w:eastAsia="仿宋_GB2312" w:cs="仿宋_GB2312"/>
                <w:color w:val="auto"/>
                <w:sz w:val="24"/>
                <w:lang w:eastAsia="zh-CN"/>
              </w:rPr>
            </w:pPr>
          </w:p>
          <w:p w14:paraId="065A72E0">
            <w:pPr>
              <w:widowControl w:val="0"/>
              <w:snapToGrid/>
              <w:spacing w:line="440" w:lineRule="exact"/>
              <w:contextualSpacing/>
              <w:jc w:val="center"/>
              <w:rPr>
                <w:rFonts w:ascii="仿宋_GB2312" w:hAnsi="仿宋_GB2312" w:eastAsia="仿宋_GB2312" w:cs="仿宋_GB2312"/>
                <w:color w:val="auto"/>
                <w:sz w:val="24"/>
                <w:lang w:eastAsia="zh-CN"/>
              </w:rPr>
            </w:pPr>
          </w:p>
          <w:p w14:paraId="4C453256">
            <w:pPr>
              <w:widowControl w:val="0"/>
              <w:snapToGrid/>
              <w:spacing w:line="440" w:lineRule="exact"/>
              <w:contextualSpacing/>
              <w:jc w:val="center"/>
              <w:rPr>
                <w:rFonts w:ascii="仿宋_GB2312" w:hAnsi="仿宋_GB2312" w:eastAsia="仿宋_GB2312" w:cs="仿宋_GB2312"/>
                <w:color w:val="auto"/>
                <w:sz w:val="24"/>
                <w:lang w:eastAsia="zh-CN"/>
              </w:rPr>
            </w:pPr>
            <w:bookmarkStart w:id="126" w:name="OLE_LINK11"/>
            <w:bookmarkStart w:id="127" w:name="OLE_LINK12"/>
            <w:r>
              <w:rPr>
                <w:rFonts w:hint="eastAsia" w:ascii="仿宋_GB2312" w:hAnsi="仿宋_GB2312" w:eastAsia="仿宋_GB2312" w:cs="仿宋_GB2312"/>
                <w:color w:val="auto"/>
                <w:sz w:val="24"/>
                <w:lang w:eastAsia="zh-CN"/>
              </w:rPr>
              <w:t xml:space="preserve">                    盖章：           责任人签字：</w:t>
            </w:r>
          </w:p>
          <w:p w14:paraId="24256889">
            <w:pPr>
              <w:widowControl w:val="0"/>
              <w:snapToGrid/>
              <w:spacing w:line="440" w:lineRule="exact"/>
              <w:contextualSpacing/>
              <w:jc w:val="center"/>
              <w:rPr>
                <w:rFonts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                                              年  月  日</w:t>
            </w:r>
            <w:bookmarkEnd w:id="126"/>
            <w:bookmarkEnd w:id="127"/>
          </w:p>
        </w:tc>
      </w:tr>
      <w:tr w14:paraId="5C2D4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3" w:hRule="atLeast"/>
        </w:trPr>
        <w:tc>
          <w:tcPr>
            <w:tcW w:w="1094" w:type="dxa"/>
            <w:vAlign w:val="center"/>
          </w:tcPr>
          <w:p w14:paraId="43665C8F">
            <w:pPr>
              <w:widowControl w:val="0"/>
              <w:snapToGrid/>
              <w:spacing w:line="440" w:lineRule="exact"/>
              <w:contextualSpacing/>
              <w:jc w:val="center"/>
              <w:rPr>
                <w:rFonts w:ascii="仿宋_GB2312" w:hAnsi="仿宋_GB2312" w:eastAsia="仿宋_GB2312" w:cs="仿宋_GB2312"/>
                <w:color w:val="auto"/>
                <w:sz w:val="24"/>
                <w:lang w:eastAsia="zh-CN"/>
              </w:rPr>
            </w:pPr>
          </w:p>
          <w:p w14:paraId="7755A6FC">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分管县</w:t>
            </w:r>
          </w:p>
          <w:p w14:paraId="05B523A2">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长意见</w:t>
            </w:r>
          </w:p>
          <w:p w14:paraId="5B342380">
            <w:pPr>
              <w:widowControl w:val="0"/>
              <w:snapToGrid/>
              <w:spacing w:line="440" w:lineRule="exact"/>
              <w:contextualSpacing/>
              <w:jc w:val="center"/>
              <w:rPr>
                <w:rFonts w:ascii="仿宋_GB2312" w:hAnsi="仿宋_GB2312" w:eastAsia="仿宋_GB2312" w:cs="仿宋_GB2312"/>
                <w:color w:val="auto"/>
                <w:sz w:val="24"/>
              </w:rPr>
            </w:pPr>
          </w:p>
        </w:tc>
        <w:tc>
          <w:tcPr>
            <w:tcW w:w="6007" w:type="dxa"/>
            <w:gridSpan w:val="4"/>
          </w:tcPr>
          <w:p w14:paraId="24681CB8">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w:t>
            </w:r>
          </w:p>
        </w:tc>
        <w:tc>
          <w:tcPr>
            <w:tcW w:w="1421" w:type="dxa"/>
            <w:vMerge w:val="restart"/>
            <w:vAlign w:val="center"/>
          </w:tcPr>
          <w:p w14:paraId="0258A35D">
            <w:pPr>
              <w:widowControl w:val="0"/>
              <w:snapToGrid/>
              <w:spacing w:line="440" w:lineRule="exact"/>
              <w:contextualSpacing/>
              <w:jc w:val="center"/>
              <w:rPr>
                <w:rFonts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附有工程变更审查结果</w:t>
            </w:r>
          </w:p>
          <w:p w14:paraId="15F492D7">
            <w:pPr>
              <w:widowControl w:val="0"/>
              <w:snapToGrid/>
              <w:spacing w:line="440" w:lineRule="exact"/>
              <w:contextualSpacing/>
              <w:jc w:val="center"/>
              <w:rPr>
                <w:rFonts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的会议纪要</w:t>
            </w:r>
          </w:p>
        </w:tc>
      </w:tr>
      <w:tr w14:paraId="75429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1094" w:type="dxa"/>
            <w:vAlign w:val="center"/>
          </w:tcPr>
          <w:p w14:paraId="756B2CDF">
            <w:pPr>
              <w:widowControl w:val="0"/>
              <w:snapToGrid/>
              <w:spacing w:line="440" w:lineRule="exact"/>
              <w:contextualSpacing/>
              <w:jc w:val="center"/>
              <w:rPr>
                <w:rFonts w:ascii="仿宋_GB2312" w:hAnsi="仿宋_GB2312" w:eastAsia="仿宋_GB2312" w:cs="仿宋_GB2312"/>
                <w:color w:val="auto"/>
                <w:sz w:val="24"/>
                <w:lang w:eastAsia="zh-CN"/>
              </w:rPr>
            </w:pPr>
          </w:p>
          <w:p w14:paraId="198D3CB1">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县政府</w:t>
            </w:r>
            <w:bookmarkStart w:id="128" w:name="OLE_LINK24"/>
            <w:r>
              <w:rPr>
                <w:rFonts w:hint="eastAsia" w:ascii="仿宋_GB2312" w:hAnsi="仿宋_GB2312" w:eastAsia="仿宋_GB2312" w:cs="仿宋_GB2312"/>
                <w:color w:val="auto"/>
                <w:sz w:val="24"/>
              </w:rPr>
              <w:t>常务会议</w:t>
            </w:r>
            <w:bookmarkEnd w:id="128"/>
            <w:r>
              <w:rPr>
                <w:rFonts w:hint="eastAsia" w:ascii="仿宋_GB2312" w:hAnsi="仿宋_GB2312" w:eastAsia="仿宋_GB2312" w:cs="仿宋_GB2312"/>
                <w:color w:val="auto"/>
                <w:sz w:val="24"/>
              </w:rPr>
              <w:t>意见</w:t>
            </w:r>
          </w:p>
          <w:p w14:paraId="3CC17910">
            <w:pPr>
              <w:widowControl w:val="0"/>
              <w:snapToGrid/>
              <w:spacing w:line="440" w:lineRule="exact"/>
              <w:contextualSpacing/>
              <w:jc w:val="center"/>
              <w:rPr>
                <w:rFonts w:ascii="仿宋_GB2312" w:hAnsi="仿宋_GB2312" w:eastAsia="仿宋_GB2312" w:cs="仿宋_GB2312"/>
                <w:color w:val="auto"/>
                <w:sz w:val="24"/>
              </w:rPr>
            </w:pPr>
          </w:p>
        </w:tc>
        <w:tc>
          <w:tcPr>
            <w:tcW w:w="6007" w:type="dxa"/>
            <w:gridSpan w:val="4"/>
          </w:tcPr>
          <w:p w14:paraId="1A6554F4">
            <w:pPr>
              <w:widowControl w:val="0"/>
              <w:snapToGrid/>
              <w:spacing w:line="440" w:lineRule="exact"/>
              <w:contextualSpacing/>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w:t>
            </w:r>
          </w:p>
        </w:tc>
        <w:tc>
          <w:tcPr>
            <w:tcW w:w="1421" w:type="dxa"/>
            <w:vMerge w:val="continue"/>
          </w:tcPr>
          <w:p w14:paraId="52E2EB9B">
            <w:pPr>
              <w:widowControl w:val="0"/>
              <w:snapToGrid/>
              <w:spacing w:line="440" w:lineRule="exact"/>
              <w:contextualSpacing/>
              <w:jc w:val="left"/>
              <w:rPr>
                <w:color w:val="auto"/>
                <w:sz w:val="20"/>
              </w:rPr>
            </w:pPr>
          </w:p>
        </w:tc>
      </w:tr>
      <w:bookmarkEnd w:id="27"/>
      <w:bookmarkEnd w:id="35"/>
      <w:bookmarkEnd w:id="36"/>
      <w:bookmarkEnd w:id="37"/>
      <w:bookmarkEnd w:id="88"/>
      <w:bookmarkEnd w:id="89"/>
      <w:bookmarkEnd w:id="120"/>
      <w:bookmarkEnd w:id="121"/>
    </w:tbl>
    <w:p w14:paraId="7E6A5695">
      <w:pPr>
        <w:pStyle w:val="17"/>
        <w:shd w:val="clear" w:color="auto" w:fill="FFFFFF"/>
        <w:spacing w:before="0" w:beforeAutospacing="0" w:after="0" w:afterAutospacing="0" w:line="440" w:lineRule="exact"/>
        <w:ind w:firstLine="704" w:firstLineChars="220"/>
        <w:contextualSpacing/>
        <w:jc w:val="both"/>
        <w:rPr>
          <w:rFonts w:ascii="仿宋_GB2312" w:eastAsia="仿宋_GB2312"/>
          <w:sz w:val="32"/>
          <w:szCs w:val="32"/>
        </w:rPr>
      </w:pPr>
    </w:p>
    <w:p w14:paraId="22B257A1"/>
    <w:p w14:paraId="5A20E4FB">
      <w:pPr>
        <w:pStyle w:val="2"/>
      </w:pPr>
    </w:p>
    <w:p w14:paraId="41B64D0E">
      <w:pPr>
        <w:pStyle w:val="2"/>
      </w:pPr>
    </w:p>
    <w:p w14:paraId="1ACC7D4D">
      <w:pPr>
        <w:pStyle w:val="2"/>
      </w:pPr>
    </w:p>
    <w:p w14:paraId="10B7480D">
      <w:pPr>
        <w:pStyle w:val="2"/>
      </w:pPr>
    </w:p>
    <w:p w14:paraId="0D2693E4">
      <w:pPr>
        <w:pStyle w:val="2"/>
      </w:pPr>
    </w:p>
    <w:p w14:paraId="3EBAB692">
      <w:pPr>
        <w:pStyle w:val="2"/>
      </w:pPr>
    </w:p>
    <w:p w14:paraId="260F75FC">
      <w:pPr>
        <w:pStyle w:val="2"/>
      </w:pPr>
    </w:p>
    <w:p w14:paraId="1637765A">
      <w:pPr>
        <w:pStyle w:val="2"/>
      </w:pPr>
    </w:p>
    <w:p w14:paraId="0CDC3D50">
      <w:pPr>
        <w:pStyle w:val="2"/>
      </w:pPr>
    </w:p>
    <w:p w14:paraId="3F46F5C7">
      <w:pPr>
        <w:pStyle w:val="2"/>
      </w:pPr>
    </w:p>
    <w:p w14:paraId="04306821">
      <w:pPr>
        <w:pStyle w:val="2"/>
      </w:pPr>
    </w:p>
    <w:p w14:paraId="104B2FE9">
      <w:pPr>
        <w:pStyle w:val="2"/>
      </w:pPr>
    </w:p>
    <w:p w14:paraId="2B0F47F8">
      <w:pPr>
        <w:pStyle w:val="2"/>
      </w:pPr>
    </w:p>
    <w:p w14:paraId="0D63E0F5">
      <w:pPr>
        <w:pStyle w:val="2"/>
      </w:pPr>
    </w:p>
    <w:p w14:paraId="587267F9">
      <w:pPr>
        <w:pStyle w:val="2"/>
      </w:pPr>
    </w:p>
    <w:p w14:paraId="14D3F58C">
      <w:pPr>
        <w:pStyle w:val="2"/>
      </w:pPr>
    </w:p>
    <w:p w14:paraId="625A359E">
      <w:pPr>
        <w:pStyle w:val="2"/>
      </w:pPr>
    </w:p>
    <w:p w14:paraId="634CBDCB">
      <w:pPr>
        <w:pStyle w:val="2"/>
      </w:pPr>
    </w:p>
    <w:p w14:paraId="08F7857D">
      <w:pPr>
        <w:pStyle w:val="2"/>
      </w:pPr>
    </w:p>
    <w:p w14:paraId="54696826">
      <w:pPr>
        <w:pStyle w:val="2"/>
      </w:pPr>
    </w:p>
    <w:p w14:paraId="51F2794D">
      <w:pPr>
        <w:pStyle w:val="2"/>
      </w:pPr>
    </w:p>
    <w:p w14:paraId="03461805">
      <w:pPr>
        <w:pStyle w:val="2"/>
      </w:pPr>
    </w:p>
    <w:p w14:paraId="31E2D4AF">
      <w:pPr>
        <w:pStyle w:val="2"/>
      </w:pPr>
    </w:p>
    <w:p w14:paraId="07F31CAA">
      <w:pPr>
        <w:pStyle w:val="2"/>
      </w:pPr>
    </w:p>
    <w:p w14:paraId="07F0BDE6">
      <w:pPr>
        <w:pStyle w:val="2"/>
      </w:pPr>
    </w:p>
    <w:p w14:paraId="7918326F">
      <w:pPr>
        <w:pStyle w:val="2"/>
      </w:pPr>
    </w:p>
    <w:p w14:paraId="134AD416">
      <w:pPr>
        <w:pStyle w:val="2"/>
      </w:pPr>
    </w:p>
    <w:p w14:paraId="434189E9">
      <w:pPr>
        <w:pStyle w:val="2"/>
      </w:pPr>
    </w:p>
    <w:p w14:paraId="4501392D">
      <w:pPr>
        <w:pStyle w:val="2"/>
      </w:pPr>
    </w:p>
    <w:p w14:paraId="56A630E6">
      <w:pPr>
        <w:pStyle w:val="2"/>
      </w:pPr>
    </w:p>
    <w:p w14:paraId="1C5927C1">
      <w:pPr>
        <w:pStyle w:val="2"/>
      </w:pPr>
    </w:p>
    <w:p w14:paraId="251B1081">
      <w:pPr>
        <w:pStyle w:val="2"/>
      </w:pPr>
    </w:p>
    <w:p w14:paraId="2CF562BC">
      <w:pPr>
        <w:pStyle w:val="2"/>
      </w:pPr>
    </w:p>
    <w:p w14:paraId="37CE7804">
      <w:pPr>
        <w:pStyle w:val="2"/>
      </w:pPr>
    </w:p>
    <w:p w14:paraId="0F558E13">
      <w:pPr>
        <w:pStyle w:val="2"/>
      </w:pPr>
    </w:p>
    <w:p w14:paraId="72B4A1B1">
      <w:pPr>
        <w:pStyle w:val="2"/>
      </w:pPr>
    </w:p>
    <w:p w14:paraId="564DD739">
      <w:pPr>
        <w:pStyle w:val="2"/>
      </w:pPr>
    </w:p>
    <w:p w14:paraId="19AC36C8">
      <w:pPr>
        <w:pStyle w:val="2"/>
      </w:pPr>
    </w:p>
    <w:p w14:paraId="2AA11897">
      <w:pPr>
        <w:pStyle w:val="2"/>
      </w:pPr>
    </w:p>
    <w:p w14:paraId="4E2D9D77">
      <w:pPr>
        <w:pStyle w:val="2"/>
      </w:pPr>
    </w:p>
    <w:p w14:paraId="23C2DA94">
      <w:pPr>
        <w:pStyle w:val="2"/>
      </w:pPr>
    </w:p>
    <w:p w14:paraId="6CE17CD1">
      <w:pPr>
        <w:pStyle w:val="2"/>
      </w:pPr>
    </w:p>
    <w:p w14:paraId="56BC3B29">
      <w:pPr>
        <w:pStyle w:val="2"/>
      </w:pPr>
    </w:p>
    <w:p w14:paraId="167BB1C7">
      <w:pPr>
        <w:pStyle w:val="2"/>
      </w:pPr>
    </w:p>
    <w:p w14:paraId="761D5FF1">
      <w:pPr>
        <w:pStyle w:val="2"/>
      </w:pPr>
    </w:p>
    <w:p w14:paraId="343DE221">
      <w:pPr>
        <w:pStyle w:val="2"/>
      </w:pPr>
    </w:p>
    <w:p w14:paraId="2E8C51ED">
      <w:pPr>
        <w:pStyle w:val="2"/>
      </w:pPr>
    </w:p>
    <w:p w14:paraId="208247D5">
      <w:pPr>
        <w:pStyle w:val="2"/>
      </w:pPr>
    </w:p>
    <w:p w14:paraId="54350DE8">
      <w:pPr>
        <w:pStyle w:val="2"/>
      </w:pPr>
    </w:p>
    <w:p w14:paraId="32EE40ED">
      <w:pPr>
        <w:pStyle w:val="2"/>
      </w:pPr>
    </w:p>
    <w:p w14:paraId="0C9607AD">
      <w:pPr>
        <w:pStyle w:val="2"/>
      </w:pPr>
    </w:p>
    <w:p w14:paraId="799C9A22">
      <w:pPr>
        <w:pStyle w:val="2"/>
      </w:pPr>
    </w:p>
    <w:p w14:paraId="39E2E54F">
      <w:pPr>
        <w:pStyle w:val="2"/>
      </w:pPr>
    </w:p>
    <w:p w14:paraId="1D8B774B">
      <w:pPr>
        <w:pStyle w:val="2"/>
      </w:pPr>
    </w:p>
    <w:p w14:paraId="3A20CF6C">
      <w:pPr>
        <w:pStyle w:val="2"/>
      </w:pPr>
    </w:p>
    <w:p w14:paraId="15DC62DE">
      <w:pPr>
        <w:pStyle w:val="2"/>
      </w:pPr>
    </w:p>
    <w:p w14:paraId="2DFFE7CC">
      <w:pPr>
        <w:pStyle w:val="2"/>
      </w:pPr>
    </w:p>
    <w:p w14:paraId="6E3A93FB">
      <w:pPr>
        <w:pStyle w:val="2"/>
      </w:pPr>
    </w:p>
    <w:p w14:paraId="28A39261">
      <w:pPr>
        <w:pStyle w:val="2"/>
      </w:pPr>
    </w:p>
    <w:p w14:paraId="38188D06">
      <w:pPr>
        <w:pStyle w:val="2"/>
      </w:pPr>
    </w:p>
    <w:p w14:paraId="49B845BC">
      <w:pPr>
        <w:pStyle w:val="2"/>
      </w:pPr>
    </w:p>
    <w:p w14:paraId="32E75499">
      <w:pPr>
        <w:pStyle w:val="2"/>
      </w:pPr>
    </w:p>
    <w:p w14:paraId="0C781CEE">
      <w:pPr>
        <w:pStyle w:val="2"/>
      </w:pPr>
    </w:p>
    <w:p w14:paraId="6BAA0A6F">
      <w:pPr>
        <w:pStyle w:val="2"/>
      </w:pPr>
    </w:p>
    <w:p w14:paraId="140AAF6D">
      <w:pPr>
        <w:pStyle w:val="2"/>
      </w:pPr>
    </w:p>
    <w:p w14:paraId="6EBF65F7">
      <w:pPr>
        <w:pStyle w:val="2"/>
      </w:pPr>
    </w:p>
    <w:p w14:paraId="5B92EA90">
      <w:pPr>
        <w:pStyle w:val="2"/>
      </w:pPr>
    </w:p>
    <w:p w14:paraId="1B921DBC">
      <w:pPr>
        <w:pStyle w:val="2"/>
      </w:pPr>
    </w:p>
    <w:p w14:paraId="0D5216A6">
      <w:pPr>
        <w:pStyle w:val="2"/>
      </w:pPr>
    </w:p>
    <w:p w14:paraId="25B4F9DC">
      <w:pPr>
        <w:pStyle w:val="2"/>
      </w:pPr>
    </w:p>
    <w:p w14:paraId="4B481735">
      <w:pPr>
        <w:pStyle w:val="2"/>
      </w:pPr>
    </w:p>
    <w:p w14:paraId="79ADBC1D">
      <w:pPr>
        <w:pStyle w:val="2"/>
      </w:pPr>
    </w:p>
    <w:p w14:paraId="3446BC80">
      <w:pPr>
        <w:pStyle w:val="2"/>
      </w:pPr>
    </w:p>
    <w:p w14:paraId="74AA6BDB">
      <w:pPr>
        <w:pStyle w:val="2"/>
      </w:pPr>
    </w:p>
    <w:p w14:paraId="53CD1423">
      <w:pPr>
        <w:pStyle w:val="2"/>
      </w:pPr>
    </w:p>
    <w:p w14:paraId="6389E75E">
      <w:pPr>
        <w:pStyle w:val="2"/>
      </w:pPr>
    </w:p>
    <w:p w14:paraId="546D1B40">
      <w:pPr>
        <w:pStyle w:val="2"/>
      </w:pPr>
    </w:p>
    <w:p w14:paraId="46FB9150">
      <w:pPr>
        <w:pStyle w:val="2"/>
      </w:pPr>
    </w:p>
    <w:p w14:paraId="7F059CA7">
      <w:pPr>
        <w:pStyle w:val="2"/>
      </w:pPr>
    </w:p>
    <w:p w14:paraId="4E8E676F">
      <w:pPr>
        <w:pStyle w:val="2"/>
      </w:pPr>
    </w:p>
    <w:p w14:paraId="63C42973">
      <w:pPr>
        <w:pStyle w:val="2"/>
      </w:pPr>
    </w:p>
    <w:p w14:paraId="3DCD24CA">
      <w:pPr>
        <w:pStyle w:val="2"/>
      </w:pPr>
    </w:p>
    <w:p w14:paraId="733FAC6C">
      <w:pPr>
        <w:pStyle w:val="2"/>
      </w:pPr>
    </w:p>
    <w:p w14:paraId="2DA3273B">
      <w:pPr>
        <w:pStyle w:val="2"/>
      </w:pPr>
    </w:p>
    <w:p w14:paraId="579F43A5">
      <w:pPr>
        <w:pStyle w:val="2"/>
      </w:pPr>
    </w:p>
    <w:p w14:paraId="0C03BF3B">
      <w:pPr>
        <w:pStyle w:val="2"/>
      </w:pPr>
    </w:p>
    <w:p w14:paraId="70B6BCF5">
      <w:pPr>
        <w:pStyle w:val="2"/>
      </w:pPr>
    </w:p>
    <w:p w14:paraId="38A5F36A">
      <w:pPr>
        <w:pStyle w:val="2"/>
      </w:pPr>
    </w:p>
    <w:p w14:paraId="5AA120BA">
      <w:pPr>
        <w:pStyle w:val="2"/>
      </w:pPr>
    </w:p>
    <w:p w14:paraId="0800C182">
      <w:pPr>
        <w:pStyle w:val="2"/>
      </w:pPr>
    </w:p>
    <w:p w14:paraId="6E1DAF87">
      <w:pPr>
        <w:pStyle w:val="2"/>
      </w:pPr>
    </w:p>
    <w:p w14:paraId="3D7D6E9D">
      <w:pPr>
        <w:pStyle w:val="2"/>
      </w:pPr>
    </w:p>
    <w:p w14:paraId="2F3A86A9">
      <w:pPr>
        <w:pStyle w:val="2"/>
        <w:ind w:left="0" w:leftChars="0" w:firstLine="0" w:firstLineChars="0"/>
      </w:pPr>
    </w:p>
    <w:p w14:paraId="08F77E78">
      <w:pPr>
        <w:pStyle w:val="2"/>
      </w:pPr>
    </w:p>
    <w:p w14:paraId="7E8053B1">
      <w:pPr>
        <w:pStyle w:val="2"/>
      </w:pPr>
    </w:p>
    <w:p w14:paraId="1EFDF0D7">
      <w:pPr>
        <w:pStyle w:val="2"/>
      </w:pPr>
    </w:p>
    <w:p w14:paraId="1084400A">
      <w:pPr>
        <w:pStyle w:val="2"/>
      </w:pPr>
    </w:p>
    <w:p w14:paraId="21F290E9">
      <w:pPr>
        <w:pStyle w:val="2"/>
      </w:pPr>
    </w:p>
    <w:p w14:paraId="6A7E922B">
      <w:pPr>
        <w:pStyle w:val="2"/>
      </w:pPr>
    </w:p>
    <w:p w14:paraId="35744316">
      <w:pPr>
        <w:pStyle w:val="2"/>
      </w:pPr>
    </w:p>
    <w:p w14:paraId="643F8C10">
      <w:pPr>
        <w:pStyle w:val="17"/>
        <w:shd w:val="clear" w:color="auto" w:fill="FFFFFF"/>
        <w:spacing w:before="0" w:beforeAutospacing="0" w:after="0" w:afterAutospacing="0" w:line="440" w:lineRule="exact"/>
        <w:ind w:firstLine="280" w:firstLineChars="100"/>
        <w:contextualSpacing/>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抄送：</w:t>
      </w:r>
      <w:r>
        <w:rPr>
          <w:rFonts w:hint="eastAsia" w:ascii="仿宋_GB2312" w:hAnsi="仿宋_GB2312" w:eastAsia="仿宋_GB2312" w:cs="仿宋_GB2312"/>
          <w:sz w:val="28"/>
          <w:szCs w:val="28"/>
          <w:lang w:val="en-US" w:eastAsia="zh-CN"/>
        </w:rPr>
        <w:t>县委各部门，县人大常委会办公室，县政协办公室，县监察委，</w:t>
      </w:r>
    </w:p>
    <w:p w14:paraId="43F217A3">
      <w:pPr>
        <w:pStyle w:val="17"/>
        <w:shd w:val="clear" w:color="auto" w:fill="FFFFFF"/>
        <w:spacing w:before="0" w:beforeAutospacing="0" w:after="0" w:afterAutospacing="0" w:line="440" w:lineRule="exact"/>
        <w:ind w:firstLine="280" w:firstLineChars="100"/>
        <w:contextualSpacing/>
        <w:jc w:val="both"/>
      </w:pPr>
      <w:r>
        <w:rPr>
          <w:rFonts w:hint="eastAsia" w:ascii="仿宋_GB2312" w:hAnsi="仿宋_GB2312" w:eastAsia="仿宋_GB2312" w:cs="仿宋_GB2312"/>
          <w:sz w:val="28"/>
          <w:szCs w:val="28"/>
          <w:lang w:val="en-US" w:eastAsia="zh-CN"/>
        </w:rPr>
        <w:t xml:space="preserve">      县法院、检察院，县人武部。</w:t>
      </w:r>
    </w:p>
    <w:p w14:paraId="2450B142">
      <w:pPr>
        <w:keepNext w:val="0"/>
        <w:keepLines w:val="0"/>
        <w:pageBreakBefore w:val="0"/>
        <w:widowControl w:val="0"/>
        <w:kinsoku/>
        <w:wordWrap/>
        <w:overflowPunct/>
        <w:topLinePunct w:val="0"/>
        <w:autoSpaceDE/>
        <w:autoSpaceDN/>
        <w:bidi w:val="0"/>
        <w:adjustRightInd/>
        <w:snapToGrid/>
        <w:spacing w:after="0" w:line="360" w:lineRule="auto"/>
        <w:rPr>
          <w:rFonts w:hint="eastAsia" w:ascii="黑体" w:hAnsi="黑体" w:eastAsia="黑体" w:cs="黑体"/>
          <w:b w:val="0"/>
          <w:bCs w:val="0"/>
          <w:sz w:val="32"/>
          <w:szCs w:val="22"/>
          <w:highlight w:val="none"/>
          <w:lang w:val="en-US" w:eastAsia="zh-CN"/>
        </w:rPr>
      </w:pPr>
    </w:p>
    <w:sectPr>
      <w:headerReference r:id="rId6" w:type="default"/>
      <w:footerReference r:id="rId7" w:type="default"/>
      <w:pgSz w:w="11906" w:h="16838"/>
      <w:pgMar w:top="2098" w:right="1531" w:bottom="1984" w:left="1531" w:header="851" w:footer="992" w:gutter="0"/>
      <w:pgNumType w:fmt="decimal" w:start="9"/>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7B6CE">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52D330">
                          <w:pPr>
                            <w:pStyle w:val="1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D52D330">
                    <w:pPr>
                      <w:pStyle w:val="12"/>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B33BF">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B5FF0">
    <w:pPr>
      <w:pStyle w:val="1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F42E3">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08F8A">
    <w:pPr>
      <w:pStyle w:val="13"/>
      <w:pBdr>
        <w:bottom w:val="none" w:color="auto" w:sz="0" w:space="0"/>
      </w:pBdr>
      <w:rPr>
        <w:rFonts w:hint="eastAsia" w:eastAsia="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RmNjc1MzA4OWYxZmIzMmJiNjdhNzhhOTU5MzQ3MGUifQ=="/>
  </w:docVars>
  <w:rsids>
    <w:rsidRoot w:val="2FB01099"/>
    <w:rsid w:val="01A45770"/>
    <w:rsid w:val="021C02D7"/>
    <w:rsid w:val="04225AE3"/>
    <w:rsid w:val="05766603"/>
    <w:rsid w:val="05E33767"/>
    <w:rsid w:val="06FF79A4"/>
    <w:rsid w:val="08440798"/>
    <w:rsid w:val="0C0A474D"/>
    <w:rsid w:val="0D30732B"/>
    <w:rsid w:val="0D9807F1"/>
    <w:rsid w:val="0F063E98"/>
    <w:rsid w:val="0F604919"/>
    <w:rsid w:val="0FC6172E"/>
    <w:rsid w:val="1130645B"/>
    <w:rsid w:val="148835E1"/>
    <w:rsid w:val="14C76E78"/>
    <w:rsid w:val="14DF46F8"/>
    <w:rsid w:val="16F45869"/>
    <w:rsid w:val="173F3295"/>
    <w:rsid w:val="19FF135E"/>
    <w:rsid w:val="1DE507D7"/>
    <w:rsid w:val="225C610A"/>
    <w:rsid w:val="29D5604B"/>
    <w:rsid w:val="2FB01099"/>
    <w:rsid w:val="312F5B0B"/>
    <w:rsid w:val="31924613"/>
    <w:rsid w:val="32D2FD58"/>
    <w:rsid w:val="35B73415"/>
    <w:rsid w:val="385D0642"/>
    <w:rsid w:val="38EA028C"/>
    <w:rsid w:val="391265BF"/>
    <w:rsid w:val="395A26FB"/>
    <w:rsid w:val="3B1F1663"/>
    <w:rsid w:val="3B6D328A"/>
    <w:rsid w:val="3BD79C60"/>
    <w:rsid w:val="3DBC21AF"/>
    <w:rsid w:val="3FAEE73A"/>
    <w:rsid w:val="3FEF81D6"/>
    <w:rsid w:val="41BD2653"/>
    <w:rsid w:val="445878B9"/>
    <w:rsid w:val="47B3209C"/>
    <w:rsid w:val="47FB71E1"/>
    <w:rsid w:val="4AD9713C"/>
    <w:rsid w:val="4B22791E"/>
    <w:rsid w:val="4BAB7C3C"/>
    <w:rsid w:val="4BBF2498"/>
    <w:rsid w:val="4BFB776F"/>
    <w:rsid w:val="4D490E6F"/>
    <w:rsid w:val="4EC04D83"/>
    <w:rsid w:val="4EFF07F7"/>
    <w:rsid w:val="4F4F6F06"/>
    <w:rsid w:val="4FEA26A5"/>
    <w:rsid w:val="5361191C"/>
    <w:rsid w:val="5456530E"/>
    <w:rsid w:val="55FCF5CD"/>
    <w:rsid w:val="58011DA5"/>
    <w:rsid w:val="588B1D9A"/>
    <w:rsid w:val="59CB0B48"/>
    <w:rsid w:val="59F21686"/>
    <w:rsid w:val="59F24B7D"/>
    <w:rsid w:val="5D38790B"/>
    <w:rsid w:val="5E9D369D"/>
    <w:rsid w:val="5EFFFC9B"/>
    <w:rsid w:val="6AE98F7C"/>
    <w:rsid w:val="6DC7F33B"/>
    <w:rsid w:val="6FEF45FB"/>
    <w:rsid w:val="6FFF15E6"/>
    <w:rsid w:val="708562F1"/>
    <w:rsid w:val="710B2708"/>
    <w:rsid w:val="71594D33"/>
    <w:rsid w:val="736C78CC"/>
    <w:rsid w:val="739EBC17"/>
    <w:rsid w:val="73EFFBD7"/>
    <w:rsid w:val="73FFF875"/>
    <w:rsid w:val="74EB340A"/>
    <w:rsid w:val="77444F61"/>
    <w:rsid w:val="79E128F2"/>
    <w:rsid w:val="79E92E1E"/>
    <w:rsid w:val="7A7D1B8F"/>
    <w:rsid w:val="7B5A3FD3"/>
    <w:rsid w:val="7BB973BC"/>
    <w:rsid w:val="7BFD9A5A"/>
    <w:rsid w:val="7CDF12C6"/>
    <w:rsid w:val="7DDBF6DE"/>
    <w:rsid w:val="7E5D73CD"/>
    <w:rsid w:val="7EB5673A"/>
    <w:rsid w:val="7EFFA51A"/>
    <w:rsid w:val="7F37D5F2"/>
    <w:rsid w:val="7FED1665"/>
    <w:rsid w:val="7FFD820F"/>
    <w:rsid w:val="7FFDA612"/>
    <w:rsid w:val="7FFF0E8D"/>
    <w:rsid w:val="9B660796"/>
    <w:rsid w:val="ABC9263D"/>
    <w:rsid w:val="AFCFD8BE"/>
    <w:rsid w:val="AFF6EDF8"/>
    <w:rsid w:val="B71FD18D"/>
    <w:rsid w:val="BD72EBE1"/>
    <w:rsid w:val="DBEBE1D1"/>
    <w:rsid w:val="DC7E2BC9"/>
    <w:rsid w:val="DCF9CABC"/>
    <w:rsid w:val="DFF3C0EC"/>
    <w:rsid w:val="E77F48AB"/>
    <w:rsid w:val="E7FF8763"/>
    <w:rsid w:val="ECADEBEC"/>
    <w:rsid w:val="ECBEA320"/>
    <w:rsid w:val="EDFDD69D"/>
    <w:rsid w:val="F3FF1EBB"/>
    <w:rsid w:val="F963D060"/>
    <w:rsid w:val="F9BD6E24"/>
    <w:rsid w:val="FDFF0242"/>
    <w:rsid w:val="FE7BE3F4"/>
    <w:rsid w:val="FEB7BFB2"/>
    <w:rsid w:val="FEF71744"/>
    <w:rsid w:val="FFB7383B"/>
    <w:rsid w:val="FFDFB153"/>
    <w:rsid w:val="FFF78C2B"/>
    <w:rsid w:val="FFFF15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32"/>
    <w:qFormat/>
    <w:uiPriority w:val="0"/>
    <w:pPr>
      <w:keepNext/>
      <w:keepLines/>
      <w:spacing w:before="340" w:after="330" w:line="576" w:lineRule="auto"/>
      <w:outlineLvl w:val="0"/>
    </w:pPr>
    <w:rPr>
      <w:rFonts w:ascii="Calibri" w:hAnsi="Calibri" w:eastAsia="宋体"/>
      <w:b/>
      <w:kern w:val="44"/>
      <w:sz w:val="44"/>
      <w:szCs w:val="24"/>
    </w:rPr>
  </w:style>
  <w:style w:type="paragraph" w:styleId="4">
    <w:name w:val="heading 2"/>
    <w:basedOn w:val="1"/>
    <w:next w:val="1"/>
    <w:qFormat/>
    <w:uiPriority w:val="0"/>
    <w:pPr>
      <w:keepNext/>
      <w:keepLines/>
      <w:tabs>
        <w:tab w:val="left" w:pos="5010"/>
      </w:tabs>
      <w:spacing w:before="260" w:after="260" w:line="415" w:lineRule="auto"/>
      <w:jc w:val="left"/>
      <w:outlineLvl w:val="1"/>
    </w:pPr>
    <w:rPr>
      <w:rFonts w:ascii="黑体" w:hAnsi="黑体" w:eastAsia="黑体"/>
      <w:b/>
      <w:color w:val="FF0000"/>
      <w:kern w:val="0"/>
      <w:sz w:val="30"/>
      <w:szCs w:val="30"/>
    </w:rPr>
  </w:style>
  <w:style w:type="paragraph" w:styleId="5">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rFonts w:ascii="Calibri" w:hAnsi="Calibri" w:eastAsia="宋体" w:cs="Calibri"/>
      <w:sz w:val="21"/>
      <w:szCs w:val="21"/>
    </w:rPr>
  </w:style>
  <w:style w:type="paragraph" w:styleId="6">
    <w:name w:val="annotation text"/>
    <w:basedOn w:val="1"/>
    <w:unhideWhenUsed/>
    <w:qFormat/>
    <w:uiPriority w:val="99"/>
    <w:pPr>
      <w:jc w:val="left"/>
    </w:pPr>
    <w:rPr>
      <w:rFonts w:ascii="Calibri" w:hAnsi="Calibri" w:eastAsia="宋体" w:cs="Calibri"/>
      <w:sz w:val="21"/>
      <w:szCs w:val="21"/>
    </w:rPr>
  </w:style>
  <w:style w:type="paragraph" w:styleId="7">
    <w:name w:val="Body Text"/>
    <w:basedOn w:val="1"/>
    <w:next w:val="1"/>
    <w:unhideWhenUsed/>
    <w:qFormat/>
    <w:uiPriority w:val="99"/>
    <w:rPr>
      <w:rFonts w:hAnsi="宋体" w:cs="宋体"/>
    </w:rPr>
  </w:style>
  <w:style w:type="paragraph" w:styleId="8">
    <w:name w:val="Body Text Indent"/>
    <w:basedOn w:val="1"/>
    <w:qFormat/>
    <w:uiPriority w:val="0"/>
    <w:pPr>
      <w:spacing w:after="120"/>
      <w:ind w:left="420" w:leftChars="200"/>
    </w:pPr>
  </w:style>
  <w:style w:type="paragraph" w:styleId="9">
    <w:name w:val="toc 3"/>
    <w:basedOn w:val="1"/>
    <w:next w:val="1"/>
    <w:qFormat/>
    <w:uiPriority w:val="0"/>
    <w:pPr>
      <w:ind w:left="840" w:leftChars="400"/>
    </w:pPr>
    <w:rPr>
      <w:rFonts w:ascii="Times New Roman" w:eastAsia="宋体"/>
      <w:sz w:val="21"/>
      <w:szCs w:val="24"/>
    </w:rPr>
  </w:style>
  <w:style w:type="paragraph" w:styleId="10">
    <w:name w:val="Plain Text"/>
    <w:basedOn w:val="1"/>
    <w:qFormat/>
    <w:uiPriority w:val="0"/>
    <w:pPr>
      <w:widowControl/>
      <w:jc w:val="left"/>
    </w:pPr>
    <w:rPr>
      <w:rFonts w:ascii="宋体" w:hAnsi="宋体" w:eastAsia="宋体" w:cs="宋体"/>
      <w:kern w:val="0"/>
      <w:sz w:val="24"/>
      <w:szCs w:val="24"/>
    </w:rPr>
  </w:style>
  <w:style w:type="paragraph" w:styleId="11">
    <w:name w:val="Body Text Indent 2"/>
    <w:basedOn w:val="1"/>
    <w:next w:val="1"/>
    <w:unhideWhenUsed/>
    <w:qFormat/>
    <w:uiPriority w:val="99"/>
    <w:pPr>
      <w:spacing w:line="590" w:lineRule="exact"/>
      <w:ind w:firstLine="880" w:firstLineChars="200"/>
    </w:pPr>
    <w:rPr>
      <w:rFonts w:ascii="Times New Roman" w:hAnsi="Times New Roman" w:eastAsia="方正仿宋_GBK"/>
    </w:rPr>
  </w:style>
  <w:style w:type="paragraph" w:styleId="12">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4">
    <w:name w:val="toc 1"/>
    <w:basedOn w:val="1"/>
    <w:next w:val="1"/>
    <w:qFormat/>
    <w:uiPriority w:val="0"/>
    <w:rPr>
      <w:rFonts w:ascii="Times New Roman" w:eastAsia="宋体"/>
      <w:sz w:val="21"/>
      <w:szCs w:val="24"/>
    </w:rPr>
  </w:style>
  <w:style w:type="paragraph" w:styleId="15">
    <w:name w:val="toc 2"/>
    <w:basedOn w:val="1"/>
    <w:next w:val="1"/>
    <w:qFormat/>
    <w:uiPriority w:val="0"/>
    <w:pPr>
      <w:ind w:left="420" w:leftChars="200"/>
    </w:pPr>
    <w:rPr>
      <w:rFonts w:ascii="Times New Roman" w:eastAsia="宋体"/>
      <w:sz w:val="21"/>
      <w:szCs w:val="24"/>
    </w:rPr>
  </w:style>
  <w:style w:type="paragraph" w:styleId="16">
    <w:name w:val="HTML Preformatted"/>
    <w:basedOn w:val="1"/>
    <w:unhideWhenUsed/>
    <w:qFormat/>
    <w:uiPriority w:val="99"/>
    <w:pPr>
      <w:jc w:val="left"/>
    </w:pPr>
    <w:rPr>
      <w:rFonts w:ascii="宋体" w:hAnsi="宋体" w:eastAsia="宋体" w:cs="宋体"/>
      <w:kern w:val="0"/>
      <w:sz w:val="24"/>
      <w:szCs w:val="24"/>
    </w:rPr>
  </w:style>
  <w:style w:type="paragraph" w:styleId="17">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18">
    <w:name w:val="Title"/>
    <w:basedOn w:val="1"/>
    <w:next w:val="1"/>
    <w:qFormat/>
    <w:uiPriority w:val="0"/>
    <w:pPr>
      <w:spacing w:before="240" w:after="60"/>
      <w:jc w:val="center"/>
      <w:outlineLvl w:val="0"/>
    </w:pPr>
    <w:rPr>
      <w:rFonts w:ascii="Cambria" w:hAnsi="Cambria" w:eastAsia="宋体" w:cs="Times New Roman"/>
      <w:b/>
      <w:bCs/>
      <w:sz w:val="32"/>
      <w:szCs w:val="32"/>
    </w:rPr>
  </w:style>
  <w:style w:type="paragraph" w:styleId="19">
    <w:name w:val="Body Text First Indent 2"/>
    <w:basedOn w:val="8"/>
    <w:qFormat/>
    <w:uiPriority w:val="0"/>
    <w:pPr>
      <w:ind w:firstLine="420" w:firstLineChars="200"/>
    </w:pPr>
    <w:rPr>
      <w:rFonts w:ascii="Calibri" w:hAnsi="Calibri" w:eastAsia="宋体"/>
      <w:sz w:val="21"/>
      <w:szCs w:val="24"/>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rPr>
      <w:rFonts w:cs="Times New Roman"/>
    </w:rPr>
  </w:style>
  <w:style w:type="character" w:styleId="24">
    <w:name w:val="Emphasis"/>
    <w:basedOn w:val="22"/>
    <w:qFormat/>
    <w:uiPriority w:val="0"/>
    <w:rPr>
      <w:i/>
      <w:iCs/>
    </w:rPr>
  </w:style>
  <w:style w:type="character" w:styleId="25">
    <w:name w:val="Hyperlink"/>
    <w:unhideWhenUsed/>
    <w:qFormat/>
    <w:uiPriority w:val="99"/>
    <w:rPr>
      <w:color w:val="0000FF"/>
      <w:u w:val="single"/>
    </w:rPr>
  </w:style>
  <w:style w:type="paragraph" w:customStyle="1" w:styleId="26">
    <w:name w:val="BodyText1I2"/>
    <w:basedOn w:val="27"/>
    <w:qFormat/>
    <w:uiPriority w:val="0"/>
    <w:pPr>
      <w:ind w:firstLine="420"/>
      <w:jc w:val="left"/>
    </w:pPr>
  </w:style>
  <w:style w:type="paragraph" w:customStyle="1" w:styleId="27">
    <w:name w:val="BodyTextIndent"/>
    <w:basedOn w:val="1"/>
    <w:qFormat/>
    <w:uiPriority w:val="0"/>
    <w:pPr>
      <w:ind w:firstLine="640"/>
      <w:jc w:val="left"/>
    </w:pPr>
    <w:rPr>
      <w:rFonts w:ascii="宋体" w:hAnsi="宋体"/>
      <w:sz w:val="32"/>
    </w:rPr>
  </w:style>
  <w:style w:type="paragraph" w:customStyle="1" w:styleId="28">
    <w:name w:val="NormalIndent"/>
    <w:basedOn w:val="1"/>
    <w:qFormat/>
    <w:uiPriority w:val="0"/>
    <w:pPr>
      <w:ind w:firstLine="880" w:firstLineChars="200"/>
      <w:jc w:val="both"/>
      <w:textAlignment w:val="baseline"/>
    </w:pPr>
    <w:rPr>
      <w:rFonts w:ascii="Times New Roman" w:hAnsi="Times New Roman" w:cs="Times New Roman"/>
    </w:rPr>
  </w:style>
  <w:style w:type="paragraph" w:customStyle="1" w:styleId="29">
    <w:name w:val="BodyTextIndent2"/>
    <w:basedOn w:val="1"/>
    <w:qFormat/>
    <w:uiPriority w:val="0"/>
    <w:pPr>
      <w:spacing w:line="590" w:lineRule="exact"/>
      <w:ind w:firstLine="880" w:firstLineChars="200"/>
      <w:textAlignment w:val="baseline"/>
    </w:pPr>
    <w:rPr>
      <w:rFonts w:eastAsia="方正仿宋_GBK"/>
    </w:rPr>
  </w:style>
  <w:style w:type="paragraph" w:customStyle="1" w:styleId="30">
    <w:name w:val="文件内容"/>
    <w:basedOn w:val="1"/>
    <w:qFormat/>
    <w:uiPriority w:val="0"/>
    <w:pPr>
      <w:autoSpaceDN w:val="0"/>
      <w:spacing w:line="480" w:lineRule="exact"/>
      <w:ind w:firstLine="200" w:firstLineChars="200"/>
    </w:pPr>
    <w:rPr>
      <w:sz w:val="30"/>
      <w:szCs w:val="24"/>
    </w:rPr>
  </w:style>
  <w:style w:type="character" w:customStyle="1" w:styleId="31">
    <w:name w:val="15"/>
    <w:qFormat/>
    <w:uiPriority w:val="0"/>
    <w:rPr>
      <w:rFonts w:hint="default" w:ascii="Calibri" w:hAnsi="Calibri" w:eastAsia="宋体" w:cs="Calibri"/>
      <w:kern w:val="2"/>
      <w:sz w:val="24"/>
      <w:szCs w:val="24"/>
    </w:rPr>
  </w:style>
  <w:style w:type="character" w:customStyle="1" w:styleId="32">
    <w:name w:val="标题 1 Char"/>
    <w:basedOn w:val="22"/>
    <w:link w:val="3"/>
    <w:qFormat/>
    <w:uiPriority w:val="0"/>
    <w:rPr>
      <w:rFonts w:ascii="Calibri" w:hAnsi="Calibri" w:eastAsia="宋体"/>
      <w:b/>
      <w:kern w:val="44"/>
      <w:sz w:val="44"/>
      <w:szCs w:val="24"/>
    </w:rPr>
  </w:style>
  <w:style w:type="paragraph" w:customStyle="1" w:styleId="33">
    <w:name w:val="_Style 2"/>
    <w:basedOn w:val="1"/>
    <w:qFormat/>
    <w:uiPriority w:val="0"/>
    <w:pPr>
      <w:spacing w:line="351" w:lineRule="atLeast"/>
      <w:ind w:firstLine="623"/>
    </w:pPr>
    <w:rPr>
      <w:rFonts w:ascii="Times New Roman" w:eastAsia="宋体"/>
      <w:color w:val="000000"/>
      <w:sz w:val="31"/>
      <w:szCs w:val="31"/>
    </w:rPr>
  </w:style>
  <w:style w:type="paragraph" w:customStyle="1" w:styleId="34">
    <w:name w:val="List Paragraph"/>
    <w:basedOn w:val="1"/>
    <w:qFormat/>
    <w:uiPriority w:val="0"/>
    <w:pPr>
      <w:spacing w:before="100" w:beforeAutospacing="1" w:after="100" w:afterAutospacing="1"/>
      <w:ind w:left="1064" w:hanging="322"/>
    </w:pPr>
    <w:rPr>
      <w:rFonts w:ascii="楷体" w:hAnsi="楷体" w:eastAsia="楷体" w:cs="宋体"/>
      <w:sz w:val="21"/>
      <w:szCs w:val="21"/>
    </w:rPr>
  </w:style>
  <w:style w:type="paragraph" w:customStyle="1" w:styleId="35">
    <w:name w:val="Table Paragraph"/>
    <w:basedOn w:val="1"/>
    <w:qFormat/>
    <w:uiPriority w:val="0"/>
    <w:rPr>
      <w:rFonts w:ascii="宋体" w:hAnsi="宋体" w:eastAsia="宋体" w:cs="宋体"/>
      <w:sz w:val="21"/>
      <w:szCs w:val="21"/>
    </w:rPr>
  </w:style>
  <w:style w:type="paragraph" w:customStyle="1" w:styleId="36">
    <w:name w:val="&quot;二级条标题&quot;"/>
    <w:basedOn w:val="1"/>
    <w:qFormat/>
    <w:uiPriority w:val="0"/>
    <w:pPr>
      <w:widowControl/>
      <w:jc w:val="left"/>
      <w:outlineLvl w:val="3"/>
    </w:pPr>
    <w:rPr>
      <w:rFonts w:ascii="宋体" w:hAnsi="宋体" w:eastAsia="黑体" w:cs="宋体"/>
      <w:kern w:val="0"/>
      <w:sz w:val="21"/>
      <w:szCs w:val="21"/>
    </w:rPr>
  </w:style>
  <w:style w:type="paragraph" w:customStyle="1" w:styleId="37">
    <w:name w:val="列出段落1"/>
    <w:basedOn w:val="1"/>
    <w:qFormat/>
    <w:uiPriority w:val="99"/>
    <w:pPr>
      <w:ind w:firstLine="420" w:firstLineChars="200"/>
    </w:pPr>
    <w:rPr>
      <w:rFonts w:ascii="Times New Roman" w:eastAsia="宋体"/>
      <w:sz w:val="21"/>
      <w:szCs w:val="21"/>
    </w:rPr>
  </w:style>
  <w:style w:type="paragraph" w:customStyle="1" w:styleId="38">
    <w:name w:val="Header or footer|1"/>
    <w:basedOn w:val="1"/>
    <w:qFormat/>
    <w:uiPriority w:val="0"/>
    <w:pPr>
      <w:widowControl w:val="0"/>
      <w:shd w:val="clear" w:color="auto" w:fill="auto"/>
      <w:jc w:val="center"/>
    </w:pPr>
    <w:rPr>
      <w:sz w:val="26"/>
      <w:szCs w:val="26"/>
      <w:u w:val="none"/>
      <w:shd w:val="clear" w:color="auto" w:fill="auto"/>
    </w:rPr>
  </w:style>
  <w:style w:type="paragraph" w:customStyle="1" w:styleId="39">
    <w:name w:val="无间隔1"/>
    <w:qFormat/>
    <w:uiPriority w:val="0"/>
    <w:pPr>
      <w:widowControl w:val="0"/>
      <w:jc w:val="both"/>
    </w:pPr>
    <w:rPr>
      <w:rFonts w:ascii="Calibri" w:hAnsi="Calibri" w:eastAsia="宋体" w:cs="Calibri"/>
      <w:kern w:val="2"/>
      <w:sz w:val="21"/>
      <w:szCs w:val="21"/>
      <w:lang w:val="en-US" w:eastAsia="zh-CN" w:bidi="ar-SA"/>
    </w:rPr>
  </w:style>
  <w:style w:type="paragraph" w:customStyle="1" w:styleId="40">
    <w:name w:val="正文缩进1"/>
    <w:basedOn w:val="1"/>
    <w:qFormat/>
    <w:uiPriority w:val="0"/>
    <w:pPr>
      <w:ind w:firstLine="624"/>
      <w:textAlignment w:val="center"/>
    </w:pPr>
  </w:style>
  <w:style w:type="character" w:customStyle="1" w:styleId="41">
    <w:name w:val="NormalCharacter"/>
    <w:qFormat/>
    <w:uiPriority w:val="99"/>
    <w:rPr>
      <w:rFonts w:ascii="Times New Roman" w:hAnsi="Times New Roman" w:eastAsia="宋体"/>
    </w:rPr>
  </w:style>
  <w:style w:type="table" w:customStyle="1" w:styleId="42">
    <w:name w:val="Table Normal"/>
    <w:unhideWhenUsed/>
    <w:qFormat/>
    <w:uiPriority w:val="2"/>
    <w:pPr>
      <w:widowControl w:val="0"/>
    </w:pPr>
    <w:rPr>
      <w:rFonts w:ascii="Calibri" w:hAnsi="Calibri" w:eastAsia="宋体" w:cs="Times New Roman"/>
      <w:sz w:val="22"/>
      <w:szCs w:val="22"/>
      <w:lang w:eastAsia="en-US"/>
    </w:rPr>
    <w:tblPr>
      <w:tblCellMar>
        <w:top w:w="0" w:type="dxa"/>
        <w:left w:w="0" w:type="dxa"/>
        <w:bottom w:w="0" w:type="dxa"/>
        <w:right w:w="0" w:type="dxa"/>
      </w:tblCellMar>
    </w:tblPr>
  </w:style>
  <w:style w:type="paragraph" w:customStyle="1" w:styleId="43">
    <w:name w:val="公文正文"/>
    <w:basedOn w:val="8"/>
    <w:qFormat/>
    <w:uiPriority w:val="0"/>
    <w:pPr>
      <w:widowControl w:val="0"/>
      <w:kinsoku/>
      <w:autoSpaceDE/>
      <w:autoSpaceDN/>
      <w:adjustRightInd/>
      <w:snapToGrid/>
      <w:spacing w:after="0"/>
      <w:ind w:left="0" w:leftChars="0" w:firstLine="632" w:firstLineChars="200"/>
      <w:jc w:val="both"/>
      <w:textAlignment w:val="auto"/>
    </w:pPr>
    <w:rPr>
      <w:rFonts w:ascii="Times New Roman" w:hAnsi="Times New Roman" w:eastAsia="方正仿宋_GBK" w:cs="Times New Roman"/>
      <w:snapToGrid/>
      <w:color w:val="auto"/>
      <w:kern w:val="2"/>
      <w:sz w:val="32"/>
      <w:szCs w:val="32"/>
      <w:lang w:eastAsia="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4883</Words>
  <Characters>5006</Characters>
  <Lines>0</Lines>
  <Paragraphs>0</Paragraphs>
  <TotalTime>8</TotalTime>
  <ScaleCrop>false</ScaleCrop>
  <LinksUpToDate>false</LinksUpToDate>
  <CharactersWithSpaces>5153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2019-12-05T10:35:00Z</dcterms:created>
  <dc:creator>Administrator</dc:creator>
  <cp:lastModifiedBy>...</cp:lastModifiedBy>
  <dcterms:modified xsi:type="dcterms:W3CDTF">2025-08-11T07:59:48Z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9344F49A6C15447F8257A57C1AD9076D_13</vt:lpwstr>
  </property>
  <property fmtid="{D5CDD505-2E9C-101B-9397-08002B2CF9AE}" pid="4" name="KSOTemplateDocerSaveRecord">
    <vt:lpwstr>eyJoZGlkIjoiYjRmNjc1MzA4OWYxZmIzMmJiNjdhNzhhOTU5MzQ3MGUiLCJ1c2VySWQiOiIyNzI4NzQ3ODMifQ==</vt:lpwstr>
  </property>
</Properties>
</file>