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7A98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05" w:leftChars="50"/>
        <w:jc w:val="center"/>
        <w:textAlignment w:val="auto"/>
        <w:outlineLvl w:val="0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朱备镇东桥村灯光篮球场及周边场地改造提升工程</w:t>
      </w:r>
    </w:p>
    <w:p w14:paraId="7FCB9E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05" w:leftChars="50"/>
        <w:jc w:val="center"/>
        <w:textAlignment w:val="auto"/>
        <w:outlineLvl w:val="0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投标邀请书</w:t>
      </w:r>
    </w:p>
    <w:p w14:paraId="15918025">
      <w:pPr>
        <w:widowControl/>
        <w:shd w:val="clear" w:color="auto" w:fill="FFFFFF"/>
        <w:spacing w:line="360" w:lineRule="auto"/>
        <w:ind w:firstLine="572" w:firstLineChars="200"/>
        <w:jc w:val="left"/>
        <w:rPr>
          <w:rFonts w:hint="eastAsia" w:ascii="仿宋" w:hAnsi="仿宋" w:eastAsia="仿宋" w:cs="仿宋"/>
          <w:spacing w:val="3"/>
          <w:sz w:val="28"/>
          <w:szCs w:val="28"/>
          <w:u w:val="single"/>
          <w:lang w:val="en-US" w:eastAsia="zh-CN"/>
        </w:rPr>
      </w:pPr>
      <w:bookmarkStart w:id="0" w:name="_Toc439064164"/>
    </w:p>
    <w:p w14:paraId="3F170C3A">
      <w:pPr>
        <w:widowControl/>
        <w:shd w:val="clear" w:color="auto" w:fill="FFFFFF"/>
        <w:spacing w:line="360" w:lineRule="auto"/>
        <w:ind w:firstLine="572" w:firstLineChars="200"/>
        <w:jc w:val="left"/>
        <w:rPr>
          <w:rFonts w:hint="eastAsia" w:ascii="仿宋" w:hAnsi="仿宋" w:eastAsia="仿宋" w:cs="仿宋"/>
          <w:spacing w:val="3"/>
          <w:sz w:val="28"/>
          <w:szCs w:val="28"/>
        </w:rPr>
      </w:pPr>
      <w:bookmarkStart w:id="3" w:name="_GoBack"/>
      <w:r>
        <w:rPr>
          <w:rFonts w:hint="eastAsia" w:ascii="仿宋" w:hAnsi="仿宋" w:eastAsia="仿宋" w:cs="仿宋"/>
          <w:spacing w:val="3"/>
          <w:sz w:val="28"/>
          <w:szCs w:val="28"/>
          <w:u w:val="single"/>
        </w:rPr>
        <w:t xml:space="preserve">青阳智行工程咨询有限公司 </w:t>
      </w:r>
      <w:r>
        <w:rPr>
          <w:rFonts w:hint="eastAsia" w:ascii="仿宋" w:hAnsi="仿宋" w:eastAsia="仿宋" w:cs="仿宋"/>
          <w:spacing w:val="3"/>
          <w:sz w:val="28"/>
          <w:szCs w:val="28"/>
        </w:rPr>
        <w:t>受</w:t>
      </w:r>
      <w:r>
        <w:rPr>
          <w:rFonts w:hint="eastAsia" w:ascii="仿宋" w:hAnsi="仿宋" w:eastAsia="仿宋" w:cs="仿宋"/>
          <w:spacing w:val="3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3"/>
          <w:sz w:val="28"/>
          <w:szCs w:val="28"/>
          <w:u w:val="single"/>
          <w:lang w:eastAsia="zh-CN"/>
        </w:rPr>
        <w:t>青阳县朱备镇人民政府</w:t>
      </w:r>
      <w:r>
        <w:rPr>
          <w:rFonts w:hint="eastAsia" w:ascii="仿宋" w:hAnsi="仿宋" w:eastAsia="仿宋" w:cs="仿宋"/>
          <w:spacing w:val="3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3"/>
          <w:sz w:val="28"/>
          <w:szCs w:val="28"/>
        </w:rPr>
        <w:t>委托，现对“</w:t>
      </w:r>
      <w:r>
        <w:rPr>
          <w:rFonts w:hint="eastAsia" w:ascii="仿宋" w:hAnsi="仿宋" w:eastAsia="仿宋" w:cs="仿宋"/>
          <w:spacing w:val="3"/>
          <w:sz w:val="28"/>
          <w:szCs w:val="28"/>
          <w:u w:val="single"/>
          <w:lang w:eastAsia="zh-CN"/>
        </w:rPr>
        <w:t>朱备镇东桥村灯光篮球场及周边场地改造提升工程</w:t>
      </w:r>
      <w:r>
        <w:rPr>
          <w:rFonts w:hint="eastAsia" w:ascii="仿宋" w:hAnsi="仿宋" w:eastAsia="仿宋" w:cs="仿宋"/>
          <w:spacing w:val="3"/>
          <w:sz w:val="28"/>
          <w:szCs w:val="28"/>
        </w:rPr>
        <w:t>”进行招标，欢迎收到邀请的投标人参加投标。</w:t>
      </w:r>
    </w:p>
    <w:p w14:paraId="3CAE6888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一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、项目内容</w:t>
      </w:r>
    </w:p>
    <w:p w14:paraId="061211EF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default" w:ascii="仿宋" w:hAnsi="仿宋" w:eastAsia="仿宋" w:cs="仿宋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1、项目地点：CZQYZX202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val="en-US" w:eastAsia="zh-CN" w:bidi="ar"/>
        </w:rPr>
        <w:t>5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-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val="en-US" w:eastAsia="zh-CN" w:bidi="ar"/>
        </w:rPr>
        <w:t>039</w:t>
      </w:r>
    </w:p>
    <w:p w14:paraId="3ED9C200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2、项目名称：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朱备镇东桥村灯光篮球场及周边场地改造提升工程</w:t>
      </w:r>
    </w:p>
    <w:p w14:paraId="46120E51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default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3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、项目地点：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青阳县朱备镇区域</w:t>
      </w:r>
    </w:p>
    <w:p w14:paraId="656C80CD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4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、项目概况及内容：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朱备镇东桥村灯光篮球场及周边场地改造提升等工程，具体详见工程量清单。</w:t>
      </w:r>
    </w:p>
    <w:p w14:paraId="36A060B7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default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5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、计划工期：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60日历天</w:t>
      </w:r>
    </w:p>
    <w:p w14:paraId="340FA12A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6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、项目预算：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（大写）：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贰拾柒万伍仟壹佰贰拾陆元壹角整</w:t>
      </w:r>
      <w:r>
        <w:rPr>
          <w:rFonts w:hint="eastAsia" w:ascii="仿宋" w:hAnsi="仿宋" w:eastAsia="仿宋" w:cs="仿宋"/>
          <w:sz w:val="28"/>
          <w:szCs w:val="28"/>
        </w:rPr>
        <w:t>，（小写）：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275126.1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val="en-US" w:eastAsia="zh-CN" w:bidi="ar"/>
        </w:rPr>
        <w:t>0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元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75E7FDAD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default" w:ascii="仿宋" w:hAnsi="仿宋" w:eastAsia="仿宋" w:cs="仿宋"/>
          <w:color w:val="0000FF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7、投标最高限价（人民币）：（大写）：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贰拾柒万伍仟壹佰贰拾陆元壹角整</w:t>
      </w:r>
      <w:r>
        <w:rPr>
          <w:rFonts w:hint="eastAsia" w:ascii="仿宋" w:hAnsi="仿宋" w:eastAsia="仿宋" w:cs="仿宋"/>
          <w:sz w:val="28"/>
          <w:szCs w:val="28"/>
        </w:rPr>
        <w:t>，（小写）：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275126.1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val="en-US" w:eastAsia="zh-CN" w:bidi="ar"/>
        </w:rPr>
        <w:t>0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元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3642B7F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none"/>
          <w:shd w:val="clear" w:color="auto" w:fill="FFFFFF"/>
          <w:lang w:val="en-US" w:eastAsia="zh-CN" w:bidi="ar"/>
        </w:rPr>
        <w:t>8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none"/>
          <w:shd w:val="clear" w:color="auto" w:fill="FFFFFF"/>
          <w:lang w:bidi="ar"/>
        </w:rPr>
        <w:t>、标段划分：本项目共分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none"/>
          <w:shd w:val="clear" w:color="auto" w:fill="FFFFFF"/>
          <w:lang w:val="en-US" w:eastAsia="zh-CN" w:bidi="ar"/>
        </w:rPr>
        <w:t>1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none"/>
          <w:shd w:val="clear" w:color="auto" w:fill="FFFFFF"/>
          <w:lang w:bidi="ar"/>
        </w:rPr>
        <w:t>个标段</w:t>
      </w:r>
    </w:p>
    <w:p w14:paraId="1EF38A20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二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投标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人资格</w:t>
      </w:r>
    </w:p>
    <w:p w14:paraId="275A46EB">
      <w:pPr>
        <w:widowControl/>
        <w:shd w:val="clear" w:color="auto" w:fill="FFFFFF"/>
        <w:spacing w:before="120" w:beforeLines="50" w:line="360" w:lineRule="auto"/>
        <w:ind w:firstLine="560" w:firstLineChars="200"/>
        <w:jc w:val="left"/>
        <w:rPr>
          <w:rFonts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1、投标人资格要求：须具备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市政公用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工程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施工总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承包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三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级及以上（含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三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级）资质（须在有效期内），须具有有效的安全生产许可证；</w:t>
      </w:r>
    </w:p>
    <w:p w14:paraId="1D2930B0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2、项目经理要求：具有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市政公用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工程专业二级及以上注册建造师资格（有效期满的，必须延期注册合格）；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具有建设行政主管部门颁发的有效的安全生产考核合格证书（B证）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；</w:t>
      </w:r>
    </w:p>
    <w:p w14:paraId="149B4EE1">
      <w:pPr>
        <w:widowControl/>
        <w:shd w:val="clear" w:color="auto" w:fill="FFFFFF"/>
        <w:spacing w:before="120" w:beforeLines="50" w:line="360" w:lineRule="auto"/>
        <w:ind w:firstLine="560" w:firstLineChars="200"/>
        <w:jc w:val="left"/>
        <w:rPr>
          <w:rFonts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3、其他要求：</w:t>
      </w:r>
    </w:p>
    <w:p w14:paraId="61BA172B">
      <w:pPr>
        <w:widowControl/>
        <w:shd w:val="clear" w:color="auto" w:fill="FFFFFF"/>
        <w:spacing w:before="120" w:beforeLines="50" w:line="360" w:lineRule="auto"/>
        <w:ind w:firstLine="560" w:firstLineChars="200"/>
        <w:jc w:val="left"/>
        <w:rPr>
          <w:rFonts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3.1项目经理承接项目数量符合建设行政主管部门要求（投标人承诺）。</w:t>
      </w:r>
    </w:p>
    <w:p w14:paraId="7F5FDE5A">
      <w:pPr>
        <w:widowControl/>
        <w:shd w:val="clear" w:color="auto" w:fill="FFFFFF"/>
        <w:spacing w:before="120" w:beforeLines="50" w:line="360" w:lineRule="auto"/>
        <w:ind w:firstLine="562" w:firstLineChars="200"/>
        <w:jc w:val="left"/>
        <w:rPr>
          <w:rFonts w:ascii="仿宋" w:hAnsi="仿宋" w:eastAsia="仿宋" w:cs="仿宋"/>
          <w:b/>
          <w:bCs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shd w:val="clear" w:color="auto" w:fill="FFFFFF"/>
          <w:lang w:bidi="ar"/>
        </w:rPr>
        <w:t>3.2按照池建市函[2024]525 号文件《关于进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shd w:val="clear" w:color="auto" w:fill="FFFFFF"/>
          <w:lang w:eastAsia="zh-CN" w:bidi="ar"/>
        </w:rPr>
        <w:t>一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shd w:val="clear" w:color="auto" w:fill="FFFFFF"/>
          <w:lang w:bidi="ar"/>
        </w:rPr>
        <w:t>步完善我市工程建设项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shd w:val="clear" w:color="auto" w:fill="FFFFFF"/>
          <w:lang w:eastAsia="zh-CN" w:bidi="ar"/>
        </w:rPr>
        <w:t>目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shd w:val="clear" w:color="auto" w:fill="FFFFFF"/>
          <w:lang w:bidi="ar"/>
        </w:rPr>
        <w:t>评标内容的通知》要求：“投标人应当具备相应类别资质注册建造师数量，不满足《建筑企业资质标准》(建市[20141159号)要求的，不推荐为中标候选人”(查询时间同投标截止时间)。</w:t>
      </w:r>
    </w:p>
    <w:p w14:paraId="50DD389D">
      <w:pPr>
        <w:widowControl/>
        <w:shd w:val="clear" w:color="auto" w:fill="FFFFFF"/>
        <w:spacing w:before="120" w:beforeLines="50" w:line="360" w:lineRule="auto"/>
        <w:ind w:firstLine="562" w:firstLineChars="200"/>
        <w:jc w:val="left"/>
        <w:rPr>
          <w:rFonts w:hint="eastAsia" w:ascii="仿宋" w:hAnsi="仿宋" w:eastAsia="仿宋" w:cs="仿宋"/>
          <w:b/>
          <w:bCs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shd w:val="clear" w:color="auto" w:fill="FFFFFF"/>
          <w:lang w:bidi="ar"/>
        </w:rPr>
        <w:t>3.3受邀请的投标单位自行对照3.2要求，如未满足要求而报名的，其服务费用恕不退还。</w:t>
      </w:r>
    </w:p>
    <w:p w14:paraId="2E9A85B7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三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、招标文件获取办法</w:t>
      </w:r>
    </w:p>
    <w:p w14:paraId="6A91C3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default" w:ascii="仿宋" w:hAnsi="仿宋" w:eastAsia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2"/>
          <w:sz w:val="28"/>
          <w:szCs w:val="28"/>
          <w:u w:val="none"/>
          <w:lang w:val="en-US" w:eastAsia="zh-CN" w:bidi="ar-SA"/>
        </w:rPr>
        <w:t>1、</w:t>
      </w:r>
      <w:r>
        <w:rPr>
          <w:rFonts w:hint="eastAsia" w:ascii="仿宋" w:hAnsi="仿宋" w:eastAsia="仿宋"/>
          <w:color w:val="000000"/>
          <w:sz w:val="28"/>
          <w:szCs w:val="28"/>
        </w:rPr>
        <w:t>招标文件领取时间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>及</w:t>
      </w:r>
      <w:r>
        <w:rPr>
          <w:rFonts w:hint="eastAsia" w:ascii="仿宋" w:hAnsi="仿宋" w:eastAsia="仿宋" w:cs="仿宋"/>
          <w:kern w:val="2"/>
          <w:sz w:val="28"/>
          <w:szCs w:val="28"/>
          <w:u w:val="none"/>
          <w:lang w:val="en-US" w:eastAsia="zh-CN" w:bidi="ar-SA"/>
        </w:rPr>
        <w:t>方式：</w:t>
      </w:r>
      <w:r>
        <w:rPr>
          <w:rFonts w:hint="eastAsia" w:ascii="仿宋" w:hAnsi="仿宋" w:eastAsia="仿宋" w:cs="仿宋"/>
          <w:spacing w:val="3"/>
          <w:sz w:val="28"/>
          <w:szCs w:val="28"/>
        </w:rPr>
        <w:t>凡受邀请参加投标者，请于获取时间内登录</w:t>
      </w:r>
      <w:r>
        <w:rPr>
          <w:rFonts w:hint="eastAsia" w:ascii="仿宋" w:hAnsi="仿宋" w:eastAsia="仿宋"/>
          <w:color w:val="000000"/>
          <w:sz w:val="28"/>
          <w:szCs w:val="28"/>
        </w:rPr>
        <w:t>安徽嗨招电子招标采购平台  https://ah.hibidding.com/web/home下载招标文件。（招标文件下载时间：招标公告发出之日起至投标截止时间。）</w:t>
      </w:r>
    </w:p>
    <w:p w14:paraId="43D1D6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u w:val="none"/>
          <w:lang w:val="en-US" w:eastAsia="zh-CN" w:bidi="ar-SA"/>
        </w:rPr>
        <w:t>2、招标文件获取地址：</w:t>
      </w:r>
    </w:p>
    <w:p w14:paraId="16C143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eastAsia" w:ascii="仿宋" w:hAnsi="仿宋" w:eastAsia="仿宋"/>
          <w:color w:val="000000"/>
          <w:sz w:val="28"/>
          <w:szCs w:val="28"/>
        </w:rPr>
        <w:t>安徽嗨招电子招标采购平台  https://ah.hibidding.com/web/home下载招标文件。</w:t>
      </w:r>
    </w:p>
    <w:p w14:paraId="608148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u w:val="none"/>
          <w:lang w:val="en-US" w:eastAsia="zh-CN" w:bidi="ar-SA"/>
        </w:rPr>
        <w:t>3、电子交易系统登录：</w:t>
      </w:r>
    </w:p>
    <w:p w14:paraId="403652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pacing w:val="3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已在安徽省各地区办理过CA锁且在安徽省市场主体库</w:t>
      </w:r>
      <w:r>
        <w:rPr>
          <w:rFonts w:hint="eastAsia" w:ascii="仿宋" w:hAnsi="仿宋" w:eastAsia="仿宋" w:cs="仿宋"/>
          <w:spacing w:val="3"/>
          <w:sz w:val="28"/>
          <w:szCs w:val="28"/>
          <w:lang w:eastAsia="zh-CN"/>
        </w:rPr>
        <w:t>（ggzy.ah.gov.cn/ahggfwpt-zhutiku/dengludenglu）</w:t>
      </w:r>
      <w:r>
        <w:rPr>
          <w:rFonts w:hint="eastAsia" w:ascii="仿宋" w:hAnsi="仿宋" w:eastAsia="仿宋" w:cs="仿宋"/>
          <w:spacing w:val="3"/>
          <w:sz w:val="28"/>
          <w:szCs w:val="28"/>
        </w:rPr>
        <w:t>入库的投标单位可使用CA锁直接登录系统。</w:t>
      </w:r>
    </w:p>
    <w:p w14:paraId="3998C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未办理CA锁的企业可联系CA办理人员进行办理，办理人员联系方式：15212485456，或可点击下方链接进行在线办理：</w:t>
      </w:r>
    </w:p>
    <w:p w14:paraId="2528DBE2">
      <w:pPr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http://www.share-sun.com/anhui/business/login.aspx?unitname=hzptcz&amp;businesstype=1&amp;usertype=1</w:t>
      </w:r>
    </w:p>
    <w:p w14:paraId="55B54A67">
      <w:pPr>
        <w:spacing w:line="360" w:lineRule="auto"/>
        <w:ind w:firstLine="560" w:firstLineChars="200"/>
        <w:rPr>
          <w:rFonts w:hint="eastAsia" w:ascii="仿宋" w:hAnsi="仿宋" w:eastAsia="仿宋" w:cs="仿宋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4、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招标人对招标文件进行的答疑、澄清、变更或补充，将在网站上及时发布，该公告内容为招标文件的组成部分，对投标人具有同样约束效力。投标人应主动在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安徽</w:t>
      </w:r>
      <w:r>
        <w:rPr>
          <w:rFonts w:hint="eastAsia" w:ascii="仿宋" w:hAnsi="仿宋" w:eastAsia="仿宋" w:cs="仿宋"/>
          <w:kern w:val="2"/>
          <w:sz w:val="28"/>
          <w:szCs w:val="28"/>
          <w:u w:val="none"/>
          <w:lang w:val="en-US" w:eastAsia="zh-CN" w:bidi="ar-SA"/>
        </w:rPr>
        <w:t>嗨招电子招标采购平台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“变更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公告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”栏目里查询，代理机构不承担投标人未及时关注相关信息引发的相关责任。</w:t>
      </w:r>
    </w:p>
    <w:p w14:paraId="5F5350C2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四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、投标文件递交的截止时间及地点</w:t>
      </w:r>
    </w:p>
    <w:p w14:paraId="6407B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1、开标时间（即投标文件递交截止时间）：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2025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09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分（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以交易系统时间为准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）。</w:t>
      </w:r>
    </w:p>
    <w:p w14:paraId="51AD4403">
      <w:pPr>
        <w:spacing w:line="360" w:lineRule="auto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2、开标地点：</w:t>
      </w:r>
      <w:r>
        <w:rPr>
          <w:rFonts w:hint="eastAsia" w:ascii="仿宋" w:hAnsi="仿宋" w:eastAsia="仿宋" w:cs="仿宋"/>
          <w:bCs/>
          <w:sz w:val="28"/>
          <w:szCs w:val="28"/>
        </w:rPr>
        <w:t>青</w:t>
      </w:r>
      <w:r>
        <w:rPr>
          <w:rFonts w:hint="eastAsia" w:ascii="仿宋" w:hAnsi="仿宋" w:eastAsia="仿宋"/>
          <w:sz w:val="28"/>
          <w:szCs w:val="28"/>
        </w:rPr>
        <w:t>阳智行工程咨询有限公司开标室。</w:t>
      </w:r>
    </w:p>
    <w:p w14:paraId="745301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3、本项目开标时无需提交纸质投标文件，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投标人应在投标文件递交截止时间前通过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安徽嗨招电子招标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采购平台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https://ah.hibidding.com/web/home下载招标文件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2"/>
          <w:szCs w:val="22"/>
        </w:rPr>
        <w:t>。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上传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，参与投标的投标人应在完全了解招标文件需求后填写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并签章确认参与本次项目的投标。上传递交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的投标人视为能够完全响应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文件规定的各项要求。投标企业应保证承诺的所有资料均真实、及时、有效，因提供资料不实而造成的责任和后果由投标企业自行承担。如投标人在开标前放弃本次投标须撤回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，因未及时撤回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中标后放弃中标将按相关规定对原中标候选人进行相应处罚（注：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格式详见招标文件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中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投标文件组成与格式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部分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须以PDF格式上传。</w:t>
      </w:r>
    </w:p>
    <w:p w14:paraId="2788D7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4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逾期递交，或者不按要求递交的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投标文件，视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为无效投标。</w:t>
      </w:r>
    </w:p>
    <w:p w14:paraId="668087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5、系统内填写的报价要与投标函保持一致。若不一致时，招标人将以系统内填写的报价为准，产生的不利后果，由投标人自行承担。</w:t>
      </w:r>
    </w:p>
    <w:p w14:paraId="6B8A92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本项目支持远程不见面开标。</w:t>
      </w:r>
    </w:p>
    <w:p w14:paraId="652DE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eastAsia="zh-CN" w:bidi="ar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7、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项目质疑受理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投标人向招标人提出质疑的，在开标前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日内，可以采用邮寄或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现场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送达方式，将使用规范文本的质疑材料邮寄或送达至招标人和代理机构，以收到质疑材料时间为准，逾期不予受理。</w:t>
      </w:r>
      <w:bookmarkEnd w:id="0"/>
    </w:p>
    <w:p w14:paraId="1676AB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  <w:highlight w:val="none"/>
          <w:lang w:val="en-US" w:eastAsia="zh-CN"/>
        </w:rPr>
        <w:t>五、投标保证金</w:t>
      </w:r>
    </w:p>
    <w:p w14:paraId="538A88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投标保证金金额：本项目免收投标保证金。</w:t>
      </w:r>
    </w:p>
    <w:p w14:paraId="056E5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  <w:highlight w:val="none"/>
          <w:lang w:val="en-US" w:eastAsia="zh-CN"/>
        </w:rPr>
        <w:t>六、注意事项</w:t>
      </w:r>
    </w:p>
    <w:p w14:paraId="74631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bookmarkStart w:id="1" w:name="_Hlk98360165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1、投标人在网上直接下载招标文件及其它资料（含澄清和补充说明）相关澄清及补遗文件将在、安徽省招标投标信息网（www.ahtba.org.cn）和安徽嗨招电子招标采购平台  https://ah.hibidding.com/web/home上发布，请各投标人自行登录系统或网站查看，未及时查看由此造成无法参与投标的责任自负。</w:t>
      </w:r>
    </w:p>
    <w:p w14:paraId="1462C5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2、投标人网上参与投标后，必须在招标文件下载截止日期前完成招标文件下载，否则逾期系统自动关闭，</w:t>
      </w:r>
      <w:bookmarkStart w:id="2" w:name="_Hlk98360695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由此造成无法参与投标责任自负</w:t>
      </w:r>
      <w:bookmarkEnd w:id="2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。</w:t>
      </w:r>
    </w:p>
    <w:p w14:paraId="32DF54E6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3、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本次项目开标采用远程不见面方式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或投标人代表现场参加方式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开标，投标人可在电子交易系统中的【业务管理】-【开标】-【不见面开标大厅】菜单进入观看该项目开标直播，无须到达开标现场。</w:t>
      </w:r>
    </w:p>
    <w:p w14:paraId="2FA347A8">
      <w:pPr>
        <w:spacing w:line="360" w:lineRule="auto"/>
        <w:jc w:val="left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不见面开标地址：https://www.hibidding.com/bidweb/</w:t>
      </w:r>
    </w:p>
    <w:p w14:paraId="6CB204B7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4、潜在投标人在制作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时，请将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招标文件规定的各项要求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清晰彩色扫描件（PDF版本）添加至电子投标文件相应栏目，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未在电子交易系统上传</w:t>
      </w:r>
      <w:r>
        <w:rPr>
          <w:rFonts w:hint="eastAsia" w:ascii="仿宋" w:hAnsi="仿宋" w:eastAsia="仿宋"/>
          <w:bCs/>
          <w:color w:val="000000"/>
          <w:sz w:val="28"/>
          <w:szCs w:val="28"/>
          <w:lang w:eastAsia="zh-CN"/>
        </w:rPr>
        <w:t>投标文件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投标人视为放弃本项目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参与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资格；递交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/>
          <w:bCs/>
          <w:color w:val="000000"/>
          <w:sz w:val="28"/>
          <w:szCs w:val="28"/>
          <w:lang w:eastAsia="zh-CN"/>
        </w:rPr>
        <w:t>投标文件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不符合规定的视为无效响应，中标无效。</w:t>
      </w:r>
    </w:p>
    <w:p w14:paraId="373C6546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、品茗软件技术支持电话：15212485456袁工（QQ：3239425932）、 15988404421贾工（QQ：3298805902）。</w:t>
      </w:r>
    </w:p>
    <w:bookmarkEnd w:id="1"/>
    <w:p w14:paraId="7FD23D6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ascii="仿宋" w:hAnsi="仿宋" w:eastAsia="仿宋" w:cs="仿宋"/>
          <w:b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kern w:val="0"/>
          <w:sz w:val="28"/>
          <w:szCs w:val="28"/>
          <w:shd w:val="clear" w:color="auto" w:fill="FFFFFF"/>
          <w:lang w:bidi="ar"/>
        </w:rPr>
        <w:t>七、发布公告的媒介</w:t>
      </w:r>
    </w:p>
    <w:p w14:paraId="583B55B2">
      <w:pPr>
        <w:spacing w:line="360" w:lineRule="auto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本次招标公告及后期中标公示将同时在安徽省招标投标信息网（www.ahtba.org.cn/）、安徽嗨招电子招标采购平台（https://ah.hibidding.com/web/home）、青阳县人民政府网（www.ahqy.gov.cn/）公开发布。</w:t>
      </w:r>
    </w:p>
    <w:p w14:paraId="6AF1207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ascii="仿宋" w:hAnsi="仿宋" w:eastAsia="仿宋" w:cs="仿宋"/>
          <w:b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kern w:val="0"/>
          <w:sz w:val="28"/>
          <w:szCs w:val="28"/>
          <w:shd w:val="clear" w:color="auto" w:fill="FFFFFF"/>
          <w:lang w:bidi="ar"/>
        </w:rPr>
        <w:t>八、联系方法</w:t>
      </w:r>
    </w:p>
    <w:p w14:paraId="1BD57901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（一）项目单位：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青阳县朱备镇人民政府</w:t>
      </w:r>
    </w:p>
    <w:p w14:paraId="5AB2E7AE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地  址：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青阳县朱备镇府前西路1号</w:t>
      </w:r>
    </w:p>
    <w:p w14:paraId="452A9C9E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联系人：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 xml:space="preserve">胡敏章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shd w:val="clear" w:color="auto" w:fill="FFFFFF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 xml:space="preserve"> </w:t>
      </w:r>
    </w:p>
    <w:p w14:paraId="47280D8F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电  话：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eastAsia="zh-CN" w:bidi="ar"/>
        </w:rPr>
        <w:t>17356616750</w:t>
      </w: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val="en-US" w:eastAsia="zh-CN" w:bidi="ar"/>
        </w:rPr>
        <w:t xml:space="preserve"> </w:t>
      </w:r>
    </w:p>
    <w:p w14:paraId="496B64BA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（二）招标代理机构：青阳智行工程咨询有限公司</w:t>
      </w:r>
    </w:p>
    <w:p w14:paraId="511D17B9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地  址：青阳县蓉城镇庙前路23号</w:t>
      </w:r>
    </w:p>
    <w:p w14:paraId="3E5B13AE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联系人：李行</w:t>
      </w:r>
    </w:p>
    <w:p w14:paraId="28C78F5B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shd w:val="clear" w:color="auto" w:fill="FFFFFF"/>
          <w:lang w:bidi="ar"/>
        </w:rPr>
        <w:t>电  话：13866454901</w:t>
      </w:r>
    </w:p>
    <w:p w14:paraId="661E8AE2">
      <w:pPr>
        <w:rPr>
          <w:rFonts w:hint="eastAsia"/>
        </w:rPr>
      </w:pPr>
    </w:p>
    <w:bookmarkEnd w:id="3"/>
    <w:sectPr>
      <w:footerReference r:id="rId6" w:type="first"/>
      <w:headerReference r:id="rId3" w:type="default"/>
      <w:footerReference r:id="rId4" w:type="default"/>
      <w:footerReference r:id="rId5" w:type="even"/>
      <w:pgSz w:w="11907" w:h="16840"/>
      <w:pgMar w:top="1440" w:right="1293" w:bottom="1440" w:left="1293" w:header="851" w:footer="1043" w:gutter="0"/>
      <w:pgNumType w:fmt="decimal"/>
      <w:cols w:space="72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1BA820">
    <w:pPr>
      <w:pStyle w:val="7"/>
      <w:ind w:right="630"/>
      <w:jc w:val="right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166E83D7">
                          <w:pPr>
                            <w:pStyle w:val="7"/>
                            <w:rPr>
                              <w:rStyle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16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6"/>
                            </w:rPr>
                            <w:t>61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ixWE+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166E83D7">
                    <w:pPr>
                      <w:pStyle w:val="7"/>
                      <w:rPr>
                        <w:rStyle w:val="16"/>
                      </w:rPr>
                    </w:pPr>
                    <w:r>
                      <w:fldChar w:fldCharType="begin"/>
                    </w:r>
                    <w:r>
                      <w:rPr>
                        <w:rStyle w:val="16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16"/>
                      </w:rPr>
                      <w:t>61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FE97DD">
    <w:pPr>
      <w:pStyle w:val="7"/>
      <w:framePr w:wrap="around" w:vAnchor="text" w:hAnchor="margin" w:xAlign="right" w:yAlign="top"/>
      <w:rPr>
        <w:rStyle w:val="16"/>
      </w:rPr>
    </w:pPr>
    <w:r>
      <w:fldChar w:fldCharType="begin"/>
    </w:r>
    <w:r>
      <w:rPr>
        <w:rStyle w:val="16"/>
      </w:rPr>
      <w:instrText xml:space="preserve">PAGE  </w:instrText>
    </w:r>
    <w:r>
      <w:fldChar w:fldCharType="end"/>
    </w:r>
  </w:p>
  <w:p w14:paraId="3C874C99">
    <w:pPr>
      <w:pStyle w:val="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C5D026">
    <w:pPr>
      <w:pStyle w:val="7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0E0ED81C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0E0ED81C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1D7EF">
    <w:pPr>
      <w:pStyle w:val="8"/>
      <w:jc w:val="lef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ZlYjYzODUzOTBlMzQ0MGMwMmYwODVjNzkwOWQ2NWEifQ=="/>
  </w:docVars>
  <w:rsids>
    <w:rsidRoot w:val="00000000"/>
    <w:rsid w:val="010A0D77"/>
    <w:rsid w:val="016910F9"/>
    <w:rsid w:val="02460EB6"/>
    <w:rsid w:val="049C4869"/>
    <w:rsid w:val="055973E9"/>
    <w:rsid w:val="084E27D1"/>
    <w:rsid w:val="094E7268"/>
    <w:rsid w:val="09EF276F"/>
    <w:rsid w:val="0A367EA3"/>
    <w:rsid w:val="0A641E6C"/>
    <w:rsid w:val="0AE217E9"/>
    <w:rsid w:val="0AF85654"/>
    <w:rsid w:val="0B8A21AB"/>
    <w:rsid w:val="0CB64BF0"/>
    <w:rsid w:val="10312B56"/>
    <w:rsid w:val="104C4CE0"/>
    <w:rsid w:val="10CC63D9"/>
    <w:rsid w:val="10DE1430"/>
    <w:rsid w:val="11073FFE"/>
    <w:rsid w:val="118934C7"/>
    <w:rsid w:val="11F73579"/>
    <w:rsid w:val="122E4404"/>
    <w:rsid w:val="12777D4C"/>
    <w:rsid w:val="14727236"/>
    <w:rsid w:val="14904B4F"/>
    <w:rsid w:val="149F4D92"/>
    <w:rsid w:val="154E1449"/>
    <w:rsid w:val="16027CCE"/>
    <w:rsid w:val="169D51E3"/>
    <w:rsid w:val="16D651B8"/>
    <w:rsid w:val="18D62EF1"/>
    <w:rsid w:val="192B3098"/>
    <w:rsid w:val="19494CCB"/>
    <w:rsid w:val="1AD42CE2"/>
    <w:rsid w:val="1B9A62B3"/>
    <w:rsid w:val="1BA66970"/>
    <w:rsid w:val="1C811072"/>
    <w:rsid w:val="1CFD4B01"/>
    <w:rsid w:val="1DD379ED"/>
    <w:rsid w:val="21DC4277"/>
    <w:rsid w:val="22687164"/>
    <w:rsid w:val="2491012F"/>
    <w:rsid w:val="270B5271"/>
    <w:rsid w:val="28D020A3"/>
    <w:rsid w:val="28EE37B8"/>
    <w:rsid w:val="292C1870"/>
    <w:rsid w:val="2BB22127"/>
    <w:rsid w:val="2CD31625"/>
    <w:rsid w:val="2CE807FA"/>
    <w:rsid w:val="2D280215"/>
    <w:rsid w:val="2E321727"/>
    <w:rsid w:val="30751BC8"/>
    <w:rsid w:val="314C143D"/>
    <w:rsid w:val="355C375C"/>
    <w:rsid w:val="3637601B"/>
    <w:rsid w:val="37467A2B"/>
    <w:rsid w:val="37D06555"/>
    <w:rsid w:val="38FE51B6"/>
    <w:rsid w:val="3B356CAF"/>
    <w:rsid w:val="3BC266A2"/>
    <w:rsid w:val="4303556C"/>
    <w:rsid w:val="438D52D5"/>
    <w:rsid w:val="442E79CD"/>
    <w:rsid w:val="443317CE"/>
    <w:rsid w:val="448E6105"/>
    <w:rsid w:val="454A3668"/>
    <w:rsid w:val="471F43E7"/>
    <w:rsid w:val="478F5009"/>
    <w:rsid w:val="48743B9C"/>
    <w:rsid w:val="49766CEC"/>
    <w:rsid w:val="4B866834"/>
    <w:rsid w:val="4E9A07EC"/>
    <w:rsid w:val="4EE27A03"/>
    <w:rsid w:val="4F6A026D"/>
    <w:rsid w:val="50D853FE"/>
    <w:rsid w:val="51A163A7"/>
    <w:rsid w:val="55826FA1"/>
    <w:rsid w:val="55B60008"/>
    <w:rsid w:val="55C86ACE"/>
    <w:rsid w:val="571323F1"/>
    <w:rsid w:val="580E15DF"/>
    <w:rsid w:val="581D1822"/>
    <w:rsid w:val="585B234B"/>
    <w:rsid w:val="594E289B"/>
    <w:rsid w:val="5B6C190E"/>
    <w:rsid w:val="5BD75A3C"/>
    <w:rsid w:val="5C834419"/>
    <w:rsid w:val="5CFB08C9"/>
    <w:rsid w:val="5DAD21AC"/>
    <w:rsid w:val="5DD617AD"/>
    <w:rsid w:val="5FCB2BBA"/>
    <w:rsid w:val="6011655D"/>
    <w:rsid w:val="63545530"/>
    <w:rsid w:val="649015CE"/>
    <w:rsid w:val="65C00CA0"/>
    <w:rsid w:val="66654569"/>
    <w:rsid w:val="678975EF"/>
    <w:rsid w:val="68225CAB"/>
    <w:rsid w:val="682C0047"/>
    <w:rsid w:val="6B064398"/>
    <w:rsid w:val="6B5A64D5"/>
    <w:rsid w:val="6CE37D2F"/>
    <w:rsid w:val="6D45732E"/>
    <w:rsid w:val="6EEB5D7F"/>
    <w:rsid w:val="74131A72"/>
    <w:rsid w:val="764225E3"/>
    <w:rsid w:val="779428D2"/>
    <w:rsid w:val="787B4378"/>
    <w:rsid w:val="79E417CC"/>
    <w:rsid w:val="7A785450"/>
    <w:rsid w:val="7A7D2CD2"/>
    <w:rsid w:val="7A7D48D4"/>
    <w:rsid w:val="7BA62625"/>
    <w:rsid w:val="7C08622C"/>
    <w:rsid w:val="7D9A338A"/>
    <w:rsid w:val="7E5F0514"/>
    <w:rsid w:val="7E7563FA"/>
    <w:rsid w:val="7F7C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ind w:firstLine="628"/>
      <w:jc w:val="center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/>
      <w:color w:val="333333"/>
      <w:kern w:val="0"/>
      <w:szCs w:val="21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Body Text Indent"/>
    <w:basedOn w:val="1"/>
    <w:next w:val="6"/>
    <w:qFormat/>
    <w:uiPriority w:val="0"/>
    <w:pPr>
      <w:spacing w:after="120"/>
      <w:ind w:left="420" w:leftChars="200"/>
    </w:pPr>
  </w:style>
  <w:style w:type="paragraph" w:styleId="6">
    <w:name w:val="envelope return"/>
    <w:basedOn w:val="1"/>
    <w:unhideWhenUsed/>
    <w:qFormat/>
    <w:uiPriority w:val="99"/>
    <w:pPr>
      <w:snapToGrid w:val="0"/>
    </w:pPr>
    <w:rPr>
      <w:rFonts w:hint="eastAsia" w:ascii="Arial" w:hAnsi="Arial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semiHidden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qFormat/>
    <w:uiPriority w:val="39"/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"/>
    <w:basedOn w:val="4"/>
    <w:semiHidden/>
    <w:qFormat/>
    <w:uiPriority w:val="99"/>
    <w:pPr>
      <w:spacing w:after="120"/>
      <w:ind w:firstLine="420" w:firstLineChars="100"/>
      <w:jc w:val="both"/>
    </w:pPr>
    <w:rPr>
      <w:sz w:val="24"/>
      <w:szCs w:val="24"/>
    </w:rPr>
  </w:style>
  <w:style w:type="paragraph" w:styleId="12">
    <w:name w:val="Body Text First Indent 2"/>
    <w:basedOn w:val="5"/>
    <w:next w:val="1"/>
    <w:unhideWhenUsed/>
    <w:qFormat/>
    <w:uiPriority w:val="99"/>
    <w:pPr>
      <w:ind w:firstLine="420" w:firstLineChars="200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page number"/>
    <w:basedOn w:val="15"/>
    <w:qFormat/>
    <w:uiPriority w:val="0"/>
  </w:style>
  <w:style w:type="character" w:styleId="17">
    <w:name w:val="Hyperlink"/>
    <w:basedOn w:val="15"/>
    <w:qFormat/>
    <w:uiPriority w:val="99"/>
    <w:rPr>
      <w:color w:val="0000FF"/>
      <w:sz w:val="24"/>
      <w:szCs w:val="24"/>
      <w:u w:val="none"/>
      <w:vertAlign w:val="baseline"/>
    </w:rPr>
  </w:style>
  <w:style w:type="paragraph" w:customStyle="1" w:styleId="18">
    <w:name w:val="正文1"/>
    <w:qFormat/>
    <w:uiPriority w:val="0"/>
    <w:pPr>
      <w:widowControl w:val="0"/>
      <w:spacing w:line="360" w:lineRule="auto"/>
      <w:jc w:val="both"/>
    </w:pPr>
    <w:rPr>
      <w:rFonts w:ascii="宋体" w:hAnsi="宋体" w:eastAsia="宋体" w:cs="宋体"/>
      <w:sz w:val="21"/>
      <w:szCs w:val="21"/>
      <w:lang w:val="en-US" w:eastAsia="zh-CN" w:bidi="ar-SA"/>
    </w:rPr>
  </w:style>
  <w:style w:type="paragraph" w:customStyle="1" w:styleId="1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  <w:szCs w:val="20"/>
    </w:rPr>
  </w:style>
  <w:style w:type="paragraph" w:customStyle="1" w:styleId="20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2158</Words>
  <Characters>2671</Characters>
  <Lines>0</Lines>
  <Paragraphs>0</Paragraphs>
  <TotalTime>7</TotalTime>
  <ScaleCrop>false</ScaleCrop>
  <LinksUpToDate>false</LinksUpToDate>
  <CharactersWithSpaces>2698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yzj</dc:creator>
  <cp:lastModifiedBy>朵儿</cp:lastModifiedBy>
  <dcterms:modified xsi:type="dcterms:W3CDTF">2025-10-15T08:34:33Z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DD3465E91B5B4661BDB2AA3371095145_12</vt:lpwstr>
  </property>
  <property fmtid="{D5CDD505-2E9C-101B-9397-08002B2CF9AE}" pid="4" name="KSOTemplateDocerSaveRecord">
    <vt:lpwstr>eyJoZGlkIjoiMjNlNzg5YjUzNjQxZGFiYWY3ZTRkMzIzNmVlNDczZDkiLCJ1c2VySWQiOiIzMjI5OTI5MDEifQ==</vt:lpwstr>
  </property>
</Properties>
</file>