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82F20C">
      <w:pPr>
        <w:pageBreakBefore w:val="0"/>
        <w:kinsoku/>
        <w:wordWrap/>
        <w:topLinePunct w:val="0"/>
        <w:bidi w:val="0"/>
        <w:snapToGrid/>
        <w:rPr>
          <w:rFonts w:hint="default" w:ascii="仿宋_GB2312" w:hAnsi="仿宋_GB2312" w:eastAsia="仿宋_GB2312" w:cs="仿宋_GB2312"/>
          <w:color w:val="auto"/>
          <w:sz w:val="36"/>
          <w:szCs w:val="36"/>
          <w:highlight w:val="none"/>
          <w:lang w:val="en-US" w:eastAsia="zh-CN"/>
        </w:rPr>
      </w:pPr>
      <w:r>
        <w:rPr>
          <w:rFonts w:hint="eastAsia" w:ascii="仿宋_GB2312" w:hAnsi="仿宋_GB2312" w:eastAsia="仿宋_GB2312" w:cs="仿宋_GB2312"/>
          <w:color w:val="auto"/>
          <w:sz w:val="36"/>
          <w:szCs w:val="36"/>
          <w:highlight w:val="none"/>
          <w:lang w:val="en-US" w:eastAsia="zh-CN"/>
        </w:rPr>
        <w:t xml:space="preserve">      </w:t>
      </w:r>
    </w:p>
    <w:p w14:paraId="7215B489">
      <w:pPr>
        <w:pageBreakBefore w:val="0"/>
        <w:kinsoku/>
        <w:wordWrap/>
        <w:topLinePunct w:val="0"/>
        <w:bidi w:val="0"/>
        <w:snapToGrid/>
        <w:rPr>
          <w:rFonts w:ascii="仿宋_GB2312" w:hAnsi="仿宋_GB2312" w:eastAsia="仿宋_GB2312" w:cs="仿宋_GB2312"/>
          <w:color w:val="auto"/>
          <w:sz w:val="36"/>
          <w:szCs w:val="36"/>
          <w:highlight w:val="none"/>
        </w:rPr>
      </w:pPr>
    </w:p>
    <w:p w14:paraId="69921D31">
      <w:pPr>
        <w:pageBreakBefore w:val="0"/>
        <w:kinsoku/>
        <w:wordWrap/>
        <w:topLinePunct w:val="0"/>
        <w:bidi w:val="0"/>
        <w:snapToGrid/>
        <w:rPr>
          <w:rFonts w:ascii="仿宋_GB2312" w:hAnsi="仿宋_GB2312" w:eastAsia="仿宋_GB2312" w:cs="仿宋_GB2312"/>
          <w:color w:val="auto"/>
          <w:sz w:val="36"/>
          <w:szCs w:val="36"/>
          <w:highlight w:val="none"/>
        </w:rPr>
      </w:pPr>
    </w:p>
    <w:p w14:paraId="64C562EC">
      <w:pPr>
        <w:pageBreakBefore w:val="0"/>
        <w:kinsoku/>
        <w:wordWrap/>
        <w:topLinePunct w:val="0"/>
        <w:bidi w:val="0"/>
        <w:adjustRightInd w:val="0"/>
        <w:snapToGrid/>
        <w:ind w:left="0" w:leftChars="0" w:firstLine="0" w:firstLineChars="0"/>
        <w:jc w:val="center"/>
        <w:outlineLvl w:val="0"/>
        <w:rPr>
          <w:rFonts w:hint="eastAsia" w:ascii="宋体" w:hAnsi="宋体" w:eastAsia="宋体" w:cs="宋体"/>
          <w:b/>
          <w:bCs w:val="0"/>
          <w:color w:val="auto"/>
          <w:sz w:val="72"/>
          <w:szCs w:val="72"/>
          <w:highlight w:val="none"/>
        </w:rPr>
      </w:pPr>
      <w:bookmarkStart w:id="0" w:name="_Toc12793"/>
      <w:r>
        <w:rPr>
          <w:rFonts w:hint="eastAsia" w:ascii="宋体" w:hAnsi="宋体" w:eastAsia="宋体" w:cs="宋体"/>
          <w:b/>
          <w:bCs w:val="0"/>
          <w:color w:val="auto"/>
          <w:sz w:val="72"/>
          <w:szCs w:val="72"/>
          <w:highlight w:val="none"/>
        </w:rPr>
        <w:t>建设项目环境影响报告表</w:t>
      </w:r>
      <w:bookmarkEnd w:id="0"/>
    </w:p>
    <w:p w14:paraId="7510B4F5">
      <w:pPr>
        <w:pageBreakBefore w:val="0"/>
        <w:kinsoku/>
        <w:wordWrap/>
        <w:topLinePunct w:val="0"/>
        <w:bidi w:val="0"/>
        <w:adjustRightInd w:val="0"/>
        <w:snapToGrid/>
        <w:spacing w:before="192" w:beforeLines="80"/>
        <w:ind w:left="0" w:leftChars="0" w:firstLine="0" w:firstLineChars="0"/>
        <w:jc w:val="center"/>
        <w:rPr>
          <w:rFonts w:hint="eastAsia" w:ascii="楷体_GB2312" w:eastAsia="楷体_GB2312"/>
          <w:bCs/>
          <w:color w:val="auto"/>
          <w:sz w:val="48"/>
          <w:szCs w:val="48"/>
          <w:highlight w:val="none"/>
        </w:rPr>
      </w:pPr>
      <w:r>
        <w:rPr>
          <w:rFonts w:hint="eastAsia" w:ascii="楷体_GB2312" w:eastAsia="楷体_GB2312"/>
          <w:bCs/>
          <w:color w:val="auto"/>
          <w:sz w:val="48"/>
          <w:szCs w:val="48"/>
          <w:highlight w:val="none"/>
        </w:rPr>
        <w:t>（污染影响类）</w:t>
      </w:r>
    </w:p>
    <w:p w14:paraId="49895F70">
      <w:pPr>
        <w:keepNext w:val="0"/>
        <w:keepLines w:val="0"/>
        <w:pageBreakBefore w:val="0"/>
        <w:widowControl w:val="0"/>
        <w:kinsoku/>
        <w:wordWrap/>
        <w:overflowPunct/>
        <w:topLinePunct w:val="0"/>
        <w:autoSpaceDE/>
        <w:autoSpaceDN/>
        <w:bidi w:val="0"/>
        <w:adjustRightInd w:val="0"/>
        <w:snapToGrid/>
        <w:ind w:firstLine="0" w:firstLineChars="0"/>
        <w:jc w:val="both"/>
        <w:textAlignment w:val="auto"/>
        <w:rPr>
          <w:rFonts w:hint="eastAsia" w:eastAsia="仿宋"/>
          <w:color w:val="auto"/>
          <w:sz w:val="52"/>
          <w:szCs w:val="52"/>
          <w:highlight w:val="none"/>
          <w:lang w:val="en-US" w:eastAsia="zh-CN"/>
        </w:rPr>
      </w:pPr>
    </w:p>
    <w:p w14:paraId="17430C6B">
      <w:pPr>
        <w:keepNext w:val="0"/>
        <w:keepLines w:val="0"/>
        <w:pageBreakBefore w:val="0"/>
        <w:widowControl w:val="0"/>
        <w:kinsoku/>
        <w:wordWrap/>
        <w:overflowPunct/>
        <w:topLinePunct w:val="0"/>
        <w:autoSpaceDE/>
        <w:autoSpaceDN/>
        <w:bidi w:val="0"/>
        <w:adjustRightInd w:val="0"/>
        <w:snapToGrid/>
        <w:ind w:firstLine="0" w:firstLineChars="0"/>
        <w:textAlignment w:val="auto"/>
        <w:rPr>
          <w:rFonts w:eastAsia="仿宋"/>
          <w:color w:val="auto"/>
          <w:sz w:val="44"/>
          <w:szCs w:val="44"/>
          <w:highlight w:val="none"/>
        </w:rPr>
      </w:pPr>
    </w:p>
    <w:p w14:paraId="782C2333">
      <w:pPr>
        <w:keepNext w:val="0"/>
        <w:keepLines w:val="0"/>
        <w:pageBreakBefore w:val="0"/>
        <w:widowControl w:val="0"/>
        <w:kinsoku/>
        <w:wordWrap/>
        <w:overflowPunct/>
        <w:topLinePunct w:val="0"/>
        <w:autoSpaceDE/>
        <w:autoSpaceDN/>
        <w:bidi w:val="0"/>
        <w:adjustRightInd w:val="0"/>
        <w:snapToGrid/>
        <w:ind w:firstLine="0" w:firstLineChars="0"/>
        <w:textAlignment w:val="auto"/>
        <w:rPr>
          <w:rFonts w:eastAsia="仿宋"/>
          <w:color w:val="auto"/>
          <w:sz w:val="44"/>
          <w:szCs w:val="44"/>
          <w:highlight w:val="none"/>
        </w:rPr>
      </w:pPr>
    </w:p>
    <w:p w14:paraId="17F50D6C">
      <w:pPr>
        <w:keepNext w:val="0"/>
        <w:keepLines w:val="0"/>
        <w:pageBreakBefore w:val="0"/>
        <w:widowControl w:val="0"/>
        <w:kinsoku/>
        <w:wordWrap/>
        <w:overflowPunct/>
        <w:topLinePunct w:val="0"/>
        <w:autoSpaceDE/>
        <w:autoSpaceDN/>
        <w:bidi w:val="0"/>
        <w:adjustRightInd w:val="0"/>
        <w:snapToGrid/>
        <w:ind w:firstLine="0" w:firstLineChars="0"/>
        <w:textAlignment w:val="auto"/>
        <w:rPr>
          <w:rFonts w:eastAsia="仿宋"/>
          <w:color w:val="auto"/>
          <w:sz w:val="44"/>
          <w:szCs w:val="44"/>
          <w:highlight w:val="none"/>
        </w:rPr>
      </w:pPr>
    </w:p>
    <w:p w14:paraId="2209FBD1">
      <w:pPr>
        <w:keepNext w:val="0"/>
        <w:keepLines w:val="0"/>
        <w:pageBreakBefore w:val="0"/>
        <w:widowControl w:val="0"/>
        <w:kinsoku/>
        <w:wordWrap/>
        <w:overflowPunct/>
        <w:topLinePunct w:val="0"/>
        <w:autoSpaceDE/>
        <w:autoSpaceDN/>
        <w:bidi w:val="0"/>
        <w:adjustRightInd w:val="0"/>
        <w:snapToGrid/>
        <w:ind w:firstLine="0" w:firstLineChars="0"/>
        <w:textAlignment w:val="auto"/>
        <w:rPr>
          <w:rFonts w:eastAsia="仿宋"/>
          <w:color w:val="auto"/>
          <w:sz w:val="44"/>
          <w:szCs w:val="44"/>
          <w:highlight w:val="none"/>
        </w:rPr>
      </w:pPr>
    </w:p>
    <w:p w14:paraId="5BA24535">
      <w:pPr>
        <w:keepNext w:val="0"/>
        <w:keepLines w:val="0"/>
        <w:pageBreakBefore w:val="0"/>
        <w:widowControl w:val="0"/>
        <w:kinsoku/>
        <w:wordWrap/>
        <w:overflowPunct/>
        <w:topLinePunct w:val="0"/>
        <w:autoSpaceDE/>
        <w:autoSpaceDN/>
        <w:bidi w:val="0"/>
        <w:adjustRightInd w:val="0"/>
        <w:snapToGrid/>
        <w:spacing w:line="288" w:lineRule="auto"/>
        <w:ind w:left="-240" w:leftChars="-100" w:right="-240" w:rightChars="-100" w:firstLine="0" w:firstLineChars="0"/>
        <w:textAlignment w:val="auto"/>
        <w:rPr>
          <w:rFonts w:hint="default" w:ascii="Times New Roman" w:hAnsi="Times New Roman" w:eastAsia="仿宋_GB2312" w:cs="Times New Roman"/>
          <w:color w:val="auto"/>
          <w:sz w:val="36"/>
          <w:szCs w:val="36"/>
          <w:highlight w:val="none"/>
          <w:u w:val="single"/>
          <w:lang w:val="en-US" w:eastAsia="zh-CN"/>
        </w:rPr>
      </w:pPr>
      <w:r>
        <w:rPr>
          <w:rFonts w:hint="eastAsia" w:ascii="仿宋_GB2312" w:eastAsia="仿宋_GB2312"/>
          <w:color w:val="auto"/>
          <w:sz w:val="36"/>
          <w:szCs w:val="36"/>
          <w:highlight w:val="none"/>
          <w:lang w:val="en-US" w:eastAsia="zh-CN"/>
        </w:rPr>
        <w:t>项</w:t>
      </w:r>
      <w:r>
        <w:rPr>
          <w:rFonts w:hint="eastAsia" w:ascii="仿宋_GB2312" w:eastAsia="仿宋_GB2312"/>
          <w:color w:val="auto"/>
          <w:sz w:val="36"/>
          <w:szCs w:val="36"/>
          <w:highlight w:val="none"/>
        </w:rPr>
        <w:t>目名称：</w:t>
      </w:r>
      <w:r>
        <w:rPr>
          <w:rFonts w:hint="eastAsia" w:ascii="仿宋_GB2312" w:eastAsia="仿宋_GB2312"/>
          <w:color w:val="auto"/>
          <w:sz w:val="36"/>
          <w:szCs w:val="36"/>
          <w:highlight w:val="none"/>
          <w:u w:val="single"/>
        </w:rPr>
        <w:t xml:space="preserve"> </w:t>
      </w:r>
      <w:r>
        <w:rPr>
          <w:rFonts w:hint="eastAsia" w:ascii="仿宋_GB2312" w:eastAsia="仿宋_GB2312"/>
          <w:color w:val="auto"/>
          <w:sz w:val="36"/>
          <w:szCs w:val="36"/>
          <w:highlight w:val="none"/>
          <w:u w:val="single"/>
          <w:lang w:val="en-US" w:eastAsia="zh-CN"/>
        </w:rPr>
        <w:t xml:space="preserve">    </w:t>
      </w:r>
      <w:r>
        <w:rPr>
          <w:rFonts w:hint="default" w:ascii="Times New Roman" w:hAnsi="Times New Roman" w:eastAsia="仿宋_GB2312" w:cs="Times New Roman"/>
          <w:sz w:val="36"/>
          <w:szCs w:val="36"/>
          <w:u w:val="single"/>
          <w:lang w:val="en-US" w:eastAsia="zh-CN"/>
        </w:rPr>
        <w:t>年产2万千米超柔工业机器人电缆项目</w:t>
      </w:r>
      <w:r>
        <w:rPr>
          <w:rFonts w:hint="default" w:ascii="Times New Roman" w:hAnsi="Times New Roman" w:eastAsia="仿宋_GB2312" w:cs="Times New Roman"/>
          <w:color w:val="auto"/>
          <w:sz w:val="36"/>
          <w:szCs w:val="36"/>
          <w:highlight w:val="none"/>
          <w:u w:val="single"/>
          <w:lang w:val="en-US" w:eastAsia="zh-CN"/>
        </w:rPr>
        <w:t xml:space="preserve">    </w:t>
      </w:r>
    </w:p>
    <w:p w14:paraId="7D44BE2F">
      <w:pPr>
        <w:keepNext w:val="0"/>
        <w:keepLines w:val="0"/>
        <w:pageBreakBefore w:val="0"/>
        <w:widowControl w:val="0"/>
        <w:kinsoku/>
        <w:wordWrap/>
        <w:overflowPunct/>
        <w:topLinePunct w:val="0"/>
        <w:autoSpaceDE/>
        <w:autoSpaceDN/>
        <w:bidi w:val="0"/>
        <w:adjustRightInd w:val="0"/>
        <w:snapToGrid/>
        <w:spacing w:line="288" w:lineRule="auto"/>
        <w:ind w:left="-240" w:leftChars="-100" w:right="-240" w:rightChars="-100" w:firstLine="0" w:firstLineChars="0"/>
        <w:textAlignment w:val="auto"/>
        <w:rPr>
          <w:rFonts w:hint="default" w:ascii="Times New Roman" w:hAnsi="Times New Roman" w:eastAsia="仿宋_GB2312" w:cs="Times New Roman"/>
          <w:color w:val="auto"/>
          <w:sz w:val="36"/>
          <w:szCs w:val="36"/>
          <w:highlight w:val="none"/>
          <w:u w:val="single"/>
          <w:lang w:val="en-US"/>
        </w:rPr>
      </w:pPr>
      <w:r>
        <w:rPr>
          <w:rFonts w:hint="default" w:ascii="Times New Roman" w:hAnsi="Times New Roman" w:eastAsia="仿宋_GB2312" w:cs="Times New Roman"/>
          <w:color w:val="auto"/>
          <w:sz w:val="36"/>
          <w:szCs w:val="36"/>
          <w:highlight w:val="none"/>
        </w:rPr>
        <w:t>建设单位（盖章）：</w:t>
      </w:r>
      <w:r>
        <w:rPr>
          <w:rFonts w:hint="default" w:ascii="Times New Roman" w:hAnsi="Times New Roman" w:eastAsia="仿宋_GB2312" w:cs="Times New Roman"/>
          <w:sz w:val="36"/>
          <w:szCs w:val="36"/>
          <w:u w:val="single"/>
          <w:lang w:val="en-US" w:eastAsia="zh-CN"/>
        </w:rPr>
        <w:t xml:space="preserve">安徽顺信线缆有限公司 </w:t>
      </w:r>
    </w:p>
    <w:p w14:paraId="553E6D87">
      <w:pPr>
        <w:keepNext w:val="0"/>
        <w:keepLines w:val="0"/>
        <w:pageBreakBefore w:val="0"/>
        <w:widowControl w:val="0"/>
        <w:kinsoku/>
        <w:wordWrap/>
        <w:overflowPunct/>
        <w:topLinePunct w:val="0"/>
        <w:autoSpaceDE/>
        <w:autoSpaceDN/>
        <w:bidi w:val="0"/>
        <w:adjustRightInd w:val="0"/>
        <w:snapToGrid/>
        <w:spacing w:line="288" w:lineRule="auto"/>
        <w:ind w:left="-240" w:leftChars="-100" w:right="-240" w:rightChars="-100" w:firstLine="0" w:firstLineChars="0"/>
        <w:textAlignment w:val="auto"/>
        <w:rPr>
          <w:rFonts w:hint="eastAsia" w:ascii="仿宋_GB2312" w:eastAsia="仿宋_GB2312"/>
          <w:color w:val="auto"/>
          <w:sz w:val="36"/>
          <w:szCs w:val="36"/>
          <w:highlight w:val="none"/>
          <w:u w:val="single"/>
        </w:rPr>
      </w:pPr>
      <w:r>
        <w:rPr>
          <w:rFonts w:hint="default" w:ascii="Times New Roman" w:hAnsi="Times New Roman" w:eastAsia="仿宋_GB2312" w:cs="Times New Roman"/>
          <w:color w:val="auto"/>
          <w:sz w:val="36"/>
          <w:szCs w:val="36"/>
          <w:highlight w:val="none"/>
        </w:rPr>
        <w:t>编制日期：</w:t>
      </w:r>
      <w:r>
        <w:rPr>
          <w:rFonts w:hint="default" w:ascii="Times New Roman" w:hAnsi="Times New Roman" w:eastAsia="仿宋_GB2312" w:cs="Times New Roman"/>
          <w:color w:val="auto"/>
          <w:sz w:val="36"/>
          <w:szCs w:val="36"/>
          <w:highlight w:val="none"/>
          <w:u w:val="single"/>
        </w:rPr>
        <w:t xml:space="preserve">   </w:t>
      </w:r>
      <w:r>
        <w:rPr>
          <w:rFonts w:hint="default" w:ascii="Times New Roman" w:hAnsi="Times New Roman" w:eastAsia="仿宋_GB2312" w:cs="Times New Roman"/>
          <w:color w:val="auto"/>
          <w:sz w:val="36"/>
          <w:szCs w:val="36"/>
          <w:highlight w:val="none"/>
          <w:u w:val="single"/>
          <w:lang w:val="en-US" w:eastAsia="zh-CN"/>
        </w:rPr>
        <w:t xml:space="preserve"> </w:t>
      </w:r>
      <w:r>
        <w:rPr>
          <w:rFonts w:hint="default" w:ascii="Times New Roman" w:hAnsi="Times New Roman" w:eastAsia="仿宋_GB2312" w:cs="Times New Roman"/>
          <w:color w:val="auto"/>
          <w:sz w:val="36"/>
          <w:szCs w:val="36"/>
          <w:highlight w:val="none"/>
          <w:u w:val="single"/>
        </w:rPr>
        <w:t xml:space="preserve">    </w:t>
      </w:r>
      <w:r>
        <w:rPr>
          <w:rFonts w:hint="default" w:ascii="Times New Roman" w:hAnsi="Times New Roman" w:eastAsia="仿宋_GB2312" w:cs="Times New Roman"/>
          <w:color w:val="auto"/>
          <w:sz w:val="36"/>
          <w:szCs w:val="36"/>
          <w:highlight w:val="none"/>
          <w:u w:val="single"/>
          <w:lang w:val="en-US" w:eastAsia="zh-CN"/>
        </w:rPr>
        <w:t xml:space="preserve">  </w:t>
      </w:r>
      <w:r>
        <w:rPr>
          <w:rFonts w:hint="default" w:ascii="Times New Roman" w:hAnsi="Times New Roman" w:eastAsia="仿宋_GB2312" w:cs="Times New Roman"/>
          <w:color w:val="auto"/>
          <w:sz w:val="36"/>
          <w:szCs w:val="36"/>
          <w:highlight w:val="none"/>
          <w:u w:val="single"/>
        </w:rPr>
        <w:t xml:space="preserve">  </w:t>
      </w:r>
      <w:r>
        <w:rPr>
          <w:rFonts w:hint="default" w:ascii="Times New Roman" w:hAnsi="Times New Roman" w:eastAsia="仿宋_GB2312" w:cs="Times New Roman"/>
          <w:color w:val="auto"/>
          <w:sz w:val="36"/>
          <w:szCs w:val="36"/>
          <w:highlight w:val="none"/>
          <w:u w:val="single"/>
          <w:lang w:val="en-US" w:eastAsia="zh-CN"/>
        </w:rPr>
        <w:t xml:space="preserve">  2026</w:t>
      </w:r>
      <w:r>
        <w:rPr>
          <w:rFonts w:hint="default" w:ascii="Times New Roman" w:hAnsi="Times New Roman" w:eastAsia="仿宋_GB2312" w:cs="Times New Roman"/>
          <w:color w:val="auto"/>
          <w:sz w:val="36"/>
          <w:szCs w:val="36"/>
          <w:highlight w:val="none"/>
          <w:u w:val="single"/>
        </w:rPr>
        <w:t>年</w:t>
      </w:r>
      <w:r>
        <w:rPr>
          <w:rFonts w:hint="default" w:ascii="Times New Roman" w:hAnsi="Times New Roman" w:eastAsia="仿宋_GB2312" w:cs="Times New Roman"/>
          <w:color w:val="auto"/>
          <w:sz w:val="36"/>
          <w:szCs w:val="36"/>
          <w:highlight w:val="none"/>
          <w:u w:val="single"/>
          <w:lang w:val="en-US" w:eastAsia="zh-CN"/>
        </w:rPr>
        <w:t>1</w:t>
      </w:r>
      <w:r>
        <w:rPr>
          <w:rFonts w:hint="default" w:ascii="Times New Roman" w:hAnsi="Times New Roman" w:eastAsia="仿宋_GB2312" w:cs="Times New Roman"/>
          <w:color w:val="auto"/>
          <w:sz w:val="36"/>
          <w:szCs w:val="36"/>
          <w:highlight w:val="none"/>
          <w:u w:val="single"/>
        </w:rPr>
        <w:t xml:space="preserve">月 </w:t>
      </w:r>
      <w:r>
        <w:rPr>
          <w:rFonts w:ascii="仿宋_GB2312" w:eastAsia="仿宋_GB2312"/>
          <w:color w:val="auto"/>
          <w:sz w:val="36"/>
          <w:szCs w:val="36"/>
          <w:highlight w:val="none"/>
          <w:u w:val="single"/>
        </w:rPr>
        <w:t xml:space="preserve">  </w:t>
      </w:r>
      <w:r>
        <w:rPr>
          <w:rFonts w:hint="eastAsia" w:ascii="仿宋_GB2312" w:eastAsia="仿宋_GB2312"/>
          <w:color w:val="auto"/>
          <w:sz w:val="36"/>
          <w:szCs w:val="36"/>
          <w:highlight w:val="none"/>
          <w:u w:val="single"/>
          <w:lang w:val="en-US" w:eastAsia="zh-CN"/>
        </w:rPr>
        <w:t xml:space="preserve">  </w:t>
      </w:r>
      <w:r>
        <w:rPr>
          <w:rFonts w:ascii="仿宋_GB2312" w:eastAsia="仿宋_GB2312"/>
          <w:color w:val="auto"/>
          <w:sz w:val="36"/>
          <w:szCs w:val="36"/>
          <w:highlight w:val="none"/>
          <w:u w:val="single"/>
        </w:rPr>
        <w:t xml:space="preserve">         </w:t>
      </w:r>
    </w:p>
    <w:p w14:paraId="38FC3DCD">
      <w:pPr>
        <w:keepNext w:val="0"/>
        <w:keepLines w:val="0"/>
        <w:pageBreakBefore w:val="0"/>
        <w:widowControl w:val="0"/>
        <w:kinsoku/>
        <w:wordWrap/>
        <w:overflowPunct/>
        <w:topLinePunct w:val="0"/>
        <w:autoSpaceDE/>
        <w:autoSpaceDN/>
        <w:bidi w:val="0"/>
        <w:adjustRightInd w:val="0"/>
        <w:snapToGrid/>
        <w:spacing w:line="288" w:lineRule="auto"/>
        <w:ind w:firstLine="0" w:firstLineChars="0"/>
        <w:textAlignment w:val="auto"/>
        <w:rPr>
          <w:rFonts w:ascii="仿宋_GB2312" w:eastAsia="仿宋_GB2312"/>
          <w:color w:val="auto"/>
          <w:sz w:val="36"/>
          <w:szCs w:val="36"/>
          <w:highlight w:val="none"/>
          <w:u w:val="single"/>
        </w:rPr>
      </w:pPr>
      <w:bookmarkStart w:id="1" w:name="_Hlk57884087"/>
    </w:p>
    <w:p w14:paraId="32865D01">
      <w:pPr>
        <w:keepNext w:val="0"/>
        <w:keepLines w:val="0"/>
        <w:pageBreakBefore w:val="0"/>
        <w:widowControl w:val="0"/>
        <w:kinsoku/>
        <w:wordWrap/>
        <w:overflowPunct/>
        <w:topLinePunct w:val="0"/>
        <w:autoSpaceDE/>
        <w:autoSpaceDN/>
        <w:bidi w:val="0"/>
        <w:adjustRightInd w:val="0"/>
        <w:snapToGrid/>
        <w:spacing w:line="288" w:lineRule="auto"/>
        <w:ind w:firstLine="0" w:firstLineChars="0"/>
        <w:textAlignment w:val="auto"/>
        <w:rPr>
          <w:rFonts w:hint="eastAsia" w:ascii="仿宋_GB2312" w:eastAsia="仿宋_GB2312"/>
          <w:color w:val="auto"/>
          <w:sz w:val="36"/>
          <w:szCs w:val="36"/>
          <w:highlight w:val="none"/>
        </w:rPr>
      </w:pPr>
    </w:p>
    <w:p w14:paraId="7E9A7D15">
      <w:pPr>
        <w:keepNext w:val="0"/>
        <w:keepLines w:val="0"/>
        <w:pageBreakBefore w:val="0"/>
        <w:widowControl w:val="0"/>
        <w:kinsoku/>
        <w:wordWrap/>
        <w:overflowPunct/>
        <w:topLinePunct w:val="0"/>
        <w:autoSpaceDE/>
        <w:autoSpaceDN/>
        <w:bidi w:val="0"/>
        <w:adjustRightInd w:val="0"/>
        <w:snapToGrid/>
        <w:spacing w:line="288" w:lineRule="auto"/>
        <w:ind w:firstLine="0" w:firstLineChars="0"/>
        <w:textAlignment w:val="auto"/>
        <w:rPr>
          <w:rFonts w:hint="eastAsia" w:ascii="仿宋_GB2312" w:eastAsia="仿宋_GB2312"/>
          <w:color w:val="auto"/>
          <w:sz w:val="36"/>
          <w:szCs w:val="36"/>
          <w:highlight w:val="none"/>
        </w:rPr>
      </w:pPr>
    </w:p>
    <w:p w14:paraId="3553CCA5">
      <w:pPr>
        <w:keepNext w:val="0"/>
        <w:keepLines w:val="0"/>
        <w:pageBreakBefore w:val="0"/>
        <w:widowControl w:val="0"/>
        <w:kinsoku/>
        <w:wordWrap/>
        <w:overflowPunct/>
        <w:topLinePunct w:val="0"/>
        <w:autoSpaceDE/>
        <w:autoSpaceDN/>
        <w:bidi w:val="0"/>
        <w:adjustRightInd w:val="0"/>
        <w:snapToGrid/>
        <w:spacing w:line="288" w:lineRule="auto"/>
        <w:ind w:firstLine="0" w:firstLineChars="0"/>
        <w:textAlignment w:val="auto"/>
        <w:rPr>
          <w:rFonts w:hint="eastAsia" w:ascii="仿宋_GB2312" w:eastAsia="仿宋_GB2312"/>
          <w:color w:val="auto"/>
          <w:sz w:val="36"/>
          <w:szCs w:val="36"/>
          <w:highlight w:val="none"/>
        </w:rPr>
      </w:pPr>
    </w:p>
    <w:p w14:paraId="16475C66">
      <w:pPr>
        <w:keepNext w:val="0"/>
        <w:keepLines w:val="0"/>
        <w:pageBreakBefore w:val="0"/>
        <w:widowControl w:val="0"/>
        <w:kinsoku/>
        <w:wordWrap/>
        <w:overflowPunct/>
        <w:topLinePunct w:val="0"/>
        <w:autoSpaceDE/>
        <w:autoSpaceDN/>
        <w:bidi w:val="0"/>
        <w:adjustRightInd w:val="0"/>
        <w:snapToGrid/>
        <w:spacing w:line="288" w:lineRule="auto"/>
        <w:ind w:firstLine="0" w:firstLineChars="0"/>
        <w:textAlignment w:val="auto"/>
        <w:rPr>
          <w:rFonts w:hint="eastAsia" w:ascii="仿宋_GB2312" w:eastAsia="仿宋_GB2312"/>
          <w:color w:val="auto"/>
          <w:sz w:val="36"/>
          <w:szCs w:val="36"/>
          <w:highlight w:val="none"/>
        </w:rPr>
      </w:pPr>
    </w:p>
    <w:p w14:paraId="18705BD1">
      <w:pPr>
        <w:keepNext w:val="0"/>
        <w:keepLines w:val="0"/>
        <w:pageBreakBefore w:val="0"/>
        <w:widowControl w:val="0"/>
        <w:kinsoku/>
        <w:wordWrap/>
        <w:overflowPunct/>
        <w:topLinePunct w:val="0"/>
        <w:autoSpaceDE/>
        <w:autoSpaceDN/>
        <w:bidi w:val="0"/>
        <w:adjustRightInd w:val="0"/>
        <w:snapToGrid/>
        <w:spacing w:line="288" w:lineRule="auto"/>
        <w:ind w:firstLine="0" w:firstLineChars="0"/>
        <w:textAlignment w:val="auto"/>
        <w:rPr>
          <w:rFonts w:hint="eastAsia" w:ascii="仿宋_GB2312" w:eastAsia="仿宋_GB2312"/>
          <w:color w:val="auto"/>
          <w:sz w:val="36"/>
          <w:szCs w:val="36"/>
          <w:highlight w:val="none"/>
        </w:rPr>
      </w:pPr>
    </w:p>
    <w:bookmarkEnd w:id="1"/>
    <w:p w14:paraId="443164E3">
      <w:pPr>
        <w:keepNext w:val="0"/>
        <w:keepLines w:val="0"/>
        <w:pageBreakBefore w:val="0"/>
        <w:widowControl w:val="0"/>
        <w:kinsoku/>
        <w:wordWrap/>
        <w:overflowPunct/>
        <w:topLinePunct w:val="0"/>
        <w:autoSpaceDE/>
        <w:autoSpaceDN/>
        <w:bidi w:val="0"/>
        <w:adjustRightInd w:val="0"/>
        <w:snapToGrid/>
        <w:spacing w:line="288" w:lineRule="auto"/>
        <w:ind w:firstLine="0" w:firstLineChars="0"/>
        <w:jc w:val="center"/>
        <w:textAlignment w:val="auto"/>
        <w:rPr>
          <w:rFonts w:hint="eastAsia" w:ascii="楷体_GB2312" w:eastAsia="楷体_GB2312"/>
          <w:color w:val="auto"/>
          <w:sz w:val="36"/>
          <w:szCs w:val="36"/>
          <w:highlight w:val="none"/>
        </w:rPr>
        <w:sectPr>
          <w:footerReference r:id="rId5" w:type="default"/>
          <w:footerReference r:id="rId6" w:type="even"/>
          <w:pgSz w:w="11906" w:h="16838"/>
          <w:pgMar w:top="1701" w:right="1531" w:bottom="1701" w:left="1531" w:header="851" w:footer="1077" w:gutter="0"/>
          <w:pgBorders>
            <w:top w:val="none" w:sz="0" w:space="0"/>
            <w:left w:val="none" w:sz="0" w:space="0"/>
            <w:bottom w:val="none" w:sz="0" w:space="0"/>
            <w:right w:val="none" w:sz="0" w:space="0"/>
          </w:pgBorders>
          <w:pgNumType w:fmt="decimal" w:start="1"/>
          <w:cols w:space="720" w:num="1"/>
          <w:rtlGutter w:val="0"/>
          <w:docGrid w:type="lines" w:linePitch="312" w:charSpace="0"/>
        </w:sectPr>
      </w:pPr>
      <w:r>
        <w:rPr>
          <w:rFonts w:hint="eastAsia" w:ascii="楷体_GB2312" w:eastAsia="楷体_GB2312"/>
          <w:color w:val="auto"/>
          <w:sz w:val="36"/>
          <w:szCs w:val="36"/>
          <w:highlight w:val="none"/>
        </w:rPr>
        <w:t>中华人民共和国生态环境部</w:t>
      </w:r>
    </w:p>
    <w:p w14:paraId="2B3E379D">
      <w:pPr>
        <w:pStyle w:val="24"/>
        <w:keepNext w:val="0"/>
        <w:keepLines w:val="0"/>
        <w:pageBreakBefore w:val="0"/>
        <w:widowControl/>
        <w:kinsoku/>
        <w:wordWrap/>
        <w:overflowPunct/>
        <w:topLinePunct w:val="0"/>
        <w:autoSpaceDE/>
        <w:autoSpaceDN/>
        <w:bidi w:val="0"/>
        <w:adjustRightInd w:val="0"/>
        <w:snapToGrid/>
        <w:spacing w:before="0" w:beforeAutospacing="0" w:after="0" w:afterAutospacing="0"/>
        <w:jc w:val="center"/>
        <w:textAlignment w:val="auto"/>
        <w:outlineLvl w:val="0"/>
        <w:rPr>
          <w:rFonts w:hint="eastAsia" w:ascii="黑体" w:hAnsi="黑体" w:eastAsia="黑体"/>
          <w:snapToGrid w:val="0"/>
          <w:color w:val="auto"/>
          <w:sz w:val="30"/>
          <w:szCs w:val="30"/>
          <w:highlight w:val="none"/>
        </w:rPr>
      </w:pPr>
      <w:bookmarkStart w:id="2" w:name="_Toc13587"/>
      <w:r>
        <w:rPr>
          <w:rFonts w:hint="eastAsia" w:ascii="黑体" w:hAnsi="黑体" w:eastAsia="黑体"/>
          <w:snapToGrid w:val="0"/>
          <w:color w:val="auto"/>
          <w:sz w:val="30"/>
          <w:szCs w:val="30"/>
          <w:highlight w:val="none"/>
        </w:rPr>
        <w:t>一、建设项目基本情况</w:t>
      </w:r>
      <w:bookmarkEnd w:id="2"/>
    </w:p>
    <w:tbl>
      <w:tblPr>
        <w:tblStyle w:val="27"/>
        <w:tblW w:w="4997" w:type="pct"/>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0" w:type="dxa"/>
          <w:bottom w:w="0" w:type="dxa"/>
          <w:right w:w="0" w:type="dxa"/>
        </w:tblCellMar>
      </w:tblPr>
      <w:tblGrid>
        <w:gridCol w:w="1168"/>
        <w:gridCol w:w="3123"/>
        <w:gridCol w:w="1386"/>
        <w:gridCol w:w="3194"/>
      </w:tblGrid>
      <w:tr w14:paraId="2C4077B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692" w:hRule="atLeast"/>
          <w:jc w:val="center"/>
        </w:trPr>
        <w:tc>
          <w:tcPr>
            <w:tcW w:w="658" w:type="pct"/>
            <w:tcBorders>
              <w:tl2br w:val="nil"/>
              <w:tr2bl w:val="nil"/>
            </w:tcBorders>
            <w:noWrap w:val="0"/>
            <w:tcMar>
              <w:top w:w="16" w:type="dxa"/>
              <w:left w:w="16" w:type="dxa"/>
              <w:right w:w="16" w:type="dxa"/>
            </w:tcMar>
            <w:vAlign w:val="center"/>
          </w:tcPr>
          <w:p w14:paraId="123F068B">
            <w:pPr>
              <w:keepNext w:val="0"/>
              <w:keepLines w:val="0"/>
              <w:pageBreakBefore w:val="0"/>
              <w:widowControl w:val="0"/>
              <w:kinsoku/>
              <w:wordWrap/>
              <w:overflowPunct/>
              <w:topLinePunct w:val="0"/>
              <w:bidi w:val="0"/>
              <w:adjustRightInd w:val="0"/>
              <w:snapToGrid/>
              <w:spacing w:line="240" w:lineRule="auto"/>
              <w:ind w:firstLine="0" w:firstLineChars="0"/>
              <w:jc w:val="center"/>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建设项目</w:t>
            </w:r>
          </w:p>
          <w:p w14:paraId="2C2457C4">
            <w:pPr>
              <w:keepNext w:val="0"/>
              <w:keepLines w:val="0"/>
              <w:pageBreakBefore w:val="0"/>
              <w:widowControl w:val="0"/>
              <w:kinsoku/>
              <w:wordWrap/>
              <w:overflowPunct/>
              <w:topLinePunct w:val="0"/>
              <w:bidi w:val="0"/>
              <w:adjustRightInd w:val="0"/>
              <w:snapToGrid/>
              <w:spacing w:line="240" w:lineRule="auto"/>
              <w:ind w:firstLine="0" w:firstLineChars="0"/>
              <w:jc w:val="center"/>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名称</w:t>
            </w:r>
          </w:p>
        </w:tc>
        <w:tc>
          <w:tcPr>
            <w:tcW w:w="4341" w:type="pct"/>
            <w:gridSpan w:val="3"/>
            <w:tcBorders>
              <w:tl2br w:val="nil"/>
              <w:tr2bl w:val="nil"/>
            </w:tcBorders>
            <w:noWrap w:val="0"/>
            <w:vAlign w:val="center"/>
          </w:tcPr>
          <w:p w14:paraId="313CD9F5">
            <w:pPr>
              <w:pageBreakBefore w:val="0"/>
              <w:kinsoku/>
              <w:wordWrap/>
              <w:overflowPunct/>
              <w:topLinePunct w:val="0"/>
              <w:bidi w:val="0"/>
              <w:adjustRightInd w:val="0"/>
              <w:snapToGrid/>
              <w:ind w:firstLine="0" w:firstLineChars="0"/>
              <w:jc w:val="center"/>
              <w:textAlignment w:val="auto"/>
              <w:rPr>
                <w:rFonts w:hint="default" w:ascii="宋体" w:hAnsi="宋体" w:eastAsia="宋体" w:cs="宋体"/>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年产2万千米超柔工业机器人电缆项目</w:t>
            </w:r>
          </w:p>
        </w:tc>
      </w:tr>
      <w:tr w14:paraId="6CBBC39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524" w:hRule="atLeast"/>
          <w:jc w:val="center"/>
        </w:trPr>
        <w:tc>
          <w:tcPr>
            <w:tcW w:w="658" w:type="pct"/>
            <w:tcBorders>
              <w:tl2br w:val="nil"/>
              <w:tr2bl w:val="nil"/>
            </w:tcBorders>
            <w:noWrap w:val="0"/>
            <w:tcMar>
              <w:top w:w="16" w:type="dxa"/>
              <w:left w:w="16" w:type="dxa"/>
              <w:right w:w="16" w:type="dxa"/>
            </w:tcMar>
            <w:vAlign w:val="center"/>
          </w:tcPr>
          <w:p w14:paraId="0022D969">
            <w:pPr>
              <w:keepNext w:val="0"/>
              <w:keepLines w:val="0"/>
              <w:pageBreakBefore w:val="0"/>
              <w:widowControl w:val="0"/>
              <w:kinsoku/>
              <w:wordWrap/>
              <w:overflowPunct/>
              <w:topLinePunct w:val="0"/>
              <w:bidi w:val="0"/>
              <w:adjustRightInd w:val="0"/>
              <w:snapToGrid/>
              <w:spacing w:line="240" w:lineRule="auto"/>
              <w:ind w:firstLine="0" w:firstLineChars="0"/>
              <w:jc w:val="center"/>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项目代码</w:t>
            </w:r>
          </w:p>
        </w:tc>
        <w:tc>
          <w:tcPr>
            <w:tcW w:w="4341" w:type="pct"/>
            <w:gridSpan w:val="3"/>
            <w:tcBorders>
              <w:tl2br w:val="nil"/>
              <w:tr2bl w:val="nil"/>
            </w:tcBorders>
            <w:noWrap w:val="0"/>
            <w:vAlign w:val="center"/>
          </w:tcPr>
          <w:p w14:paraId="32E4F3F3">
            <w:pPr>
              <w:pageBreakBefore w:val="0"/>
              <w:kinsoku/>
              <w:wordWrap/>
              <w:overflowPunct/>
              <w:topLinePunct w:val="0"/>
              <w:bidi w:val="0"/>
              <w:adjustRightInd w:val="0"/>
              <w:snapToGrid/>
              <w:ind w:firstLine="0" w:firstLineChars="0"/>
              <w:jc w:val="center"/>
              <w:textAlignment w:val="auto"/>
              <w:rPr>
                <w:rFonts w:hint="default" w:ascii="宋体" w:hAnsi="宋体" w:cs="宋体"/>
                <w:color w:val="auto"/>
                <w:szCs w:val="21"/>
                <w:highlight w:val="none"/>
                <w:lang w:val="en-US"/>
              </w:rPr>
            </w:pPr>
            <w:r>
              <w:rPr>
                <w:rFonts w:hint="default" w:ascii="Times New Roman" w:hAnsi="Times New Roman" w:cs="Times New Roman"/>
                <w:color w:val="auto"/>
                <w:szCs w:val="21"/>
                <w:highlight w:val="none"/>
                <w:lang w:val="en-US" w:eastAsia="zh-CN"/>
              </w:rPr>
              <w:t>2509-341723-04-01-234174</w:t>
            </w:r>
          </w:p>
        </w:tc>
      </w:tr>
      <w:tr w14:paraId="3B7F653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658" w:type="pct"/>
            <w:tcBorders>
              <w:tl2br w:val="nil"/>
              <w:tr2bl w:val="nil"/>
            </w:tcBorders>
            <w:noWrap w:val="0"/>
            <w:tcMar>
              <w:top w:w="16" w:type="dxa"/>
              <w:left w:w="16" w:type="dxa"/>
              <w:right w:w="16" w:type="dxa"/>
            </w:tcMar>
            <w:vAlign w:val="center"/>
          </w:tcPr>
          <w:p w14:paraId="7A3E27EC">
            <w:pPr>
              <w:keepNext w:val="0"/>
              <w:keepLines w:val="0"/>
              <w:pageBreakBefore w:val="0"/>
              <w:widowControl w:val="0"/>
              <w:kinsoku/>
              <w:wordWrap/>
              <w:overflowPunct/>
              <w:topLinePunct w:val="0"/>
              <w:bidi w:val="0"/>
              <w:adjustRightInd w:val="0"/>
              <w:snapToGrid/>
              <w:spacing w:line="240" w:lineRule="auto"/>
              <w:ind w:firstLine="0" w:firstLineChars="0"/>
              <w:jc w:val="center"/>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建设单位联系人</w:t>
            </w:r>
          </w:p>
        </w:tc>
        <w:tc>
          <w:tcPr>
            <w:tcW w:w="1760" w:type="pct"/>
            <w:tcBorders>
              <w:tl2br w:val="nil"/>
              <w:tr2bl w:val="nil"/>
            </w:tcBorders>
            <w:noWrap w:val="0"/>
            <w:vAlign w:val="center"/>
          </w:tcPr>
          <w:p w14:paraId="5E62785B">
            <w:pPr>
              <w:pageBreakBefore w:val="0"/>
              <w:kinsoku/>
              <w:wordWrap/>
              <w:overflowPunct/>
              <w:topLinePunct w:val="0"/>
              <w:bidi w:val="0"/>
              <w:adjustRightInd w:val="0"/>
              <w:snapToGrid/>
              <w:ind w:firstLine="0" w:firstLineChars="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张军</w:t>
            </w:r>
          </w:p>
        </w:tc>
        <w:tc>
          <w:tcPr>
            <w:tcW w:w="781" w:type="pct"/>
            <w:tcBorders>
              <w:tl2br w:val="nil"/>
              <w:tr2bl w:val="nil"/>
            </w:tcBorders>
            <w:noWrap w:val="0"/>
            <w:vAlign w:val="center"/>
          </w:tcPr>
          <w:p w14:paraId="4335B3A5">
            <w:pPr>
              <w:pageBreakBefore w:val="0"/>
              <w:kinsoku/>
              <w:wordWrap/>
              <w:overflowPunct/>
              <w:topLinePunct w:val="0"/>
              <w:bidi w:val="0"/>
              <w:adjustRightInd w:val="0"/>
              <w:snapToGrid/>
              <w:ind w:firstLine="0" w:firstLineChars="0"/>
              <w:jc w:val="center"/>
              <w:textAlignment w:val="auto"/>
              <w:rPr>
                <w:rFonts w:ascii="宋体" w:hAnsi="宋体" w:cs="宋体"/>
                <w:color w:val="auto"/>
                <w:szCs w:val="21"/>
                <w:highlight w:val="none"/>
              </w:rPr>
            </w:pPr>
            <w:r>
              <w:rPr>
                <w:rFonts w:hint="eastAsia" w:ascii="宋体" w:hAnsi="宋体" w:eastAsia="宋体" w:cs="宋体"/>
                <w:b/>
                <w:bCs/>
                <w:color w:val="auto"/>
                <w:sz w:val="24"/>
                <w:szCs w:val="24"/>
                <w:highlight w:val="none"/>
              </w:rPr>
              <w:t>联系方式</w:t>
            </w:r>
          </w:p>
        </w:tc>
        <w:tc>
          <w:tcPr>
            <w:tcW w:w="1800" w:type="pct"/>
            <w:tcBorders>
              <w:tl2br w:val="nil"/>
              <w:tr2bl w:val="nil"/>
            </w:tcBorders>
            <w:noWrap w:val="0"/>
            <w:vAlign w:val="center"/>
          </w:tcPr>
          <w:p w14:paraId="4C645C55">
            <w:pPr>
              <w:pageBreakBefore w:val="0"/>
              <w:kinsoku/>
              <w:wordWrap/>
              <w:overflowPunct/>
              <w:topLinePunct w:val="0"/>
              <w:bidi w:val="0"/>
              <w:adjustRightInd w:val="0"/>
              <w:snapToGrid/>
              <w:ind w:firstLine="0" w:firstLineChars="0"/>
              <w:jc w:val="center"/>
              <w:textAlignment w:val="auto"/>
              <w:rPr>
                <w:rFonts w:ascii="宋体" w:hAnsi="宋体" w:cs="宋体"/>
                <w:color w:val="auto"/>
                <w:szCs w:val="21"/>
                <w:highlight w:val="none"/>
              </w:rPr>
            </w:pPr>
            <w:r>
              <w:rPr>
                <w:rFonts w:hint="default" w:ascii="Times New Roman" w:hAnsi="Times New Roman" w:cs="Times New Roman"/>
                <w:color w:val="auto"/>
                <w:szCs w:val="21"/>
                <w:highlight w:val="none"/>
              </w:rPr>
              <w:t>13705665008</w:t>
            </w:r>
          </w:p>
        </w:tc>
      </w:tr>
      <w:tr w14:paraId="5CE39CC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544" w:hRule="atLeast"/>
          <w:jc w:val="center"/>
        </w:trPr>
        <w:tc>
          <w:tcPr>
            <w:tcW w:w="658" w:type="pct"/>
            <w:tcBorders>
              <w:tl2br w:val="nil"/>
              <w:tr2bl w:val="nil"/>
            </w:tcBorders>
            <w:noWrap w:val="0"/>
            <w:tcMar>
              <w:top w:w="16" w:type="dxa"/>
              <w:left w:w="16" w:type="dxa"/>
              <w:right w:w="16" w:type="dxa"/>
            </w:tcMar>
            <w:vAlign w:val="center"/>
          </w:tcPr>
          <w:p w14:paraId="08432737">
            <w:pPr>
              <w:keepNext w:val="0"/>
              <w:keepLines w:val="0"/>
              <w:pageBreakBefore w:val="0"/>
              <w:widowControl w:val="0"/>
              <w:kinsoku/>
              <w:wordWrap/>
              <w:overflowPunct/>
              <w:topLinePunct w:val="0"/>
              <w:bidi w:val="0"/>
              <w:adjustRightInd w:val="0"/>
              <w:snapToGrid/>
              <w:spacing w:line="240" w:lineRule="auto"/>
              <w:ind w:firstLine="0" w:firstLineChars="0"/>
              <w:jc w:val="center"/>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建设地点</w:t>
            </w:r>
          </w:p>
        </w:tc>
        <w:tc>
          <w:tcPr>
            <w:tcW w:w="4341" w:type="pct"/>
            <w:gridSpan w:val="3"/>
            <w:tcBorders>
              <w:tl2br w:val="nil"/>
              <w:tr2bl w:val="nil"/>
            </w:tcBorders>
            <w:noWrap w:val="0"/>
            <w:vAlign w:val="center"/>
          </w:tcPr>
          <w:p w14:paraId="0DC37454">
            <w:pPr>
              <w:pageBreakBefore w:val="0"/>
              <w:kinsoku/>
              <w:wordWrap/>
              <w:overflowPunct/>
              <w:topLinePunct w:val="0"/>
              <w:bidi w:val="0"/>
              <w:adjustRightInd w:val="0"/>
              <w:snapToGrid/>
              <w:ind w:firstLine="0" w:firstLineChars="0"/>
              <w:jc w:val="center"/>
              <w:textAlignment w:val="auto"/>
              <w:rPr>
                <w:rFonts w:hint="default" w:ascii="宋体" w:hAnsi="宋体" w:cs="宋体"/>
                <w:color w:val="auto"/>
                <w:szCs w:val="21"/>
                <w:highlight w:val="none"/>
                <w:lang w:val="en-US"/>
              </w:rPr>
            </w:pPr>
            <w:r>
              <w:rPr>
                <w:rFonts w:hint="eastAsia" w:ascii="Times New Roman" w:hAnsi="Times New Roman" w:eastAsia="宋体" w:cs="Times New Roman"/>
                <w:color w:val="auto"/>
                <w:sz w:val="24"/>
                <w:highlight w:val="none"/>
              </w:rPr>
              <w:t>安徽省池州市青阳县</w:t>
            </w:r>
            <w:r>
              <w:rPr>
                <w:rFonts w:hint="eastAsia" w:cs="Times New Roman"/>
                <w:color w:val="auto"/>
                <w:sz w:val="24"/>
                <w:highlight w:val="none"/>
                <w:lang w:val="en-US" w:eastAsia="zh-CN"/>
              </w:rPr>
              <w:t>经济开发区东河园</w:t>
            </w:r>
          </w:p>
        </w:tc>
      </w:tr>
      <w:tr w14:paraId="5AC3E66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58" w:type="pct"/>
            <w:tcBorders>
              <w:tl2br w:val="nil"/>
              <w:tr2bl w:val="nil"/>
            </w:tcBorders>
            <w:noWrap w:val="0"/>
            <w:tcMar>
              <w:top w:w="16" w:type="dxa"/>
              <w:left w:w="16" w:type="dxa"/>
              <w:right w:w="16" w:type="dxa"/>
            </w:tcMar>
            <w:vAlign w:val="center"/>
          </w:tcPr>
          <w:p w14:paraId="79347FE8">
            <w:pPr>
              <w:keepNext w:val="0"/>
              <w:keepLines w:val="0"/>
              <w:pageBreakBefore w:val="0"/>
              <w:widowControl w:val="0"/>
              <w:kinsoku/>
              <w:wordWrap/>
              <w:overflowPunct/>
              <w:topLinePunct w:val="0"/>
              <w:bidi w:val="0"/>
              <w:adjustRightInd w:val="0"/>
              <w:snapToGrid/>
              <w:spacing w:line="240" w:lineRule="auto"/>
              <w:ind w:firstLine="0" w:firstLineChars="0"/>
              <w:jc w:val="center"/>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地理坐标</w:t>
            </w:r>
          </w:p>
        </w:tc>
        <w:tc>
          <w:tcPr>
            <w:tcW w:w="4341" w:type="pct"/>
            <w:gridSpan w:val="3"/>
            <w:tcBorders>
              <w:tl2br w:val="nil"/>
              <w:tr2bl w:val="nil"/>
            </w:tcBorders>
            <w:noWrap w:val="0"/>
            <w:vAlign w:val="center"/>
          </w:tcPr>
          <w:p w14:paraId="2E10989B">
            <w:pPr>
              <w:pageBreakBefore w:val="0"/>
              <w:kinsoku/>
              <w:wordWrap/>
              <w:overflowPunct/>
              <w:topLinePunct w:val="0"/>
              <w:bidi w:val="0"/>
              <w:snapToGrid/>
              <w:ind w:firstLine="0" w:firstLineChars="0"/>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w:t>
            </w:r>
            <w:r>
              <w:rPr>
                <w:color w:val="auto"/>
                <w:sz w:val="24"/>
                <w:highlight w:val="none"/>
              </w:rPr>
              <w:t>东经</w:t>
            </w:r>
            <w:r>
              <w:rPr>
                <w:rFonts w:hint="eastAsia"/>
                <w:color w:val="auto"/>
                <w:sz w:val="24"/>
                <w:highlight w:val="none"/>
                <w:lang w:val="en-US" w:eastAsia="zh-CN"/>
              </w:rPr>
              <w:t>117</w:t>
            </w:r>
            <w:r>
              <w:rPr>
                <w:rFonts w:hint="eastAsia" w:ascii="Times New Roman" w:hAnsi="Times New Roman" w:eastAsia="宋体" w:cs="Times New Roman"/>
                <w:color w:val="auto"/>
                <w:sz w:val="24"/>
                <w:highlight w:val="none"/>
              </w:rPr>
              <w:t>度</w:t>
            </w:r>
            <w:r>
              <w:rPr>
                <w:rFonts w:hint="eastAsia" w:cs="Times New Roman"/>
                <w:color w:val="auto"/>
                <w:sz w:val="24"/>
                <w:highlight w:val="none"/>
                <w:lang w:val="en-US" w:eastAsia="zh-CN"/>
              </w:rPr>
              <w:t>53</w:t>
            </w:r>
            <w:r>
              <w:rPr>
                <w:rFonts w:hint="eastAsia" w:ascii="Times New Roman" w:hAnsi="Times New Roman" w:eastAsia="宋体" w:cs="Times New Roman"/>
                <w:color w:val="auto"/>
                <w:sz w:val="24"/>
                <w:highlight w:val="none"/>
              </w:rPr>
              <w:t>分</w:t>
            </w:r>
            <w:r>
              <w:rPr>
                <w:rFonts w:hint="eastAsia" w:cs="Times New Roman"/>
                <w:color w:val="auto"/>
                <w:sz w:val="24"/>
                <w:highlight w:val="none"/>
                <w:lang w:val="en-US" w:eastAsia="zh-CN"/>
              </w:rPr>
              <w:t>15.796</w:t>
            </w:r>
            <w:r>
              <w:rPr>
                <w:rFonts w:hint="eastAsia" w:ascii="Times New Roman" w:hAnsi="Times New Roman" w:eastAsia="宋体" w:cs="Times New Roman"/>
                <w:color w:val="auto"/>
                <w:sz w:val="24"/>
                <w:highlight w:val="none"/>
              </w:rPr>
              <w:t>秒，</w:t>
            </w:r>
            <w:r>
              <w:rPr>
                <w:rFonts w:hint="eastAsia" w:ascii="Times New Roman" w:hAnsi="Times New Roman" w:eastAsia="宋体" w:cs="Times New Roman"/>
                <w:color w:val="auto"/>
                <w:sz w:val="24"/>
                <w:highlight w:val="none"/>
                <w:lang w:val="en-US" w:eastAsia="zh-CN"/>
              </w:rPr>
              <w:t>北纬30</w:t>
            </w:r>
            <w:r>
              <w:rPr>
                <w:rFonts w:hint="eastAsia" w:ascii="Times New Roman" w:hAnsi="Times New Roman" w:eastAsia="宋体" w:cs="Times New Roman"/>
                <w:color w:val="auto"/>
                <w:sz w:val="24"/>
                <w:highlight w:val="none"/>
              </w:rPr>
              <w:t>度</w:t>
            </w:r>
            <w:r>
              <w:rPr>
                <w:rFonts w:hint="eastAsia" w:ascii="Times New Roman" w:hAnsi="Times New Roman" w:eastAsia="宋体" w:cs="Times New Roman"/>
                <w:color w:val="auto"/>
                <w:sz w:val="24"/>
                <w:highlight w:val="none"/>
                <w:lang w:val="en-US" w:eastAsia="zh-CN"/>
              </w:rPr>
              <w:t>3</w:t>
            </w:r>
            <w:r>
              <w:rPr>
                <w:rFonts w:hint="eastAsia" w:cs="Times New Roman"/>
                <w:color w:val="auto"/>
                <w:sz w:val="24"/>
                <w:highlight w:val="none"/>
                <w:lang w:val="en-US" w:eastAsia="zh-CN"/>
              </w:rPr>
              <w:t>7</w:t>
            </w:r>
            <w:r>
              <w:rPr>
                <w:rFonts w:hint="eastAsia" w:ascii="Times New Roman" w:hAnsi="Times New Roman" w:eastAsia="宋体" w:cs="Times New Roman"/>
                <w:color w:val="auto"/>
                <w:sz w:val="24"/>
                <w:highlight w:val="none"/>
              </w:rPr>
              <w:t>分</w:t>
            </w:r>
            <w:r>
              <w:rPr>
                <w:rFonts w:hint="eastAsia" w:cs="Times New Roman"/>
                <w:color w:val="auto"/>
                <w:sz w:val="24"/>
                <w:highlight w:val="none"/>
                <w:lang w:val="en-US" w:eastAsia="zh-CN"/>
              </w:rPr>
              <w:t>56.045</w:t>
            </w:r>
            <w:r>
              <w:rPr>
                <w:rFonts w:hint="eastAsia" w:ascii="Times New Roman" w:hAnsi="Times New Roman" w:eastAsia="宋体" w:cs="Times New Roman"/>
                <w:color w:val="auto"/>
                <w:sz w:val="24"/>
                <w:highlight w:val="none"/>
              </w:rPr>
              <w:t>秒</w:t>
            </w:r>
            <w:r>
              <w:rPr>
                <w:rFonts w:hint="eastAsia" w:ascii="宋体" w:hAnsi="宋体" w:cs="宋体"/>
                <w:color w:val="auto"/>
                <w:szCs w:val="21"/>
                <w:highlight w:val="none"/>
              </w:rPr>
              <w:t>）</w:t>
            </w:r>
          </w:p>
        </w:tc>
      </w:tr>
      <w:tr w14:paraId="1D7BA39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658" w:type="pct"/>
            <w:tcBorders>
              <w:tl2br w:val="nil"/>
              <w:tr2bl w:val="nil"/>
            </w:tcBorders>
            <w:noWrap w:val="0"/>
            <w:tcMar>
              <w:top w:w="16" w:type="dxa"/>
              <w:left w:w="16" w:type="dxa"/>
              <w:right w:w="16" w:type="dxa"/>
            </w:tcMar>
            <w:vAlign w:val="center"/>
          </w:tcPr>
          <w:p w14:paraId="097F9B67">
            <w:pPr>
              <w:keepNext w:val="0"/>
              <w:keepLines w:val="0"/>
              <w:pageBreakBefore w:val="0"/>
              <w:widowControl w:val="0"/>
              <w:kinsoku/>
              <w:wordWrap/>
              <w:overflowPunct/>
              <w:topLinePunct w:val="0"/>
              <w:bidi w:val="0"/>
              <w:adjustRightInd w:val="0"/>
              <w:snapToGrid/>
              <w:spacing w:line="240" w:lineRule="auto"/>
              <w:ind w:firstLine="0" w:firstLineChars="0"/>
              <w:jc w:val="center"/>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国民经济</w:t>
            </w:r>
          </w:p>
          <w:p w14:paraId="2BB16533">
            <w:pPr>
              <w:keepNext w:val="0"/>
              <w:keepLines w:val="0"/>
              <w:pageBreakBefore w:val="0"/>
              <w:widowControl w:val="0"/>
              <w:kinsoku/>
              <w:wordWrap/>
              <w:overflowPunct/>
              <w:topLinePunct w:val="0"/>
              <w:bidi w:val="0"/>
              <w:adjustRightInd w:val="0"/>
              <w:snapToGrid/>
              <w:spacing w:line="240" w:lineRule="auto"/>
              <w:ind w:firstLine="0" w:firstLineChars="0"/>
              <w:jc w:val="center"/>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行业类别</w:t>
            </w:r>
          </w:p>
        </w:tc>
        <w:tc>
          <w:tcPr>
            <w:tcW w:w="1760" w:type="pct"/>
            <w:tcBorders>
              <w:tl2br w:val="nil"/>
              <w:tr2bl w:val="nil"/>
            </w:tcBorders>
            <w:noWrap w:val="0"/>
            <w:vAlign w:val="center"/>
          </w:tcPr>
          <w:p w14:paraId="320DABA9">
            <w:pPr>
              <w:pageBreakBefore w:val="0"/>
              <w:kinsoku/>
              <w:wordWrap/>
              <w:overflowPunct/>
              <w:topLinePunct w:val="0"/>
              <w:bidi w:val="0"/>
              <w:adjustRightInd w:val="0"/>
              <w:snapToGrid/>
              <w:spacing w:line="240" w:lineRule="auto"/>
              <w:ind w:firstLine="0" w:firstLineChars="0"/>
              <w:jc w:val="center"/>
              <w:textAlignment w:val="auto"/>
              <w:rPr>
                <w:rFonts w:ascii="宋体" w:hAnsi="宋体" w:cs="宋体"/>
                <w:color w:val="auto"/>
                <w:szCs w:val="21"/>
                <w:highlight w:val="none"/>
              </w:rPr>
            </w:pPr>
            <w:r>
              <w:rPr>
                <w:rFonts w:hint="default" w:ascii="Times New Roman" w:hAnsi="Times New Roman" w:cs="Times New Roman"/>
                <w:color w:val="auto"/>
                <w:szCs w:val="21"/>
                <w:highlight w:val="none"/>
                <w:lang w:val="en-US" w:eastAsia="zh-CN"/>
              </w:rPr>
              <w:t>C3831电线、电缆制造</w:t>
            </w:r>
          </w:p>
        </w:tc>
        <w:tc>
          <w:tcPr>
            <w:tcW w:w="781" w:type="pct"/>
            <w:tcBorders>
              <w:tl2br w:val="nil"/>
              <w:tr2bl w:val="nil"/>
            </w:tcBorders>
            <w:noWrap w:val="0"/>
            <w:vAlign w:val="center"/>
          </w:tcPr>
          <w:p w14:paraId="704CD57E">
            <w:pPr>
              <w:pageBreakBefore w:val="0"/>
              <w:kinsoku/>
              <w:wordWrap/>
              <w:overflowPunct/>
              <w:topLinePunct w:val="0"/>
              <w:bidi w:val="0"/>
              <w:adjustRightInd w:val="0"/>
              <w:snapToGrid/>
              <w:spacing w:line="240" w:lineRule="auto"/>
              <w:ind w:firstLine="0" w:firstLineChars="0"/>
              <w:jc w:val="center"/>
              <w:textAlignment w:val="auto"/>
              <w:rPr>
                <w:rFonts w:hint="eastAsia" w:ascii="宋体" w:hAnsi="宋体" w:eastAsia="宋体" w:cs="宋体"/>
                <w:b/>
                <w:bCs/>
                <w:color w:val="auto"/>
                <w:sz w:val="24"/>
                <w:szCs w:val="24"/>
                <w:highlight w:val="none"/>
              </w:rPr>
            </w:pPr>
            <w:bookmarkStart w:id="3" w:name="_Hlk49843745"/>
            <w:r>
              <w:rPr>
                <w:rFonts w:hint="eastAsia" w:ascii="宋体" w:hAnsi="宋体" w:eastAsia="宋体" w:cs="宋体"/>
                <w:b/>
                <w:bCs/>
                <w:color w:val="auto"/>
                <w:sz w:val="24"/>
                <w:szCs w:val="24"/>
                <w:highlight w:val="none"/>
              </w:rPr>
              <w:t>建设项目</w:t>
            </w:r>
          </w:p>
          <w:p w14:paraId="1690A9C2">
            <w:pPr>
              <w:pageBreakBefore w:val="0"/>
              <w:kinsoku/>
              <w:wordWrap/>
              <w:overflowPunct/>
              <w:topLinePunct w:val="0"/>
              <w:bidi w:val="0"/>
              <w:adjustRightInd w:val="0"/>
              <w:snapToGrid/>
              <w:spacing w:line="240" w:lineRule="auto"/>
              <w:ind w:firstLine="0" w:firstLineChars="0"/>
              <w:jc w:val="center"/>
              <w:textAlignment w:val="auto"/>
              <w:rPr>
                <w:rFonts w:ascii="宋体" w:hAnsi="宋体" w:cs="宋体"/>
                <w:color w:val="auto"/>
                <w:szCs w:val="21"/>
                <w:highlight w:val="none"/>
              </w:rPr>
            </w:pPr>
            <w:r>
              <w:rPr>
                <w:rFonts w:hint="eastAsia" w:ascii="宋体" w:hAnsi="宋体" w:eastAsia="宋体" w:cs="宋体"/>
                <w:b/>
                <w:bCs/>
                <w:color w:val="auto"/>
                <w:sz w:val="24"/>
                <w:szCs w:val="24"/>
                <w:highlight w:val="none"/>
              </w:rPr>
              <w:t>行业类别</w:t>
            </w:r>
            <w:bookmarkEnd w:id="3"/>
          </w:p>
        </w:tc>
        <w:tc>
          <w:tcPr>
            <w:tcW w:w="1800" w:type="pct"/>
            <w:tcBorders>
              <w:tl2br w:val="nil"/>
              <w:tr2bl w:val="nil"/>
            </w:tcBorders>
            <w:noWrap w:val="0"/>
            <w:vAlign w:val="center"/>
          </w:tcPr>
          <w:p w14:paraId="43C0003B">
            <w:pPr>
              <w:pageBreakBefore w:val="0"/>
              <w:numPr>
                <w:ilvl w:val="0"/>
                <w:numId w:val="0"/>
              </w:numPr>
              <w:kinsoku/>
              <w:wordWrap/>
              <w:overflowPunct/>
              <w:topLinePunct w:val="0"/>
              <w:bidi w:val="0"/>
              <w:adjustRightInd w:val="0"/>
              <w:snapToGrid/>
              <w:spacing w:line="240" w:lineRule="auto"/>
              <w:ind w:firstLine="0" w:firstLineChars="0"/>
              <w:jc w:val="both"/>
              <w:textAlignment w:val="auto"/>
              <w:rPr>
                <w:rFonts w:hint="eastAsia" w:ascii="Times New Roman" w:hAnsi="Times New Roman" w:eastAsia="宋体" w:cs="Times New Roman"/>
                <w:color w:val="auto"/>
                <w:spacing w:val="0"/>
                <w:w w:val="100"/>
                <w:highlight w:val="none"/>
                <w:lang w:val="en-US" w:eastAsia="zh-CN"/>
              </w:rPr>
            </w:pPr>
            <w:r>
              <w:rPr>
                <w:rFonts w:hint="eastAsia" w:ascii="Times New Roman" w:hAnsi="Times New Roman" w:eastAsia="宋体" w:cs="Times New Roman"/>
                <w:color w:val="auto"/>
                <w:spacing w:val="0"/>
                <w:w w:val="100"/>
                <w:highlight w:val="none"/>
                <w:lang w:val="en-US" w:eastAsia="zh-CN"/>
              </w:rPr>
              <w:t>三十五、电气机械和器材制造业38-77</w:t>
            </w:r>
            <w:r>
              <w:rPr>
                <w:rFonts w:hint="eastAsia" w:cs="Times New Roman"/>
                <w:color w:val="auto"/>
                <w:spacing w:val="0"/>
                <w:w w:val="100"/>
                <w:highlight w:val="none"/>
                <w:lang w:val="en-US" w:eastAsia="zh-CN"/>
              </w:rPr>
              <w:t>；</w:t>
            </w:r>
            <w:r>
              <w:rPr>
                <w:rFonts w:hint="eastAsia" w:ascii="Times New Roman" w:hAnsi="Times New Roman" w:eastAsia="宋体" w:cs="Times New Roman"/>
                <w:color w:val="auto"/>
                <w:spacing w:val="0"/>
                <w:w w:val="100"/>
                <w:highlight w:val="none"/>
                <w:lang w:val="en-US" w:eastAsia="zh-CN"/>
              </w:rPr>
              <w:t>电线、电缆、光缆及电工器材制造383</w:t>
            </w:r>
          </w:p>
        </w:tc>
      </w:tr>
      <w:tr w14:paraId="55920AC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1444" w:hRule="atLeast"/>
          <w:jc w:val="center"/>
        </w:trPr>
        <w:tc>
          <w:tcPr>
            <w:tcW w:w="658" w:type="pct"/>
            <w:tcBorders>
              <w:tl2br w:val="nil"/>
              <w:tr2bl w:val="nil"/>
            </w:tcBorders>
            <w:noWrap w:val="0"/>
            <w:tcMar>
              <w:top w:w="16" w:type="dxa"/>
              <w:left w:w="16" w:type="dxa"/>
              <w:right w:w="16" w:type="dxa"/>
            </w:tcMar>
            <w:vAlign w:val="center"/>
          </w:tcPr>
          <w:p w14:paraId="492ADF09">
            <w:pPr>
              <w:keepNext w:val="0"/>
              <w:keepLines w:val="0"/>
              <w:pageBreakBefore w:val="0"/>
              <w:widowControl w:val="0"/>
              <w:kinsoku/>
              <w:wordWrap/>
              <w:overflowPunct/>
              <w:topLinePunct w:val="0"/>
              <w:bidi w:val="0"/>
              <w:adjustRightInd w:val="0"/>
              <w:snapToGrid/>
              <w:spacing w:line="240" w:lineRule="auto"/>
              <w:ind w:firstLine="0" w:firstLineChars="0"/>
              <w:jc w:val="center"/>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建设性质</w:t>
            </w:r>
          </w:p>
        </w:tc>
        <w:tc>
          <w:tcPr>
            <w:tcW w:w="1760" w:type="pct"/>
            <w:tcBorders>
              <w:tl2br w:val="nil"/>
              <w:tr2bl w:val="nil"/>
            </w:tcBorders>
            <w:noWrap w:val="0"/>
            <w:vAlign w:val="center"/>
          </w:tcPr>
          <w:p w14:paraId="1E1F0D30">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both"/>
              <w:textAlignment w:val="auto"/>
              <w:rPr>
                <w:rFonts w:hint="eastAsia" w:ascii="Times New Roman" w:hAnsi="Times New Roman" w:eastAsia="宋体" w:cs="Times New Roman"/>
                <w:color w:val="auto"/>
                <w:sz w:val="24"/>
                <w:highlight w:val="none"/>
              </w:rPr>
            </w:pPr>
            <w:r>
              <w:rPr>
                <w:rFonts w:hint="eastAsia"/>
                <w:color w:val="auto"/>
                <w:sz w:val="24"/>
                <w:highlight w:val="none"/>
                <w:lang w:eastAsia="zh-CN"/>
              </w:rPr>
              <w:t>☑</w:t>
            </w:r>
            <w:r>
              <w:rPr>
                <w:rFonts w:hint="eastAsia" w:ascii="Times New Roman" w:hAnsi="Times New Roman" w:eastAsia="宋体" w:cs="Times New Roman"/>
                <w:color w:val="auto"/>
                <w:sz w:val="24"/>
                <w:highlight w:val="none"/>
              </w:rPr>
              <w:t>新建（迁建）</w:t>
            </w:r>
          </w:p>
          <w:p w14:paraId="1CEEF192">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both"/>
              <w:textAlignment w:val="auto"/>
              <w:rPr>
                <w:rFonts w:hint="eastAsia" w:ascii="Times New Roman" w:hAnsi="Times New Roman" w:eastAsia="宋体" w:cs="Times New Roman"/>
                <w:color w:val="auto"/>
                <w:sz w:val="24"/>
                <w:highlight w:val="none"/>
              </w:rPr>
            </w:pPr>
            <w:r>
              <w:rPr>
                <w:rFonts w:hint="eastAsia"/>
                <w:color w:val="auto"/>
                <w:sz w:val="24"/>
                <w:highlight w:val="none"/>
                <w:lang w:eastAsia="zh-CN"/>
              </w:rPr>
              <w:t>□</w:t>
            </w:r>
            <w:r>
              <w:rPr>
                <w:rFonts w:hint="eastAsia" w:ascii="Times New Roman" w:hAnsi="Times New Roman" w:eastAsia="宋体" w:cs="Times New Roman"/>
                <w:color w:val="auto"/>
                <w:sz w:val="24"/>
                <w:highlight w:val="none"/>
              </w:rPr>
              <w:t>改建</w:t>
            </w:r>
          </w:p>
          <w:p w14:paraId="4B274398">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both"/>
              <w:textAlignment w:val="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□扩建</w:t>
            </w:r>
          </w:p>
          <w:p w14:paraId="5335A6FC">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both"/>
              <w:textAlignment w:val="auto"/>
              <w:rPr>
                <w:rFonts w:ascii="宋体" w:hAnsi="宋体" w:cs="宋体"/>
                <w:color w:val="auto"/>
                <w:szCs w:val="21"/>
                <w:highlight w:val="none"/>
              </w:rPr>
            </w:pPr>
            <w:r>
              <w:rPr>
                <w:rFonts w:hint="eastAsia" w:ascii="Times New Roman" w:hAnsi="Times New Roman" w:eastAsia="宋体" w:cs="Times New Roman"/>
                <w:color w:val="auto"/>
                <w:sz w:val="24"/>
                <w:highlight w:val="none"/>
              </w:rPr>
              <w:t>□技术改造</w:t>
            </w:r>
          </w:p>
        </w:tc>
        <w:tc>
          <w:tcPr>
            <w:tcW w:w="781" w:type="pct"/>
            <w:tcBorders>
              <w:tl2br w:val="nil"/>
              <w:tr2bl w:val="nil"/>
            </w:tcBorders>
            <w:noWrap w:val="0"/>
            <w:vAlign w:val="center"/>
          </w:tcPr>
          <w:p w14:paraId="154A650B">
            <w:pPr>
              <w:pageBreakBefore w:val="0"/>
              <w:kinsoku/>
              <w:wordWrap/>
              <w:overflowPunct/>
              <w:topLinePunct w:val="0"/>
              <w:bidi w:val="0"/>
              <w:adjustRightInd w:val="0"/>
              <w:snapToGrid/>
              <w:spacing w:line="240" w:lineRule="auto"/>
              <w:ind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建设项目</w:t>
            </w:r>
          </w:p>
          <w:p w14:paraId="516FFDD8">
            <w:pPr>
              <w:pageBreakBefore w:val="0"/>
              <w:kinsoku/>
              <w:wordWrap/>
              <w:overflowPunct/>
              <w:topLinePunct w:val="0"/>
              <w:bidi w:val="0"/>
              <w:adjustRightInd w:val="0"/>
              <w:snapToGrid/>
              <w:spacing w:line="240" w:lineRule="auto"/>
              <w:ind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申报情形</w:t>
            </w:r>
          </w:p>
        </w:tc>
        <w:tc>
          <w:tcPr>
            <w:tcW w:w="1800" w:type="pct"/>
            <w:tcBorders>
              <w:tl2br w:val="nil"/>
              <w:tr2bl w:val="nil"/>
            </w:tcBorders>
            <w:noWrap w:val="0"/>
            <w:vAlign w:val="center"/>
          </w:tcPr>
          <w:p w14:paraId="1B58CF29">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both"/>
              <w:textAlignment w:val="auto"/>
              <w:rPr>
                <w:rFonts w:hint="eastAsia" w:ascii="Times New Roman" w:hAnsi="Times New Roman" w:eastAsia="宋体" w:cs="Times New Roman"/>
                <w:color w:val="auto"/>
                <w:sz w:val="24"/>
                <w:highlight w:val="none"/>
              </w:rPr>
            </w:pPr>
            <w:r>
              <w:rPr>
                <w:rFonts w:hint="eastAsia"/>
                <w:color w:val="auto"/>
                <w:sz w:val="24"/>
                <w:highlight w:val="none"/>
                <w:lang w:eastAsia="zh-CN"/>
              </w:rPr>
              <w:t>☑</w:t>
            </w:r>
            <w:r>
              <w:rPr>
                <w:rFonts w:hint="eastAsia" w:ascii="Times New Roman" w:hAnsi="Times New Roman" w:eastAsia="宋体" w:cs="Times New Roman"/>
                <w:color w:val="auto"/>
                <w:sz w:val="24"/>
                <w:highlight w:val="none"/>
              </w:rPr>
              <w:t>首次申报项目</w:t>
            </w:r>
          </w:p>
          <w:p w14:paraId="35CC8FC2">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both"/>
              <w:textAlignment w:val="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rPr>
              <w:t>不予批准后再次申报项目</w:t>
            </w:r>
          </w:p>
          <w:p w14:paraId="2C5B6D20">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both"/>
              <w:textAlignment w:val="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□超五年重新审核项目</w:t>
            </w:r>
          </w:p>
          <w:p w14:paraId="31C74C57">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both"/>
              <w:textAlignment w:val="auto"/>
              <w:rPr>
                <w:rFonts w:ascii="宋体" w:hAnsi="宋体" w:cs="宋体"/>
                <w:color w:val="auto"/>
                <w:szCs w:val="21"/>
                <w:highlight w:val="none"/>
              </w:rPr>
            </w:pPr>
            <w:r>
              <w:rPr>
                <w:rFonts w:hint="eastAsia" w:ascii="Times New Roman" w:hAnsi="Times New Roman" w:eastAsia="宋体" w:cs="Times New Roman"/>
                <w:color w:val="auto"/>
                <w:sz w:val="24"/>
                <w:highlight w:val="none"/>
              </w:rPr>
              <w:t>□重大变动重新报批项目</w:t>
            </w:r>
          </w:p>
        </w:tc>
      </w:tr>
      <w:tr w14:paraId="04F6EAD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851" w:hRule="atLeast"/>
          <w:jc w:val="center"/>
        </w:trPr>
        <w:tc>
          <w:tcPr>
            <w:tcW w:w="658" w:type="pct"/>
            <w:tcBorders>
              <w:tl2br w:val="nil"/>
              <w:tr2bl w:val="nil"/>
            </w:tcBorders>
            <w:noWrap w:val="0"/>
            <w:tcMar>
              <w:top w:w="16" w:type="dxa"/>
              <w:left w:w="16" w:type="dxa"/>
              <w:right w:w="16" w:type="dxa"/>
            </w:tcMar>
            <w:vAlign w:val="center"/>
          </w:tcPr>
          <w:p w14:paraId="64A9CBBB">
            <w:pPr>
              <w:keepNext w:val="0"/>
              <w:keepLines w:val="0"/>
              <w:pageBreakBefore w:val="0"/>
              <w:widowControl w:val="0"/>
              <w:kinsoku/>
              <w:wordWrap/>
              <w:overflowPunct/>
              <w:topLinePunct w:val="0"/>
              <w:bidi w:val="0"/>
              <w:adjustRightInd w:val="0"/>
              <w:snapToGrid/>
              <w:spacing w:line="240" w:lineRule="auto"/>
              <w:ind w:firstLine="0" w:firstLineChars="0"/>
              <w:jc w:val="center"/>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项目审批（核准</w:t>
            </w:r>
            <w:r>
              <w:rPr>
                <w:rFonts w:ascii="宋体" w:hAnsi="宋体" w:cs="宋体"/>
                <w:b/>
                <w:bCs/>
                <w:color w:val="auto"/>
                <w:sz w:val="24"/>
                <w:szCs w:val="24"/>
                <w:highlight w:val="none"/>
              </w:rPr>
              <w:t>/</w:t>
            </w:r>
            <w:r>
              <w:rPr>
                <w:rFonts w:hint="eastAsia" w:ascii="宋体" w:hAnsi="宋体" w:cs="宋体"/>
                <w:b/>
                <w:bCs/>
                <w:color w:val="auto"/>
                <w:sz w:val="24"/>
                <w:szCs w:val="24"/>
                <w:highlight w:val="none"/>
              </w:rPr>
              <w:t>备案）部门</w:t>
            </w:r>
          </w:p>
          <w:p w14:paraId="4C4ECF0E">
            <w:pPr>
              <w:keepNext w:val="0"/>
              <w:keepLines w:val="0"/>
              <w:pageBreakBefore w:val="0"/>
              <w:widowControl w:val="0"/>
              <w:kinsoku/>
              <w:wordWrap/>
              <w:overflowPunct/>
              <w:topLinePunct w:val="0"/>
              <w:bidi w:val="0"/>
              <w:adjustRightInd w:val="0"/>
              <w:snapToGrid/>
              <w:spacing w:line="240" w:lineRule="auto"/>
              <w:ind w:firstLine="0" w:firstLineChars="0"/>
              <w:jc w:val="center"/>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（选填）</w:t>
            </w:r>
          </w:p>
        </w:tc>
        <w:tc>
          <w:tcPr>
            <w:tcW w:w="1760" w:type="pct"/>
            <w:tcBorders>
              <w:tl2br w:val="nil"/>
              <w:tr2bl w:val="nil"/>
            </w:tcBorders>
            <w:noWrap w:val="0"/>
            <w:vAlign w:val="center"/>
          </w:tcPr>
          <w:p w14:paraId="54A9CCEE">
            <w:pPr>
              <w:pageBreakBefore w:val="0"/>
              <w:kinsoku/>
              <w:wordWrap/>
              <w:overflowPunct/>
              <w:topLinePunct w:val="0"/>
              <w:bidi w:val="0"/>
              <w:adjustRightInd w:val="0"/>
              <w:snapToGrid/>
              <w:ind w:firstLine="0" w:firstLineChars="0"/>
              <w:jc w:val="center"/>
              <w:textAlignment w:val="auto"/>
              <w:rPr>
                <w:rFonts w:ascii="宋体" w:hAnsi="宋体" w:cs="宋体"/>
                <w:color w:val="auto"/>
                <w:szCs w:val="21"/>
                <w:highlight w:val="none"/>
              </w:rPr>
            </w:pPr>
            <w:r>
              <w:rPr>
                <w:rFonts w:hint="eastAsia"/>
                <w:color w:val="auto"/>
                <w:sz w:val="24"/>
                <w:highlight w:val="none"/>
                <w:lang w:val="en-US" w:eastAsia="zh-CN"/>
              </w:rPr>
              <w:t>青阳县发展和改革委员会</w:t>
            </w:r>
          </w:p>
        </w:tc>
        <w:tc>
          <w:tcPr>
            <w:tcW w:w="781" w:type="pct"/>
            <w:tcBorders>
              <w:tl2br w:val="nil"/>
              <w:tr2bl w:val="nil"/>
            </w:tcBorders>
            <w:noWrap w:val="0"/>
            <w:vAlign w:val="center"/>
          </w:tcPr>
          <w:p w14:paraId="7146C6F3">
            <w:pPr>
              <w:pageBreakBefore w:val="0"/>
              <w:kinsoku/>
              <w:wordWrap/>
              <w:overflowPunct/>
              <w:topLinePunct w:val="0"/>
              <w:bidi w:val="0"/>
              <w:adjustRightInd w:val="0"/>
              <w:snapToGrid/>
              <w:spacing w:line="240" w:lineRule="auto"/>
              <w:ind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项目审批（核准/备案）文号（选填）</w:t>
            </w:r>
          </w:p>
        </w:tc>
        <w:tc>
          <w:tcPr>
            <w:tcW w:w="1800" w:type="pct"/>
            <w:tcBorders>
              <w:tl2br w:val="nil"/>
              <w:tr2bl w:val="nil"/>
            </w:tcBorders>
            <w:noWrap w:val="0"/>
            <w:vAlign w:val="center"/>
          </w:tcPr>
          <w:p w14:paraId="57684B24">
            <w:pPr>
              <w:pageBreakBefore w:val="0"/>
              <w:kinsoku/>
              <w:wordWrap/>
              <w:overflowPunct/>
              <w:topLinePunct w:val="0"/>
              <w:bidi w:val="0"/>
              <w:adjustRightInd w:val="0"/>
              <w:snapToGrid/>
              <w:ind w:firstLine="0" w:firstLineChars="0"/>
              <w:jc w:val="center"/>
              <w:textAlignment w:val="auto"/>
              <w:rPr>
                <w:rFonts w:ascii="宋体" w:hAnsi="宋体" w:cs="宋体"/>
                <w:color w:val="auto"/>
                <w:szCs w:val="21"/>
                <w:highlight w:val="none"/>
              </w:rPr>
            </w:pPr>
            <w:r>
              <w:rPr>
                <w:rFonts w:hint="eastAsia"/>
                <w:color w:val="auto"/>
                <w:sz w:val="24"/>
                <w:highlight w:val="none"/>
                <w:lang w:val="en-US" w:eastAsia="zh-CN"/>
              </w:rPr>
              <w:t>青发改〔2025〕509号</w:t>
            </w:r>
          </w:p>
        </w:tc>
      </w:tr>
      <w:tr w14:paraId="7309FB7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497" w:hRule="atLeast"/>
          <w:jc w:val="center"/>
        </w:trPr>
        <w:tc>
          <w:tcPr>
            <w:tcW w:w="658" w:type="pct"/>
            <w:tcBorders>
              <w:tl2br w:val="nil"/>
              <w:tr2bl w:val="nil"/>
            </w:tcBorders>
            <w:noWrap w:val="0"/>
            <w:tcMar>
              <w:top w:w="16" w:type="dxa"/>
              <w:left w:w="16" w:type="dxa"/>
              <w:right w:w="16" w:type="dxa"/>
            </w:tcMar>
            <w:vAlign w:val="center"/>
          </w:tcPr>
          <w:p w14:paraId="471885BF">
            <w:pPr>
              <w:keepNext w:val="0"/>
              <w:keepLines w:val="0"/>
              <w:pageBreakBefore w:val="0"/>
              <w:widowControl w:val="0"/>
              <w:kinsoku/>
              <w:wordWrap/>
              <w:overflowPunct/>
              <w:topLinePunct w:val="0"/>
              <w:bidi w:val="0"/>
              <w:adjustRightInd w:val="0"/>
              <w:snapToGrid/>
              <w:spacing w:line="240" w:lineRule="auto"/>
              <w:ind w:firstLine="0" w:firstLineChars="0"/>
              <w:jc w:val="center"/>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总投资</w:t>
            </w:r>
          </w:p>
          <w:p w14:paraId="2ABBA0A9">
            <w:pPr>
              <w:keepNext w:val="0"/>
              <w:keepLines w:val="0"/>
              <w:pageBreakBefore w:val="0"/>
              <w:widowControl w:val="0"/>
              <w:kinsoku/>
              <w:wordWrap/>
              <w:overflowPunct/>
              <w:topLinePunct w:val="0"/>
              <w:bidi w:val="0"/>
              <w:adjustRightInd w:val="0"/>
              <w:snapToGrid/>
              <w:spacing w:line="240" w:lineRule="auto"/>
              <w:ind w:firstLine="0" w:firstLineChars="0"/>
              <w:jc w:val="center"/>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（万元）</w:t>
            </w:r>
          </w:p>
        </w:tc>
        <w:tc>
          <w:tcPr>
            <w:tcW w:w="1760" w:type="pct"/>
            <w:tcBorders>
              <w:tl2br w:val="nil"/>
              <w:tr2bl w:val="nil"/>
            </w:tcBorders>
            <w:noWrap w:val="0"/>
            <w:vAlign w:val="center"/>
          </w:tcPr>
          <w:p w14:paraId="3AC082C8">
            <w:pPr>
              <w:pageBreakBefore w:val="0"/>
              <w:kinsoku/>
              <w:wordWrap/>
              <w:overflowPunct/>
              <w:topLinePunct w:val="0"/>
              <w:bidi w:val="0"/>
              <w:adjustRightInd w:val="0"/>
              <w:snapToGrid/>
              <w:ind w:firstLine="0" w:firstLineChars="0"/>
              <w:jc w:val="center"/>
              <w:textAlignment w:val="auto"/>
              <w:rPr>
                <w:rFonts w:hint="default" w:ascii="Times New Roman" w:hAnsi="Times New Roman" w:eastAsia="宋体" w:cs="Times New Roman"/>
                <w:color w:val="auto"/>
                <w:szCs w:val="21"/>
                <w:highlight w:val="none"/>
                <w:lang w:val="en-US" w:eastAsia="zh-CN"/>
              </w:rPr>
            </w:pPr>
            <w:r>
              <w:rPr>
                <w:rFonts w:hint="eastAsia" w:cs="Times New Roman"/>
                <w:color w:val="auto"/>
                <w:sz w:val="24"/>
                <w:szCs w:val="24"/>
                <w:highlight w:val="none"/>
                <w:lang w:val="en-US" w:eastAsia="zh-CN"/>
              </w:rPr>
              <w:t>7500</w:t>
            </w:r>
          </w:p>
        </w:tc>
        <w:tc>
          <w:tcPr>
            <w:tcW w:w="781" w:type="pct"/>
            <w:tcBorders>
              <w:tl2br w:val="nil"/>
              <w:tr2bl w:val="nil"/>
            </w:tcBorders>
            <w:noWrap w:val="0"/>
            <w:tcMar>
              <w:top w:w="16" w:type="dxa"/>
              <w:left w:w="16" w:type="dxa"/>
              <w:right w:w="16" w:type="dxa"/>
            </w:tcMar>
            <w:vAlign w:val="center"/>
          </w:tcPr>
          <w:p w14:paraId="76C36DAB">
            <w:pPr>
              <w:pageBreakBefore w:val="0"/>
              <w:kinsoku/>
              <w:wordWrap/>
              <w:overflowPunct/>
              <w:topLinePunct w:val="0"/>
              <w:bidi w:val="0"/>
              <w:adjustRightInd w:val="0"/>
              <w:snapToGrid/>
              <w:spacing w:line="240" w:lineRule="auto"/>
              <w:ind w:firstLine="0" w:firstLineChars="0"/>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环保投资（万元）</w:t>
            </w:r>
          </w:p>
        </w:tc>
        <w:tc>
          <w:tcPr>
            <w:tcW w:w="1800" w:type="pct"/>
            <w:tcBorders>
              <w:tl2br w:val="nil"/>
              <w:tr2bl w:val="nil"/>
            </w:tcBorders>
            <w:noWrap w:val="0"/>
            <w:vAlign w:val="center"/>
          </w:tcPr>
          <w:p w14:paraId="76EE7FD6">
            <w:pPr>
              <w:pageBreakBefore w:val="0"/>
              <w:kinsoku/>
              <w:wordWrap/>
              <w:overflowPunct/>
              <w:topLinePunct w:val="0"/>
              <w:bidi w:val="0"/>
              <w:adjustRightInd w:val="0"/>
              <w:snapToGrid/>
              <w:ind w:firstLine="0" w:firstLineChars="0"/>
              <w:jc w:val="center"/>
              <w:textAlignment w:val="auto"/>
              <w:rPr>
                <w:rFonts w:hint="default" w:ascii="Times New Roman" w:hAnsi="Times New Roman" w:eastAsia="宋体" w:cs="Times New Roman"/>
                <w:color w:val="auto"/>
                <w:szCs w:val="21"/>
                <w:highlight w:val="none"/>
                <w:lang w:val="en-US" w:eastAsia="zh-CN"/>
              </w:rPr>
            </w:pPr>
            <w:r>
              <w:rPr>
                <w:rFonts w:hint="eastAsia" w:cs="Times New Roman"/>
                <w:b w:val="0"/>
                <w:bCs w:val="0"/>
                <w:color w:val="auto"/>
                <w:kern w:val="0"/>
                <w:sz w:val="24"/>
                <w:szCs w:val="24"/>
                <w:highlight w:val="none"/>
                <w:lang w:val="en-US" w:eastAsia="zh-CN" w:bidi="ar"/>
              </w:rPr>
              <w:t>75</w:t>
            </w:r>
          </w:p>
        </w:tc>
      </w:tr>
      <w:tr w14:paraId="0793782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690" w:hRule="atLeast"/>
          <w:jc w:val="center"/>
        </w:trPr>
        <w:tc>
          <w:tcPr>
            <w:tcW w:w="658" w:type="pct"/>
            <w:tcBorders>
              <w:tl2br w:val="nil"/>
              <w:tr2bl w:val="nil"/>
            </w:tcBorders>
            <w:noWrap w:val="0"/>
            <w:tcMar>
              <w:top w:w="16" w:type="dxa"/>
              <w:left w:w="16" w:type="dxa"/>
              <w:right w:w="16" w:type="dxa"/>
            </w:tcMar>
            <w:vAlign w:val="center"/>
          </w:tcPr>
          <w:p w14:paraId="353017E1">
            <w:pPr>
              <w:keepNext w:val="0"/>
              <w:keepLines w:val="0"/>
              <w:pageBreakBefore w:val="0"/>
              <w:widowControl w:val="0"/>
              <w:kinsoku/>
              <w:wordWrap/>
              <w:overflowPunct/>
              <w:topLinePunct w:val="0"/>
              <w:bidi w:val="0"/>
              <w:adjustRightInd w:val="0"/>
              <w:snapToGrid/>
              <w:spacing w:line="240" w:lineRule="auto"/>
              <w:ind w:firstLine="0" w:firstLineChars="0"/>
              <w:jc w:val="center"/>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环保投资占比（</w:t>
            </w:r>
            <w:r>
              <w:rPr>
                <w:rFonts w:ascii="宋体" w:hAnsi="宋体" w:cs="宋体"/>
                <w:b/>
                <w:bCs/>
                <w:color w:val="auto"/>
                <w:sz w:val="24"/>
                <w:szCs w:val="24"/>
                <w:highlight w:val="none"/>
              </w:rPr>
              <w:t>%</w:t>
            </w:r>
            <w:r>
              <w:rPr>
                <w:rFonts w:hint="eastAsia" w:ascii="宋体" w:hAnsi="宋体" w:cs="宋体"/>
                <w:b/>
                <w:bCs/>
                <w:color w:val="auto"/>
                <w:sz w:val="24"/>
                <w:szCs w:val="24"/>
                <w:highlight w:val="none"/>
              </w:rPr>
              <w:t>）</w:t>
            </w:r>
          </w:p>
        </w:tc>
        <w:tc>
          <w:tcPr>
            <w:tcW w:w="1760" w:type="pct"/>
            <w:tcBorders>
              <w:tl2br w:val="nil"/>
              <w:tr2bl w:val="nil"/>
            </w:tcBorders>
            <w:noWrap w:val="0"/>
            <w:vAlign w:val="center"/>
          </w:tcPr>
          <w:p w14:paraId="0D961D04">
            <w:pPr>
              <w:pageBreakBefore w:val="0"/>
              <w:kinsoku/>
              <w:wordWrap/>
              <w:overflowPunct/>
              <w:topLinePunct w:val="0"/>
              <w:bidi w:val="0"/>
              <w:adjustRightInd w:val="0"/>
              <w:snapToGrid/>
              <w:ind w:firstLine="0" w:firstLineChars="0"/>
              <w:jc w:val="center"/>
              <w:textAlignment w:val="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1</w:t>
            </w:r>
          </w:p>
        </w:tc>
        <w:tc>
          <w:tcPr>
            <w:tcW w:w="781" w:type="pct"/>
            <w:tcBorders>
              <w:tl2br w:val="nil"/>
              <w:tr2bl w:val="nil"/>
            </w:tcBorders>
            <w:noWrap w:val="0"/>
            <w:tcMar>
              <w:top w:w="16" w:type="dxa"/>
              <w:left w:w="16" w:type="dxa"/>
              <w:right w:w="16" w:type="dxa"/>
            </w:tcMar>
            <w:vAlign w:val="center"/>
          </w:tcPr>
          <w:p w14:paraId="3BCE24EA">
            <w:pPr>
              <w:pageBreakBefore w:val="0"/>
              <w:kinsoku/>
              <w:wordWrap/>
              <w:overflowPunct/>
              <w:topLinePunct w:val="0"/>
              <w:bidi w:val="0"/>
              <w:adjustRightInd w:val="0"/>
              <w:snapToGrid/>
              <w:spacing w:line="240" w:lineRule="auto"/>
              <w:ind w:firstLine="0" w:firstLineChars="0"/>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施工工期</w:t>
            </w:r>
          </w:p>
        </w:tc>
        <w:tc>
          <w:tcPr>
            <w:tcW w:w="1800" w:type="pct"/>
            <w:tcBorders>
              <w:tl2br w:val="nil"/>
              <w:tr2bl w:val="nil"/>
            </w:tcBorders>
            <w:noWrap w:val="0"/>
            <w:vAlign w:val="center"/>
          </w:tcPr>
          <w:p w14:paraId="322301EF">
            <w:pPr>
              <w:pageBreakBefore w:val="0"/>
              <w:kinsoku/>
              <w:wordWrap/>
              <w:overflowPunct/>
              <w:topLinePunct w:val="0"/>
              <w:bidi w:val="0"/>
              <w:adjustRightInd w:val="0"/>
              <w:snapToGrid/>
              <w:ind w:firstLine="0" w:firstLineChars="0"/>
              <w:jc w:val="center"/>
              <w:textAlignment w:val="auto"/>
              <w:rPr>
                <w:rFonts w:hint="default" w:ascii="Times New Roman" w:hAnsi="Times New Roman" w:cs="Times New Roman"/>
                <w:color w:val="auto"/>
                <w:szCs w:val="21"/>
                <w:highlight w:val="none"/>
              </w:rPr>
            </w:pPr>
            <w:r>
              <w:rPr>
                <w:rFonts w:hint="eastAsia" w:eastAsia="宋体" w:cs="Times New Roman"/>
                <w:color w:val="auto"/>
                <w:spacing w:val="-7"/>
                <w:sz w:val="24"/>
                <w:szCs w:val="24"/>
                <w:highlight w:val="none"/>
                <w:lang w:val="en-US" w:eastAsia="zh-CN"/>
              </w:rPr>
              <w:t>12</w:t>
            </w:r>
            <w:r>
              <w:rPr>
                <w:rFonts w:hint="default" w:ascii="Times New Roman" w:hAnsi="Times New Roman" w:cs="Times New Roman"/>
                <w:color w:val="auto"/>
                <w:spacing w:val="-7"/>
                <w:sz w:val="24"/>
                <w:szCs w:val="24"/>
                <w:highlight w:val="none"/>
              </w:rPr>
              <w:t>个月</w:t>
            </w:r>
          </w:p>
        </w:tc>
      </w:tr>
      <w:tr w14:paraId="5E80A32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658" w:type="pct"/>
            <w:tcBorders>
              <w:tl2br w:val="nil"/>
              <w:tr2bl w:val="nil"/>
            </w:tcBorders>
            <w:noWrap w:val="0"/>
            <w:tcMar>
              <w:top w:w="16" w:type="dxa"/>
              <w:left w:w="16" w:type="dxa"/>
              <w:right w:w="16" w:type="dxa"/>
            </w:tcMar>
            <w:vAlign w:val="center"/>
          </w:tcPr>
          <w:p w14:paraId="3A2C4F6E">
            <w:pPr>
              <w:keepNext w:val="0"/>
              <w:keepLines w:val="0"/>
              <w:pageBreakBefore w:val="0"/>
              <w:widowControl w:val="0"/>
              <w:kinsoku/>
              <w:wordWrap/>
              <w:overflowPunct/>
              <w:topLinePunct w:val="0"/>
              <w:bidi w:val="0"/>
              <w:adjustRightInd w:val="0"/>
              <w:snapToGrid/>
              <w:spacing w:line="240" w:lineRule="auto"/>
              <w:ind w:firstLine="0" w:firstLineChars="0"/>
              <w:jc w:val="center"/>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是否开工建设</w:t>
            </w:r>
          </w:p>
        </w:tc>
        <w:tc>
          <w:tcPr>
            <w:tcW w:w="1760" w:type="pct"/>
            <w:tcBorders>
              <w:tl2br w:val="nil"/>
              <w:tr2bl w:val="nil"/>
            </w:tcBorders>
            <w:noWrap w:val="0"/>
            <w:vAlign w:val="center"/>
          </w:tcPr>
          <w:p w14:paraId="2633F427">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both"/>
              <w:textAlignment w:val="auto"/>
              <w:rPr>
                <w:rFonts w:hint="eastAsia" w:ascii="Times New Roman" w:hAnsi="Times New Roman" w:eastAsia="宋体" w:cs="Times New Roman"/>
                <w:color w:val="auto"/>
                <w:sz w:val="24"/>
                <w:highlight w:val="none"/>
              </w:rPr>
            </w:pPr>
            <w:r>
              <w:rPr>
                <w:rFonts w:hint="eastAsia"/>
                <w:color w:val="auto"/>
                <w:sz w:val="24"/>
                <w:highlight w:val="none"/>
                <w:lang w:eastAsia="zh-CN"/>
              </w:rPr>
              <w:t>☑</w:t>
            </w:r>
            <w:r>
              <w:rPr>
                <w:rFonts w:hint="eastAsia" w:ascii="Times New Roman" w:hAnsi="Times New Roman" w:eastAsia="宋体" w:cs="Times New Roman"/>
                <w:color w:val="auto"/>
                <w:sz w:val="24"/>
                <w:highlight w:val="none"/>
              </w:rPr>
              <w:t>否</w:t>
            </w:r>
          </w:p>
          <w:p w14:paraId="71F42F6F">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both"/>
              <w:textAlignment w:val="auto"/>
              <w:rPr>
                <w:rFonts w:hint="default" w:ascii="宋体" w:hAnsi="宋体" w:eastAsia="宋体" w:cs="宋体"/>
                <w:color w:val="auto"/>
                <w:szCs w:val="21"/>
                <w:highlight w:val="none"/>
                <w:lang w:val="en-US" w:eastAsia="zh-CN"/>
              </w:rPr>
            </w:pPr>
            <w:r>
              <w:rPr>
                <w:rFonts w:hint="eastAsia" w:cs="Times New Roman"/>
                <w:color w:val="auto"/>
                <w:sz w:val="24"/>
                <w:highlight w:val="none"/>
                <w:lang w:eastAsia="zh-CN"/>
              </w:rPr>
              <w:t>□</w:t>
            </w:r>
            <w:r>
              <w:rPr>
                <w:rFonts w:hint="eastAsia" w:ascii="Times New Roman" w:hAnsi="Times New Roman" w:eastAsia="宋体" w:cs="Times New Roman"/>
                <w:color w:val="auto"/>
                <w:sz w:val="24"/>
                <w:highlight w:val="none"/>
              </w:rPr>
              <w:t>是</w:t>
            </w:r>
          </w:p>
        </w:tc>
        <w:tc>
          <w:tcPr>
            <w:tcW w:w="781" w:type="pct"/>
            <w:tcBorders>
              <w:tl2br w:val="nil"/>
              <w:tr2bl w:val="nil"/>
            </w:tcBorders>
            <w:noWrap w:val="0"/>
            <w:tcMar>
              <w:top w:w="16" w:type="dxa"/>
              <w:left w:w="16" w:type="dxa"/>
              <w:right w:w="16" w:type="dxa"/>
            </w:tcMar>
            <w:vAlign w:val="center"/>
          </w:tcPr>
          <w:p w14:paraId="4567F4E5">
            <w:pPr>
              <w:pageBreakBefore w:val="0"/>
              <w:kinsoku/>
              <w:wordWrap/>
              <w:overflowPunct/>
              <w:topLinePunct w:val="0"/>
              <w:bidi w:val="0"/>
              <w:adjustRightInd w:val="0"/>
              <w:snapToGrid/>
              <w:spacing w:line="240" w:lineRule="auto"/>
              <w:ind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用地（用海）</w:t>
            </w:r>
          </w:p>
          <w:p w14:paraId="2F72FD4F">
            <w:pPr>
              <w:pageBreakBefore w:val="0"/>
              <w:kinsoku/>
              <w:wordWrap/>
              <w:overflowPunct/>
              <w:topLinePunct w:val="0"/>
              <w:bidi w:val="0"/>
              <w:adjustRightInd w:val="0"/>
              <w:snapToGrid/>
              <w:spacing w:line="240" w:lineRule="auto"/>
              <w:ind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面积（</w:t>
            </w:r>
            <w:r>
              <w:rPr>
                <w:rFonts w:hint="eastAsia" w:ascii="Times New Roman" w:hAnsi="Times New Roman" w:eastAsia="宋体" w:cs="Times New Roman"/>
                <w:b/>
                <w:bCs/>
                <w:color w:val="auto"/>
                <w:sz w:val="24"/>
                <w:highlight w:val="none"/>
              </w:rPr>
              <w:t>m</w:t>
            </w:r>
            <w:r>
              <w:rPr>
                <w:rFonts w:hint="eastAsia" w:ascii="Times New Roman" w:hAnsi="Times New Roman" w:eastAsia="宋体" w:cs="Times New Roman"/>
                <w:b/>
                <w:bCs/>
                <w:color w:val="auto"/>
                <w:sz w:val="24"/>
                <w:highlight w:val="none"/>
                <w:vertAlign w:val="superscript"/>
              </w:rPr>
              <w:t>2</w:t>
            </w:r>
            <w:r>
              <w:rPr>
                <w:rFonts w:hint="eastAsia" w:ascii="宋体" w:hAnsi="宋体" w:eastAsia="宋体" w:cs="宋体"/>
                <w:b/>
                <w:bCs/>
                <w:color w:val="auto"/>
                <w:sz w:val="24"/>
                <w:szCs w:val="24"/>
                <w:highlight w:val="none"/>
              </w:rPr>
              <w:t>）</w:t>
            </w:r>
          </w:p>
        </w:tc>
        <w:tc>
          <w:tcPr>
            <w:tcW w:w="1800" w:type="pct"/>
            <w:tcBorders>
              <w:tl2br w:val="nil"/>
              <w:tr2bl w:val="nil"/>
            </w:tcBorders>
            <w:noWrap w:val="0"/>
            <w:vAlign w:val="center"/>
          </w:tcPr>
          <w:p w14:paraId="3E93212B">
            <w:pPr>
              <w:pageBreakBefore w:val="0"/>
              <w:kinsoku/>
              <w:wordWrap/>
              <w:overflowPunct/>
              <w:topLinePunct w:val="0"/>
              <w:bidi w:val="0"/>
              <w:adjustRightInd w:val="0"/>
              <w:snapToGrid/>
              <w:ind w:firstLine="0" w:firstLineChars="0"/>
              <w:jc w:val="center"/>
              <w:textAlignment w:val="auto"/>
              <w:rPr>
                <w:rFonts w:hint="default" w:ascii="宋体" w:hAnsi="宋体" w:eastAsia="宋体" w:cs="宋体"/>
                <w:color w:val="auto"/>
                <w:szCs w:val="21"/>
                <w:highlight w:val="none"/>
                <w:lang w:val="en-US" w:eastAsia="zh-CN"/>
              </w:rPr>
            </w:pPr>
            <w:r>
              <w:rPr>
                <w:rFonts w:hint="eastAsia" w:cs="Times New Roman"/>
                <w:color w:val="auto"/>
                <w:szCs w:val="21"/>
                <w:highlight w:val="none"/>
                <w:lang w:val="en-US" w:eastAsia="zh-CN"/>
              </w:rPr>
              <w:t>6038.89</w:t>
            </w:r>
          </w:p>
        </w:tc>
      </w:tr>
      <w:tr w14:paraId="29E3206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658" w:type="pct"/>
            <w:tcBorders>
              <w:tl2br w:val="nil"/>
              <w:tr2bl w:val="nil"/>
            </w:tcBorders>
            <w:noWrap w:val="0"/>
            <w:vAlign w:val="center"/>
          </w:tcPr>
          <w:p w14:paraId="2C78AE7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专项评价设置情况</w:t>
            </w:r>
          </w:p>
        </w:tc>
        <w:tc>
          <w:tcPr>
            <w:tcW w:w="4341" w:type="pct"/>
            <w:gridSpan w:val="3"/>
            <w:tcBorders>
              <w:tl2br w:val="nil"/>
              <w:tr2bl w:val="nil"/>
            </w:tcBorders>
            <w:noWrap w:val="0"/>
            <w:vAlign w:val="center"/>
          </w:tcPr>
          <w:p w14:paraId="3545D36B">
            <w:pPr>
              <w:autoSpaceDE w:val="0"/>
              <w:autoSpaceDN w:val="0"/>
              <w:adjustRightInd w:val="0"/>
              <w:snapToGrid w:val="0"/>
              <w:spacing w:line="360" w:lineRule="auto"/>
              <w:ind w:firstLine="480" w:firstLineChars="200"/>
              <w:rPr>
                <w:b/>
                <w:color w:val="auto"/>
                <w:kern w:val="0"/>
                <w:szCs w:val="21"/>
                <w:highlight w:val="none"/>
              </w:rPr>
            </w:pPr>
            <w:r>
              <w:rPr>
                <w:color w:val="auto"/>
                <w:kern w:val="0"/>
                <w:sz w:val="24"/>
                <w:szCs w:val="24"/>
                <w:highlight w:val="none"/>
              </w:rPr>
              <w:t>根据《建设项目环境影响报告表编制技术指南（污染影响类）》（试行）中的有关要求，对本项目的专项评价设置情况进行判定，本项目不设置专项评价，具体分析如表1</w:t>
            </w:r>
            <w:r>
              <w:rPr>
                <w:rFonts w:hint="eastAsia"/>
                <w:color w:val="auto"/>
                <w:kern w:val="0"/>
                <w:sz w:val="24"/>
                <w:szCs w:val="24"/>
                <w:highlight w:val="none"/>
                <w:lang w:val="en-US" w:eastAsia="zh-CN"/>
              </w:rPr>
              <w:t>-</w:t>
            </w:r>
            <w:r>
              <w:rPr>
                <w:color w:val="auto"/>
                <w:kern w:val="0"/>
                <w:sz w:val="24"/>
                <w:szCs w:val="24"/>
                <w:highlight w:val="none"/>
              </w:rPr>
              <w:t>1所示。</w:t>
            </w:r>
          </w:p>
          <w:p w14:paraId="17EA9968">
            <w:pPr>
              <w:keepNext/>
              <w:jc w:val="center"/>
              <w:rPr>
                <w:b/>
                <w:color w:val="auto"/>
                <w:kern w:val="0"/>
                <w:szCs w:val="21"/>
                <w:highlight w:val="none"/>
              </w:rPr>
            </w:pPr>
            <w:r>
              <w:rPr>
                <w:b/>
                <w:color w:val="auto"/>
                <w:kern w:val="0"/>
                <w:szCs w:val="21"/>
                <w:highlight w:val="none"/>
              </w:rPr>
              <w:t>表1</w:t>
            </w:r>
            <w:r>
              <w:rPr>
                <w:rFonts w:hint="eastAsia"/>
                <w:b/>
                <w:color w:val="auto"/>
                <w:kern w:val="0"/>
                <w:szCs w:val="21"/>
                <w:highlight w:val="none"/>
                <w:lang w:val="en-US" w:eastAsia="zh-CN"/>
              </w:rPr>
              <w:t>-</w:t>
            </w:r>
            <w:r>
              <w:rPr>
                <w:b/>
                <w:color w:val="auto"/>
                <w:kern w:val="0"/>
                <w:szCs w:val="21"/>
                <w:highlight w:val="none"/>
              </w:rPr>
              <w:t>1专项评价设置判定</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8"/>
              <w:gridCol w:w="2560"/>
              <w:gridCol w:w="2694"/>
              <w:gridCol w:w="885"/>
            </w:tblGrid>
            <w:tr w14:paraId="46604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895" w:type="pct"/>
                  <w:tcBorders>
                    <w:tl2br w:val="nil"/>
                    <w:tr2bl w:val="nil"/>
                  </w:tcBorders>
                  <w:noWrap w:val="0"/>
                  <w:vAlign w:val="center"/>
                </w:tcPr>
                <w:p w14:paraId="72111780">
                  <w:pPr>
                    <w:pStyle w:val="95"/>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ascii="Times New Roman" w:cs="Times New Roman"/>
                      <w:b/>
                      <w:color w:val="auto"/>
                      <w:sz w:val="21"/>
                      <w:szCs w:val="21"/>
                      <w:highlight w:val="none"/>
                    </w:rPr>
                  </w:pPr>
                  <w:r>
                    <w:rPr>
                      <w:rFonts w:ascii="Times New Roman" w:cs="Times New Roman"/>
                      <w:b/>
                      <w:color w:val="auto"/>
                      <w:sz w:val="21"/>
                      <w:szCs w:val="21"/>
                      <w:highlight w:val="none"/>
                    </w:rPr>
                    <w:t>专项评价的类别</w:t>
                  </w:r>
                </w:p>
              </w:tc>
              <w:tc>
                <w:tcPr>
                  <w:tcW w:w="1711" w:type="pct"/>
                  <w:tcBorders>
                    <w:tl2br w:val="nil"/>
                    <w:tr2bl w:val="nil"/>
                  </w:tcBorders>
                  <w:noWrap w:val="0"/>
                  <w:vAlign w:val="center"/>
                </w:tcPr>
                <w:p w14:paraId="70C53ACB">
                  <w:pPr>
                    <w:pStyle w:val="95"/>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ascii="Times New Roman" w:cs="Times New Roman"/>
                      <w:b/>
                      <w:color w:val="auto"/>
                      <w:sz w:val="21"/>
                      <w:szCs w:val="21"/>
                      <w:highlight w:val="none"/>
                    </w:rPr>
                  </w:pPr>
                  <w:r>
                    <w:rPr>
                      <w:rFonts w:ascii="Times New Roman" w:cs="Times New Roman"/>
                      <w:b/>
                      <w:color w:val="auto"/>
                      <w:sz w:val="21"/>
                      <w:szCs w:val="21"/>
                      <w:highlight w:val="none"/>
                    </w:rPr>
                    <w:t>设置原则</w:t>
                  </w:r>
                </w:p>
              </w:tc>
              <w:tc>
                <w:tcPr>
                  <w:tcW w:w="1800" w:type="pct"/>
                  <w:tcBorders>
                    <w:tl2br w:val="nil"/>
                    <w:tr2bl w:val="nil"/>
                  </w:tcBorders>
                  <w:noWrap w:val="0"/>
                  <w:vAlign w:val="center"/>
                </w:tcPr>
                <w:p w14:paraId="5CCAAFA4">
                  <w:pPr>
                    <w:pStyle w:val="95"/>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hint="default" w:ascii="Times New Roman" w:eastAsia="宋体" w:cs="Times New Roman"/>
                      <w:b/>
                      <w:color w:val="auto"/>
                      <w:sz w:val="21"/>
                      <w:szCs w:val="21"/>
                      <w:highlight w:val="none"/>
                      <w:lang w:val="en-US" w:eastAsia="zh-CN"/>
                    </w:rPr>
                  </w:pPr>
                  <w:r>
                    <w:rPr>
                      <w:rFonts w:hint="eastAsia" w:ascii="Times New Roman" w:cs="Times New Roman"/>
                      <w:b/>
                      <w:color w:val="auto"/>
                      <w:sz w:val="21"/>
                      <w:szCs w:val="21"/>
                      <w:highlight w:val="none"/>
                      <w:lang w:val="en-US" w:eastAsia="zh-CN"/>
                    </w:rPr>
                    <w:t>项目情况</w:t>
                  </w:r>
                </w:p>
              </w:tc>
              <w:tc>
                <w:tcPr>
                  <w:tcW w:w="591" w:type="pct"/>
                  <w:tcBorders>
                    <w:tl2br w:val="nil"/>
                    <w:tr2bl w:val="nil"/>
                  </w:tcBorders>
                  <w:noWrap w:val="0"/>
                  <w:vAlign w:val="center"/>
                </w:tcPr>
                <w:p w14:paraId="714A408D">
                  <w:pPr>
                    <w:pStyle w:val="95"/>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hint="default" w:ascii="Times New Roman" w:eastAsia="宋体" w:cs="Times New Roman"/>
                      <w:b/>
                      <w:color w:val="auto"/>
                      <w:sz w:val="21"/>
                      <w:szCs w:val="21"/>
                      <w:highlight w:val="none"/>
                      <w:lang w:val="en-US" w:eastAsia="zh-CN"/>
                    </w:rPr>
                  </w:pPr>
                  <w:r>
                    <w:rPr>
                      <w:rFonts w:hint="eastAsia" w:ascii="Times New Roman" w:cs="Times New Roman"/>
                      <w:b/>
                      <w:color w:val="auto"/>
                      <w:sz w:val="21"/>
                      <w:szCs w:val="21"/>
                      <w:highlight w:val="none"/>
                      <w:lang w:val="en-US" w:eastAsia="zh-CN"/>
                    </w:rPr>
                    <w:t>判定结果</w:t>
                  </w:r>
                </w:p>
              </w:tc>
            </w:tr>
            <w:tr w14:paraId="75430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95" w:type="pct"/>
                  <w:tcBorders>
                    <w:tl2br w:val="nil"/>
                    <w:tr2bl w:val="nil"/>
                  </w:tcBorders>
                  <w:noWrap w:val="0"/>
                  <w:vAlign w:val="center"/>
                </w:tcPr>
                <w:p w14:paraId="28EBC70C">
                  <w:pPr>
                    <w:pStyle w:val="95"/>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ascii="Times New Roman" w:cs="Times New Roman"/>
                      <w:bCs/>
                      <w:color w:val="auto"/>
                      <w:sz w:val="21"/>
                      <w:szCs w:val="21"/>
                      <w:highlight w:val="none"/>
                    </w:rPr>
                  </w:pPr>
                  <w:r>
                    <w:rPr>
                      <w:rFonts w:ascii="Times New Roman" w:cs="Times New Roman"/>
                      <w:bCs/>
                      <w:color w:val="auto"/>
                      <w:sz w:val="21"/>
                      <w:szCs w:val="21"/>
                      <w:highlight w:val="none"/>
                    </w:rPr>
                    <w:t>大气</w:t>
                  </w:r>
                </w:p>
              </w:tc>
              <w:tc>
                <w:tcPr>
                  <w:tcW w:w="1711" w:type="pct"/>
                  <w:tcBorders>
                    <w:tl2br w:val="nil"/>
                    <w:tr2bl w:val="nil"/>
                  </w:tcBorders>
                  <w:noWrap w:val="0"/>
                  <w:vAlign w:val="center"/>
                </w:tcPr>
                <w:p w14:paraId="5D1BA75B">
                  <w:pPr>
                    <w:keepNext w:val="0"/>
                    <w:keepLines w:val="0"/>
                    <w:pageBreakBefore w:val="0"/>
                    <w:widowControl/>
                    <w:kinsoku/>
                    <w:wordWrap/>
                    <w:overflowPunct/>
                    <w:topLinePunct w:val="0"/>
                    <w:bidi w:val="0"/>
                    <w:adjustRightInd/>
                    <w:snapToGrid/>
                    <w:spacing w:line="240" w:lineRule="auto"/>
                    <w:ind w:firstLine="0" w:firstLineChars="0"/>
                    <w:jc w:val="center"/>
                    <w:textAlignment w:val="auto"/>
                    <w:rPr>
                      <w:bCs/>
                      <w:color w:val="auto"/>
                      <w:kern w:val="0"/>
                      <w:sz w:val="21"/>
                      <w:szCs w:val="21"/>
                      <w:highlight w:val="none"/>
                    </w:rPr>
                  </w:pPr>
                  <w:r>
                    <w:rPr>
                      <w:color w:val="auto"/>
                      <w:kern w:val="0"/>
                      <w:sz w:val="21"/>
                      <w:szCs w:val="21"/>
                      <w:highlight w:val="none"/>
                      <w:lang w:bidi="ar"/>
                    </w:rPr>
                    <w:t>排放废气含有毒有害污染物、二噁英、苯并[</w:t>
                  </w:r>
                  <w:r>
                    <w:rPr>
                      <w:i/>
                      <w:color w:val="auto"/>
                      <w:kern w:val="0"/>
                      <w:sz w:val="21"/>
                      <w:szCs w:val="21"/>
                      <w:highlight w:val="none"/>
                      <w:lang w:bidi="ar"/>
                    </w:rPr>
                    <w:t>a</w:t>
                  </w:r>
                  <w:r>
                    <w:rPr>
                      <w:color w:val="auto"/>
                      <w:kern w:val="0"/>
                      <w:sz w:val="21"/>
                      <w:szCs w:val="21"/>
                      <w:highlight w:val="none"/>
                      <w:lang w:bidi="ar"/>
                    </w:rPr>
                    <w:t>]芘、氰化物、氯气且厂界外500米范围内有环境空气保护目标的建设项目</w:t>
                  </w:r>
                </w:p>
              </w:tc>
              <w:tc>
                <w:tcPr>
                  <w:tcW w:w="1800" w:type="pct"/>
                  <w:tcBorders>
                    <w:tl2br w:val="nil"/>
                    <w:tr2bl w:val="nil"/>
                  </w:tcBorders>
                  <w:noWrap w:val="0"/>
                  <w:vAlign w:val="center"/>
                </w:tcPr>
                <w:p w14:paraId="736E3BF2">
                  <w:pPr>
                    <w:pStyle w:val="95"/>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ascii="Times New Roman" w:cs="Times New Roman"/>
                      <w:bCs/>
                      <w:color w:val="auto"/>
                      <w:sz w:val="21"/>
                      <w:szCs w:val="21"/>
                      <w:highlight w:val="none"/>
                    </w:rPr>
                  </w:pPr>
                  <w:r>
                    <w:rPr>
                      <w:rFonts w:ascii="Times New Roman" w:cs="Times New Roman"/>
                      <w:bCs/>
                      <w:color w:val="auto"/>
                      <w:sz w:val="21"/>
                      <w:szCs w:val="21"/>
                      <w:highlight w:val="none"/>
                    </w:rPr>
                    <w:t>本项目废气污染物无《有毒有害大气污染物名录》中有关污染物、</w:t>
                  </w:r>
                  <w:r>
                    <w:rPr>
                      <w:rFonts w:ascii="Times New Roman" w:cs="Times New Roman"/>
                      <w:color w:val="auto"/>
                      <w:sz w:val="21"/>
                      <w:szCs w:val="21"/>
                      <w:highlight w:val="none"/>
                      <w:lang w:bidi="ar"/>
                    </w:rPr>
                    <w:t>二噁英、苯并[</w:t>
                  </w:r>
                  <w:r>
                    <w:rPr>
                      <w:rFonts w:ascii="Times New Roman" w:cs="Times New Roman"/>
                      <w:i/>
                      <w:color w:val="auto"/>
                      <w:sz w:val="21"/>
                      <w:szCs w:val="21"/>
                      <w:highlight w:val="none"/>
                      <w:lang w:bidi="ar"/>
                    </w:rPr>
                    <w:t>a</w:t>
                  </w:r>
                  <w:r>
                    <w:rPr>
                      <w:rFonts w:ascii="Times New Roman" w:cs="Times New Roman"/>
                      <w:color w:val="auto"/>
                      <w:sz w:val="21"/>
                      <w:szCs w:val="21"/>
                      <w:highlight w:val="none"/>
                      <w:lang w:bidi="ar"/>
                    </w:rPr>
                    <w:t>]芘、氰化物和氯气。</w:t>
                  </w:r>
                </w:p>
              </w:tc>
              <w:tc>
                <w:tcPr>
                  <w:tcW w:w="591" w:type="pct"/>
                  <w:tcBorders>
                    <w:tl2br w:val="nil"/>
                    <w:tr2bl w:val="nil"/>
                  </w:tcBorders>
                  <w:noWrap w:val="0"/>
                  <w:vAlign w:val="center"/>
                </w:tcPr>
                <w:p w14:paraId="30CAB0B8">
                  <w:pPr>
                    <w:pStyle w:val="95"/>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hint="eastAsia" w:ascii="Times New Roman" w:eastAsia="宋体" w:cs="Times New Roman"/>
                      <w:bCs/>
                      <w:color w:val="auto"/>
                      <w:sz w:val="21"/>
                      <w:szCs w:val="21"/>
                      <w:highlight w:val="none"/>
                      <w:lang w:val="en-US" w:eastAsia="zh-CN"/>
                    </w:rPr>
                  </w:pPr>
                  <w:r>
                    <w:rPr>
                      <w:rFonts w:hint="eastAsia" w:cs="Times New Roman"/>
                      <w:bCs/>
                      <w:color w:val="auto"/>
                      <w:sz w:val="21"/>
                      <w:szCs w:val="21"/>
                      <w:highlight w:val="none"/>
                      <w:lang w:val="en-US" w:eastAsia="zh-CN"/>
                    </w:rPr>
                    <w:t>无须设置</w:t>
                  </w:r>
                </w:p>
              </w:tc>
            </w:tr>
            <w:tr w14:paraId="60A4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95" w:type="pct"/>
                  <w:tcBorders>
                    <w:tl2br w:val="nil"/>
                    <w:tr2bl w:val="nil"/>
                  </w:tcBorders>
                  <w:noWrap w:val="0"/>
                  <w:vAlign w:val="center"/>
                </w:tcPr>
                <w:p w14:paraId="266AB437">
                  <w:pPr>
                    <w:pStyle w:val="95"/>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ascii="Times New Roman" w:cs="Times New Roman"/>
                      <w:bCs/>
                      <w:color w:val="auto"/>
                      <w:sz w:val="21"/>
                      <w:szCs w:val="21"/>
                      <w:highlight w:val="none"/>
                    </w:rPr>
                  </w:pPr>
                  <w:r>
                    <w:rPr>
                      <w:rFonts w:ascii="Times New Roman" w:cs="Times New Roman"/>
                      <w:bCs/>
                      <w:color w:val="auto"/>
                      <w:sz w:val="21"/>
                      <w:szCs w:val="21"/>
                      <w:highlight w:val="none"/>
                    </w:rPr>
                    <w:t>地表水</w:t>
                  </w:r>
                </w:p>
              </w:tc>
              <w:tc>
                <w:tcPr>
                  <w:tcW w:w="1711" w:type="pct"/>
                  <w:tcBorders>
                    <w:tl2br w:val="nil"/>
                    <w:tr2bl w:val="nil"/>
                  </w:tcBorders>
                  <w:noWrap w:val="0"/>
                  <w:vAlign w:val="center"/>
                </w:tcPr>
                <w:p w14:paraId="292FFC59">
                  <w:pPr>
                    <w:pStyle w:val="95"/>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ascii="Times New Roman" w:cs="Times New Roman"/>
                      <w:bCs/>
                      <w:color w:val="auto"/>
                      <w:sz w:val="21"/>
                      <w:szCs w:val="21"/>
                      <w:highlight w:val="none"/>
                    </w:rPr>
                  </w:pPr>
                  <w:r>
                    <w:rPr>
                      <w:rFonts w:ascii="Times New Roman" w:cs="Times New Roman"/>
                      <w:bCs/>
                      <w:color w:val="auto"/>
                      <w:sz w:val="21"/>
                      <w:szCs w:val="21"/>
                      <w:highlight w:val="none"/>
                    </w:rPr>
                    <w:t>新增工业废水直排建设项目（槽罐车外送污水处理厂的除外）；新增废水直排的污水集中处理厂</w:t>
                  </w:r>
                </w:p>
              </w:tc>
              <w:tc>
                <w:tcPr>
                  <w:tcW w:w="1800" w:type="pct"/>
                  <w:tcBorders>
                    <w:tl2br w:val="nil"/>
                    <w:tr2bl w:val="nil"/>
                  </w:tcBorders>
                  <w:noWrap w:val="0"/>
                  <w:vAlign w:val="center"/>
                </w:tcPr>
                <w:p w14:paraId="6B4DAF40">
                  <w:pPr>
                    <w:pStyle w:val="95"/>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hint="default" w:ascii="Times New Roman" w:cs="Times New Roman"/>
                      <w:bCs/>
                      <w:color w:val="auto"/>
                      <w:sz w:val="21"/>
                      <w:szCs w:val="21"/>
                      <w:highlight w:val="none"/>
                      <w:lang w:val="en-US"/>
                    </w:rPr>
                  </w:pPr>
                  <w:r>
                    <w:rPr>
                      <w:rFonts w:hint="eastAsia" w:cs="Times New Roman"/>
                      <w:b w:val="0"/>
                      <w:color w:val="000000"/>
                      <w:sz w:val="21"/>
                      <w:szCs w:val="21"/>
                      <w:highlight w:val="none"/>
                      <w:lang w:val="en-US" w:eastAsia="zh-CN"/>
                    </w:rPr>
                    <w:t>生活污水经化粪池处理后汇同经隔油池处理后的餐饮废水一同与冷却水定期排水一</w:t>
                  </w:r>
                  <w:r>
                    <w:rPr>
                      <w:rFonts w:hint="eastAsia" w:cs="Times New Roman"/>
                      <w:b w:val="0"/>
                      <w:color w:val="auto"/>
                      <w:sz w:val="21"/>
                      <w:szCs w:val="21"/>
                      <w:highlight w:val="none"/>
                      <w:lang w:val="en-US" w:eastAsia="zh-CN"/>
                    </w:rPr>
                    <w:t>起通过</w:t>
                  </w:r>
                  <w:r>
                    <w:rPr>
                      <w:rFonts w:hint="default" w:ascii="Times New Roman" w:hAnsi="Times New Roman" w:eastAsia="宋体" w:cs="Times New Roman"/>
                      <w:b w:val="0"/>
                      <w:bCs w:val="0"/>
                      <w:color w:val="auto"/>
                      <w:sz w:val="21"/>
                      <w:szCs w:val="21"/>
                      <w:vertAlign w:val="baseline"/>
                      <w:lang w:val="en-US" w:eastAsia="zh-CN"/>
                    </w:rPr>
                    <w:t>园区污水管网送往</w:t>
                  </w:r>
                  <w:r>
                    <w:rPr>
                      <w:rFonts w:hint="eastAsia" w:cs="Times New Roman"/>
                      <w:b w:val="0"/>
                      <w:bCs w:val="0"/>
                      <w:color w:val="auto"/>
                      <w:sz w:val="21"/>
                      <w:szCs w:val="21"/>
                      <w:vertAlign w:val="baseline"/>
                      <w:lang w:val="en-US" w:eastAsia="zh-CN"/>
                    </w:rPr>
                    <w:t>青阳县</w:t>
                  </w:r>
                  <w:r>
                    <w:rPr>
                      <w:rFonts w:hint="default" w:ascii="Times New Roman" w:hAnsi="Times New Roman" w:eastAsia="宋体" w:cs="Times New Roman"/>
                      <w:b w:val="0"/>
                      <w:bCs w:val="0"/>
                      <w:color w:val="auto"/>
                      <w:sz w:val="21"/>
                      <w:szCs w:val="21"/>
                      <w:vertAlign w:val="baseline"/>
                      <w:lang w:val="en-US" w:eastAsia="zh-CN"/>
                    </w:rPr>
                    <w:t>污水处理厂</w:t>
                  </w:r>
                  <w:r>
                    <w:rPr>
                      <w:rFonts w:hint="eastAsia"/>
                      <w:color w:val="auto"/>
                      <w:lang w:eastAsia="zh-CN"/>
                    </w:rPr>
                    <w:t>，</w:t>
                  </w:r>
                  <w:r>
                    <w:rPr>
                      <w:rFonts w:hint="default" w:ascii="Times New Roman" w:hAnsi="Times New Roman" w:eastAsia="宋体" w:cs="Times New Roman"/>
                      <w:b w:val="0"/>
                      <w:bCs w:val="0"/>
                      <w:color w:val="auto"/>
                      <w:sz w:val="21"/>
                      <w:szCs w:val="21"/>
                      <w:vertAlign w:val="baseline"/>
                      <w:lang w:val="en-US" w:eastAsia="zh-CN"/>
                    </w:rPr>
                    <w:t>处理达标后排放</w:t>
                  </w:r>
                  <w:r>
                    <w:rPr>
                      <w:rFonts w:hint="default" w:ascii="Times New Roman" w:hAnsi="Times New Roman" w:eastAsia="宋体" w:cs="Times New Roman"/>
                      <w:b w:val="0"/>
                      <w:bCs w:val="0"/>
                      <w:color w:val="000000"/>
                      <w:sz w:val="21"/>
                      <w:szCs w:val="21"/>
                      <w:vertAlign w:val="baseline"/>
                      <w:lang w:val="en-US" w:eastAsia="zh-CN"/>
                    </w:rPr>
                    <w:t>。</w:t>
                  </w:r>
                </w:p>
              </w:tc>
              <w:tc>
                <w:tcPr>
                  <w:tcW w:w="591" w:type="pct"/>
                  <w:tcBorders>
                    <w:tl2br w:val="nil"/>
                    <w:tr2bl w:val="nil"/>
                  </w:tcBorders>
                  <w:noWrap w:val="0"/>
                  <w:vAlign w:val="center"/>
                </w:tcPr>
                <w:p w14:paraId="076D4BE7">
                  <w:pPr>
                    <w:pStyle w:val="95"/>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ascii="Times New Roman" w:cs="Times New Roman"/>
                      <w:bCs/>
                      <w:color w:val="auto"/>
                      <w:sz w:val="21"/>
                      <w:szCs w:val="21"/>
                      <w:highlight w:val="none"/>
                    </w:rPr>
                  </w:pPr>
                  <w:r>
                    <w:rPr>
                      <w:rFonts w:hint="eastAsia" w:cs="Times New Roman"/>
                      <w:bCs/>
                      <w:color w:val="auto"/>
                      <w:sz w:val="21"/>
                      <w:szCs w:val="21"/>
                      <w:highlight w:val="none"/>
                      <w:lang w:val="en-US" w:eastAsia="zh-CN"/>
                    </w:rPr>
                    <w:t>无须设置</w:t>
                  </w:r>
                </w:p>
              </w:tc>
            </w:tr>
            <w:tr w14:paraId="63C2E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95" w:type="pct"/>
                  <w:tcBorders>
                    <w:tl2br w:val="nil"/>
                    <w:tr2bl w:val="nil"/>
                  </w:tcBorders>
                  <w:noWrap w:val="0"/>
                  <w:vAlign w:val="center"/>
                </w:tcPr>
                <w:p w14:paraId="0129E288">
                  <w:pPr>
                    <w:pStyle w:val="95"/>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ascii="Times New Roman" w:cs="Times New Roman"/>
                      <w:bCs/>
                      <w:color w:val="auto"/>
                      <w:sz w:val="21"/>
                      <w:szCs w:val="21"/>
                      <w:highlight w:val="none"/>
                    </w:rPr>
                  </w:pPr>
                  <w:r>
                    <w:rPr>
                      <w:rFonts w:ascii="Times New Roman" w:cs="Times New Roman"/>
                      <w:bCs/>
                      <w:color w:val="auto"/>
                      <w:sz w:val="21"/>
                      <w:szCs w:val="21"/>
                      <w:highlight w:val="none"/>
                    </w:rPr>
                    <w:t>环境风险</w:t>
                  </w:r>
                </w:p>
              </w:tc>
              <w:tc>
                <w:tcPr>
                  <w:tcW w:w="1711" w:type="pct"/>
                  <w:tcBorders>
                    <w:tl2br w:val="nil"/>
                    <w:tr2bl w:val="nil"/>
                  </w:tcBorders>
                  <w:noWrap w:val="0"/>
                  <w:vAlign w:val="center"/>
                </w:tcPr>
                <w:p w14:paraId="28AA58EA">
                  <w:pPr>
                    <w:pStyle w:val="95"/>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ascii="Times New Roman" w:cs="Times New Roman"/>
                      <w:bCs/>
                      <w:color w:val="auto"/>
                      <w:sz w:val="21"/>
                      <w:szCs w:val="21"/>
                      <w:highlight w:val="none"/>
                    </w:rPr>
                  </w:pPr>
                  <w:r>
                    <w:rPr>
                      <w:rFonts w:ascii="Times New Roman" w:cs="Times New Roman"/>
                      <w:bCs/>
                      <w:color w:val="auto"/>
                      <w:sz w:val="21"/>
                      <w:szCs w:val="21"/>
                      <w:highlight w:val="none"/>
                    </w:rPr>
                    <w:t>有毒有害和易燃易爆危险物质存储量超过临界量的建设项目</w:t>
                  </w:r>
                </w:p>
              </w:tc>
              <w:tc>
                <w:tcPr>
                  <w:tcW w:w="1800" w:type="pct"/>
                  <w:tcBorders>
                    <w:tl2br w:val="nil"/>
                    <w:tr2bl w:val="nil"/>
                  </w:tcBorders>
                  <w:noWrap w:val="0"/>
                  <w:vAlign w:val="center"/>
                </w:tcPr>
                <w:p w14:paraId="151BD346">
                  <w:pPr>
                    <w:pStyle w:val="95"/>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ascii="Times New Roman" w:cs="Times New Roman"/>
                      <w:bCs/>
                      <w:color w:val="auto"/>
                      <w:sz w:val="21"/>
                      <w:szCs w:val="21"/>
                      <w:highlight w:val="none"/>
                    </w:rPr>
                  </w:pPr>
                  <w:r>
                    <w:rPr>
                      <w:rFonts w:hint="eastAsia" w:ascii="Times New Roman" w:cs="Times New Roman"/>
                      <w:bCs/>
                      <w:color w:val="auto"/>
                      <w:sz w:val="21"/>
                      <w:szCs w:val="21"/>
                      <w:highlight w:val="none"/>
                      <w:lang w:val="en-US" w:eastAsia="zh-CN"/>
                    </w:rPr>
                    <w:t>本项目使用的</w:t>
                  </w:r>
                  <w:r>
                    <w:rPr>
                      <w:rFonts w:ascii="Times New Roman" w:cs="Times New Roman"/>
                      <w:bCs/>
                      <w:color w:val="auto"/>
                      <w:sz w:val="21"/>
                      <w:szCs w:val="21"/>
                      <w:highlight w:val="none"/>
                    </w:rPr>
                    <w:t>有毒有害和易燃易爆危险物质</w:t>
                  </w:r>
                  <w:r>
                    <w:rPr>
                      <w:rFonts w:hint="eastAsia" w:ascii="Times New Roman" w:cs="Times New Roman"/>
                      <w:bCs/>
                      <w:color w:val="auto"/>
                      <w:sz w:val="21"/>
                      <w:szCs w:val="21"/>
                      <w:highlight w:val="none"/>
                      <w:lang w:val="en-US" w:eastAsia="zh-CN"/>
                    </w:rPr>
                    <w:t>未</w:t>
                  </w:r>
                  <w:r>
                    <w:rPr>
                      <w:rFonts w:ascii="Times New Roman" w:cs="Times New Roman"/>
                      <w:bCs/>
                      <w:color w:val="auto"/>
                      <w:sz w:val="21"/>
                      <w:szCs w:val="21"/>
                      <w:highlight w:val="none"/>
                    </w:rPr>
                    <w:t>超过临界量。</w:t>
                  </w:r>
                </w:p>
              </w:tc>
              <w:tc>
                <w:tcPr>
                  <w:tcW w:w="591" w:type="pct"/>
                  <w:tcBorders>
                    <w:tl2br w:val="nil"/>
                    <w:tr2bl w:val="nil"/>
                  </w:tcBorders>
                  <w:noWrap w:val="0"/>
                  <w:vAlign w:val="center"/>
                </w:tcPr>
                <w:p w14:paraId="123ED1B7">
                  <w:pPr>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ascii="Times New Roman" w:cs="Times New Roman"/>
                      <w:bCs/>
                      <w:color w:val="auto"/>
                      <w:sz w:val="21"/>
                      <w:szCs w:val="21"/>
                      <w:highlight w:val="none"/>
                    </w:rPr>
                  </w:pPr>
                  <w:r>
                    <w:rPr>
                      <w:rFonts w:hint="eastAsia" w:cs="Times New Roman"/>
                      <w:bCs/>
                      <w:color w:val="auto"/>
                      <w:sz w:val="21"/>
                      <w:szCs w:val="21"/>
                      <w:highlight w:val="none"/>
                      <w:lang w:val="en-US" w:eastAsia="zh-CN"/>
                    </w:rPr>
                    <w:t>无须设置</w:t>
                  </w:r>
                </w:p>
              </w:tc>
            </w:tr>
            <w:tr w14:paraId="40A10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95" w:type="pct"/>
                  <w:tcBorders>
                    <w:tl2br w:val="nil"/>
                    <w:tr2bl w:val="nil"/>
                  </w:tcBorders>
                  <w:noWrap w:val="0"/>
                  <w:vAlign w:val="center"/>
                </w:tcPr>
                <w:p w14:paraId="04B491EA">
                  <w:pPr>
                    <w:pStyle w:val="95"/>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ascii="Times New Roman" w:cs="Times New Roman"/>
                      <w:bCs/>
                      <w:color w:val="auto"/>
                      <w:sz w:val="21"/>
                      <w:szCs w:val="21"/>
                      <w:highlight w:val="none"/>
                    </w:rPr>
                  </w:pPr>
                  <w:r>
                    <w:rPr>
                      <w:rFonts w:ascii="Times New Roman" w:cs="Times New Roman"/>
                      <w:bCs/>
                      <w:color w:val="auto"/>
                      <w:sz w:val="21"/>
                      <w:szCs w:val="21"/>
                      <w:highlight w:val="none"/>
                    </w:rPr>
                    <w:t>生态</w:t>
                  </w:r>
                </w:p>
              </w:tc>
              <w:tc>
                <w:tcPr>
                  <w:tcW w:w="1711" w:type="pct"/>
                  <w:tcBorders>
                    <w:tl2br w:val="nil"/>
                    <w:tr2bl w:val="nil"/>
                  </w:tcBorders>
                  <w:noWrap w:val="0"/>
                  <w:vAlign w:val="center"/>
                </w:tcPr>
                <w:p w14:paraId="42BFE599">
                  <w:pPr>
                    <w:pStyle w:val="95"/>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ascii="Times New Roman" w:cs="Times New Roman"/>
                      <w:bCs/>
                      <w:color w:val="auto"/>
                      <w:sz w:val="21"/>
                      <w:szCs w:val="21"/>
                      <w:highlight w:val="none"/>
                    </w:rPr>
                  </w:pPr>
                  <w:r>
                    <w:rPr>
                      <w:rFonts w:ascii="Times New Roman" w:cs="Times New Roman"/>
                      <w:bCs/>
                      <w:color w:val="auto"/>
                      <w:sz w:val="21"/>
                      <w:szCs w:val="21"/>
                      <w:highlight w:val="none"/>
                    </w:rPr>
                    <w:t>取水口下游500米范围内有重要水生生物的自然产卵场、索饵场、越冬场和洄游通道的新增河道取水的污染类建设项目</w:t>
                  </w:r>
                </w:p>
              </w:tc>
              <w:tc>
                <w:tcPr>
                  <w:tcW w:w="1800" w:type="pct"/>
                  <w:tcBorders>
                    <w:tl2br w:val="nil"/>
                    <w:tr2bl w:val="nil"/>
                  </w:tcBorders>
                  <w:noWrap w:val="0"/>
                  <w:vAlign w:val="center"/>
                </w:tcPr>
                <w:p w14:paraId="32C20584">
                  <w:pPr>
                    <w:pStyle w:val="95"/>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ascii="Times New Roman" w:cs="Times New Roman"/>
                      <w:bCs/>
                      <w:color w:val="auto"/>
                      <w:sz w:val="21"/>
                      <w:szCs w:val="21"/>
                      <w:highlight w:val="none"/>
                    </w:rPr>
                  </w:pPr>
                  <w:r>
                    <w:rPr>
                      <w:rFonts w:ascii="Times New Roman" w:cs="Times New Roman"/>
                      <w:bCs/>
                      <w:color w:val="auto"/>
                      <w:sz w:val="21"/>
                      <w:szCs w:val="21"/>
                      <w:highlight w:val="none"/>
                    </w:rPr>
                    <w:t>本项目不新增河道取水。</w:t>
                  </w:r>
                </w:p>
              </w:tc>
              <w:tc>
                <w:tcPr>
                  <w:tcW w:w="591" w:type="pct"/>
                  <w:tcBorders>
                    <w:tl2br w:val="nil"/>
                    <w:tr2bl w:val="nil"/>
                  </w:tcBorders>
                  <w:noWrap w:val="0"/>
                  <w:vAlign w:val="center"/>
                </w:tcPr>
                <w:p w14:paraId="02132022">
                  <w:pPr>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ascii="Times New Roman" w:cs="Times New Roman"/>
                      <w:bCs/>
                      <w:color w:val="auto"/>
                      <w:sz w:val="21"/>
                      <w:szCs w:val="21"/>
                      <w:highlight w:val="none"/>
                    </w:rPr>
                  </w:pPr>
                  <w:r>
                    <w:rPr>
                      <w:rFonts w:hint="eastAsia" w:cs="Times New Roman"/>
                      <w:bCs/>
                      <w:color w:val="auto"/>
                      <w:sz w:val="21"/>
                      <w:szCs w:val="21"/>
                      <w:highlight w:val="none"/>
                      <w:lang w:val="en-US" w:eastAsia="zh-CN"/>
                    </w:rPr>
                    <w:t>无须设置</w:t>
                  </w:r>
                </w:p>
              </w:tc>
            </w:tr>
            <w:tr w14:paraId="1612E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95" w:type="pct"/>
                  <w:tcBorders>
                    <w:tl2br w:val="nil"/>
                    <w:tr2bl w:val="nil"/>
                  </w:tcBorders>
                  <w:noWrap w:val="0"/>
                  <w:vAlign w:val="center"/>
                </w:tcPr>
                <w:p w14:paraId="7D08898F">
                  <w:pPr>
                    <w:pStyle w:val="95"/>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ascii="Times New Roman" w:cs="Times New Roman"/>
                      <w:bCs/>
                      <w:color w:val="auto"/>
                      <w:sz w:val="21"/>
                      <w:szCs w:val="21"/>
                      <w:highlight w:val="none"/>
                    </w:rPr>
                  </w:pPr>
                  <w:r>
                    <w:rPr>
                      <w:rFonts w:ascii="Times New Roman" w:cs="Times New Roman"/>
                      <w:bCs/>
                      <w:color w:val="auto"/>
                      <w:sz w:val="21"/>
                      <w:szCs w:val="21"/>
                      <w:highlight w:val="none"/>
                    </w:rPr>
                    <w:t>海洋</w:t>
                  </w:r>
                </w:p>
              </w:tc>
              <w:tc>
                <w:tcPr>
                  <w:tcW w:w="1711" w:type="pct"/>
                  <w:tcBorders>
                    <w:tl2br w:val="nil"/>
                    <w:tr2bl w:val="nil"/>
                  </w:tcBorders>
                  <w:noWrap w:val="0"/>
                  <w:vAlign w:val="center"/>
                </w:tcPr>
                <w:p w14:paraId="39BFF3E9">
                  <w:pPr>
                    <w:pStyle w:val="95"/>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ascii="Times New Roman" w:cs="Times New Roman"/>
                      <w:bCs/>
                      <w:color w:val="auto"/>
                      <w:sz w:val="21"/>
                      <w:szCs w:val="21"/>
                      <w:highlight w:val="none"/>
                    </w:rPr>
                  </w:pPr>
                  <w:r>
                    <w:rPr>
                      <w:rFonts w:ascii="Times New Roman" w:cs="Times New Roman"/>
                      <w:bCs/>
                      <w:color w:val="auto"/>
                      <w:sz w:val="21"/>
                      <w:szCs w:val="21"/>
                      <w:highlight w:val="none"/>
                    </w:rPr>
                    <w:t>直接向海排放污染物的海洋工程建设项目</w:t>
                  </w:r>
                </w:p>
              </w:tc>
              <w:tc>
                <w:tcPr>
                  <w:tcW w:w="1800" w:type="pct"/>
                  <w:tcBorders>
                    <w:tl2br w:val="nil"/>
                    <w:tr2bl w:val="nil"/>
                  </w:tcBorders>
                  <w:noWrap w:val="0"/>
                  <w:vAlign w:val="center"/>
                </w:tcPr>
                <w:p w14:paraId="4C6C9E11">
                  <w:pPr>
                    <w:pStyle w:val="95"/>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ascii="Times New Roman" w:cs="Times New Roman"/>
                      <w:bCs/>
                      <w:color w:val="auto"/>
                      <w:sz w:val="21"/>
                      <w:szCs w:val="21"/>
                      <w:highlight w:val="none"/>
                    </w:rPr>
                  </w:pPr>
                  <w:r>
                    <w:rPr>
                      <w:rFonts w:ascii="Times New Roman" w:cs="Times New Roman"/>
                      <w:bCs/>
                      <w:color w:val="auto"/>
                      <w:sz w:val="21"/>
                      <w:szCs w:val="21"/>
                      <w:highlight w:val="none"/>
                    </w:rPr>
                    <w:t>本项</w:t>
                  </w:r>
                  <w:r>
                    <w:rPr>
                      <w:rFonts w:hint="eastAsia" w:cs="Times New Roman"/>
                      <w:bCs/>
                      <w:color w:val="auto"/>
                      <w:sz w:val="21"/>
                      <w:szCs w:val="21"/>
                      <w:highlight w:val="none"/>
                      <w:lang w:eastAsia="zh-CN"/>
                    </w:rPr>
                    <w:t>目是</w:t>
                  </w:r>
                  <w:r>
                    <w:rPr>
                      <w:rFonts w:ascii="Times New Roman" w:cs="Times New Roman"/>
                      <w:bCs/>
                      <w:color w:val="auto"/>
                      <w:sz w:val="21"/>
                      <w:szCs w:val="21"/>
                      <w:highlight w:val="none"/>
                    </w:rPr>
                    <w:t>非直接向海排放污染物的海洋工程。</w:t>
                  </w:r>
                </w:p>
              </w:tc>
              <w:tc>
                <w:tcPr>
                  <w:tcW w:w="591" w:type="pct"/>
                  <w:tcBorders>
                    <w:tl2br w:val="nil"/>
                    <w:tr2bl w:val="nil"/>
                  </w:tcBorders>
                  <w:noWrap w:val="0"/>
                  <w:vAlign w:val="center"/>
                </w:tcPr>
                <w:p w14:paraId="4BB6FF70">
                  <w:pPr>
                    <w:keepNext w:val="0"/>
                    <w:keepLines w:val="0"/>
                    <w:pageBreakBefore w:val="0"/>
                    <w:kinsoku/>
                    <w:wordWrap/>
                    <w:overflowPunct/>
                    <w:topLinePunct w:val="0"/>
                    <w:bidi w:val="0"/>
                    <w:adjustRightInd/>
                    <w:snapToGrid/>
                    <w:spacing w:before="0" w:after="0" w:line="240" w:lineRule="auto"/>
                    <w:ind w:firstLine="0" w:firstLineChars="0"/>
                    <w:jc w:val="center"/>
                    <w:textAlignment w:val="auto"/>
                    <w:rPr>
                      <w:rFonts w:hint="default" w:ascii="Times New Roman" w:cs="Times New Roman"/>
                      <w:bCs/>
                      <w:color w:val="auto"/>
                      <w:sz w:val="21"/>
                      <w:szCs w:val="21"/>
                      <w:highlight w:val="none"/>
                      <w:lang w:val="en-US"/>
                    </w:rPr>
                  </w:pPr>
                  <w:r>
                    <w:rPr>
                      <w:rFonts w:hint="eastAsia" w:cs="Times New Roman"/>
                      <w:bCs/>
                      <w:color w:val="auto"/>
                      <w:sz w:val="21"/>
                      <w:szCs w:val="21"/>
                      <w:highlight w:val="none"/>
                      <w:lang w:val="en-US" w:eastAsia="zh-CN"/>
                    </w:rPr>
                    <w:t>无须设置</w:t>
                  </w:r>
                </w:p>
              </w:tc>
            </w:tr>
          </w:tbl>
          <w:p w14:paraId="6ED01B3B">
            <w:pPr>
              <w:pageBreakBefore w:val="0"/>
              <w:kinsoku/>
              <w:wordWrap/>
              <w:overflowPunct/>
              <w:topLinePunct w:val="0"/>
              <w:autoSpaceDE w:val="0"/>
              <w:autoSpaceDN w:val="0"/>
              <w:bidi w:val="0"/>
              <w:adjustRightInd w:val="0"/>
              <w:snapToGrid/>
              <w:ind w:firstLine="0" w:firstLineChars="0"/>
              <w:jc w:val="center"/>
              <w:textAlignment w:val="auto"/>
              <w:rPr>
                <w:rFonts w:hint="default" w:ascii="Times New Roman" w:hAnsi="Times New Roman" w:eastAsia="宋体" w:cs="Times New Roman"/>
                <w:color w:val="auto"/>
                <w:kern w:val="0"/>
                <w:szCs w:val="21"/>
                <w:highlight w:val="none"/>
                <w:lang w:val="en-US" w:eastAsia="zh-CN"/>
              </w:rPr>
            </w:pPr>
          </w:p>
        </w:tc>
      </w:tr>
      <w:tr w14:paraId="674EE7C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076" w:hRule="atLeast"/>
          <w:jc w:val="center"/>
        </w:trPr>
        <w:tc>
          <w:tcPr>
            <w:tcW w:w="658" w:type="pct"/>
            <w:tcBorders>
              <w:tl2br w:val="nil"/>
              <w:tr2bl w:val="nil"/>
            </w:tcBorders>
            <w:noWrap w:val="0"/>
            <w:vAlign w:val="center"/>
          </w:tcPr>
          <w:p w14:paraId="11CA6AA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b/>
                <w:bCs/>
                <w:color w:val="auto"/>
                <w:kern w:val="0"/>
                <w:sz w:val="24"/>
                <w:szCs w:val="24"/>
                <w:highlight w:val="none"/>
              </w:rPr>
            </w:pPr>
            <w:r>
              <w:rPr>
                <w:rFonts w:hint="eastAsia" w:ascii="宋体" w:hAnsi="宋体" w:cs="宋体"/>
                <w:b/>
                <w:bCs/>
                <w:color w:val="auto"/>
                <w:sz w:val="24"/>
                <w:szCs w:val="24"/>
                <w:highlight w:val="none"/>
              </w:rPr>
              <w:t>规划情况</w:t>
            </w:r>
          </w:p>
        </w:tc>
        <w:tc>
          <w:tcPr>
            <w:tcW w:w="4341" w:type="pct"/>
            <w:gridSpan w:val="3"/>
            <w:tcBorders>
              <w:tl2br w:val="nil"/>
              <w:tr2bl w:val="nil"/>
            </w:tcBorders>
            <w:noWrap w:val="0"/>
            <w:vAlign w:val="center"/>
          </w:tcPr>
          <w:p w14:paraId="51355E7D">
            <w:pPr>
              <w:keepNext w:val="0"/>
              <w:keepLines w:val="0"/>
              <w:widowControl/>
              <w:suppressLineNumbers w:val="0"/>
              <w:ind w:left="0" w:leftChars="0" w:firstLine="0" w:firstLineChars="0"/>
              <w:jc w:val="left"/>
              <w:rPr>
                <w:rFonts w:hint="default" w:cs="Times New Roman"/>
                <w:color w:val="auto"/>
                <w:highlight w:val="none"/>
                <w:lang w:val="en-US" w:eastAsia="zh-CN"/>
              </w:rPr>
            </w:pPr>
            <w:r>
              <w:rPr>
                <w:rFonts w:hint="default" w:cs="Times New Roman"/>
                <w:b/>
                <w:bCs/>
                <w:color w:val="auto"/>
                <w:highlight w:val="none"/>
                <w:lang w:val="en-US" w:eastAsia="zh-CN"/>
              </w:rPr>
              <w:t>规划名称</w:t>
            </w:r>
            <w:r>
              <w:rPr>
                <w:rFonts w:hint="default" w:cs="Times New Roman"/>
                <w:color w:val="auto"/>
                <w:highlight w:val="none"/>
                <w:lang w:val="en-US" w:eastAsia="zh-CN"/>
              </w:rPr>
              <w:t>：《</w:t>
            </w:r>
            <w:bookmarkStart w:id="4" w:name="OLE_LINK1"/>
            <w:r>
              <w:rPr>
                <w:rFonts w:hint="default" w:cs="Times New Roman"/>
                <w:color w:val="auto"/>
                <w:highlight w:val="none"/>
                <w:lang w:val="en-US" w:eastAsia="zh-CN"/>
              </w:rPr>
              <w:t>安徽青阳经济开发区总体发展规划</w:t>
            </w:r>
            <w:bookmarkEnd w:id="4"/>
            <w:r>
              <w:rPr>
                <w:rFonts w:hint="default" w:cs="Times New Roman"/>
                <w:color w:val="auto"/>
                <w:highlight w:val="none"/>
                <w:lang w:val="en-US" w:eastAsia="zh-CN"/>
              </w:rPr>
              <w:t>（2021</w:t>
            </w:r>
            <w:r>
              <w:rPr>
                <w:rFonts w:hint="eastAsia" w:cs="Times New Roman"/>
                <w:color w:val="auto"/>
                <w:highlight w:val="none"/>
                <w:lang w:val="en-US" w:eastAsia="zh-CN"/>
              </w:rPr>
              <w:t>—</w:t>
            </w:r>
            <w:r>
              <w:rPr>
                <w:rFonts w:hint="default" w:cs="Times New Roman"/>
                <w:color w:val="auto"/>
                <w:highlight w:val="none"/>
                <w:lang w:val="en-US" w:eastAsia="zh-CN"/>
              </w:rPr>
              <w:t>2030年）》</w:t>
            </w:r>
          </w:p>
          <w:p w14:paraId="75B778D1">
            <w:pPr>
              <w:keepNext w:val="0"/>
              <w:keepLines w:val="0"/>
              <w:widowControl/>
              <w:suppressLineNumbers w:val="0"/>
              <w:ind w:left="0" w:leftChars="0" w:firstLine="0" w:firstLineChars="0"/>
              <w:jc w:val="left"/>
              <w:rPr>
                <w:rFonts w:hint="default" w:cs="Times New Roman"/>
                <w:color w:val="auto"/>
                <w:highlight w:val="none"/>
                <w:lang w:val="en-US" w:eastAsia="zh-CN"/>
              </w:rPr>
            </w:pPr>
            <w:r>
              <w:rPr>
                <w:rFonts w:hint="default" w:cs="Times New Roman"/>
                <w:b/>
                <w:bCs/>
                <w:color w:val="auto"/>
                <w:highlight w:val="none"/>
                <w:lang w:val="en-US" w:eastAsia="zh-CN"/>
              </w:rPr>
              <w:t>审批机关</w:t>
            </w:r>
            <w:r>
              <w:rPr>
                <w:rFonts w:hint="default" w:cs="Times New Roman"/>
                <w:color w:val="auto"/>
                <w:highlight w:val="none"/>
                <w:lang w:val="en-US" w:eastAsia="zh-CN"/>
              </w:rPr>
              <w:t>：安徽省人民政府</w:t>
            </w:r>
          </w:p>
          <w:p w14:paraId="44D10C9F">
            <w:pPr>
              <w:keepNext w:val="0"/>
              <w:keepLines w:val="0"/>
              <w:widowControl/>
              <w:suppressLineNumbers w:val="0"/>
              <w:ind w:left="0" w:leftChars="0" w:firstLine="0" w:firstLineChars="0"/>
              <w:jc w:val="left"/>
              <w:rPr>
                <w:rFonts w:hint="default" w:cs="Times New Roman"/>
                <w:color w:val="auto"/>
                <w:highlight w:val="none"/>
                <w:lang w:val="en-US" w:eastAsia="zh-CN"/>
              </w:rPr>
            </w:pPr>
            <w:r>
              <w:rPr>
                <w:rFonts w:hint="default" w:cs="Times New Roman"/>
                <w:b/>
                <w:bCs/>
                <w:color w:val="auto"/>
                <w:highlight w:val="none"/>
                <w:lang w:val="en-US" w:eastAsia="zh-CN"/>
              </w:rPr>
              <w:t>审批文件</w:t>
            </w:r>
            <w:r>
              <w:rPr>
                <w:rFonts w:hint="default" w:cs="Times New Roman"/>
                <w:color w:val="auto"/>
                <w:highlight w:val="none"/>
                <w:lang w:val="en-US" w:eastAsia="zh-CN"/>
              </w:rPr>
              <w:t>：</w:t>
            </w:r>
            <w:r>
              <w:rPr>
                <w:rFonts w:hint="eastAsia" w:cs="Times New Roman"/>
                <w:color w:val="auto"/>
                <w:highlight w:val="none"/>
                <w:lang w:val="en-US" w:eastAsia="zh-CN"/>
              </w:rPr>
              <w:t>《安徽青阳经济开发区总体发展规划》（2021—2030年）的批复</w:t>
            </w:r>
          </w:p>
          <w:p w14:paraId="1238A9E3">
            <w:pPr>
              <w:keepNext w:val="0"/>
              <w:keepLines w:val="0"/>
              <w:widowControl/>
              <w:suppressLineNumbers w:val="0"/>
              <w:ind w:left="0" w:leftChars="0" w:firstLine="0" w:firstLineChars="0"/>
              <w:jc w:val="left"/>
              <w:rPr>
                <w:rFonts w:hint="default" w:cs="Times New Roman"/>
                <w:color w:val="auto"/>
                <w:highlight w:val="none"/>
                <w:lang w:val="en-US" w:eastAsia="zh-CN"/>
              </w:rPr>
            </w:pPr>
            <w:r>
              <w:rPr>
                <w:rFonts w:hint="default" w:cs="Times New Roman"/>
                <w:b/>
                <w:bCs/>
                <w:color w:val="auto"/>
                <w:highlight w:val="none"/>
                <w:lang w:val="en-US" w:eastAsia="zh-CN"/>
              </w:rPr>
              <w:t>审批文号</w:t>
            </w:r>
            <w:r>
              <w:rPr>
                <w:rFonts w:hint="default" w:cs="Times New Roman"/>
                <w:color w:val="auto"/>
                <w:highlight w:val="none"/>
                <w:lang w:val="en-US" w:eastAsia="zh-CN"/>
              </w:rPr>
              <w:t>：皖政秘〔2021〕194号</w:t>
            </w:r>
          </w:p>
        </w:tc>
      </w:tr>
      <w:tr w14:paraId="451B6BA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206" w:hRule="atLeast"/>
          <w:jc w:val="center"/>
        </w:trPr>
        <w:tc>
          <w:tcPr>
            <w:tcW w:w="658" w:type="pct"/>
            <w:tcBorders>
              <w:tl2br w:val="nil"/>
              <w:tr2bl w:val="nil"/>
            </w:tcBorders>
            <w:noWrap w:val="0"/>
            <w:vAlign w:val="center"/>
          </w:tcPr>
          <w:p w14:paraId="796FF2BA">
            <w:pPr>
              <w:keepNext w:val="0"/>
              <w:keepLines w:val="0"/>
              <w:pageBreakBefore w:val="0"/>
              <w:widowControl w:val="0"/>
              <w:kinsoku/>
              <w:wordWrap/>
              <w:overflowPunct/>
              <w:topLinePunct w:val="0"/>
              <w:bidi w:val="0"/>
              <w:adjustRightInd w:val="0"/>
              <w:snapToGrid/>
              <w:spacing w:line="240" w:lineRule="auto"/>
              <w:ind w:firstLine="0" w:firstLineChars="0"/>
              <w:jc w:val="center"/>
              <w:textAlignment w:val="auto"/>
              <w:rPr>
                <w:rFonts w:hint="eastAsia" w:ascii="宋体" w:hAnsi="宋体" w:cs="宋体"/>
                <w:b/>
                <w:bCs/>
                <w:color w:val="auto"/>
                <w:kern w:val="0"/>
                <w:sz w:val="24"/>
                <w:szCs w:val="24"/>
                <w:highlight w:val="none"/>
              </w:rPr>
            </w:pPr>
            <w:r>
              <w:rPr>
                <w:rFonts w:hint="eastAsia" w:ascii="宋体" w:hAnsi="宋体" w:cs="宋体"/>
                <w:b/>
                <w:bCs/>
                <w:color w:val="auto"/>
                <w:sz w:val="24"/>
                <w:szCs w:val="24"/>
                <w:highlight w:val="none"/>
              </w:rPr>
              <w:t>规划环境影响评价情况</w:t>
            </w:r>
          </w:p>
        </w:tc>
        <w:tc>
          <w:tcPr>
            <w:tcW w:w="4341" w:type="pct"/>
            <w:gridSpan w:val="3"/>
            <w:tcBorders>
              <w:tl2br w:val="nil"/>
              <w:tr2bl w:val="nil"/>
            </w:tcBorders>
            <w:noWrap w:val="0"/>
            <w:vAlign w:val="center"/>
          </w:tcPr>
          <w:p w14:paraId="33A97AF9">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b/>
                <w:bCs/>
                <w:color w:val="auto"/>
                <w:kern w:val="0"/>
                <w:szCs w:val="21"/>
                <w:highlight w:val="none"/>
                <w:lang w:val="en-US" w:eastAsia="zh-CN"/>
              </w:rPr>
              <w:t>规划环境影响评价文件名称</w:t>
            </w:r>
            <w:r>
              <w:rPr>
                <w:rFonts w:hint="default" w:ascii="Times New Roman" w:hAnsi="Times New Roman" w:eastAsia="宋体" w:cs="Times New Roman"/>
                <w:color w:val="auto"/>
                <w:kern w:val="0"/>
                <w:szCs w:val="21"/>
                <w:highlight w:val="none"/>
                <w:lang w:val="en-US" w:eastAsia="zh-CN"/>
              </w:rPr>
              <w:t>：《安徽青阳经济开发区总体发展规划（2021</w:t>
            </w:r>
            <w:r>
              <w:rPr>
                <w:rFonts w:hint="eastAsia" w:cs="Times New Roman"/>
                <w:color w:val="auto"/>
                <w:kern w:val="0"/>
                <w:szCs w:val="21"/>
                <w:highlight w:val="none"/>
                <w:lang w:val="en-US" w:eastAsia="zh-CN"/>
              </w:rPr>
              <w:t>—</w:t>
            </w:r>
            <w:r>
              <w:rPr>
                <w:rFonts w:hint="default" w:ascii="Times New Roman" w:hAnsi="Times New Roman" w:eastAsia="宋体" w:cs="Times New Roman"/>
                <w:color w:val="auto"/>
                <w:kern w:val="0"/>
                <w:szCs w:val="21"/>
                <w:highlight w:val="none"/>
                <w:lang w:val="en-US" w:eastAsia="zh-CN"/>
              </w:rPr>
              <w:t>2030年）环境影响报告书》</w:t>
            </w:r>
          </w:p>
          <w:p w14:paraId="033B6AB8">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b/>
                <w:bCs/>
                <w:color w:val="auto"/>
                <w:kern w:val="0"/>
                <w:szCs w:val="21"/>
                <w:highlight w:val="none"/>
                <w:lang w:val="en-US" w:eastAsia="zh-CN"/>
              </w:rPr>
              <w:t>审查机关</w:t>
            </w:r>
            <w:r>
              <w:rPr>
                <w:rFonts w:hint="default" w:ascii="Times New Roman" w:hAnsi="Times New Roman" w:eastAsia="宋体" w:cs="Times New Roman"/>
                <w:color w:val="auto"/>
                <w:kern w:val="0"/>
                <w:szCs w:val="21"/>
                <w:highlight w:val="none"/>
                <w:lang w:val="en-US" w:eastAsia="zh-CN"/>
              </w:rPr>
              <w:t>：安徽省生态环境厅</w:t>
            </w:r>
          </w:p>
          <w:p w14:paraId="276CAA45">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b/>
                <w:bCs/>
                <w:color w:val="auto"/>
                <w:kern w:val="0"/>
                <w:szCs w:val="21"/>
                <w:highlight w:val="none"/>
                <w:lang w:val="en-US" w:eastAsia="zh-CN"/>
              </w:rPr>
              <w:t>审查文件文号</w:t>
            </w:r>
            <w:r>
              <w:rPr>
                <w:rFonts w:hint="default" w:ascii="Times New Roman" w:hAnsi="Times New Roman" w:eastAsia="宋体" w:cs="Times New Roman"/>
                <w:color w:val="auto"/>
                <w:kern w:val="0"/>
                <w:szCs w:val="21"/>
                <w:highlight w:val="none"/>
                <w:lang w:val="en-US" w:eastAsia="zh-CN"/>
              </w:rPr>
              <w:t>：皖环函〔2021〕701号</w:t>
            </w:r>
          </w:p>
        </w:tc>
      </w:tr>
      <w:tr w14:paraId="35F0238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59" w:hRule="atLeast"/>
          <w:jc w:val="center"/>
        </w:trPr>
        <w:tc>
          <w:tcPr>
            <w:tcW w:w="658" w:type="pct"/>
            <w:tcBorders>
              <w:tl2br w:val="nil"/>
              <w:tr2bl w:val="nil"/>
            </w:tcBorders>
            <w:noWrap w:val="0"/>
            <w:vAlign w:val="center"/>
          </w:tcPr>
          <w:p w14:paraId="4D27E7E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规划及规划环境影响评价符合性分析</w:t>
            </w:r>
          </w:p>
        </w:tc>
        <w:tc>
          <w:tcPr>
            <w:tcW w:w="4341" w:type="pct"/>
            <w:gridSpan w:val="3"/>
            <w:tcBorders>
              <w:tl2br w:val="nil"/>
              <w:tr2bl w:val="nil"/>
            </w:tcBorders>
            <w:noWrap w:val="0"/>
            <w:vAlign w:val="center"/>
          </w:tcPr>
          <w:p w14:paraId="6D4A34C6">
            <w:pPr>
              <w:keepNext w:val="0"/>
              <w:keepLines w:val="0"/>
              <w:widowControl/>
              <w:numPr>
                <w:ilvl w:val="0"/>
                <w:numId w:val="0"/>
              </w:numPr>
              <w:suppressLineNumbers w:val="0"/>
              <w:ind w:leftChars="0"/>
              <w:jc w:val="left"/>
              <w:rPr>
                <w:rFonts w:hint="default"/>
                <w:b/>
                <w:bCs/>
                <w:color w:val="auto"/>
                <w:highlight w:val="none"/>
                <w:lang w:val="en-US" w:eastAsia="zh-CN"/>
              </w:rPr>
            </w:pPr>
            <w:r>
              <w:rPr>
                <w:rFonts w:hint="eastAsia"/>
                <w:b/>
                <w:bCs/>
                <w:color w:val="auto"/>
                <w:highlight w:val="none"/>
                <w:lang w:val="en-US" w:eastAsia="zh-CN"/>
              </w:rPr>
              <w:t>1、</w:t>
            </w:r>
            <w:r>
              <w:rPr>
                <w:rFonts w:hint="default"/>
                <w:b/>
                <w:bCs/>
                <w:color w:val="auto"/>
                <w:highlight w:val="none"/>
                <w:lang w:val="en-US" w:eastAsia="zh-CN"/>
              </w:rPr>
              <w:t>与《安徽青阳经济开发区总体发展规划（2021</w:t>
            </w:r>
            <w:r>
              <w:rPr>
                <w:rFonts w:hint="eastAsia"/>
                <w:b/>
                <w:bCs/>
                <w:color w:val="auto"/>
                <w:highlight w:val="none"/>
                <w:lang w:val="en-US" w:eastAsia="zh-CN"/>
              </w:rPr>
              <w:t>—</w:t>
            </w:r>
            <w:r>
              <w:rPr>
                <w:rFonts w:hint="default"/>
                <w:b/>
                <w:bCs/>
                <w:color w:val="auto"/>
                <w:highlight w:val="none"/>
                <w:lang w:val="en-US" w:eastAsia="zh-CN"/>
              </w:rPr>
              <w:t>2030年）》符合性分析</w:t>
            </w:r>
          </w:p>
          <w:p w14:paraId="4F557653">
            <w:pPr>
              <w:keepNext w:val="0"/>
              <w:keepLines w:val="0"/>
              <w:widowControl/>
              <w:suppressLineNumbers w:val="0"/>
              <w:jc w:val="left"/>
              <w:rPr>
                <w:rFonts w:hint="default"/>
                <w:color w:val="auto"/>
                <w:highlight w:val="none"/>
              </w:rPr>
            </w:pPr>
            <w:r>
              <w:rPr>
                <w:rFonts w:hint="default"/>
                <w:color w:val="auto"/>
                <w:highlight w:val="none"/>
              </w:rPr>
              <w:t>根据《安徽青阳经济开发区总体发展规划（2021</w:t>
            </w:r>
            <w:r>
              <w:rPr>
                <w:rFonts w:hint="eastAsia"/>
                <w:color w:val="auto"/>
                <w:highlight w:val="none"/>
                <w:lang w:eastAsia="zh-CN"/>
              </w:rPr>
              <w:t>—</w:t>
            </w:r>
            <w:r>
              <w:rPr>
                <w:rFonts w:hint="default"/>
                <w:color w:val="auto"/>
                <w:highlight w:val="none"/>
              </w:rPr>
              <w:t>2030年）》，规划确定青阳经济开发区的发展定位为：“一基地、两示范、三高地”。“一基地”：世界级镁基新材料及轻量化应用示范基地；“两示范”：长三角一体化融合发展示范区、安徽省高质量创新发展示范区；“三高地”：开放发展新高地、绿色低碳发展新高地、现代服务新高地。</w:t>
            </w:r>
          </w:p>
          <w:p w14:paraId="0A899DF0">
            <w:pPr>
              <w:keepNext w:val="0"/>
              <w:keepLines w:val="0"/>
              <w:widowControl/>
              <w:suppressLineNumbers w:val="0"/>
              <w:jc w:val="left"/>
              <w:rPr>
                <w:rFonts w:hint="default"/>
                <w:color w:val="auto"/>
                <w:highlight w:val="none"/>
              </w:rPr>
            </w:pPr>
            <w:r>
              <w:rPr>
                <w:rFonts w:hint="default"/>
                <w:color w:val="auto"/>
                <w:highlight w:val="none"/>
              </w:rPr>
              <w:t>东河园区功能定位：打造科技创新典范，建设前沿产业集聚区、服务经济新引擎。发展重点：围绕高端制造功能，集聚发展特色工艺、关键装备、高端合金、智能装备等前沿产业项目。以童埠园镁基新材料为产业上游，延伸发展工装设备、高端零部件、复材结构件、大型压铸件等先进镁基新材料应用产业；依托存量、布局增量，以科技创新为引擎、智能制造为核心，打造新一代信息技术产业、智能机器人、成套设备、精密工程等产业集群。积极布局生产性服务业，推进研发与转化功能型平台落地，推动重大科技成果转移转化；打造一批市场化运作的共性技术研发和产业促进服务平台，加快吸引行业龙头企业、创新创业企业和专业性服务机构入驻，培育新型孵化器、加速器，实现生产性服务业集约发展。</w:t>
            </w:r>
          </w:p>
          <w:p w14:paraId="620F82B5">
            <w:pPr>
              <w:keepNext w:val="0"/>
              <w:keepLines w:val="0"/>
              <w:widowControl/>
              <w:suppressLineNumbers w:val="0"/>
              <w:jc w:val="left"/>
              <w:rPr>
                <w:rFonts w:hint="default"/>
                <w:color w:val="auto"/>
                <w:highlight w:val="none"/>
              </w:rPr>
            </w:pPr>
            <w:r>
              <w:rPr>
                <w:rFonts w:hint="default"/>
                <w:color w:val="auto"/>
                <w:highlight w:val="none"/>
              </w:rPr>
              <w:t>规划符合性分析：本项目位于安徽青阳经济开发区东河园区，地理位置图详见附图1。根据</w:t>
            </w:r>
            <w:r>
              <w:rPr>
                <w:rFonts w:hint="eastAsia"/>
                <w:color w:val="auto"/>
                <w:highlight w:val="none"/>
                <w:lang w:val="en-US" w:eastAsia="zh-CN"/>
              </w:rPr>
              <w:t>对照</w:t>
            </w:r>
            <w:r>
              <w:rPr>
                <w:rFonts w:hint="default"/>
                <w:color w:val="auto"/>
                <w:highlight w:val="none"/>
              </w:rPr>
              <w:t>《安徽青阳经济开发区总体发展规划（2021-2030）》</w:t>
            </w:r>
            <w:r>
              <w:rPr>
                <w:rFonts w:hint="eastAsia"/>
                <w:color w:val="auto"/>
                <w:highlight w:val="none"/>
                <w:lang w:eastAsia="zh-CN"/>
              </w:rPr>
              <w:t>，</w:t>
            </w:r>
            <w:r>
              <w:rPr>
                <w:rFonts w:hint="eastAsia"/>
                <w:color w:val="auto"/>
                <w:highlight w:val="none"/>
                <w:lang w:val="en-US" w:eastAsia="zh-CN"/>
              </w:rPr>
              <w:t>本</w:t>
            </w:r>
            <w:r>
              <w:rPr>
                <w:rFonts w:hint="default"/>
                <w:color w:val="auto"/>
                <w:highlight w:val="none"/>
              </w:rPr>
              <w:t>项目用地属于规划的工业用地。因此项目的建设符合安徽青阳经济开发区东河园土地利用规划要求。</w:t>
            </w:r>
          </w:p>
          <w:p w14:paraId="21CCEF6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pPr>
            <w:r>
              <w:drawing>
                <wp:inline distT="0" distB="0" distL="114300" distR="114300">
                  <wp:extent cx="3225800" cy="3858260"/>
                  <wp:effectExtent l="0" t="0" r="0" b="2540"/>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icPr>
                        <pic:blipFill>
                          <a:blip r:embed="rId12"/>
                          <a:stretch>
                            <a:fillRect/>
                          </a:stretch>
                        </pic:blipFill>
                        <pic:spPr>
                          <a:xfrm>
                            <a:off x="0" y="0"/>
                            <a:ext cx="3225800" cy="3858260"/>
                          </a:xfrm>
                          <a:prstGeom prst="rect">
                            <a:avLst/>
                          </a:prstGeom>
                          <a:noFill/>
                          <a:ln>
                            <a:noFill/>
                          </a:ln>
                        </pic:spPr>
                      </pic:pic>
                    </a:graphicData>
                  </a:graphic>
                </wp:inline>
              </w:drawing>
            </w:r>
          </w:p>
          <w:p w14:paraId="6D59412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b/>
                <w:bCs/>
                <w:color w:val="auto"/>
                <w:sz w:val="21"/>
                <w:szCs w:val="21"/>
                <w:lang w:val="en-US" w:eastAsia="zh-CN"/>
              </w:rPr>
            </w:pPr>
            <w:r>
              <w:rPr>
                <w:rFonts w:hint="eastAsia"/>
                <w:b/>
                <w:bCs/>
                <w:color w:val="auto"/>
                <w:sz w:val="21"/>
                <w:szCs w:val="21"/>
                <w:lang w:val="en-US" w:eastAsia="zh-CN"/>
              </w:rPr>
              <w:t>图1-1 东和园区用地布局图</w:t>
            </w:r>
          </w:p>
          <w:p w14:paraId="3A844C20">
            <w:pPr>
              <w:bidi w:val="0"/>
              <w:rPr>
                <w:rFonts w:hint="default"/>
                <w:color w:val="auto"/>
                <w:highlight w:val="none"/>
                <w:lang w:val="en-US" w:eastAsia="zh-CN"/>
              </w:rPr>
            </w:pPr>
            <w:r>
              <w:rPr>
                <w:rFonts w:hint="eastAsia"/>
                <w:color w:val="auto"/>
                <w:highlight w:val="none"/>
                <w:lang w:val="en-US" w:eastAsia="zh-CN"/>
              </w:rPr>
              <w:t>本项目</w:t>
            </w:r>
            <w:r>
              <w:rPr>
                <w:rFonts w:hint="default"/>
                <w:color w:val="auto"/>
                <w:highlight w:val="none"/>
                <w:lang w:val="en-US" w:eastAsia="zh-CN"/>
              </w:rPr>
              <w:t>主要产品为超柔工业机器人</w:t>
            </w:r>
            <w:r>
              <w:rPr>
                <w:rFonts w:hint="eastAsia"/>
                <w:color w:val="auto"/>
                <w:highlight w:val="none"/>
                <w:lang w:val="en-US" w:eastAsia="zh-CN"/>
              </w:rPr>
              <w:t>电缆，国民经济行业类别：</w:t>
            </w:r>
            <w:r>
              <w:rPr>
                <w:rFonts w:hint="default" w:ascii="Times New Roman" w:hAnsi="Times New Roman" w:cs="Times New Roman"/>
                <w:color w:val="auto"/>
                <w:szCs w:val="21"/>
                <w:highlight w:val="none"/>
                <w:lang w:val="en-US" w:eastAsia="zh-CN"/>
              </w:rPr>
              <w:t>C3831电线、电缆制造</w:t>
            </w:r>
            <w:r>
              <w:rPr>
                <w:rFonts w:hint="eastAsia"/>
                <w:color w:val="auto"/>
                <w:highlight w:val="none"/>
                <w:lang w:val="en-US" w:eastAsia="zh-CN"/>
              </w:rPr>
              <w:t>，与</w:t>
            </w:r>
            <w:r>
              <w:rPr>
                <w:rFonts w:hint="default"/>
                <w:color w:val="auto"/>
                <w:highlight w:val="none"/>
                <w:lang w:val="en-US" w:eastAsia="zh-CN"/>
              </w:rPr>
              <w:t>《</w:t>
            </w:r>
            <w:r>
              <w:rPr>
                <w:rFonts w:hint="default" w:cs="Times New Roman"/>
                <w:color w:val="auto"/>
                <w:highlight w:val="none"/>
                <w:lang w:val="en-US" w:eastAsia="zh-CN"/>
              </w:rPr>
              <w:t>安徽青阳经济开发区总体发展规划（2021</w:t>
            </w:r>
            <w:r>
              <w:rPr>
                <w:rFonts w:hint="eastAsia" w:cs="Times New Roman"/>
                <w:color w:val="auto"/>
                <w:highlight w:val="none"/>
                <w:lang w:val="en-US" w:eastAsia="zh-CN"/>
              </w:rPr>
              <w:t>—</w:t>
            </w:r>
            <w:r>
              <w:rPr>
                <w:rFonts w:hint="default" w:cs="Times New Roman"/>
                <w:color w:val="auto"/>
                <w:highlight w:val="none"/>
                <w:lang w:val="en-US" w:eastAsia="zh-CN"/>
              </w:rPr>
              <w:t>2030年）</w:t>
            </w:r>
            <w:r>
              <w:rPr>
                <w:rFonts w:hint="default"/>
                <w:color w:val="auto"/>
                <w:highlight w:val="none"/>
                <w:lang w:val="en-US" w:eastAsia="zh-CN"/>
              </w:rPr>
              <w:t>》</w:t>
            </w:r>
            <w:r>
              <w:rPr>
                <w:rFonts w:hint="eastAsia"/>
                <w:color w:val="auto"/>
                <w:highlight w:val="none"/>
                <w:lang w:val="en-US" w:eastAsia="zh-CN"/>
              </w:rPr>
              <w:t>中“</w:t>
            </w:r>
            <w:r>
              <w:rPr>
                <w:rFonts w:hint="default"/>
                <w:color w:val="auto"/>
                <w:highlight w:val="none"/>
              </w:rPr>
              <w:t>围绕高端制造功能，集聚发展特色工艺、关键装备、高端合金、智能装备等前沿产业项目</w:t>
            </w:r>
            <w:r>
              <w:rPr>
                <w:rFonts w:hint="eastAsia"/>
                <w:color w:val="auto"/>
                <w:highlight w:val="none"/>
                <w:lang w:eastAsia="zh-CN"/>
              </w:rPr>
              <w:t>”</w:t>
            </w:r>
            <w:r>
              <w:rPr>
                <w:rFonts w:hint="eastAsia"/>
                <w:color w:val="auto"/>
                <w:highlight w:val="none"/>
                <w:lang w:val="en-US" w:eastAsia="zh-CN"/>
              </w:rPr>
              <w:t>等内容相符</w:t>
            </w:r>
            <w:r>
              <w:rPr>
                <w:rFonts w:hint="default"/>
                <w:color w:val="auto"/>
                <w:highlight w:val="none"/>
                <w:lang w:val="en-US" w:eastAsia="zh-CN"/>
              </w:rPr>
              <w:t>。</w:t>
            </w:r>
          </w:p>
          <w:p w14:paraId="3B832F02">
            <w:pPr>
              <w:rPr>
                <w:rFonts w:hint="eastAsia"/>
                <w:color w:val="auto"/>
                <w:highlight w:val="none"/>
                <w:lang w:val="en-US" w:eastAsia="zh-CN"/>
              </w:rPr>
            </w:pPr>
            <w:r>
              <w:rPr>
                <w:rFonts w:hint="eastAsia"/>
                <w:color w:val="auto"/>
                <w:highlight w:val="none"/>
                <w:lang w:val="en-US" w:eastAsia="zh-CN"/>
              </w:rPr>
              <w:t>综上，本项目的建设从用地性质和行业类别方面分析，与</w:t>
            </w:r>
            <w:r>
              <w:rPr>
                <w:rFonts w:hint="default"/>
                <w:color w:val="auto"/>
                <w:highlight w:val="none"/>
                <w:lang w:val="en-US" w:eastAsia="zh-CN"/>
              </w:rPr>
              <w:t>《</w:t>
            </w:r>
            <w:r>
              <w:rPr>
                <w:rFonts w:hint="default" w:cs="Times New Roman"/>
                <w:color w:val="auto"/>
                <w:highlight w:val="none"/>
                <w:lang w:val="en-US" w:eastAsia="zh-CN"/>
              </w:rPr>
              <w:t>安徽青阳经济开发区总体发展规划（2021</w:t>
            </w:r>
            <w:r>
              <w:rPr>
                <w:rFonts w:hint="eastAsia" w:cs="Times New Roman"/>
                <w:color w:val="auto"/>
                <w:highlight w:val="none"/>
                <w:lang w:val="en-US" w:eastAsia="zh-CN"/>
              </w:rPr>
              <w:t>—</w:t>
            </w:r>
            <w:r>
              <w:rPr>
                <w:rFonts w:hint="default" w:cs="Times New Roman"/>
                <w:color w:val="auto"/>
                <w:highlight w:val="none"/>
                <w:lang w:val="en-US" w:eastAsia="zh-CN"/>
              </w:rPr>
              <w:t>2030年）</w:t>
            </w:r>
            <w:r>
              <w:rPr>
                <w:rFonts w:hint="default"/>
                <w:color w:val="auto"/>
                <w:highlight w:val="none"/>
                <w:lang w:val="en-US" w:eastAsia="zh-CN"/>
              </w:rPr>
              <w:t>》</w:t>
            </w:r>
            <w:r>
              <w:rPr>
                <w:rFonts w:hint="eastAsia"/>
                <w:color w:val="auto"/>
                <w:highlight w:val="none"/>
                <w:lang w:val="en-US" w:eastAsia="zh-CN"/>
              </w:rPr>
              <w:t>相符。</w:t>
            </w:r>
          </w:p>
          <w:p w14:paraId="19E08E2F">
            <w:pPr>
              <w:ind w:left="0" w:leftChars="0" w:firstLine="0" w:firstLineChars="0"/>
              <w:rPr>
                <w:rFonts w:hint="default"/>
                <w:b/>
                <w:bCs/>
                <w:color w:val="auto"/>
                <w:highlight w:val="none"/>
                <w:lang w:val="en-US" w:eastAsia="zh-CN"/>
              </w:rPr>
            </w:pPr>
            <w:r>
              <w:rPr>
                <w:rFonts w:hint="default"/>
                <w:b/>
                <w:bCs/>
                <w:color w:val="auto"/>
                <w:highlight w:val="none"/>
                <w:lang w:val="en-US" w:eastAsia="zh-CN"/>
              </w:rPr>
              <w:t>2、与《安徽青阳经济开发区总体发展规划（2021</w:t>
            </w:r>
            <w:r>
              <w:rPr>
                <w:rFonts w:hint="eastAsia"/>
                <w:b/>
                <w:bCs/>
                <w:color w:val="auto"/>
                <w:highlight w:val="none"/>
                <w:lang w:val="en-US" w:eastAsia="zh-CN"/>
              </w:rPr>
              <w:t>—</w:t>
            </w:r>
            <w:r>
              <w:rPr>
                <w:rFonts w:hint="default"/>
                <w:b/>
                <w:bCs/>
                <w:color w:val="auto"/>
                <w:highlight w:val="none"/>
                <w:lang w:val="en-US" w:eastAsia="zh-CN"/>
              </w:rPr>
              <w:t>2030年）环境影响报告书》及其审查意见（皖环函〔2021〕701号）的符合性分析</w:t>
            </w:r>
          </w:p>
          <w:p w14:paraId="3BEAA629">
            <w:pPr>
              <w:rPr>
                <w:rFonts w:hint="eastAsia"/>
                <w:b/>
                <w:bCs/>
                <w:color w:val="auto"/>
                <w:sz w:val="21"/>
                <w:szCs w:val="21"/>
                <w:lang w:val="en-US" w:eastAsia="zh-CN"/>
              </w:rPr>
            </w:pPr>
            <w:r>
              <w:rPr>
                <w:rFonts w:hint="default"/>
                <w:color w:val="auto"/>
                <w:highlight w:val="none"/>
                <w:lang w:val="en-US" w:eastAsia="zh-CN"/>
              </w:rPr>
              <w:t>本项目位于青阳经济开发区东河园区范围内，用地性质属于工业用地。项目行业类别</w:t>
            </w:r>
            <w:r>
              <w:rPr>
                <w:rFonts w:hint="eastAsia"/>
                <w:color w:val="auto"/>
                <w:highlight w:val="none"/>
                <w:lang w:val="en-US" w:eastAsia="zh-CN"/>
              </w:rPr>
              <w:t>为C3831电线、电缆制造</w:t>
            </w:r>
            <w:r>
              <w:rPr>
                <w:rFonts w:hint="default"/>
                <w:color w:val="auto"/>
                <w:highlight w:val="none"/>
                <w:lang w:val="en-US" w:eastAsia="zh-CN"/>
              </w:rPr>
              <w:t>，与</w:t>
            </w:r>
            <w:r>
              <w:rPr>
                <w:rFonts w:hint="eastAsia"/>
                <w:color w:val="auto"/>
                <w:highlight w:val="none"/>
                <w:lang w:val="en-US" w:eastAsia="zh-CN"/>
              </w:rPr>
              <w:t>青阳经济开发区主导产业及其他产业负面清单和</w:t>
            </w:r>
            <w:r>
              <w:rPr>
                <w:rFonts w:hint="default"/>
                <w:color w:val="auto"/>
                <w:highlight w:val="none"/>
                <w:lang w:val="en-US" w:eastAsia="zh-CN"/>
              </w:rPr>
              <w:t>《安徽青阳经济开发区总体发展规划</w:t>
            </w:r>
            <w:r>
              <w:rPr>
                <w:rFonts w:hint="eastAsia"/>
                <w:color w:val="auto"/>
                <w:highlight w:val="none"/>
                <w:lang w:val="en-US" w:eastAsia="zh-CN"/>
              </w:rPr>
              <w:t>（2021—2030年）</w:t>
            </w:r>
            <w:r>
              <w:rPr>
                <w:rFonts w:hint="default"/>
                <w:color w:val="auto"/>
                <w:highlight w:val="none"/>
                <w:lang w:val="en-US" w:eastAsia="zh-CN"/>
              </w:rPr>
              <w:t>环境影响报告书》及其审查意见相符性详见下表，经对照，项目与规划环评及其审查意见相符。</w:t>
            </w:r>
          </w:p>
          <w:p w14:paraId="04BF4528">
            <w:pPr>
              <w:adjustRightInd w:val="0"/>
              <w:snapToGrid w:val="0"/>
              <w:spacing w:before="0" w:after="0" w:line="240" w:lineRule="auto"/>
              <w:ind w:firstLine="0" w:firstLineChars="0"/>
              <w:jc w:val="center"/>
              <w:rPr>
                <w:rFonts w:hint="eastAsia"/>
                <w:b/>
                <w:bCs/>
                <w:color w:val="auto"/>
                <w:sz w:val="21"/>
                <w:szCs w:val="21"/>
                <w:lang w:val="en-US" w:eastAsia="zh-CN"/>
              </w:rPr>
            </w:pPr>
            <w:r>
              <w:rPr>
                <w:rFonts w:hint="eastAsia"/>
                <w:b/>
                <w:bCs/>
                <w:color w:val="auto"/>
                <w:sz w:val="21"/>
                <w:szCs w:val="21"/>
                <w:lang w:val="en-US" w:eastAsia="zh-CN"/>
              </w:rPr>
              <w:t>表1-2本项目与安徽青阳经济开发区生态环境准入清单相符性分析</w:t>
            </w:r>
          </w:p>
          <w:tbl>
            <w:tblPr>
              <w:tblStyle w:val="28"/>
              <w:tblW w:w="7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3850"/>
              <w:gridCol w:w="2100"/>
              <w:gridCol w:w="864"/>
            </w:tblGrid>
            <w:tr w14:paraId="1B30A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89" w:type="dxa"/>
                  <w:gridSpan w:val="2"/>
                </w:tcPr>
                <w:p w14:paraId="3C4DDA8B">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default"/>
                      <w:b/>
                      <w:bCs/>
                      <w:color w:val="auto"/>
                      <w:sz w:val="21"/>
                      <w:szCs w:val="21"/>
                      <w:vertAlign w:val="baseline"/>
                      <w:lang w:val="en-US" w:eastAsia="zh-CN"/>
                    </w:rPr>
                  </w:pPr>
                  <w:r>
                    <w:rPr>
                      <w:rFonts w:hint="eastAsia"/>
                      <w:b/>
                      <w:bCs/>
                      <w:color w:val="auto"/>
                      <w:sz w:val="21"/>
                      <w:szCs w:val="21"/>
                      <w:vertAlign w:val="baseline"/>
                      <w:lang w:val="en-US" w:eastAsia="zh-CN"/>
                    </w:rPr>
                    <w:t>生态环境准入清单</w:t>
                  </w:r>
                </w:p>
              </w:tc>
              <w:tc>
                <w:tcPr>
                  <w:tcW w:w="2100" w:type="dxa"/>
                </w:tcPr>
                <w:p w14:paraId="0ADC79E4">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eastAsia"/>
                      <w:b/>
                      <w:bCs/>
                      <w:color w:val="auto"/>
                      <w:sz w:val="21"/>
                      <w:szCs w:val="21"/>
                      <w:vertAlign w:val="baseline"/>
                      <w:lang w:val="en-US" w:eastAsia="zh-CN"/>
                    </w:rPr>
                  </w:pPr>
                  <w:r>
                    <w:rPr>
                      <w:rFonts w:hint="eastAsia"/>
                      <w:b/>
                      <w:bCs/>
                      <w:color w:val="auto"/>
                      <w:sz w:val="21"/>
                      <w:szCs w:val="21"/>
                      <w:vertAlign w:val="baseline"/>
                      <w:lang w:val="en-US" w:eastAsia="zh-CN"/>
                    </w:rPr>
                    <w:t>项目情况</w:t>
                  </w:r>
                </w:p>
              </w:tc>
              <w:tc>
                <w:tcPr>
                  <w:tcW w:w="864" w:type="dxa"/>
                </w:tcPr>
                <w:p w14:paraId="009C4F5D">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default"/>
                      <w:b/>
                      <w:bCs/>
                      <w:color w:val="auto"/>
                      <w:sz w:val="21"/>
                      <w:szCs w:val="21"/>
                      <w:vertAlign w:val="baseline"/>
                      <w:lang w:val="en-US" w:eastAsia="zh-CN"/>
                    </w:rPr>
                  </w:pPr>
                  <w:r>
                    <w:rPr>
                      <w:rFonts w:hint="eastAsia"/>
                      <w:b/>
                      <w:bCs/>
                      <w:color w:val="auto"/>
                      <w:sz w:val="21"/>
                      <w:szCs w:val="21"/>
                      <w:vertAlign w:val="baseline"/>
                      <w:lang w:val="en-US" w:eastAsia="zh-CN"/>
                    </w:rPr>
                    <w:t>相符性</w:t>
                  </w:r>
                </w:p>
              </w:tc>
            </w:tr>
            <w:tr w14:paraId="094C7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639" w:type="dxa"/>
                  <w:vAlign w:val="center"/>
                </w:tcPr>
                <w:p w14:paraId="13E111F8">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eastAsia"/>
                      <w:b/>
                      <w:bCs/>
                      <w:color w:val="auto"/>
                      <w:sz w:val="21"/>
                      <w:szCs w:val="21"/>
                      <w:vertAlign w:val="baseline"/>
                      <w:lang w:val="en-US" w:eastAsia="zh-CN"/>
                    </w:rPr>
                  </w:pPr>
                  <w:r>
                    <w:rPr>
                      <w:rFonts w:ascii="Times New Roman" w:hAnsi="Times New Roman" w:eastAsia="宋体" w:cs="Times New Roman"/>
                      <w:color w:val="auto"/>
                      <w:sz w:val="21"/>
                      <w:szCs w:val="21"/>
                    </w:rPr>
                    <w:t>污染物排放管控</w:t>
                  </w:r>
                </w:p>
              </w:tc>
              <w:tc>
                <w:tcPr>
                  <w:tcW w:w="3850" w:type="dxa"/>
                  <w:vAlign w:val="center"/>
                </w:tcPr>
                <w:p w14:paraId="40D3D7FD">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hint="eastAsia" w:cs="Times New Roman"/>
                      <w:color w:val="auto"/>
                      <w:sz w:val="21"/>
                      <w:szCs w:val="21"/>
                      <w:lang w:val="en-US" w:eastAsia="zh-CN"/>
                    </w:rPr>
                    <w:t>1.</w:t>
                  </w:r>
                  <w:r>
                    <w:rPr>
                      <w:rFonts w:ascii="Times New Roman" w:hAnsi="Times New Roman" w:eastAsia="宋体" w:cs="Times New Roman"/>
                      <w:color w:val="auto"/>
                      <w:sz w:val="21"/>
                      <w:szCs w:val="21"/>
                    </w:rPr>
                    <w:t>工业企业工艺废气排放有行业标准的执行行业标准，无行业标准的参考执行《大气污染物综合排放标准》（DB31/933-2015）标准限值；东河、新河园区内二氧化硫、氮氧化物、颗粒物、挥发性有机物（VOCs）全面执行大气污染物特别排放限值。童埠园区常规污染物及特征污染物全面执行大气污染物特别排放限值；锅炉废气排放执行《锅炉大气污染物排放标准》（GB13271-2014），锅炉废气中氮氧化物执行安徽省大气办关于印发《2020年安徽省大气污染防治重点工作任务》的通知（皖大气办</w:t>
                  </w:r>
                  <w:r>
                    <w:rPr>
                      <w:rFonts w:hint="eastAsia" w:cs="Times New Roman"/>
                      <w:color w:val="auto"/>
                      <w:sz w:val="21"/>
                      <w:szCs w:val="21"/>
                      <w:lang w:eastAsia="zh-CN"/>
                    </w:rPr>
                    <w:t>〔2020〕2号</w:t>
                  </w:r>
                  <w:r>
                    <w:rPr>
                      <w:rFonts w:ascii="Times New Roman" w:hAnsi="Times New Roman" w:eastAsia="宋体" w:cs="Times New Roman"/>
                      <w:color w:val="auto"/>
                      <w:sz w:val="21"/>
                      <w:szCs w:val="21"/>
                    </w:rPr>
                    <w:t>）中的要求；工业炉窑废气排放执行《工业炉窑大气污染综合治理方案》中相关规定；恶臭污染物执行《恶臭污染物排放标准》（GB14554-93）中二级标准；燃煤锅炉实行超低排放，达到燃煤电厂超低排放水平；生物质锅炉应采用专用锅炉，严禁掺烧煤炭等其他燃料，配套布袋等</w:t>
                  </w:r>
                  <w:r>
                    <w:rPr>
                      <w:rFonts w:hint="eastAsia" w:cs="Times New Roman"/>
                      <w:color w:val="auto"/>
                      <w:sz w:val="21"/>
                      <w:szCs w:val="21"/>
                      <w:lang w:eastAsia="zh-CN"/>
                    </w:rPr>
                    <w:t>高效</w:t>
                  </w:r>
                  <w:r>
                    <w:rPr>
                      <w:rFonts w:ascii="Times New Roman" w:hAnsi="Times New Roman" w:eastAsia="宋体" w:cs="Times New Roman"/>
                      <w:color w:val="auto"/>
                      <w:sz w:val="21"/>
                      <w:szCs w:val="21"/>
                    </w:rPr>
                    <w:t>除尘设施。</w:t>
                  </w:r>
                </w:p>
                <w:p w14:paraId="25582D1B">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eastAsia"/>
                      <w:b/>
                      <w:bCs/>
                      <w:color w:val="auto"/>
                      <w:sz w:val="21"/>
                      <w:szCs w:val="21"/>
                      <w:vertAlign w:val="baseline"/>
                      <w:lang w:val="en-US" w:eastAsia="zh-CN"/>
                    </w:rPr>
                  </w:pPr>
                  <w:r>
                    <w:rPr>
                      <w:rFonts w:hint="eastAsia" w:cs="Times New Roman"/>
                      <w:color w:val="auto"/>
                      <w:sz w:val="21"/>
                      <w:szCs w:val="21"/>
                      <w:lang w:val="en-US" w:eastAsia="zh-CN"/>
                    </w:rPr>
                    <w:t>2</w:t>
                  </w:r>
                  <w:r>
                    <w:rPr>
                      <w:rFonts w:ascii="Times New Roman" w:hAnsi="Times New Roman" w:eastAsia="宋体" w:cs="Times New Roman"/>
                      <w:color w:val="auto"/>
                      <w:sz w:val="21"/>
                      <w:szCs w:val="21"/>
                    </w:rPr>
                    <w:t>.园区内涉VOCs废气排放的企业应执行《挥发性有机物无组织排放控制标准》中相关要求，最大程度减少无组织排放。</w:t>
                  </w:r>
                </w:p>
              </w:tc>
              <w:tc>
                <w:tcPr>
                  <w:tcW w:w="2100" w:type="dxa"/>
                  <w:vAlign w:val="center"/>
                </w:tcPr>
                <w:p w14:paraId="31EB22B4">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both"/>
                    <w:textAlignment w:val="auto"/>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eastAsia="zh-CN"/>
                    </w:rPr>
                    <w:t>本项目</w:t>
                  </w:r>
                  <w:r>
                    <w:rPr>
                      <w:rFonts w:hint="eastAsia" w:ascii="Times New Roman" w:hAnsi="Times New Roman" w:eastAsia="宋体" w:cs="Times New Roman"/>
                      <w:color w:val="auto"/>
                      <w:sz w:val="21"/>
                      <w:szCs w:val="21"/>
                      <w:lang w:val="en-US" w:eastAsia="zh-CN"/>
                    </w:rPr>
                    <w:t>挤出、挤护套、熔融、挤出造粒</w:t>
                  </w:r>
                  <w:r>
                    <w:rPr>
                      <w:rFonts w:hint="default" w:ascii="Times New Roman" w:hAnsi="Times New Roman" w:eastAsia="宋体" w:cs="Times New Roman"/>
                      <w:color w:val="auto"/>
                      <w:sz w:val="21"/>
                      <w:szCs w:val="21"/>
                      <w:lang w:eastAsia="zh-CN"/>
                    </w:rPr>
                    <w:t>工序非甲烷总烃</w:t>
                  </w:r>
                  <w:r>
                    <w:rPr>
                      <w:rFonts w:hint="eastAsia" w:ascii="Times New Roman" w:hAnsi="Times New Roman" w:eastAsia="宋体" w:cs="Times New Roman"/>
                      <w:color w:val="auto"/>
                      <w:sz w:val="21"/>
                      <w:szCs w:val="21"/>
                      <w:lang w:val="en-US" w:eastAsia="zh-CN"/>
                    </w:rPr>
                    <w:t>有组织</w:t>
                  </w:r>
                  <w:r>
                    <w:rPr>
                      <w:rFonts w:hint="default" w:ascii="Times New Roman" w:hAnsi="Times New Roman" w:eastAsia="宋体" w:cs="Times New Roman"/>
                      <w:color w:val="auto"/>
                      <w:sz w:val="21"/>
                      <w:szCs w:val="21"/>
                      <w:lang w:eastAsia="zh-CN"/>
                    </w:rPr>
                    <w:t>排放</w:t>
                  </w:r>
                  <w:r>
                    <w:rPr>
                      <w:rFonts w:hint="eastAsia" w:ascii="Times New Roman" w:hAnsi="Times New Roman" w:eastAsia="宋体" w:cs="Times New Roman"/>
                      <w:color w:val="auto"/>
                      <w:sz w:val="21"/>
                      <w:szCs w:val="21"/>
                      <w:lang w:val="en-US" w:eastAsia="zh-CN"/>
                    </w:rPr>
                    <w:t>和厂区内无组织排放</w:t>
                  </w:r>
                  <w:r>
                    <w:rPr>
                      <w:rFonts w:hint="default" w:ascii="Times New Roman" w:hAnsi="Times New Roman" w:eastAsia="宋体" w:cs="Times New Roman"/>
                      <w:color w:val="auto"/>
                      <w:sz w:val="21"/>
                      <w:szCs w:val="21"/>
                      <w:lang w:eastAsia="zh-CN"/>
                    </w:rPr>
                    <w:t>执行</w:t>
                  </w:r>
                  <w:r>
                    <w:rPr>
                      <w:rFonts w:hint="eastAsia" w:ascii="Times New Roman" w:hAnsi="Times New Roman" w:eastAsia="宋体" w:cs="Times New Roman"/>
                      <w:color w:val="auto"/>
                      <w:sz w:val="21"/>
                      <w:szCs w:val="21"/>
                      <w:lang w:val="en-US" w:eastAsia="zh-CN"/>
                    </w:rPr>
                    <w:t>安徽省地方标准《固定源挥发性有机物综合排放标准 第6部分：其他行业》（DB 34/4812.6-2024）中限值要求；投料工序颗粒物有组织排放执行《大气污染物综合排放标准》（GB16297—1996）表2中排放限值要求；非甲烷总烃、颗粒物厂界无组织排放执行《大气污染物综合排放标准》（GB16297—1996）表2中排放限值要求。</w:t>
                  </w:r>
                  <w:r>
                    <w:rPr>
                      <w:rFonts w:hint="eastAsia" w:cs="Times New Roman"/>
                      <w:color w:val="auto"/>
                      <w:sz w:val="21"/>
                      <w:szCs w:val="21"/>
                      <w:lang w:val="en-US" w:eastAsia="zh-CN"/>
                    </w:rPr>
                    <w:t>且本项目有机废气均密闭收集，经处理后有组织排放</w:t>
                  </w:r>
                </w:p>
              </w:tc>
              <w:tc>
                <w:tcPr>
                  <w:tcW w:w="864" w:type="dxa"/>
                  <w:vAlign w:val="center"/>
                </w:tcPr>
                <w:p w14:paraId="451A79C7">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符合</w:t>
                  </w:r>
                </w:p>
              </w:tc>
            </w:tr>
            <w:tr w14:paraId="28BE4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9" w:type="dxa"/>
                  <w:vAlign w:val="center"/>
                </w:tcPr>
                <w:p w14:paraId="56BC51D9">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eastAsia"/>
                      <w:b/>
                      <w:bCs/>
                      <w:color w:val="auto"/>
                      <w:sz w:val="21"/>
                      <w:szCs w:val="21"/>
                      <w:vertAlign w:val="baseline"/>
                      <w:lang w:val="en-US" w:eastAsia="zh-CN"/>
                    </w:rPr>
                  </w:pPr>
                  <w:r>
                    <w:rPr>
                      <w:rFonts w:ascii="Times New Roman" w:hAnsi="Times New Roman" w:eastAsia="宋体" w:cs="Times New Roman"/>
                      <w:color w:val="auto"/>
                      <w:sz w:val="21"/>
                      <w:szCs w:val="21"/>
                    </w:rPr>
                    <w:t>环境风险防控</w:t>
                  </w:r>
                </w:p>
              </w:tc>
              <w:tc>
                <w:tcPr>
                  <w:tcW w:w="3850" w:type="dxa"/>
                  <w:vAlign w:val="center"/>
                </w:tcPr>
                <w:p w14:paraId="4D16E4BC">
                  <w:pPr>
                    <w:keepNext w:val="0"/>
                    <w:keepLines w:val="0"/>
                    <w:pageBreakBefore w:val="0"/>
                    <w:numPr>
                      <w:ilvl w:val="-1"/>
                      <w:numId w:val="0"/>
                    </w:numPr>
                    <w:kinsoku/>
                    <w:wordWrap/>
                    <w:overflowPunct/>
                    <w:topLinePunct w:val="0"/>
                    <w:autoSpaceDE/>
                    <w:autoSpaceDN/>
                    <w:bidi w:val="0"/>
                    <w:adjustRightInd w:val="0"/>
                    <w:snapToGrid w:val="0"/>
                    <w:spacing w:afterAutospacing="0" w:line="240" w:lineRule="auto"/>
                    <w:ind w:right="0" w:firstLine="0" w:firstLineChars="0"/>
                    <w:jc w:val="left"/>
                    <w:textAlignment w:val="auto"/>
                    <w:rPr>
                      <w:rFonts w:ascii="Times New Roman" w:hAnsi="Times New Roman" w:eastAsia="宋体" w:cs="Times New Roman"/>
                      <w:color w:val="auto"/>
                      <w:sz w:val="21"/>
                      <w:szCs w:val="21"/>
                    </w:rPr>
                  </w:pPr>
                  <w:r>
                    <w:rPr>
                      <w:rFonts w:hint="eastAsia" w:cs="Times New Roman"/>
                      <w:color w:val="auto"/>
                      <w:sz w:val="21"/>
                      <w:szCs w:val="21"/>
                      <w:lang w:val="en-US" w:eastAsia="zh-CN"/>
                    </w:rPr>
                    <w:t>1.</w:t>
                  </w:r>
                  <w:r>
                    <w:rPr>
                      <w:rFonts w:ascii="Times New Roman" w:hAnsi="Times New Roman" w:eastAsia="宋体" w:cs="Times New Roman"/>
                      <w:color w:val="auto"/>
                      <w:sz w:val="21"/>
                      <w:szCs w:val="21"/>
                    </w:rPr>
                    <w:t>合理规划功能分区及产业布局。</w:t>
                  </w:r>
                </w:p>
                <w:p w14:paraId="656B56E5">
                  <w:pPr>
                    <w:keepNext w:val="0"/>
                    <w:keepLines w:val="0"/>
                    <w:pageBreakBefore w:val="0"/>
                    <w:numPr>
                      <w:ilvl w:val="-1"/>
                      <w:numId w:val="0"/>
                    </w:numPr>
                    <w:kinsoku/>
                    <w:wordWrap/>
                    <w:overflowPunct/>
                    <w:topLinePunct w:val="0"/>
                    <w:autoSpaceDE/>
                    <w:autoSpaceDN/>
                    <w:bidi w:val="0"/>
                    <w:adjustRightInd w:val="0"/>
                    <w:snapToGrid w:val="0"/>
                    <w:spacing w:afterAutospacing="0" w:line="240" w:lineRule="auto"/>
                    <w:ind w:right="0" w:firstLine="0" w:firstLineChars="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2.完善园区环境基础设施，其中童埠分区设置园区环境风险应急事故池，制定消防及报警系统。</w:t>
                  </w:r>
                </w:p>
                <w:p w14:paraId="20660CF4">
                  <w:pPr>
                    <w:keepNext w:val="0"/>
                    <w:keepLines w:val="0"/>
                    <w:pageBreakBefore w:val="0"/>
                    <w:kinsoku/>
                    <w:wordWrap/>
                    <w:overflowPunct/>
                    <w:topLinePunct w:val="0"/>
                    <w:autoSpaceDE/>
                    <w:autoSpaceDN/>
                    <w:bidi w:val="0"/>
                    <w:adjustRightInd w:val="0"/>
                    <w:snapToGrid w:val="0"/>
                    <w:spacing w:afterAutospacing="0" w:line="240" w:lineRule="auto"/>
                    <w:ind w:right="0" w:firstLine="0" w:firstLineChars="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3.建设环境风险应急防范体系，落实园区废水“三级防控”体系。</w:t>
                  </w:r>
                </w:p>
                <w:p w14:paraId="7514D9B4">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left"/>
                    <w:textAlignment w:val="auto"/>
                    <w:rPr>
                      <w:rFonts w:hint="eastAsia"/>
                      <w:b/>
                      <w:bCs/>
                      <w:color w:val="auto"/>
                      <w:sz w:val="21"/>
                      <w:szCs w:val="21"/>
                      <w:vertAlign w:val="baseline"/>
                      <w:lang w:val="en-US" w:eastAsia="zh-CN"/>
                    </w:rPr>
                  </w:pPr>
                  <w:r>
                    <w:rPr>
                      <w:rFonts w:hint="default" w:ascii="Times New Roman" w:hAnsi="Times New Roman" w:eastAsia="宋体" w:cs="Times New Roman"/>
                      <w:color w:val="auto"/>
                      <w:kern w:val="0"/>
                      <w:sz w:val="21"/>
                      <w:szCs w:val="21"/>
                      <w:highlight w:val="none"/>
                      <w:lang w:val="en-US" w:eastAsia="zh-CN" w:bidi="ar-SA"/>
                    </w:rPr>
                    <w:t>4.镁冶炼企业应建立、实施并保持满足GB/T24001要求的环境管理体系，并鼓励通过环境管理体系第三方认证。</w:t>
                  </w:r>
                </w:p>
              </w:tc>
              <w:tc>
                <w:tcPr>
                  <w:tcW w:w="2100" w:type="dxa"/>
                  <w:vAlign w:val="center"/>
                </w:tcPr>
                <w:p w14:paraId="28D9B518">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宋体" w:hAnsi="宋体" w:eastAsia="宋体" w:cs="宋体"/>
                      <w:color w:val="auto"/>
                      <w:kern w:val="2"/>
                      <w:sz w:val="21"/>
                      <w:szCs w:val="21"/>
                      <w:highlight w:val="none"/>
                      <w:lang w:val="en-US" w:eastAsia="zh-CN" w:bidi="ar-SA"/>
                    </w:rPr>
                    <w:t>本次评价要求建设单位编制突发环境事件应急预案并定期进行演练，采取风险防范措施，配备风险物资</w:t>
                  </w:r>
                </w:p>
              </w:tc>
              <w:tc>
                <w:tcPr>
                  <w:tcW w:w="864" w:type="dxa"/>
                  <w:vAlign w:val="center"/>
                </w:tcPr>
                <w:p w14:paraId="79E24B7F">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符合</w:t>
                  </w:r>
                </w:p>
              </w:tc>
            </w:tr>
            <w:tr w14:paraId="06883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9" w:type="dxa"/>
                  <w:vAlign w:val="center"/>
                </w:tcPr>
                <w:p w14:paraId="111BE71C">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eastAsia"/>
                      <w:b/>
                      <w:bCs/>
                      <w:color w:val="auto"/>
                      <w:sz w:val="21"/>
                      <w:szCs w:val="21"/>
                      <w:vertAlign w:val="baseline"/>
                      <w:lang w:val="en-US" w:eastAsia="zh-CN"/>
                    </w:rPr>
                  </w:pPr>
                  <w:r>
                    <w:rPr>
                      <w:rFonts w:ascii="Times New Roman" w:hAnsi="Times New Roman" w:eastAsia="宋体" w:cs="Times New Roman"/>
                      <w:color w:val="auto"/>
                      <w:sz w:val="21"/>
                      <w:szCs w:val="21"/>
                    </w:rPr>
                    <w:t>资源开发利用效率</w:t>
                  </w:r>
                </w:p>
              </w:tc>
              <w:tc>
                <w:tcPr>
                  <w:tcW w:w="3850" w:type="dxa"/>
                  <w:vAlign w:val="center"/>
                </w:tcPr>
                <w:p w14:paraId="5B4DB4C1">
                  <w:pPr>
                    <w:numPr>
                      <w:ilvl w:val="0"/>
                      <w:numId w:val="0"/>
                    </w:numPr>
                    <w:adjustRightInd w:val="0"/>
                    <w:snapToGrid w:val="0"/>
                    <w:spacing w:before="0" w:after="0" w:line="240" w:lineRule="auto"/>
                    <w:ind w:firstLine="0" w:firstLineChars="0"/>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1.</w:t>
                  </w:r>
                  <w:r>
                    <w:rPr>
                      <w:rFonts w:ascii="Times New Roman" w:hAnsi="Times New Roman" w:eastAsia="宋体" w:cs="Times New Roman"/>
                      <w:color w:val="auto"/>
                      <w:sz w:val="21"/>
                      <w:szCs w:val="21"/>
                      <w:highlight w:val="none"/>
                    </w:rPr>
                    <w:t>水耗指标：单位工业增加值新鲜水耗≤8m</w:t>
                  </w:r>
                  <w:r>
                    <w:rPr>
                      <w:rFonts w:ascii="Times New Roman" w:hAnsi="Times New Roman" w:eastAsia="宋体" w:cs="Times New Roman"/>
                      <w:color w:val="auto"/>
                      <w:sz w:val="21"/>
                      <w:szCs w:val="21"/>
                      <w:highlight w:val="none"/>
                      <w:vertAlign w:val="superscript"/>
                    </w:rPr>
                    <w:t>3</w:t>
                  </w:r>
                  <w:r>
                    <w:rPr>
                      <w:rFonts w:ascii="Times New Roman" w:hAnsi="Times New Roman" w:eastAsia="宋体" w:cs="Times New Roman"/>
                      <w:color w:val="auto"/>
                      <w:sz w:val="21"/>
                      <w:szCs w:val="21"/>
                      <w:highlight w:val="none"/>
                    </w:rPr>
                    <w:t>/万元，工业用水重复利用率≥75%；童埠园区中水回用率100%。</w:t>
                  </w:r>
                  <w:r>
                    <w:rPr>
                      <w:rFonts w:ascii="Times New Roman" w:hAnsi="Times New Roman" w:eastAsia="宋体" w:cs="Times New Roman"/>
                      <w:color w:val="auto"/>
                      <w:sz w:val="21"/>
                      <w:szCs w:val="21"/>
                      <w:highlight w:val="none"/>
                    </w:rPr>
                    <w:br w:type="textWrapping"/>
                  </w:r>
                  <w:r>
                    <w:rPr>
                      <w:rFonts w:ascii="Times New Roman" w:hAnsi="Times New Roman" w:eastAsia="宋体" w:cs="Times New Roman"/>
                      <w:color w:val="auto"/>
                      <w:sz w:val="21"/>
                      <w:szCs w:val="21"/>
                      <w:highlight w:val="none"/>
                    </w:rPr>
                    <w:t>2.能耗指标：单位工业增加值综合能耗≤0.5吨标煤/万元。</w:t>
                  </w:r>
                </w:p>
                <w:p w14:paraId="559C02F0">
                  <w:pPr>
                    <w:numPr>
                      <w:ilvl w:val="0"/>
                      <w:numId w:val="0"/>
                    </w:numPr>
                    <w:adjustRightInd w:val="0"/>
                    <w:snapToGrid w:val="0"/>
                    <w:spacing w:before="0" w:after="0" w:line="240" w:lineRule="auto"/>
                    <w:ind w:firstLine="0" w:firstLineChars="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3.投资强度：新建工业项目平均投资强度≥150万元/亩。</w:t>
                  </w:r>
                </w:p>
                <w:p w14:paraId="405201E8">
                  <w:pPr>
                    <w:keepNext w:val="0"/>
                    <w:keepLines w:val="0"/>
                    <w:pageBreakBefore w:val="0"/>
                    <w:numPr>
                      <w:ilvl w:val="0"/>
                      <w:numId w:val="0"/>
                    </w:numPr>
                    <w:kinsoku/>
                    <w:wordWrap/>
                    <w:overflowPunct/>
                    <w:topLinePunct w:val="0"/>
                    <w:autoSpaceDE/>
                    <w:autoSpaceDN/>
                    <w:bidi w:val="0"/>
                    <w:adjustRightInd w:val="0"/>
                    <w:snapToGrid w:val="0"/>
                    <w:spacing w:afterAutospacing="0" w:line="240" w:lineRule="auto"/>
                    <w:ind w:firstLine="0" w:firstLineChars="0"/>
                    <w:jc w:val="left"/>
                    <w:textAlignment w:val="auto"/>
                    <w:rPr>
                      <w:rFonts w:hint="eastAsia"/>
                      <w:b/>
                      <w:bCs/>
                      <w:color w:val="auto"/>
                      <w:sz w:val="21"/>
                      <w:szCs w:val="21"/>
                      <w:vertAlign w:val="baseline"/>
                      <w:lang w:val="en-US" w:eastAsia="zh-CN"/>
                    </w:rPr>
                  </w:pPr>
                  <w:r>
                    <w:rPr>
                      <w:rFonts w:ascii="Times New Roman" w:hAnsi="Times New Roman" w:eastAsia="宋体" w:cs="Times New Roman"/>
                      <w:color w:val="auto"/>
                      <w:sz w:val="21"/>
                      <w:szCs w:val="21"/>
                      <w:highlight w:val="none"/>
                    </w:rPr>
                    <w:t>4.</w:t>
                  </w:r>
                  <w:r>
                    <w:rPr>
                      <w:rFonts w:ascii="Times New Roman" w:hAnsi="Times New Roman" w:eastAsia="宋体" w:cs="Times New Roman"/>
                      <w:color w:val="auto"/>
                      <w:sz w:val="21"/>
                      <w:szCs w:val="21"/>
                    </w:rPr>
                    <w:t>按照《安徽省发展改革委关于印发安徽省用煤投资项目煤炭消费减量替代管理暂行办法的通知》，实施煤炭消费减量替代。</w:t>
                  </w:r>
                </w:p>
              </w:tc>
              <w:tc>
                <w:tcPr>
                  <w:tcW w:w="2100" w:type="dxa"/>
                  <w:vAlign w:val="center"/>
                </w:tcPr>
                <w:p w14:paraId="4950B6B1">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本项目年产值约10580万元，则</w:t>
                  </w:r>
                  <w:r>
                    <w:rPr>
                      <w:rFonts w:ascii="Times New Roman" w:hAnsi="Times New Roman" w:eastAsia="宋体" w:cs="Times New Roman"/>
                      <w:color w:val="auto"/>
                      <w:sz w:val="21"/>
                      <w:szCs w:val="21"/>
                      <w:highlight w:val="none"/>
                    </w:rPr>
                    <w:t>单位工业增加值新鲜水耗</w:t>
                  </w:r>
                  <w:r>
                    <w:rPr>
                      <w:rFonts w:hint="eastAsia" w:cs="Times New Roman"/>
                      <w:color w:val="auto"/>
                      <w:sz w:val="21"/>
                      <w:szCs w:val="21"/>
                      <w:highlight w:val="none"/>
                      <w:lang w:val="en-US" w:eastAsia="zh-CN"/>
                    </w:rPr>
                    <w:t>为0.1</w:t>
                  </w:r>
                  <w:r>
                    <w:rPr>
                      <w:rFonts w:ascii="Times New Roman" w:hAnsi="Times New Roman" w:eastAsia="宋体" w:cs="Times New Roman"/>
                      <w:color w:val="auto"/>
                      <w:sz w:val="21"/>
                      <w:szCs w:val="21"/>
                      <w:highlight w:val="none"/>
                    </w:rPr>
                    <w:t>m</w:t>
                  </w:r>
                  <w:r>
                    <w:rPr>
                      <w:rFonts w:ascii="Times New Roman" w:hAnsi="Times New Roman" w:eastAsia="宋体" w:cs="Times New Roman"/>
                      <w:color w:val="auto"/>
                      <w:sz w:val="21"/>
                      <w:szCs w:val="21"/>
                      <w:highlight w:val="none"/>
                      <w:vertAlign w:val="superscript"/>
                    </w:rPr>
                    <w:t>3</w:t>
                  </w:r>
                  <w:r>
                    <w:rPr>
                      <w:rFonts w:ascii="Times New Roman" w:hAnsi="Times New Roman" w:eastAsia="宋体" w:cs="Times New Roman"/>
                      <w:color w:val="auto"/>
                      <w:sz w:val="21"/>
                      <w:szCs w:val="21"/>
                      <w:highlight w:val="none"/>
                    </w:rPr>
                    <w:t>/万元</w:t>
                  </w:r>
                  <w:r>
                    <w:rPr>
                      <w:rFonts w:hint="eastAsia" w:cs="Times New Roman"/>
                      <w:color w:val="auto"/>
                      <w:sz w:val="21"/>
                      <w:szCs w:val="21"/>
                      <w:highlight w:val="none"/>
                      <w:lang w:val="en-US" w:eastAsia="zh-CN"/>
                    </w:rPr>
                    <w:t>＜</w:t>
                  </w:r>
                  <w:r>
                    <w:rPr>
                      <w:rFonts w:ascii="Times New Roman" w:hAnsi="Times New Roman" w:eastAsia="宋体" w:cs="Times New Roman"/>
                      <w:color w:val="auto"/>
                      <w:sz w:val="21"/>
                      <w:szCs w:val="21"/>
                      <w:highlight w:val="none"/>
                    </w:rPr>
                    <w:t>8m</w:t>
                  </w:r>
                  <w:r>
                    <w:rPr>
                      <w:rFonts w:ascii="Times New Roman" w:hAnsi="Times New Roman" w:eastAsia="宋体" w:cs="Times New Roman"/>
                      <w:color w:val="auto"/>
                      <w:sz w:val="21"/>
                      <w:szCs w:val="21"/>
                      <w:highlight w:val="none"/>
                      <w:vertAlign w:val="superscript"/>
                    </w:rPr>
                    <w:t>3</w:t>
                  </w:r>
                  <w:r>
                    <w:rPr>
                      <w:rFonts w:ascii="Times New Roman" w:hAnsi="Times New Roman" w:eastAsia="宋体" w:cs="Times New Roman"/>
                      <w:color w:val="auto"/>
                      <w:sz w:val="21"/>
                      <w:szCs w:val="21"/>
                      <w:highlight w:val="none"/>
                    </w:rPr>
                    <w:t>/万元</w:t>
                  </w:r>
                  <w:r>
                    <w:rPr>
                      <w:rFonts w:hint="eastAsia" w:cs="Times New Roman"/>
                      <w:color w:val="auto"/>
                      <w:sz w:val="21"/>
                      <w:szCs w:val="21"/>
                      <w:highlight w:val="none"/>
                      <w:lang w:eastAsia="zh-CN"/>
                    </w:rPr>
                    <w:t>；</w:t>
                  </w:r>
                  <w:r>
                    <w:rPr>
                      <w:rFonts w:ascii="Times New Roman" w:hAnsi="Times New Roman" w:eastAsia="宋体" w:cs="Times New Roman"/>
                      <w:color w:val="auto"/>
                      <w:sz w:val="21"/>
                      <w:szCs w:val="21"/>
                      <w:highlight w:val="none"/>
                    </w:rPr>
                    <w:t>单位工业增加值综合能耗</w:t>
                  </w:r>
                  <w:r>
                    <w:rPr>
                      <w:rFonts w:hint="eastAsia" w:cs="Times New Roman"/>
                      <w:color w:val="auto"/>
                      <w:sz w:val="21"/>
                      <w:szCs w:val="21"/>
                      <w:highlight w:val="none"/>
                      <w:lang w:val="en-US" w:eastAsia="zh-CN"/>
                    </w:rPr>
                    <w:t>为0.02</w:t>
                  </w:r>
                  <w:r>
                    <w:rPr>
                      <w:rFonts w:ascii="Times New Roman" w:hAnsi="Times New Roman" w:eastAsia="宋体" w:cs="Times New Roman"/>
                      <w:color w:val="auto"/>
                      <w:sz w:val="21"/>
                      <w:szCs w:val="21"/>
                      <w:highlight w:val="none"/>
                    </w:rPr>
                    <w:t>吨标煤/万元</w:t>
                  </w:r>
                  <w:r>
                    <w:rPr>
                      <w:rFonts w:hint="eastAsia" w:cs="Times New Roman"/>
                      <w:color w:val="auto"/>
                      <w:sz w:val="21"/>
                      <w:szCs w:val="21"/>
                      <w:highlight w:val="none"/>
                      <w:lang w:val="en-US" w:eastAsia="zh-CN"/>
                    </w:rPr>
                    <w:t>＜</w:t>
                  </w:r>
                  <w:r>
                    <w:rPr>
                      <w:rFonts w:ascii="Times New Roman" w:hAnsi="Times New Roman" w:eastAsia="宋体" w:cs="Times New Roman"/>
                      <w:color w:val="auto"/>
                      <w:sz w:val="21"/>
                      <w:szCs w:val="21"/>
                      <w:highlight w:val="none"/>
                    </w:rPr>
                    <w:t>0.5吨标煤/万元</w:t>
                  </w:r>
                  <w:r>
                    <w:rPr>
                      <w:rFonts w:hint="eastAsia" w:cs="Times New Roman"/>
                      <w:color w:val="auto"/>
                      <w:sz w:val="21"/>
                      <w:szCs w:val="21"/>
                      <w:highlight w:val="none"/>
                      <w:lang w:eastAsia="zh-CN"/>
                    </w:rPr>
                    <w:t>；</w:t>
                  </w:r>
                  <w:r>
                    <w:rPr>
                      <w:rFonts w:ascii="Times New Roman" w:hAnsi="Times New Roman" w:eastAsia="宋体" w:cs="Times New Roman"/>
                      <w:color w:val="auto"/>
                      <w:sz w:val="21"/>
                      <w:szCs w:val="21"/>
                      <w:highlight w:val="none"/>
                    </w:rPr>
                    <w:t>新建工业项目平均投资强度</w:t>
                  </w:r>
                  <w:r>
                    <w:rPr>
                      <w:rFonts w:hint="eastAsia" w:cs="Times New Roman"/>
                      <w:color w:val="auto"/>
                      <w:sz w:val="21"/>
                      <w:szCs w:val="21"/>
                      <w:highlight w:val="none"/>
                      <w:lang w:val="en-US" w:eastAsia="zh-CN"/>
                    </w:rPr>
                    <w:t>为1105538</w:t>
                  </w:r>
                  <w:r>
                    <w:rPr>
                      <w:rFonts w:ascii="Times New Roman" w:hAnsi="Times New Roman" w:eastAsia="宋体" w:cs="Times New Roman"/>
                      <w:color w:val="auto"/>
                      <w:sz w:val="21"/>
                      <w:szCs w:val="21"/>
                      <w:highlight w:val="none"/>
                    </w:rPr>
                    <w:t>万元/亩</w:t>
                  </w:r>
                  <w:r>
                    <w:rPr>
                      <w:rFonts w:hint="eastAsia" w:cs="Times New Roman"/>
                      <w:color w:val="auto"/>
                      <w:sz w:val="21"/>
                      <w:szCs w:val="21"/>
                      <w:highlight w:val="none"/>
                      <w:lang w:val="en-US" w:eastAsia="zh-CN"/>
                    </w:rPr>
                    <w:t>＞</w:t>
                  </w:r>
                  <w:r>
                    <w:rPr>
                      <w:rFonts w:ascii="Times New Roman" w:hAnsi="Times New Roman" w:eastAsia="宋体" w:cs="Times New Roman"/>
                      <w:color w:val="auto"/>
                      <w:sz w:val="21"/>
                      <w:szCs w:val="21"/>
                      <w:highlight w:val="none"/>
                    </w:rPr>
                    <w:t>150万元/亩</w:t>
                  </w:r>
                  <w:r>
                    <w:rPr>
                      <w:rFonts w:hint="eastAsia" w:cs="Times New Roman"/>
                      <w:color w:val="auto"/>
                      <w:sz w:val="21"/>
                      <w:szCs w:val="21"/>
                      <w:highlight w:val="none"/>
                      <w:lang w:eastAsia="zh-CN"/>
                    </w:rPr>
                    <w:t>；</w:t>
                  </w:r>
                  <w:r>
                    <w:rPr>
                      <w:rFonts w:hint="eastAsia" w:cs="Times New Roman"/>
                      <w:color w:val="auto"/>
                      <w:sz w:val="21"/>
                      <w:szCs w:val="21"/>
                      <w:lang w:val="en-US" w:eastAsia="zh-CN"/>
                    </w:rPr>
                    <w:t>本项目能源为电能，不使用煤炭作为能源。</w:t>
                  </w:r>
                </w:p>
              </w:tc>
              <w:tc>
                <w:tcPr>
                  <w:tcW w:w="864" w:type="dxa"/>
                  <w:vAlign w:val="center"/>
                </w:tcPr>
                <w:p w14:paraId="1796806E">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hint="eastAsia" w:cs="Times New Roman"/>
                      <w:color w:val="auto"/>
                      <w:sz w:val="21"/>
                      <w:szCs w:val="21"/>
                      <w:lang w:val="en-US" w:eastAsia="zh-CN"/>
                    </w:rPr>
                    <w:t>符合</w:t>
                  </w:r>
                </w:p>
              </w:tc>
            </w:tr>
            <w:tr w14:paraId="1B93B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9" w:type="dxa"/>
                  <w:vAlign w:val="center"/>
                </w:tcPr>
                <w:p w14:paraId="4B1A2D0F">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产业准入要求</w:t>
                  </w:r>
                </w:p>
              </w:tc>
              <w:tc>
                <w:tcPr>
                  <w:tcW w:w="3850" w:type="dxa"/>
                  <w:vAlign w:val="center"/>
                </w:tcPr>
                <w:p w14:paraId="2F15D5A7">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鼓励类：机电装备制造、非金属新材料、镁基新材料</w:t>
                  </w:r>
                </w:p>
                <w:p w14:paraId="55B905AB">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ascii="Times New Roman" w:hAnsi="Times New Roman" w:eastAsia="宋体" w:cs="Times New Roman"/>
                      <w:color w:val="auto"/>
                      <w:sz w:val="21"/>
                      <w:szCs w:val="21"/>
                    </w:rPr>
                    <w:t>限制类及禁止类</w:t>
                  </w:r>
                  <w:r>
                    <w:rPr>
                      <w:rFonts w:hint="eastAsia" w:cs="Times New Roman"/>
                      <w:color w:val="auto"/>
                      <w:sz w:val="21"/>
                      <w:szCs w:val="21"/>
                      <w:lang w:val="en-US" w:eastAsia="zh-CN"/>
                    </w:rPr>
                    <w:t>具体详见表1-3本项目与青阳经济开发区主导产业及其他产业负面清单相符性分析</w:t>
                  </w:r>
                </w:p>
              </w:tc>
              <w:tc>
                <w:tcPr>
                  <w:tcW w:w="2100" w:type="dxa"/>
                  <w:vAlign w:val="center"/>
                </w:tcPr>
                <w:p w14:paraId="68CDE4F6">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详见表1-3本项目与青阳经济开发区主导产业及其他产业负面清单相符性分析</w:t>
                  </w:r>
                </w:p>
              </w:tc>
              <w:tc>
                <w:tcPr>
                  <w:tcW w:w="864" w:type="dxa"/>
                  <w:vAlign w:val="center"/>
                </w:tcPr>
                <w:p w14:paraId="0BFCB9D1">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hint="eastAsia" w:cs="Times New Roman"/>
                      <w:color w:val="auto"/>
                      <w:sz w:val="21"/>
                      <w:szCs w:val="21"/>
                      <w:lang w:val="en-US" w:eastAsia="zh-CN"/>
                    </w:rPr>
                    <w:t>符合</w:t>
                  </w:r>
                </w:p>
              </w:tc>
            </w:tr>
          </w:tbl>
          <w:p w14:paraId="31198109">
            <w:pPr>
              <w:adjustRightInd w:val="0"/>
              <w:snapToGrid w:val="0"/>
              <w:spacing w:before="0" w:after="0" w:line="240" w:lineRule="auto"/>
              <w:ind w:firstLine="0" w:firstLineChars="0"/>
              <w:jc w:val="center"/>
              <w:rPr>
                <w:rFonts w:hint="eastAsia"/>
                <w:b/>
                <w:bCs/>
                <w:color w:val="auto"/>
                <w:sz w:val="21"/>
                <w:szCs w:val="21"/>
                <w:lang w:val="en-US" w:eastAsia="zh-CN"/>
              </w:rPr>
            </w:pPr>
          </w:p>
          <w:p w14:paraId="4D136177">
            <w:pPr>
              <w:adjustRightInd w:val="0"/>
              <w:snapToGrid w:val="0"/>
              <w:spacing w:before="0" w:after="0" w:line="240" w:lineRule="auto"/>
              <w:ind w:firstLine="0" w:firstLineChars="0"/>
              <w:jc w:val="center"/>
              <w:rPr>
                <w:rFonts w:hint="eastAsia"/>
                <w:b/>
                <w:bCs/>
                <w:color w:val="auto"/>
                <w:sz w:val="21"/>
                <w:szCs w:val="21"/>
                <w:lang w:val="en-US" w:eastAsia="zh-CN"/>
              </w:rPr>
            </w:pPr>
            <w:r>
              <w:rPr>
                <w:rFonts w:hint="eastAsia"/>
                <w:b/>
                <w:bCs/>
                <w:color w:val="auto"/>
                <w:sz w:val="21"/>
                <w:szCs w:val="21"/>
                <w:lang w:val="en-US" w:eastAsia="zh-CN"/>
              </w:rPr>
              <w:t>表1-3本项目与</w:t>
            </w:r>
            <w:r>
              <w:rPr>
                <w:b/>
                <w:bCs/>
                <w:color w:val="auto"/>
                <w:sz w:val="21"/>
                <w:szCs w:val="21"/>
              </w:rPr>
              <w:t>青阳经济开发区主导产业及其他产业负面清单</w:t>
            </w:r>
            <w:r>
              <w:rPr>
                <w:rFonts w:hint="eastAsia"/>
                <w:b/>
                <w:bCs/>
                <w:color w:val="auto"/>
                <w:sz w:val="21"/>
                <w:szCs w:val="21"/>
                <w:lang w:val="en-US" w:eastAsia="zh-CN"/>
              </w:rPr>
              <w:t>相符性分析</w:t>
            </w:r>
          </w:p>
          <w:tbl>
            <w:tblPr>
              <w:tblStyle w:val="27"/>
              <w:tblW w:w="49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870"/>
              <w:gridCol w:w="1050"/>
              <w:gridCol w:w="2040"/>
              <w:gridCol w:w="690"/>
              <w:gridCol w:w="1390"/>
              <w:gridCol w:w="700"/>
            </w:tblGrid>
            <w:tr w14:paraId="44A78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tcBorders>
                    <w:top w:val="single" w:color="auto" w:sz="4" w:space="0"/>
                    <w:left w:val="single" w:color="auto" w:sz="4" w:space="0"/>
                    <w:bottom w:val="single" w:color="auto" w:sz="4" w:space="0"/>
                    <w:right w:val="single" w:color="auto" w:sz="4" w:space="0"/>
                  </w:tcBorders>
                  <w:vAlign w:val="center"/>
                </w:tcPr>
                <w:p w14:paraId="41DEBA97">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产业类别</w:t>
                  </w:r>
                </w:p>
              </w:tc>
              <w:tc>
                <w:tcPr>
                  <w:tcW w:w="870" w:type="dxa"/>
                  <w:tcBorders>
                    <w:top w:val="single" w:color="auto" w:sz="4" w:space="0"/>
                    <w:left w:val="nil"/>
                    <w:bottom w:val="single" w:color="auto" w:sz="4" w:space="0"/>
                    <w:right w:val="single" w:color="auto" w:sz="4" w:space="0"/>
                  </w:tcBorders>
                  <w:vAlign w:val="center"/>
                </w:tcPr>
                <w:p w14:paraId="036C5AA0">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清单依据</w:t>
                  </w:r>
                </w:p>
              </w:tc>
              <w:tc>
                <w:tcPr>
                  <w:tcW w:w="3090" w:type="dxa"/>
                  <w:gridSpan w:val="2"/>
                  <w:tcBorders>
                    <w:top w:val="single" w:color="auto" w:sz="4" w:space="0"/>
                    <w:left w:val="nil"/>
                    <w:bottom w:val="single" w:color="auto" w:sz="4" w:space="0"/>
                    <w:right w:val="single" w:color="auto" w:sz="4" w:space="0"/>
                  </w:tcBorders>
                  <w:vAlign w:val="center"/>
                </w:tcPr>
                <w:p w14:paraId="72E17EFF">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负面清单</w:t>
                  </w:r>
                </w:p>
              </w:tc>
              <w:tc>
                <w:tcPr>
                  <w:tcW w:w="690" w:type="dxa"/>
                  <w:tcBorders>
                    <w:top w:val="single" w:color="auto" w:sz="4" w:space="0"/>
                    <w:left w:val="nil"/>
                    <w:bottom w:val="single" w:color="auto" w:sz="4" w:space="0"/>
                    <w:right w:val="single" w:color="auto" w:sz="4" w:space="0"/>
                  </w:tcBorders>
                  <w:vAlign w:val="center"/>
                </w:tcPr>
                <w:p w14:paraId="29AAB07A">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准入程度</w:t>
                  </w:r>
                </w:p>
              </w:tc>
              <w:tc>
                <w:tcPr>
                  <w:tcW w:w="1390" w:type="dxa"/>
                  <w:tcBorders>
                    <w:top w:val="single" w:color="auto" w:sz="4" w:space="0"/>
                    <w:left w:val="nil"/>
                    <w:bottom w:val="single" w:color="auto" w:sz="4" w:space="0"/>
                    <w:right w:val="single" w:color="auto" w:sz="4" w:space="0"/>
                  </w:tcBorders>
                  <w:vAlign w:val="center"/>
                </w:tcPr>
                <w:p w14:paraId="54CE697E">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项目情况</w:t>
                  </w:r>
                </w:p>
              </w:tc>
              <w:tc>
                <w:tcPr>
                  <w:tcW w:w="700" w:type="dxa"/>
                  <w:tcBorders>
                    <w:top w:val="single" w:color="auto" w:sz="4" w:space="0"/>
                    <w:left w:val="nil"/>
                    <w:bottom w:val="single" w:color="auto" w:sz="4" w:space="0"/>
                    <w:right w:val="single" w:color="auto" w:sz="4" w:space="0"/>
                  </w:tcBorders>
                  <w:vAlign w:val="center"/>
                </w:tcPr>
                <w:p w14:paraId="2745507F">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符合性</w:t>
                  </w:r>
                </w:p>
              </w:tc>
            </w:tr>
            <w:tr w14:paraId="0B216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restart"/>
                  <w:tcBorders>
                    <w:top w:val="nil"/>
                    <w:left w:val="single" w:color="auto" w:sz="4" w:space="0"/>
                    <w:bottom w:val="single" w:color="auto" w:sz="4" w:space="0"/>
                    <w:right w:val="single" w:color="auto" w:sz="4" w:space="0"/>
                  </w:tcBorders>
                  <w:vAlign w:val="center"/>
                </w:tcPr>
                <w:p w14:paraId="3BF86441">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机电装备制造</w:t>
                  </w:r>
                </w:p>
              </w:tc>
              <w:tc>
                <w:tcPr>
                  <w:tcW w:w="870" w:type="dxa"/>
                  <w:vMerge w:val="restart"/>
                  <w:tcBorders>
                    <w:top w:val="nil"/>
                    <w:left w:val="nil"/>
                    <w:bottom w:val="single" w:color="auto" w:sz="4" w:space="0"/>
                    <w:right w:val="single" w:color="auto" w:sz="4" w:space="0"/>
                  </w:tcBorders>
                  <w:vAlign w:val="center"/>
                </w:tcPr>
                <w:p w14:paraId="2F753BB2">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原规划环评及本次规划环评优化调整</w:t>
                  </w:r>
                </w:p>
              </w:tc>
              <w:tc>
                <w:tcPr>
                  <w:tcW w:w="1050" w:type="dxa"/>
                  <w:vMerge w:val="restart"/>
                  <w:tcBorders>
                    <w:top w:val="nil"/>
                    <w:left w:val="nil"/>
                    <w:bottom w:val="single" w:color="auto" w:sz="4" w:space="0"/>
                    <w:right w:val="single" w:color="auto" w:sz="4" w:space="0"/>
                  </w:tcBorders>
                  <w:vAlign w:val="center"/>
                </w:tcPr>
                <w:p w14:paraId="3E3C2FB2">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C341通用设备制造业-C349其他通用设备制造</w:t>
                  </w:r>
                </w:p>
              </w:tc>
              <w:tc>
                <w:tcPr>
                  <w:tcW w:w="2040" w:type="dxa"/>
                  <w:tcBorders>
                    <w:top w:val="single" w:color="auto" w:sz="4" w:space="0"/>
                    <w:left w:val="nil"/>
                    <w:bottom w:val="single" w:color="auto" w:sz="4" w:space="0"/>
                    <w:right w:val="single" w:color="auto" w:sz="4" w:space="0"/>
                  </w:tcBorders>
                  <w:vAlign w:val="center"/>
                </w:tcPr>
                <w:p w14:paraId="78BB734A">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pacing w:val="-2"/>
                      <w:sz w:val="21"/>
                      <w:szCs w:val="21"/>
                    </w:rPr>
                  </w:pPr>
                  <w:r>
                    <w:rPr>
                      <w:rFonts w:ascii="Times New Roman" w:hAnsi="Times New Roman" w:eastAsia="宋体" w:cs="Times New Roman"/>
                      <w:color w:val="auto"/>
                      <w:spacing w:val="-2"/>
                      <w:sz w:val="21"/>
                      <w:szCs w:val="21"/>
                    </w:rPr>
                    <w:t>原料方面：上述行业中使用有害物质含量限值高于《工业防护涂料中有害物质限量》（GB30981-2020）及《清洗剂挥发性有机化合物含量限值》（GB38508-2020）等限值要求的</w:t>
                  </w:r>
                </w:p>
              </w:tc>
              <w:tc>
                <w:tcPr>
                  <w:tcW w:w="690" w:type="dxa"/>
                  <w:tcBorders>
                    <w:top w:val="single" w:color="auto" w:sz="4" w:space="0"/>
                    <w:left w:val="nil"/>
                    <w:bottom w:val="single" w:color="auto" w:sz="4" w:space="0"/>
                    <w:right w:val="single" w:color="auto" w:sz="4" w:space="0"/>
                  </w:tcBorders>
                  <w:vAlign w:val="center"/>
                </w:tcPr>
                <w:p w14:paraId="16BB3B40">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vMerge w:val="restart"/>
                  <w:tcBorders>
                    <w:top w:val="single" w:color="auto" w:sz="4" w:space="0"/>
                    <w:left w:val="nil"/>
                    <w:right w:val="single" w:color="auto" w:sz="4" w:space="0"/>
                  </w:tcBorders>
                  <w:vAlign w:val="center"/>
                </w:tcPr>
                <w:p w14:paraId="085D1ABD">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本项目国民经济行业类别为C3831电线、电缆制造</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lang w:val="en-US" w:eastAsia="zh-CN"/>
                    </w:rPr>
                    <w:t>不属于禁止进入类项目</w:t>
                  </w:r>
                </w:p>
              </w:tc>
              <w:tc>
                <w:tcPr>
                  <w:tcW w:w="700" w:type="dxa"/>
                  <w:tcBorders>
                    <w:top w:val="single" w:color="auto" w:sz="4" w:space="0"/>
                    <w:left w:val="nil"/>
                    <w:bottom w:val="single" w:color="auto" w:sz="4" w:space="0"/>
                    <w:right w:val="single" w:color="auto" w:sz="4" w:space="0"/>
                  </w:tcBorders>
                  <w:vAlign w:val="center"/>
                </w:tcPr>
                <w:p w14:paraId="5313DE36">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符合</w:t>
                  </w:r>
                </w:p>
              </w:tc>
            </w:tr>
            <w:tr w14:paraId="19295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continue"/>
                  <w:tcBorders>
                    <w:top w:val="nil"/>
                    <w:left w:val="single" w:color="auto" w:sz="4" w:space="0"/>
                    <w:bottom w:val="single" w:color="auto" w:sz="4" w:space="0"/>
                    <w:right w:val="single" w:color="auto" w:sz="4" w:space="0"/>
                  </w:tcBorders>
                  <w:vAlign w:val="center"/>
                </w:tcPr>
                <w:p w14:paraId="52E63432">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870" w:type="dxa"/>
                  <w:vMerge w:val="continue"/>
                  <w:tcBorders>
                    <w:top w:val="nil"/>
                    <w:left w:val="nil"/>
                    <w:bottom w:val="single" w:color="auto" w:sz="4" w:space="0"/>
                    <w:right w:val="single" w:color="auto" w:sz="4" w:space="0"/>
                  </w:tcBorders>
                  <w:vAlign w:val="center"/>
                </w:tcPr>
                <w:p w14:paraId="1E9CBA57">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1050" w:type="dxa"/>
                  <w:vMerge w:val="continue"/>
                  <w:tcBorders>
                    <w:top w:val="nil"/>
                    <w:left w:val="nil"/>
                    <w:bottom w:val="single" w:color="auto" w:sz="4" w:space="0"/>
                    <w:right w:val="single" w:color="auto" w:sz="4" w:space="0"/>
                  </w:tcBorders>
                  <w:vAlign w:val="center"/>
                </w:tcPr>
                <w:p w14:paraId="73D89CF6">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2040" w:type="dxa"/>
                  <w:tcBorders>
                    <w:top w:val="single" w:color="auto" w:sz="4" w:space="0"/>
                    <w:left w:val="nil"/>
                    <w:bottom w:val="single" w:color="auto" w:sz="4" w:space="0"/>
                    <w:right w:val="single" w:color="auto" w:sz="4" w:space="0"/>
                  </w:tcBorders>
                  <w:vAlign w:val="center"/>
                </w:tcPr>
                <w:p w14:paraId="75BD0A4A">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pacing w:val="-2"/>
                      <w:sz w:val="21"/>
                      <w:szCs w:val="21"/>
                    </w:rPr>
                  </w:pPr>
                  <w:r>
                    <w:rPr>
                      <w:rFonts w:ascii="Times New Roman" w:hAnsi="Times New Roman" w:eastAsia="宋体" w:cs="Times New Roman"/>
                      <w:color w:val="auto"/>
                      <w:spacing w:val="-2"/>
                      <w:sz w:val="21"/>
                      <w:szCs w:val="21"/>
                    </w:rPr>
                    <w:t>产业方面：上述《产业结构调整指导目录 （2019 年本）》中涉及C341通用设备制造业-C349其他通用设备制造中的限制类及淘汰类行业</w:t>
                  </w:r>
                </w:p>
              </w:tc>
              <w:tc>
                <w:tcPr>
                  <w:tcW w:w="690" w:type="dxa"/>
                  <w:tcBorders>
                    <w:top w:val="single" w:color="auto" w:sz="4" w:space="0"/>
                    <w:left w:val="nil"/>
                    <w:bottom w:val="single" w:color="auto" w:sz="4" w:space="0"/>
                    <w:right w:val="single" w:color="auto" w:sz="4" w:space="0"/>
                  </w:tcBorders>
                  <w:vAlign w:val="center"/>
                </w:tcPr>
                <w:p w14:paraId="1A0A02DB">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vMerge w:val="continue"/>
                  <w:tcBorders>
                    <w:left w:val="nil"/>
                    <w:bottom w:val="single" w:color="auto" w:sz="4" w:space="0"/>
                    <w:right w:val="single" w:color="auto" w:sz="4" w:space="0"/>
                  </w:tcBorders>
                  <w:vAlign w:val="center"/>
                </w:tcPr>
                <w:p w14:paraId="1400E3B4">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700" w:type="dxa"/>
                  <w:tcBorders>
                    <w:top w:val="single" w:color="auto" w:sz="4" w:space="0"/>
                    <w:left w:val="nil"/>
                    <w:bottom w:val="single" w:color="auto" w:sz="4" w:space="0"/>
                    <w:right w:val="single" w:color="auto" w:sz="4" w:space="0"/>
                  </w:tcBorders>
                  <w:vAlign w:val="center"/>
                </w:tcPr>
                <w:p w14:paraId="03D7E612">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符合</w:t>
                  </w:r>
                </w:p>
              </w:tc>
            </w:tr>
            <w:tr w14:paraId="684EF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trPr>
              <w:tc>
                <w:tcPr>
                  <w:tcW w:w="709" w:type="dxa"/>
                  <w:vMerge w:val="continue"/>
                  <w:tcBorders>
                    <w:top w:val="nil"/>
                    <w:left w:val="single" w:color="auto" w:sz="4" w:space="0"/>
                    <w:bottom w:val="single" w:color="auto" w:sz="4" w:space="0"/>
                    <w:right w:val="single" w:color="auto" w:sz="4" w:space="0"/>
                  </w:tcBorders>
                  <w:vAlign w:val="center"/>
                </w:tcPr>
                <w:p w14:paraId="5F199FAA">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870" w:type="dxa"/>
                  <w:vMerge w:val="continue"/>
                  <w:tcBorders>
                    <w:top w:val="nil"/>
                    <w:left w:val="nil"/>
                    <w:bottom w:val="single" w:color="auto" w:sz="4" w:space="0"/>
                    <w:right w:val="single" w:color="auto" w:sz="4" w:space="0"/>
                  </w:tcBorders>
                  <w:vAlign w:val="center"/>
                </w:tcPr>
                <w:p w14:paraId="5DE21AED">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1050" w:type="dxa"/>
                  <w:vMerge w:val="restart"/>
                  <w:tcBorders>
                    <w:top w:val="nil"/>
                    <w:left w:val="nil"/>
                    <w:bottom w:val="single" w:color="auto" w:sz="4" w:space="0"/>
                    <w:right w:val="single" w:color="auto" w:sz="4" w:space="0"/>
                  </w:tcBorders>
                  <w:vAlign w:val="center"/>
                </w:tcPr>
                <w:p w14:paraId="2954BFD3">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C351采矿、冶金、建筑专用设备</w:t>
                  </w:r>
                  <w:r>
                    <w:rPr>
                      <w:rFonts w:hint="eastAsia" w:cs="Times New Roman"/>
                      <w:color w:val="auto"/>
                      <w:sz w:val="21"/>
                      <w:szCs w:val="21"/>
                      <w:lang w:eastAsia="zh-CN"/>
                    </w:rPr>
                    <w:t>制造业</w:t>
                  </w:r>
                  <w:r>
                    <w:rPr>
                      <w:rFonts w:ascii="Times New Roman" w:hAnsi="Times New Roman" w:eastAsia="宋体" w:cs="Times New Roman"/>
                      <w:color w:val="auto"/>
                      <w:sz w:val="21"/>
                      <w:szCs w:val="21"/>
                    </w:rPr>
                    <w:t>-C359环保、邮政、社会服务及其他专用设备制造</w:t>
                  </w:r>
                </w:p>
              </w:tc>
              <w:tc>
                <w:tcPr>
                  <w:tcW w:w="2040" w:type="dxa"/>
                  <w:tcBorders>
                    <w:top w:val="single" w:color="auto" w:sz="4" w:space="0"/>
                    <w:left w:val="nil"/>
                    <w:bottom w:val="single" w:color="auto" w:sz="4" w:space="0"/>
                    <w:right w:val="single" w:color="auto" w:sz="4" w:space="0"/>
                  </w:tcBorders>
                  <w:vAlign w:val="center"/>
                </w:tcPr>
                <w:p w14:paraId="18C7DF3C">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pacing w:val="-2"/>
                      <w:sz w:val="21"/>
                      <w:szCs w:val="21"/>
                    </w:rPr>
                  </w:pPr>
                  <w:r>
                    <w:rPr>
                      <w:rFonts w:ascii="Times New Roman" w:hAnsi="Times New Roman" w:eastAsia="宋体" w:cs="Times New Roman"/>
                      <w:color w:val="auto"/>
                      <w:spacing w:val="-2"/>
                      <w:sz w:val="21"/>
                      <w:szCs w:val="21"/>
                    </w:rPr>
                    <w:t>原料方面：上述行业中使用有害物质含量限值高于《工业防护涂料中有害物质限量》（GB30981-2020）及《清洗剂挥发性有机化合物含量限值》（GB38508-2020）等限值要求的</w:t>
                  </w:r>
                </w:p>
              </w:tc>
              <w:tc>
                <w:tcPr>
                  <w:tcW w:w="690" w:type="dxa"/>
                  <w:tcBorders>
                    <w:top w:val="single" w:color="auto" w:sz="4" w:space="0"/>
                    <w:left w:val="nil"/>
                    <w:bottom w:val="single" w:color="auto" w:sz="4" w:space="0"/>
                    <w:right w:val="single" w:color="auto" w:sz="4" w:space="0"/>
                  </w:tcBorders>
                  <w:vAlign w:val="center"/>
                </w:tcPr>
                <w:p w14:paraId="1AB1EF5F">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vMerge w:val="restart"/>
                  <w:tcBorders>
                    <w:top w:val="single" w:color="auto" w:sz="4" w:space="0"/>
                    <w:left w:val="nil"/>
                    <w:right w:val="single" w:color="auto" w:sz="4" w:space="0"/>
                  </w:tcBorders>
                  <w:vAlign w:val="center"/>
                </w:tcPr>
                <w:p w14:paraId="39B63F27">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本项目国民经济行业类别为C3831电线、电缆制造</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lang w:val="en-US" w:eastAsia="zh-CN"/>
                    </w:rPr>
                    <w:t>不属于禁止进入类项目</w:t>
                  </w:r>
                </w:p>
              </w:tc>
              <w:tc>
                <w:tcPr>
                  <w:tcW w:w="700" w:type="dxa"/>
                  <w:vMerge w:val="restart"/>
                  <w:tcBorders>
                    <w:top w:val="single" w:color="auto" w:sz="4" w:space="0"/>
                    <w:left w:val="nil"/>
                    <w:right w:val="single" w:color="auto" w:sz="4" w:space="0"/>
                  </w:tcBorders>
                  <w:vAlign w:val="center"/>
                </w:tcPr>
                <w:p w14:paraId="58A33C02">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符合</w:t>
                  </w:r>
                </w:p>
              </w:tc>
            </w:tr>
            <w:tr w14:paraId="32CB3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trPr>
              <w:tc>
                <w:tcPr>
                  <w:tcW w:w="709" w:type="dxa"/>
                  <w:vMerge w:val="continue"/>
                  <w:tcBorders>
                    <w:top w:val="nil"/>
                    <w:left w:val="single" w:color="auto" w:sz="4" w:space="0"/>
                    <w:bottom w:val="single" w:color="auto" w:sz="4" w:space="0"/>
                    <w:right w:val="single" w:color="auto" w:sz="4" w:space="0"/>
                  </w:tcBorders>
                  <w:vAlign w:val="center"/>
                </w:tcPr>
                <w:p w14:paraId="195D6B7F">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870" w:type="dxa"/>
                  <w:vMerge w:val="continue"/>
                  <w:tcBorders>
                    <w:top w:val="nil"/>
                    <w:left w:val="nil"/>
                    <w:bottom w:val="single" w:color="auto" w:sz="4" w:space="0"/>
                    <w:right w:val="single" w:color="auto" w:sz="4" w:space="0"/>
                  </w:tcBorders>
                  <w:vAlign w:val="center"/>
                </w:tcPr>
                <w:p w14:paraId="32E48328">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1050" w:type="dxa"/>
                  <w:vMerge w:val="continue"/>
                  <w:tcBorders>
                    <w:top w:val="nil"/>
                    <w:left w:val="nil"/>
                    <w:bottom w:val="single" w:color="auto" w:sz="4" w:space="0"/>
                    <w:right w:val="single" w:color="auto" w:sz="4" w:space="0"/>
                  </w:tcBorders>
                  <w:vAlign w:val="center"/>
                </w:tcPr>
                <w:p w14:paraId="04393E7F">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2040" w:type="dxa"/>
                  <w:tcBorders>
                    <w:top w:val="single" w:color="auto" w:sz="4" w:space="0"/>
                    <w:left w:val="nil"/>
                    <w:bottom w:val="single" w:color="auto" w:sz="4" w:space="0"/>
                    <w:right w:val="single" w:color="auto" w:sz="4" w:space="0"/>
                  </w:tcBorders>
                  <w:vAlign w:val="center"/>
                </w:tcPr>
                <w:p w14:paraId="109417A2">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pacing w:val="-2"/>
                      <w:sz w:val="21"/>
                      <w:szCs w:val="21"/>
                    </w:rPr>
                  </w:pPr>
                  <w:r>
                    <w:rPr>
                      <w:rFonts w:ascii="Times New Roman" w:hAnsi="Times New Roman" w:eastAsia="宋体" w:cs="Times New Roman"/>
                      <w:color w:val="auto"/>
                      <w:spacing w:val="-2"/>
                      <w:sz w:val="21"/>
                      <w:szCs w:val="21"/>
                    </w:rPr>
                    <w:t>产业方面：其中涉及新能源行业的不得引入产能过剩的项目</w:t>
                  </w:r>
                </w:p>
              </w:tc>
              <w:tc>
                <w:tcPr>
                  <w:tcW w:w="690" w:type="dxa"/>
                  <w:tcBorders>
                    <w:top w:val="single" w:color="auto" w:sz="4" w:space="0"/>
                    <w:left w:val="nil"/>
                    <w:bottom w:val="single" w:color="auto" w:sz="4" w:space="0"/>
                    <w:right w:val="single" w:color="auto" w:sz="4" w:space="0"/>
                  </w:tcBorders>
                  <w:vAlign w:val="center"/>
                </w:tcPr>
                <w:p w14:paraId="1AD1E0BB">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vMerge w:val="continue"/>
                  <w:tcBorders>
                    <w:left w:val="nil"/>
                    <w:bottom w:val="single" w:color="auto" w:sz="4" w:space="0"/>
                    <w:right w:val="single" w:color="auto" w:sz="4" w:space="0"/>
                  </w:tcBorders>
                  <w:vAlign w:val="center"/>
                </w:tcPr>
                <w:p w14:paraId="347B1ADD">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700" w:type="dxa"/>
                  <w:vMerge w:val="continue"/>
                  <w:tcBorders>
                    <w:left w:val="nil"/>
                    <w:bottom w:val="single" w:color="auto" w:sz="4" w:space="0"/>
                    <w:right w:val="single" w:color="auto" w:sz="4" w:space="0"/>
                  </w:tcBorders>
                  <w:vAlign w:val="center"/>
                </w:tcPr>
                <w:p w14:paraId="4F708D80">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r>
            <w:tr w14:paraId="48036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continue"/>
                  <w:tcBorders>
                    <w:top w:val="nil"/>
                    <w:left w:val="single" w:color="auto" w:sz="4" w:space="0"/>
                    <w:bottom w:val="single" w:color="auto" w:sz="4" w:space="0"/>
                    <w:right w:val="single" w:color="auto" w:sz="4" w:space="0"/>
                  </w:tcBorders>
                  <w:vAlign w:val="center"/>
                </w:tcPr>
                <w:p w14:paraId="036C2DF8">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870" w:type="dxa"/>
                  <w:vMerge w:val="continue"/>
                  <w:tcBorders>
                    <w:top w:val="nil"/>
                    <w:left w:val="nil"/>
                    <w:bottom w:val="single" w:color="auto" w:sz="4" w:space="0"/>
                    <w:right w:val="single" w:color="auto" w:sz="4" w:space="0"/>
                  </w:tcBorders>
                  <w:vAlign w:val="center"/>
                </w:tcPr>
                <w:p w14:paraId="6D13F18F">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1050" w:type="dxa"/>
                  <w:tcBorders>
                    <w:top w:val="single" w:color="auto" w:sz="4" w:space="0"/>
                    <w:left w:val="nil"/>
                    <w:bottom w:val="single" w:color="auto" w:sz="4" w:space="0"/>
                    <w:right w:val="single" w:color="auto" w:sz="4" w:space="0"/>
                  </w:tcBorders>
                  <w:vAlign w:val="center"/>
                </w:tcPr>
                <w:p w14:paraId="6A5569DC">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C34通用设备制造业-C35</w:t>
                  </w:r>
                </w:p>
              </w:tc>
              <w:tc>
                <w:tcPr>
                  <w:tcW w:w="2040" w:type="dxa"/>
                  <w:tcBorders>
                    <w:top w:val="single" w:color="auto" w:sz="4" w:space="0"/>
                    <w:left w:val="nil"/>
                    <w:bottom w:val="single" w:color="auto" w:sz="4" w:space="0"/>
                    <w:right w:val="single" w:color="auto" w:sz="4" w:space="0"/>
                  </w:tcBorders>
                  <w:vAlign w:val="center"/>
                </w:tcPr>
                <w:p w14:paraId="68D55822">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pacing w:val="-2"/>
                      <w:sz w:val="21"/>
                      <w:szCs w:val="21"/>
                    </w:rPr>
                  </w:pPr>
                  <w:r>
                    <w:rPr>
                      <w:rFonts w:ascii="Times New Roman" w:hAnsi="Times New Roman" w:eastAsia="宋体" w:cs="Times New Roman"/>
                      <w:color w:val="auto"/>
                      <w:sz w:val="21"/>
                      <w:szCs w:val="21"/>
                    </w:rPr>
                    <w:t>工艺设备方面：</w:t>
                  </w:r>
                  <w:r>
                    <w:rPr>
                      <w:rFonts w:ascii="Times New Roman" w:hAnsi="Times New Roman" w:eastAsia="宋体" w:cs="Times New Roman"/>
                      <w:color w:val="auto"/>
                      <w:kern w:val="0"/>
                      <w:sz w:val="21"/>
                      <w:szCs w:val="21"/>
                    </w:rPr>
                    <w:t>《高能耗落后机电设备（产品）淘汰目录》中所列产品类型</w:t>
                  </w:r>
                </w:p>
              </w:tc>
              <w:tc>
                <w:tcPr>
                  <w:tcW w:w="690" w:type="dxa"/>
                  <w:tcBorders>
                    <w:top w:val="single" w:color="auto" w:sz="4" w:space="0"/>
                    <w:left w:val="nil"/>
                    <w:bottom w:val="single" w:color="auto" w:sz="4" w:space="0"/>
                    <w:right w:val="single" w:color="auto" w:sz="4" w:space="0"/>
                  </w:tcBorders>
                  <w:vAlign w:val="center"/>
                </w:tcPr>
                <w:p w14:paraId="73A4CEF9">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tcBorders>
                    <w:top w:val="single" w:color="auto" w:sz="4" w:space="0"/>
                    <w:left w:val="nil"/>
                    <w:bottom w:val="single" w:color="auto" w:sz="4" w:space="0"/>
                    <w:right w:val="single" w:color="auto" w:sz="4" w:space="0"/>
                  </w:tcBorders>
                  <w:vAlign w:val="center"/>
                </w:tcPr>
                <w:p w14:paraId="4806EF06">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本项目国民经济行业类别为C3831电线、电缆制造</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lang w:val="en-US" w:eastAsia="zh-CN"/>
                    </w:rPr>
                    <w:t>不属于禁止进入类项目</w:t>
                  </w:r>
                </w:p>
              </w:tc>
              <w:tc>
                <w:tcPr>
                  <w:tcW w:w="700" w:type="dxa"/>
                  <w:tcBorders>
                    <w:top w:val="single" w:color="auto" w:sz="4" w:space="0"/>
                    <w:left w:val="nil"/>
                    <w:bottom w:val="single" w:color="auto" w:sz="4" w:space="0"/>
                    <w:right w:val="single" w:color="auto" w:sz="4" w:space="0"/>
                  </w:tcBorders>
                  <w:vAlign w:val="center"/>
                </w:tcPr>
                <w:p w14:paraId="485F3D97">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hint="eastAsia" w:cs="Times New Roman"/>
                      <w:color w:val="auto"/>
                      <w:sz w:val="21"/>
                      <w:szCs w:val="21"/>
                      <w:lang w:val="en-US" w:eastAsia="zh-CN"/>
                    </w:rPr>
                    <w:t>符合</w:t>
                  </w:r>
                </w:p>
              </w:tc>
            </w:tr>
            <w:tr w14:paraId="7D0B7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restart"/>
                  <w:tcBorders>
                    <w:top w:val="nil"/>
                    <w:left w:val="single" w:color="auto" w:sz="4" w:space="0"/>
                    <w:right w:val="single" w:color="auto" w:sz="4" w:space="0"/>
                  </w:tcBorders>
                  <w:vAlign w:val="center"/>
                </w:tcPr>
                <w:p w14:paraId="6F514DD8">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非金属新材料</w:t>
                  </w:r>
                </w:p>
              </w:tc>
              <w:tc>
                <w:tcPr>
                  <w:tcW w:w="870" w:type="dxa"/>
                  <w:vMerge w:val="continue"/>
                  <w:tcBorders>
                    <w:top w:val="nil"/>
                    <w:left w:val="nil"/>
                    <w:bottom w:val="single" w:color="auto" w:sz="4" w:space="0"/>
                    <w:right w:val="single" w:color="auto" w:sz="4" w:space="0"/>
                  </w:tcBorders>
                  <w:vAlign w:val="center"/>
                </w:tcPr>
                <w:p w14:paraId="4479D216">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1050" w:type="dxa"/>
                  <w:tcBorders>
                    <w:top w:val="single" w:color="auto" w:sz="4" w:space="0"/>
                    <w:left w:val="nil"/>
                    <w:bottom w:val="single" w:color="auto" w:sz="4" w:space="0"/>
                    <w:right w:val="single" w:color="auto" w:sz="4" w:space="0"/>
                  </w:tcBorders>
                  <w:vAlign w:val="center"/>
                </w:tcPr>
                <w:p w14:paraId="64DAC522">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C22造纸和纸制品制造业</w:t>
                  </w:r>
                </w:p>
              </w:tc>
              <w:tc>
                <w:tcPr>
                  <w:tcW w:w="2040" w:type="dxa"/>
                  <w:tcBorders>
                    <w:top w:val="single" w:color="auto" w:sz="4" w:space="0"/>
                    <w:left w:val="nil"/>
                    <w:bottom w:val="single" w:color="auto" w:sz="4" w:space="0"/>
                    <w:right w:val="single" w:color="auto" w:sz="4" w:space="0"/>
                  </w:tcBorders>
                  <w:vAlign w:val="center"/>
                </w:tcPr>
                <w:p w14:paraId="308B86EF">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产业方面：C221纸浆制造、C222造纸</w:t>
                  </w:r>
                </w:p>
              </w:tc>
              <w:tc>
                <w:tcPr>
                  <w:tcW w:w="690" w:type="dxa"/>
                  <w:tcBorders>
                    <w:top w:val="single" w:color="auto" w:sz="4" w:space="0"/>
                    <w:left w:val="nil"/>
                    <w:bottom w:val="single" w:color="auto" w:sz="4" w:space="0"/>
                    <w:right w:val="single" w:color="auto" w:sz="4" w:space="0"/>
                  </w:tcBorders>
                  <w:vAlign w:val="center"/>
                </w:tcPr>
                <w:p w14:paraId="59F3E1C0">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tcBorders>
                    <w:top w:val="single" w:color="auto" w:sz="4" w:space="0"/>
                    <w:left w:val="nil"/>
                    <w:bottom w:val="single" w:color="auto" w:sz="4" w:space="0"/>
                    <w:right w:val="single" w:color="auto" w:sz="4" w:space="0"/>
                  </w:tcBorders>
                  <w:vAlign w:val="center"/>
                </w:tcPr>
                <w:p w14:paraId="0037EA5B">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本项目国民经济行业类别为C3831电线、电缆制造</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lang w:val="en-US" w:eastAsia="zh-CN"/>
                    </w:rPr>
                    <w:t>不属于禁止进入类项目</w:t>
                  </w:r>
                </w:p>
              </w:tc>
              <w:tc>
                <w:tcPr>
                  <w:tcW w:w="700" w:type="dxa"/>
                  <w:tcBorders>
                    <w:top w:val="single" w:color="auto" w:sz="4" w:space="0"/>
                    <w:left w:val="nil"/>
                    <w:bottom w:val="single" w:color="auto" w:sz="4" w:space="0"/>
                    <w:right w:val="single" w:color="auto" w:sz="4" w:space="0"/>
                  </w:tcBorders>
                  <w:vAlign w:val="center"/>
                </w:tcPr>
                <w:p w14:paraId="3154C9B9">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hint="eastAsia" w:cs="Times New Roman"/>
                      <w:color w:val="auto"/>
                      <w:sz w:val="21"/>
                      <w:szCs w:val="21"/>
                      <w:lang w:val="en-US" w:eastAsia="zh-CN"/>
                    </w:rPr>
                    <w:t>符合</w:t>
                  </w:r>
                </w:p>
              </w:tc>
            </w:tr>
            <w:tr w14:paraId="16E43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continue"/>
                  <w:tcBorders>
                    <w:left w:val="single" w:color="auto" w:sz="4" w:space="0"/>
                    <w:right w:val="single" w:color="auto" w:sz="4" w:space="0"/>
                  </w:tcBorders>
                  <w:vAlign w:val="center"/>
                </w:tcPr>
                <w:p w14:paraId="78118F1E">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870" w:type="dxa"/>
                  <w:vMerge w:val="continue"/>
                  <w:tcBorders>
                    <w:top w:val="nil"/>
                    <w:left w:val="nil"/>
                    <w:bottom w:val="single" w:color="auto" w:sz="4" w:space="0"/>
                    <w:right w:val="single" w:color="auto" w:sz="4" w:space="0"/>
                  </w:tcBorders>
                  <w:vAlign w:val="center"/>
                </w:tcPr>
                <w:p w14:paraId="0BD5D0E2">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1050" w:type="dxa"/>
                  <w:tcBorders>
                    <w:top w:val="single" w:color="auto" w:sz="4" w:space="0"/>
                    <w:left w:val="nil"/>
                    <w:bottom w:val="single" w:color="auto" w:sz="4" w:space="0"/>
                    <w:right w:val="single" w:color="auto" w:sz="4" w:space="0"/>
                  </w:tcBorders>
                  <w:vAlign w:val="center"/>
                </w:tcPr>
                <w:p w14:paraId="01739375">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C26化学原料及化学制品制造业</w:t>
                  </w:r>
                </w:p>
              </w:tc>
              <w:tc>
                <w:tcPr>
                  <w:tcW w:w="2040" w:type="dxa"/>
                  <w:tcBorders>
                    <w:top w:val="single" w:color="auto" w:sz="4" w:space="0"/>
                    <w:left w:val="nil"/>
                    <w:bottom w:val="single" w:color="auto" w:sz="4" w:space="0"/>
                    <w:right w:val="single" w:color="auto" w:sz="4" w:space="0"/>
                  </w:tcBorders>
                  <w:vAlign w:val="center"/>
                </w:tcPr>
                <w:p w14:paraId="0724D79C">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产业方面：全部</w:t>
                  </w:r>
                </w:p>
              </w:tc>
              <w:tc>
                <w:tcPr>
                  <w:tcW w:w="690" w:type="dxa"/>
                  <w:tcBorders>
                    <w:top w:val="single" w:color="auto" w:sz="4" w:space="0"/>
                    <w:left w:val="nil"/>
                    <w:bottom w:val="single" w:color="auto" w:sz="4" w:space="0"/>
                    <w:right w:val="single" w:color="auto" w:sz="4" w:space="0"/>
                  </w:tcBorders>
                  <w:vAlign w:val="center"/>
                </w:tcPr>
                <w:p w14:paraId="7B955F9A">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tcBorders>
                    <w:top w:val="single" w:color="auto" w:sz="4" w:space="0"/>
                    <w:left w:val="nil"/>
                    <w:bottom w:val="single" w:color="auto" w:sz="4" w:space="0"/>
                    <w:right w:val="single" w:color="auto" w:sz="4" w:space="0"/>
                  </w:tcBorders>
                  <w:vAlign w:val="center"/>
                </w:tcPr>
                <w:p w14:paraId="5E537F98">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本项目国民经济行业类别为C3831电线、电缆制造</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lang w:val="en-US" w:eastAsia="zh-CN"/>
                    </w:rPr>
                    <w:t>不属于禁止进入类项目</w:t>
                  </w:r>
                </w:p>
              </w:tc>
              <w:tc>
                <w:tcPr>
                  <w:tcW w:w="700" w:type="dxa"/>
                  <w:tcBorders>
                    <w:top w:val="single" w:color="auto" w:sz="4" w:space="0"/>
                    <w:left w:val="nil"/>
                    <w:bottom w:val="single" w:color="auto" w:sz="4" w:space="0"/>
                    <w:right w:val="single" w:color="auto" w:sz="4" w:space="0"/>
                  </w:tcBorders>
                  <w:vAlign w:val="center"/>
                </w:tcPr>
                <w:p w14:paraId="597A3AA4">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hint="eastAsia" w:cs="Times New Roman"/>
                      <w:color w:val="auto"/>
                      <w:sz w:val="21"/>
                      <w:szCs w:val="21"/>
                      <w:lang w:val="en-US" w:eastAsia="zh-CN"/>
                    </w:rPr>
                    <w:t>符合</w:t>
                  </w:r>
                </w:p>
              </w:tc>
            </w:tr>
            <w:tr w14:paraId="2E3F7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continue"/>
                  <w:tcBorders>
                    <w:left w:val="single" w:color="auto" w:sz="4" w:space="0"/>
                    <w:right w:val="single" w:color="auto" w:sz="4" w:space="0"/>
                  </w:tcBorders>
                  <w:vAlign w:val="center"/>
                </w:tcPr>
                <w:p w14:paraId="641A2C92">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870" w:type="dxa"/>
                  <w:vMerge w:val="continue"/>
                  <w:tcBorders>
                    <w:top w:val="nil"/>
                    <w:left w:val="nil"/>
                    <w:bottom w:val="single" w:color="auto" w:sz="4" w:space="0"/>
                    <w:right w:val="single" w:color="auto" w:sz="4" w:space="0"/>
                  </w:tcBorders>
                  <w:vAlign w:val="center"/>
                </w:tcPr>
                <w:p w14:paraId="04CE3C57">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1050" w:type="dxa"/>
                  <w:tcBorders>
                    <w:top w:val="single" w:color="auto" w:sz="4" w:space="0"/>
                    <w:left w:val="nil"/>
                    <w:bottom w:val="single" w:color="auto" w:sz="4" w:space="0"/>
                    <w:right w:val="single" w:color="auto" w:sz="4" w:space="0"/>
                  </w:tcBorders>
                  <w:vAlign w:val="center"/>
                </w:tcPr>
                <w:p w14:paraId="1E17D831">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C29橡胶和塑料制品业</w:t>
                  </w:r>
                </w:p>
              </w:tc>
              <w:tc>
                <w:tcPr>
                  <w:tcW w:w="2040" w:type="dxa"/>
                  <w:tcBorders>
                    <w:top w:val="single" w:color="auto" w:sz="4" w:space="0"/>
                    <w:left w:val="nil"/>
                    <w:bottom w:val="single" w:color="auto" w:sz="4" w:space="0"/>
                    <w:right w:val="single" w:color="auto" w:sz="4" w:space="0"/>
                  </w:tcBorders>
                  <w:vAlign w:val="center"/>
                </w:tcPr>
                <w:p w14:paraId="33FD925E">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产业方面：C2914再生橡胶制造、C292塑料制品业中废旧塑料回收加工、C2923塑料丝、绳及编织品制造</w:t>
                  </w:r>
                </w:p>
              </w:tc>
              <w:tc>
                <w:tcPr>
                  <w:tcW w:w="690" w:type="dxa"/>
                  <w:tcBorders>
                    <w:top w:val="single" w:color="auto" w:sz="4" w:space="0"/>
                    <w:left w:val="nil"/>
                    <w:bottom w:val="single" w:color="auto" w:sz="4" w:space="0"/>
                    <w:right w:val="single" w:color="auto" w:sz="4" w:space="0"/>
                  </w:tcBorders>
                  <w:vAlign w:val="center"/>
                </w:tcPr>
                <w:p w14:paraId="705AFCFD">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tcBorders>
                    <w:top w:val="single" w:color="auto" w:sz="4" w:space="0"/>
                    <w:left w:val="nil"/>
                    <w:bottom w:val="single" w:color="auto" w:sz="4" w:space="0"/>
                    <w:right w:val="single" w:color="auto" w:sz="4" w:space="0"/>
                  </w:tcBorders>
                  <w:vAlign w:val="center"/>
                </w:tcPr>
                <w:p w14:paraId="293CF0A5">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本项目国民经济行业类别为C3831电线、电缆制造</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lang w:val="en-US" w:eastAsia="zh-CN"/>
                    </w:rPr>
                    <w:t>不属于禁止进入类项目</w:t>
                  </w:r>
                </w:p>
              </w:tc>
              <w:tc>
                <w:tcPr>
                  <w:tcW w:w="700" w:type="dxa"/>
                  <w:tcBorders>
                    <w:top w:val="single" w:color="auto" w:sz="4" w:space="0"/>
                    <w:left w:val="nil"/>
                    <w:bottom w:val="single" w:color="auto" w:sz="4" w:space="0"/>
                    <w:right w:val="single" w:color="auto" w:sz="4" w:space="0"/>
                  </w:tcBorders>
                  <w:vAlign w:val="center"/>
                </w:tcPr>
                <w:p w14:paraId="060E198C">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hint="eastAsia" w:cs="Times New Roman"/>
                      <w:color w:val="auto"/>
                      <w:sz w:val="21"/>
                      <w:szCs w:val="21"/>
                      <w:lang w:val="en-US" w:eastAsia="zh-CN"/>
                    </w:rPr>
                    <w:t>符合</w:t>
                  </w:r>
                </w:p>
              </w:tc>
            </w:tr>
            <w:tr w14:paraId="51B82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continue"/>
                  <w:tcBorders>
                    <w:left w:val="single" w:color="auto" w:sz="4" w:space="0"/>
                    <w:right w:val="single" w:color="auto" w:sz="4" w:space="0"/>
                  </w:tcBorders>
                  <w:vAlign w:val="center"/>
                </w:tcPr>
                <w:p w14:paraId="05B7BDC2">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870" w:type="dxa"/>
                  <w:vMerge w:val="continue"/>
                  <w:tcBorders>
                    <w:top w:val="nil"/>
                    <w:left w:val="nil"/>
                    <w:bottom w:val="single" w:color="auto" w:sz="4" w:space="0"/>
                    <w:right w:val="single" w:color="auto" w:sz="4" w:space="0"/>
                  </w:tcBorders>
                  <w:vAlign w:val="center"/>
                </w:tcPr>
                <w:p w14:paraId="1CFACED0">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1050" w:type="dxa"/>
                  <w:vMerge w:val="restart"/>
                  <w:tcBorders>
                    <w:top w:val="single" w:color="auto" w:sz="4" w:space="0"/>
                    <w:left w:val="nil"/>
                    <w:right w:val="single" w:color="auto" w:sz="4" w:space="0"/>
                  </w:tcBorders>
                  <w:vAlign w:val="center"/>
                </w:tcPr>
                <w:p w14:paraId="3C8AB30C">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C30非金属矿物制品业</w:t>
                  </w:r>
                </w:p>
              </w:tc>
              <w:tc>
                <w:tcPr>
                  <w:tcW w:w="2040" w:type="dxa"/>
                  <w:tcBorders>
                    <w:top w:val="single" w:color="auto" w:sz="4" w:space="0"/>
                    <w:left w:val="nil"/>
                    <w:bottom w:val="single" w:color="auto" w:sz="4" w:space="0"/>
                    <w:right w:val="single" w:color="auto" w:sz="4" w:space="0"/>
                  </w:tcBorders>
                  <w:vAlign w:val="center"/>
                </w:tcPr>
                <w:p w14:paraId="445C3C3D">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原料方面：禁止新建使用煤炭烧制普通氧化钙项目</w:t>
                  </w:r>
                </w:p>
              </w:tc>
              <w:tc>
                <w:tcPr>
                  <w:tcW w:w="690" w:type="dxa"/>
                  <w:tcBorders>
                    <w:top w:val="single" w:color="auto" w:sz="4" w:space="0"/>
                    <w:left w:val="nil"/>
                    <w:bottom w:val="single" w:color="auto" w:sz="4" w:space="0"/>
                    <w:right w:val="single" w:color="auto" w:sz="4" w:space="0"/>
                  </w:tcBorders>
                  <w:vAlign w:val="center"/>
                </w:tcPr>
                <w:p w14:paraId="2AF944CE">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vMerge w:val="restart"/>
                  <w:tcBorders>
                    <w:top w:val="single" w:color="auto" w:sz="4" w:space="0"/>
                    <w:left w:val="nil"/>
                    <w:right w:val="single" w:color="auto" w:sz="4" w:space="0"/>
                  </w:tcBorders>
                  <w:vAlign w:val="center"/>
                </w:tcPr>
                <w:p w14:paraId="7A0F1592">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本项目国民经济行业类别为C3831电线、电缆制造</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lang w:val="en-US" w:eastAsia="zh-CN"/>
                    </w:rPr>
                    <w:t>不属于禁止进入类项目</w:t>
                  </w:r>
                </w:p>
              </w:tc>
              <w:tc>
                <w:tcPr>
                  <w:tcW w:w="700" w:type="dxa"/>
                  <w:vMerge w:val="restart"/>
                  <w:tcBorders>
                    <w:top w:val="single" w:color="auto" w:sz="4" w:space="0"/>
                    <w:left w:val="nil"/>
                    <w:right w:val="single" w:color="auto" w:sz="4" w:space="0"/>
                  </w:tcBorders>
                  <w:vAlign w:val="center"/>
                </w:tcPr>
                <w:p w14:paraId="2C2A13E3">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hint="eastAsia" w:cs="Times New Roman"/>
                      <w:color w:val="auto"/>
                      <w:sz w:val="21"/>
                      <w:szCs w:val="21"/>
                      <w:lang w:val="en-US" w:eastAsia="zh-CN"/>
                    </w:rPr>
                    <w:t>符合</w:t>
                  </w:r>
                </w:p>
              </w:tc>
            </w:tr>
            <w:tr w14:paraId="42732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continue"/>
                  <w:tcBorders>
                    <w:left w:val="single" w:color="auto" w:sz="4" w:space="0"/>
                    <w:right w:val="single" w:color="auto" w:sz="4" w:space="0"/>
                  </w:tcBorders>
                  <w:vAlign w:val="center"/>
                </w:tcPr>
                <w:p w14:paraId="4D2CAB8E">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870" w:type="dxa"/>
                  <w:vMerge w:val="continue"/>
                  <w:tcBorders>
                    <w:top w:val="nil"/>
                    <w:left w:val="nil"/>
                    <w:bottom w:val="single" w:color="auto" w:sz="4" w:space="0"/>
                    <w:right w:val="single" w:color="auto" w:sz="4" w:space="0"/>
                  </w:tcBorders>
                  <w:vAlign w:val="center"/>
                </w:tcPr>
                <w:p w14:paraId="33F403CA">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1050" w:type="dxa"/>
                  <w:vMerge w:val="continue"/>
                  <w:tcBorders>
                    <w:left w:val="nil"/>
                    <w:right w:val="single" w:color="auto" w:sz="4" w:space="0"/>
                  </w:tcBorders>
                  <w:vAlign w:val="center"/>
                </w:tcPr>
                <w:p w14:paraId="2EEB3516">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2040" w:type="dxa"/>
                  <w:tcBorders>
                    <w:top w:val="single" w:color="auto" w:sz="4" w:space="0"/>
                    <w:left w:val="nil"/>
                    <w:bottom w:val="single" w:color="auto" w:sz="4" w:space="0"/>
                    <w:right w:val="single" w:color="auto" w:sz="4" w:space="0"/>
                  </w:tcBorders>
                  <w:vAlign w:val="center"/>
                </w:tcPr>
                <w:p w14:paraId="29ECA456">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pacing w:val="-2"/>
                      <w:sz w:val="21"/>
                      <w:szCs w:val="21"/>
                    </w:rPr>
                    <w:t>产业方面：</w:t>
                  </w:r>
                  <w:r>
                    <w:rPr>
                      <w:rFonts w:ascii="Times New Roman" w:hAnsi="Times New Roman" w:eastAsia="宋体" w:cs="Times New Roman"/>
                      <w:color w:val="auto"/>
                      <w:kern w:val="0"/>
                      <w:sz w:val="21"/>
                      <w:szCs w:val="21"/>
                    </w:rPr>
                    <w:t>C304玻璃制造中平板玻璃制造、C306玻璃纤维制造、C307陶瓷制品制造</w:t>
                  </w:r>
                  <w:r>
                    <w:rPr>
                      <w:rFonts w:ascii="Times New Roman" w:hAnsi="Times New Roman" w:eastAsia="宋体" w:cs="Times New Roman"/>
                      <w:color w:val="auto"/>
                      <w:sz w:val="21"/>
                      <w:szCs w:val="21"/>
                    </w:rPr>
                    <w:t>、C308耐火材料制造（以绿色耐火材料、高效隔热材料、轻质合成耐火材料、结构功能一体化耐火材料、优质镁钙系耐火材料、新型环保耐火材料、新型隔热耐火材料除外）、C309石墨及其他非金属矿物制品制造中C3091石墨及碳素制品制造，C3099其他非金属矿物制品制造中建筑用沥青制品、碳酸钡、硫酸钡、高纯硫、高纯硒、高纯砷、高纯碲、高纯碲化镉，高纯砷化镓、高纯硒化镓</w:t>
                  </w:r>
                </w:p>
              </w:tc>
              <w:tc>
                <w:tcPr>
                  <w:tcW w:w="690" w:type="dxa"/>
                  <w:tcBorders>
                    <w:top w:val="single" w:color="auto" w:sz="4" w:space="0"/>
                    <w:left w:val="nil"/>
                    <w:bottom w:val="single" w:color="auto" w:sz="4" w:space="0"/>
                    <w:right w:val="single" w:color="auto" w:sz="4" w:space="0"/>
                  </w:tcBorders>
                  <w:vAlign w:val="center"/>
                </w:tcPr>
                <w:p w14:paraId="54F8CB03">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vMerge w:val="continue"/>
                  <w:tcBorders>
                    <w:left w:val="nil"/>
                    <w:right w:val="single" w:color="auto" w:sz="4" w:space="0"/>
                  </w:tcBorders>
                  <w:vAlign w:val="center"/>
                </w:tcPr>
                <w:p w14:paraId="4A131141">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700" w:type="dxa"/>
                  <w:vMerge w:val="continue"/>
                  <w:tcBorders>
                    <w:left w:val="nil"/>
                    <w:right w:val="single" w:color="auto" w:sz="4" w:space="0"/>
                  </w:tcBorders>
                  <w:vAlign w:val="center"/>
                </w:tcPr>
                <w:p w14:paraId="5A972930">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r>
            <w:tr w14:paraId="46187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continue"/>
                  <w:tcBorders>
                    <w:left w:val="single" w:color="auto" w:sz="4" w:space="0"/>
                    <w:right w:val="single" w:color="auto" w:sz="4" w:space="0"/>
                  </w:tcBorders>
                  <w:vAlign w:val="center"/>
                </w:tcPr>
                <w:p w14:paraId="6091314D">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870" w:type="dxa"/>
                  <w:vMerge w:val="continue"/>
                  <w:tcBorders>
                    <w:top w:val="nil"/>
                    <w:left w:val="nil"/>
                    <w:bottom w:val="single" w:color="auto" w:sz="4" w:space="0"/>
                    <w:right w:val="single" w:color="auto" w:sz="4" w:space="0"/>
                  </w:tcBorders>
                  <w:vAlign w:val="center"/>
                </w:tcPr>
                <w:p w14:paraId="2B167A3D">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1050" w:type="dxa"/>
                  <w:vMerge w:val="continue"/>
                  <w:tcBorders>
                    <w:left w:val="nil"/>
                    <w:right w:val="single" w:color="auto" w:sz="4" w:space="0"/>
                  </w:tcBorders>
                  <w:vAlign w:val="center"/>
                </w:tcPr>
                <w:p w14:paraId="67DA2EE8">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2040" w:type="dxa"/>
                  <w:tcBorders>
                    <w:top w:val="single" w:color="auto" w:sz="4" w:space="0"/>
                    <w:left w:val="nil"/>
                    <w:bottom w:val="single" w:color="auto" w:sz="4" w:space="0"/>
                    <w:right w:val="single" w:color="auto" w:sz="4" w:space="0"/>
                  </w:tcBorders>
                  <w:vAlign w:val="center"/>
                </w:tcPr>
                <w:p w14:paraId="7C266C43">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规格方面：禁止新建2000目以下方解石粉加工项目（同时配建制造下游终端产品的除外）</w:t>
                  </w:r>
                </w:p>
              </w:tc>
              <w:tc>
                <w:tcPr>
                  <w:tcW w:w="690" w:type="dxa"/>
                  <w:tcBorders>
                    <w:top w:val="single" w:color="auto" w:sz="4" w:space="0"/>
                    <w:left w:val="nil"/>
                    <w:bottom w:val="single" w:color="auto" w:sz="4" w:space="0"/>
                    <w:right w:val="single" w:color="auto" w:sz="4" w:space="0"/>
                  </w:tcBorders>
                  <w:vAlign w:val="center"/>
                </w:tcPr>
                <w:p w14:paraId="19B1F40C">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vMerge w:val="continue"/>
                  <w:tcBorders>
                    <w:left w:val="nil"/>
                    <w:right w:val="single" w:color="auto" w:sz="4" w:space="0"/>
                  </w:tcBorders>
                  <w:vAlign w:val="center"/>
                </w:tcPr>
                <w:p w14:paraId="56E08449">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700" w:type="dxa"/>
                  <w:vMerge w:val="continue"/>
                  <w:tcBorders>
                    <w:left w:val="nil"/>
                    <w:right w:val="single" w:color="auto" w:sz="4" w:space="0"/>
                  </w:tcBorders>
                  <w:vAlign w:val="center"/>
                </w:tcPr>
                <w:p w14:paraId="65EFA050">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r>
            <w:tr w14:paraId="5D9E6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continue"/>
                  <w:tcBorders>
                    <w:left w:val="single" w:color="auto" w:sz="4" w:space="0"/>
                    <w:bottom w:val="single" w:color="auto" w:sz="4" w:space="0"/>
                    <w:right w:val="single" w:color="auto" w:sz="4" w:space="0"/>
                  </w:tcBorders>
                  <w:vAlign w:val="center"/>
                </w:tcPr>
                <w:p w14:paraId="36A65CF8">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870" w:type="dxa"/>
                  <w:vMerge w:val="continue"/>
                  <w:tcBorders>
                    <w:top w:val="nil"/>
                    <w:left w:val="nil"/>
                    <w:bottom w:val="single" w:color="auto" w:sz="4" w:space="0"/>
                    <w:right w:val="single" w:color="auto" w:sz="4" w:space="0"/>
                  </w:tcBorders>
                  <w:vAlign w:val="center"/>
                </w:tcPr>
                <w:p w14:paraId="2785D9C8">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1050" w:type="dxa"/>
                  <w:vMerge w:val="continue"/>
                  <w:tcBorders>
                    <w:left w:val="nil"/>
                    <w:right w:val="single" w:color="auto" w:sz="4" w:space="0"/>
                  </w:tcBorders>
                  <w:vAlign w:val="center"/>
                </w:tcPr>
                <w:p w14:paraId="38FF625A">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2040" w:type="dxa"/>
                  <w:tcBorders>
                    <w:top w:val="single" w:color="auto" w:sz="4" w:space="0"/>
                    <w:left w:val="nil"/>
                    <w:bottom w:val="single" w:color="auto" w:sz="4" w:space="0"/>
                    <w:right w:val="single" w:color="auto" w:sz="4" w:space="0"/>
                  </w:tcBorders>
                  <w:vAlign w:val="center"/>
                </w:tcPr>
                <w:p w14:paraId="5AE9EEDD">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工艺设备方面：非金属新材料负面设备清单</w:t>
                  </w:r>
                </w:p>
                <w:tbl>
                  <w:tblPr>
                    <w:tblStyle w:val="27"/>
                    <w:tblW w:w="1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06"/>
                    <w:gridCol w:w="692"/>
                    <w:gridCol w:w="758"/>
                  </w:tblGrid>
                  <w:tr w14:paraId="42B0AB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406" w:type="dxa"/>
                        <w:tcBorders>
                          <w:top w:val="single" w:color="000000" w:sz="4" w:space="0"/>
                          <w:left w:val="single" w:color="000000" w:sz="4" w:space="0"/>
                          <w:bottom w:val="single" w:color="000000" w:sz="4" w:space="0"/>
                          <w:right w:val="single" w:color="000000" w:sz="4" w:space="0"/>
                        </w:tcBorders>
                        <w:vAlign w:val="center"/>
                      </w:tcPr>
                      <w:p w14:paraId="0B148AC7">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序号</w:t>
                        </w:r>
                      </w:p>
                    </w:tc>
                    <w:tc>
                      <w:tcPr>
                        <w:tcW w:w="692" w:type="dxa"/>
                        <w:tcBorders>
                          <w:top w:val="single" w:color="000000" w:sz="4" w:space="0"/>
                          <w:left w:val="nil"/>
                          <w:bottom w:val="single" w:color="000000" w:sz="4" w:space="0"/>
                          <w:right w:val="single" w:color="000000" w:sz="4" w:space="0"/>
                        </w:tcBorders>
                        <w:vAlign w:val="center"/>
                      </w:tcPr>
                      <w:p w14:paraId="27BA1058">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工艺设备负面清单</w:t>
                        </w:r>
                      </w:p>
                    </w:tc>
                    <w:tc>
                      <w:tcPr>
                        <w:tcW w:w="758" w:type="dxa"/>
                        <w:tcBorders>
                          <w:top w:val="single" w:color="000000" w:sz="4" w:space="0"/>
                          <w:left w:val="nil"/>
                          <w:bottom w:val="single" w:color="000000" w:sz="4" w:space="0"/>
                          <w:right w:val="single" w:color="000000" w:sz="4" w:space="0"/>
                        </w:tcBorders>
                        <w:vAlign w:val="center"/>
                      </w:tcPr>
                      <w:p w14:paraId="3744D5C0">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依据</w:t>
                        </w:r>
                      </w:p>
                    </w:tc>
                  </w:tr>
                  <w:tr w14:paraId="39071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406" w:type="dxa"/>
                        <w:tcBorders>
                          <w:top w:val="single" w:color="000000" w:sz="4" w:space="0"/>
                          <w:left w:val="single" w:color="000000" w:sz="4" w:space="0"/>
                          <w:bottom w:val="single" w:color="000000" w:sz="4" w:space="0"/>
                          <w:right w:val="single" w:color="000000" w:sz="4" w:space="0"/>
                        </w:tcBorders>
                        <w:vAlign w:val="center"/>
                      </w:tcPr>
                      <w:p w14:paraId="652BD82C">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1</w:t>
                        </w:r>
                      </w:p>
                    </w:tc>
                    <w:tc>
                      <w:tcPr>
                        <w:tcW w:w="692" w:type="dxa"/>
                        <w:tcBorders>
                          <w:top w:val="single" w:color="000000" w:sz="4" w:space="0"/>
                          <w:left w:val="nil"/>
                          <w:bottom w:val="single" w:color="000000" w:sz="4" w:space="0"/>
                          <w:right w:val="single" w:color="000000" w:sz="4" w:space="0"/>
                        </w:tcBorders>
                        <w:vAlign w:val="center"/>
                      </w:tcPr>
                      <w:p w14:paraId="65F107D2">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2 万吨/年以下普通级碳酸钙生产线</w:t>
                        </w:r>
                      </w:p>
                    </w:tc>
                    <w:tc>
                      <w:tcPr>
                        <w:tcW w:w="758" w:type="dxa"/>
                        <w:tcBorders>
                          <w:top w:val="single" w:color="000000" w:sz="4" w:space="0"/>
                          <w:left w:val="nil"/>
                          <w:bottom w:val="single" w:color="000000" w:sz="4" w:space="0"/>
                          <w:right w:val="single" w:color="000000" w:sz="4" w:space="0"/>
                        </w:tcBorders>
                        <w:vAlign w:val="center"/>
                      </w:tcPr>
                      <w:p w14:paraId="4926EB0A">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《产业结构调整指导目录（2019年本）》中淘汰落后类</w:t>
                        </w:r>
                      </w:p>
                    </w:tc>
                  </w:tr>
                  <w:tr w14:paraId="6B246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406" w:type="dxa"/>
                        <w:tcBorders>
                          <w:top w:val="single" w:color="000000" w:sz="4" w:space="0"/>
                          <w:left w:val="single" w:color="000000" w:sz="4" w:space="0"/>
                          <w:bottom w:val="single" w:color="000000" w:sz="4" w:space="0"/>
                          <w:right w:val="single" w:color="000000" w:sz="4" w:space="0"/>
                        </w:tcBorders>
                        <w:vAlign w:val="center"/>
                      </w:tcPr>
                      <w:p w14:paraId="23EDE6D1">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2</w:t>
                        </w:r>
                      </w:p>
                    </w:tc>
                    <w:tc>
                      <w:tcPr>
                        <w:tcW w:w="692" w:type="dxa"/>
                        <w:tcBorders>
                          <w:top w:val="single" w:color="000000" w:sz="4" w:space="0"/>
                          <w:left w:val="nil"/>
                          <w:bottom w:val="single" w:color="000000" w:sz="4" w:space="0"/>
                          <w:right w:val="single" w:color="000000" w:sz="4" w:space="0"/>
                        </w:tcBorders>
                        <w:vAlign w:val="center"/>
                      </w:tcPr>
                      <w:p w14:paraId="64C9EEF8">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石灰土立窑*</w:t>
                        </w:r>
                      </w:p>
                    </w:tc>
                    <w:tc>
                      <w:tcPr>
                        <w:tcW w:w="758" w:type="dxa"/>
                        <w:tcBorders>
                          <w:top w:val="single" w:color="000000" w:sz="4" w:space="0"/>
                          <w:left w:val="nil"/>
                          <w:bottom w:val="single" w:color="000000" w:sz="4" w:space="0"/>
                          <w:right w:val="single" w:color="000000" w:sz="4" w:space="0"/>
                        </w:tcBorders>
                        <w:vAlign w:val="center"/>
                      </w:tcPr>
                      <w:p w14:paraId="56179EC5">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《产业结构调整指导目录（2019 年本）》中淘汰落后类</w:t>
                        </w:r>
                      </w:p>
                    </w:tc>
                  </w:tr>
                  <w:tr w14:paraId="21C4B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406" w:type="dxa"/>
                        <w:tcBorders>
                          <w:top w:val="single" w:color="000000" w:sz="4" w:space="0"/>
                          <w:left w:val="single" w:color="000000" w:sz="4" w:space="0"/>
                          <w:bottom w:val="single" w:color="000000" w:sz="4" w:space="0"/>
                          <w:right w:val="single" w:color="000000" w:sz="4" w:space="0"/>
                        </w:tcBorders>
                        <w:vAlign w:val="center"/>
                      </w:tcPr>
                      <w:p w14:paraId="55C41667">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3</w:t>
                        </w:r>
                      </w:p>
                    </w:tc>
                    <w:tc>
                      <w:tcPr>
                        <w:tcW w:w="692" w:type="dxa"/>
                        <w:tcBorders>
                          <w:top w:val="single" w:color="000000" w:sz="4" w:space="0"/>
                          <w:left w:val="nil"/>
                          <w:bottom w:val="single" w:color="000000" w:sz="4" w:space="0"/>
                          <w:right w:val="single" w:color="000000" w:sz="4" w:space="0"/>
                        </w:tcBorders>
                        <w:vAlign w:val="center"/>
                      </w:tcPr>
                      <w:p w14:paraId="4F8167A4">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炉膛直径3米以下（含3米）燃料类煤气发生炉</w:t>
                        </w:r>
                      </w:p>
                    </w:tc>
                    <w:tc>
                      <w:tcPr>
                        <w:tcW w:w="758" w:type="dxa"/>
                        <w:tcBorders>
                          <w:top w:val="single" w:color="000000" w:sz="4" w:space="0"/>
                          <w:left w:val="nil"/>
                          <w:bottom w:val="single" w:color="000000" w:sz="4" w:space="0"/>
                          <w:right w:val="single" w:color="000000" w:sz="4" w:space="0"/>
                        </w:tcBorders>
                        <w:vAlign w:val="center"/>
                      </w:tcPr>
                      <w:p w14:paraId="5C2D581E">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《2020年安徽省大气污染防治重点工作任务》要求</w:t>
                        </w:r>
                      </w:p>
                    </w:tc>
                  </w:tr>
                </w:tbl>
                <w:p w14:paraId="188D4CFD">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690" w:type="dxa"/>
                  <w:tcBorders>
                    <w:top w:val="single" w:color="auto" w:sz="4" w:space="0"/>
                    <w:left w:val="nil"/>
                    <w:bottom w:val="single" w:color="auto" w:sz="4" w:space="0"/>
                    <w:right w:val="single" w:color="auto" w:sz="4" w:space="0"/>
                  </w:tcBorders>
                  <w:vAlign w:val="center"/>
                </w:tcPr>
                <w:p w14:paraId="08C97DC2">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vMerge w:val="continue"/>
                  <w:tcBorders>
                    <w:left w:val="nil"/>
                    <w:bottom w:val="single" w:color="auto" w:sz="4" w:space="0"/>
                    <w:right w:val="single" w:color="auto" w:sz="4" w:space="0"/>
                  </w:tcBorders>
                  <w:vAlign w:val="center"/>
                </w:tcPr>
                <w:p w14:paraId="5B40A27B">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700" w:type="dxa"/>
                  <w:vMerge w:val="continue"/>
                  <w:tcBorders>
                    <w:left w:val="nil"/>
                    <w:bottom w:val="single" w:color="auto" w:sz="4" w:space="0"/>
                    <w:right w:val="single" w:color="auto" w:sz="4" w:space="0"/>
                  </w:tcBorders>
                  <w:vAlign w:val="center"/>
                </w:tcPr>
                <w:p w14:paraId="638D95E6">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r>
            <w:tr w14:paraId="55679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restart"/>
                  <w:tcBorders>
                    <w:top w:val="nil"/>
                    <w:left w:val="single" w:color="auto" w:sz="4" w:space="0"/>
                    <w:bottom w:val="single" w:color="auto" w:sz="4" w:space="0"/>
                    <w:right w:val="single" w:color="auto" w:sz="4" w:space="0"/>
                  </w:tcBorders>
                  <w:vAlign w:val="center"/>
                </w:tcPr>
                <w:p w14:paraId="0C359CBF">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镁基新材料</w:t>
                  </w:r>
                </w:p>
              </w:tc>
              <w:tc>
                <w:tcPr>
                  <w:tcW w:w="870" w:type="dxa"/>
                  <w:vMerge w:val="restart"/>
                  <w:tcBorders>
                    <w:top w:val="nil"/>
                    <w:left w:val="nil"/>
                    <w:bottom w:val="single" w:color="auto" w:sz="4" w:space="0"/>
                    <w:right w:val="single" w:color="auto" w:sz="4" w:space="0"/>
                  </w:tcBorders>
                  <w:vAlign w:val="center"/>
                </w:tcPr>
                <w:p w14:paraId="714FA327">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本次规划环评优化调整</w:t>
                  </w:r>
                </w:p>
              </w:tc>
              <w:tc>
                <w:tcPr>
                  <w:tcW w:w="1050" w:type="dxa"/>
                  <w:vMerge w:val="restart"/>
                  <w:tcBorders>
                    <w:top w:val="single" w:color="auto" w:sz="4" w:space="0"/>
                    <w:left w:val="nil"/>
                    <w:right w:val="single" w:color="auto" w:sz="4" w:space="0"/>
                  </w:tcBorders>
                  <w:vAlign w:val="center"/>
                </w:tcPr>
                <w:p w14:paraId="60C7875D">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C32有色金属冶炼和压延加工业</w:t>
                  </w:r>
                </w:p>
              </w:tc>
              <w:tc>
                <w:tcPr>
                  <w:tcW w:w="2040" w:type="dxa"/>
                  <w:tcBorders>
                    <w:top w:val="single" w:color="auto" w:sz="4" w:space="0"/>
                    <w:left w:val="nil"/>
                    <w:bottom w:val="single" w:color="auto" w:sz="4" w:space="0"/>
                    <w:right w:val="single" w:color="auto" w:sz="4" w:space="0"/>
                  </w:tcBorders>
                  <w:vAlign w:val="center"/>
                </w:tcPr>
                <w:p w14:paraId="19DE2570">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pacing w:val="-2"/>
                      <w:sz w:val="21"/>
                      <w:szCs w:val="21"/>
                    </w:rPr>
                    <w:t>产业方面：</w:t>
                  </w:r>
                  <w:r>
                    <w:rPr>
                      <w:rFonts w:ascii="Times New Roman" w:hAnsi="Times New Roman" w:eastAsia="宋体" w:cs="Times New Roman"/>
                      <w:color w:val="auto"/>
                      <w:sz w:val="21"/>
                      <w:szCs w:val="21"/>
                    </w:rPr>
                    <w:t>C3211铜冶炼、C3211铅锌冶炼、C3213镍钴冶炼、C3214锡冶炼、C3215锑冶炼、C3218硅冶炼、C3219其他常用有色金属冶炼、C322贵金属冶炼、C323稀土金属冶炼，C324有色金属合金制造中涉及重金属的合金制造，C325有色金属压延加工中涉及重金属的压延加工业，C3216铝冶炼，C3217镁冶炼中的再生镁、镁粒（粉）、镁环（不含压铸等环节回炉处理边角料）</w:t>
                  </w:r>
                </w:p>
              </w:tc>
              <w:tc>
                <w:tcPr>
                  <w:tcW w:w="690" w:type="dxa"/>
                  <w:tcBorders>
                    <w:top w:val="single" w:color="auto" w:sz="4" w:space="0"/>
                    <w:left w:val="nil"/>
                    <w:bottom w:val="single" w:color="auto" w:sz="4" w:space="0"/>
                    <w:right w:val="single" w:color="auto" w:sz="4" w:space="0"/>
                  </w:tcBorders>
                  <w:vAlign w:val="center"/>
                </w:tcPr>
                <w:p w14:paraId="0A44BCE6">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vMerge w:val="restart"/>
                  <w:tcBorders>
                    <w:top w:val="single" w:color="auto" w:sz="4" w:space="0"/>
                    <w:left w:val="nil"/>
                    <w:right w:val="single" w:color="auto" w:sz="4" w:space="0"/>
                  </w:tcBorders>
                  <w:vAlign w:val="center"/>
                </w:tcPr>
                <w:p w14:paraId="13676EF6">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本项目国民经济行业类别为C3831电线、电缆制造</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lang w:val="en-US" w:eastAsia="zh-CN"/>
                    </w:rPr>
                    <w:t>不属于禁止进入类项目</w:t>
                  </w:r>
                </w:p>
              </w:tc>
              <w:tc>
                <w:tcPr>
                  <w:tcW w:w="700" w:type="dxa"/>
                  <w:vMerge w:val="restart"/>
                  <w:tcBorders>
                    <w:top w:val="single" w:color="auto" w:sz="4" w:space="0"/>
                    <w:left w:val="nil"/>
                    <w:right w:val="single" w:color="auto" w:sz="4" w:space="0"/>
                  </w:tcBorders>
                  <w:vAlign w:val="center"/>
                </w:tcPr>
                <w:p w14:paraId="519D5741">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hint="eastAsia" w:cs="Times New Roman"/>
                      <w:color w:val="auto"/>
                      <w:sz w:val="21"/>
                      <w:szCs w:val="21"/>
                      <w:lang w:val="en-US" w:eastAsia="zh-CN"/>
                    </w:rPr>
                    <w:t>符合</w:t>
                  </w:r>
                </w:p>
              </w:tc>
            </w:tr>
            <w:tr w14:paraId="66D49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continue"/>
                  <w:tcBorders>
                    <w:left w:val="single" w:color="auto" w:sz="4" w:space="0"/>
                    <w:right w:val="single" w:color="auto" w:sz="4" w:space="0"/>
                  </w:tcBorders>
                  <w:vAlign w:val="center"/>
                </w:tcPr>
                <w:p w14:paraId="073F2382">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870" w:type="dxa"/>
                  <w:vMerge w:val="continue"/>
                  <w:tcBorders>
                    <w:left w:val="nil"/>
                    <w:right w:val="single" w:color="auto" w:sz="4" w:space="0"/>
                  </w:tcBorders>
                  <w:vAlign w:val="center"/>
                </w:tcPr>
                <w:p w14:paraId="7E8959CC">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1050" w:type="dxa"/>
                  <w:vMerge w:val="continue"/>
                  <w:tcBorders>
                    <w:left w:val="nil"/>
                    <w:bottom w:val="single" w:color="auto" w:sz="4" w:space="0"/>
                    <w:right w:val="single" w:color="auto" w:sz="4" w:space="0"/>
                  </w:tcBorders>
                  <w:vAlign w:val="center"/>
                </w:tcPr>
                <w:p w14:paraId="55600F45">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2040" w:type="dxa"/>
                  <w:tcBorders>
                    <w:top w:val="single" w:color="auto" w:sz="4" w:space="0"/>
                    <w:left w:val="nil"/>
                    <w:bottom w:val="single" w:color="auto" w:sz="4" w:space="0"/>
                    <w:right w:val="single" w:color="auto" w:sz="4" w:space="0"/>
                  </w:tcBorders>
                  <w:vAlign w:val="center"/>
                </w:tcPr>
                <w:p w14:paraId="0FD619D6">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pacing w:val="-2"/>
                      <w:sz w:val="21"/>
                      <w:szCs w:val="21"/>
                    </w:rPr>
                  </w:pPr>
                  <w:r>
                    <w:rPr>
                      <w:rFonts w:ascii="Times New Roman" w:hAnsi="Times New Roman" w:eastAsia="宋体" w:cs="Times New Roman"/>
                      <w:color w:val="auto"/>
                      <w:spacing w:val="-2"/>
                      <w:sz w:val="21"/>
                      <w:szCs w:val="21"/>
                    </w:rPr>
                    <w:t>清洁生产方面：C3217镁冶炼按照《镁冶炼行业清洁生产水平评价技术要求》（YS/T 841-2012），清洁生产水平低于一级标准的禁止进入</w:t>
                  </w:r>
                </w:p>
              </w:tc>
              <w:tc>
                <w:tcPr>
                  <w:tcW w:w="690" w:type="dxa"/>
                  <w:tcBorders>
                    <w:top w:val="single" w:color="auto" w:sz="4" w:space="0"/>
                    <w:left w:val="nil"/>
                    <w:bottom w:val="single" w:color="auto" w:sz="4" w:space="0"/>
                    <w:right w:val="single" w:color="auto" w:sz="4" w:space="0"/>
                  </w:tcBorders>
                  <w:vAlign w:val="center"/>
                </w:tcPr>
                <w:p w14:paraId="78D3229E">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vMerge w:val="continue"/>
                  <w:tcBorders>
                    <w:left w:val="nil"/>
                    <w:bottom w:val="single" w:color="auto" w:sz="4" w:space="0"/>
                    <w:right w:val="single" w:color="auto" w:sz="4" w:space="0"/>
                  </w:tcBorders>
                  <w:vAlign w:val="center"/>
                </w:tcPr>
                <w:p w14:paraId="73220DEB">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700" w:type="dxa"/>
                  <w:vMerge w:val="continue"/>
                  <w:tcBorders>
                    <w:left w:val="nil"/>
                    <w:bottom w:val="single" w:color="auto" w:sz="4" w:space="0"/>
                    <w:right w:val="single" w:color="auto" w:sz="4" w:space="0"/>
                  </w:tcBorders>
                  <w:vAlign w:val="center"/>
                </w:tcPr>
                <w:p w14:paraId="3732F385">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r>
            <w:tr w14:paraId="04DF4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continue"/>
                  <w:tcBorders>
                    <w:top w:val="nil"/>
                    <w:left w:val="single" w:color="auto" w:sz="4" w:space="0"/>
                    <w:bottom w:val="single" w:color="auto" w:sz="4" w:space="0"/>
                    <w:right w:val="single" w:color="auto" w:sz="4" w:space="0"/>
                  </w:tcBorders>
                  <w:vAlign w:val="center"/>
                </w:tcPr>
                <w:p w14:paraId="58A92D8C">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870" w:type="dxa"/>
                  <w:vMerge w:val="continue"/>
                  <w:tcBorders>
                    <w:top w:val="nil"/>
                    <w:left w:val="nil"/>
                    <w:bottom w:val="single" w:color="auto" w:sz="4" w:space="0"/>
                    <w:right w:val="single" w:color="auto" w:sz="4" w:space="0"/>
                  </w:tcBorders>
                  <w:vAlign w:val="center"/>
                </w:tcPr>
                <w:p w14:paraId="357E6133">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1050" w:type="dxa"/>
                  <w:vMerge w:val="restart"/>
                  <w:tcBorders>
                    <w:top w:val="nil"/>
                    <w:left w:val="nil"/>
                    <w:bottom w:val="single" w:color="auto" w:sz="4" w:space="0"/>
                    <w:right w:val="single" w:color="auto" w:sz="4" w:space="0"/>
                  </w:tcBorders>
                  <w:vAlign w:val="center"/>
                </w:tcPr>
                <w:p w14:paraId="24A28890">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C33金属制品制造</w:t>
                  </w:r>
                </w:p>
              </w:tc>
              <w:tc>
                <w:tcPr>
                  <w:tcW w:w="2040" w:type="dxa"/>
                  <w:vMerge w:val="restart"/>
                  <w:tcBorders>
                    <w:top w:val="single" w:color="auto" w:sz="4" w:space="0"/>
                    <w:left w:val="nil"/>
                    <w:right w:val="single" w:color="auto" w:sz="4" w:space="0"/>
                  </w:tcBorders>
                  <w:vAlign w:val="center"/>
                </w:tcPr>
                <w:p w14:paraId="27BB45DF">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产业方面：涉及重金属的金属制品制造业，C336金属表面处理及热处理的电镀，抛光、阳极氧化防腐处理，C337 搪瓷制品制造，C339铸造及其他金属制品制造中C3391黑色金属铸造、C3392有色金属铸造，（实施等量或减量置换，新建或改造升级的精密铸造建设项目除外）</w:t>
                  </w:r>
                </w:p>
              </w:tc>
              <w:tc>
                <w:tcPr>
                  <w:tcW w:w="690" w:type="dxa"/>
                  <w:tcBorders>
                    <w:top w:val="nil"/>
                    <w:left w:val="nil"/>
                    <w:bottom w:val="single" w:color="auto" w:sz="4" w:space="0"/>
                    <w:right w:val="single" w:color="auto" w:sz="4" w:space="0"/>
                  </w:tcBorders>
                  <w:vAlign w:val="center"/>
                </w:tcPr>
                <w:p w14:paraId="5369AAAD">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vMerge w:val="restart"/>
                  <w:tcBorders>
                    <w:top w:val="nil"/>
                    <w:left w:val="nil"/>
                    <w:right w:val="single" w:color="auto" w:sz="4" w:space="0"/>
                  </w:tcBorders>
                  <w:vAlign w:val="center"/>
                </w:tcPr>
                <w:p w14:paraId="2E4059FB">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本项目国民经济行业类别为C3831电线、电缆制造</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lang w:val="en-US" w:eastAsia="zh-CN"/>
                    </w:rPr>
                    <w:t>不属于禁止进入类项目</w:t>
                  </w:r>
                </w:p>
              </w:tc>
              <w:tc>
                <w:tcPr>
                  <w:tcW w:w="700" w:type="dxa"/>
                  <w:vMerge w:val="restart"/>
                  <w:tcBorders>
                    <w:top w:val="nil"/>
                    <w:left w:val="nil"/>
                    <w:right w:val="single" w:color="auto" w:sz="4" w:space="0"/>
                  </w:tcBorders>
                  <w:vAlign w:val="center"/>
                </w:tcPr>
                <w:p w14:paraId="729A3AC9">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hint="eastAsia" w:cs="Times New Roman"/>
                      <w:color w:val="auto"/>
                      <w:sz w:val="21"/>
                      <w:szCs w:val="21"/>
                      <w:lang w:val="en-US" w:eastAsia="zh-CN"/>
                    </w:rPr>
                    <w:t>符合</w:t>
                  </w:r>
                </w:p>
              </w:tc>
            </w:tr>
            <w:tr w14:paraId="10E21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continue"/>
                  <w:tcBorders>
                    <w:top w:val="nil"/>
                    <w:left w:val="single" w:color="auto" w:sz="4" w:space="0"/>
                    <w:bottom w:val="single" w:color="auto" w:sz="4" w:space="0"/>
                    <w:right w:val="single" w:color="auto" w:sz="4" w:space="0"/>
                  </w:tcBorders>
                  <w:vAlign w:val="center"/>
                </w:tcPr>
                <w:p w14:paraId="192768DB">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870" w:type="dxa"/>
                  <w:vMerge w:val="continue"/>
                  <w:tcBorders>
                    <w:top w:val="nil"/>
                    <w:left w:val="nil"/>
                    <w:bottom w:val="single" w:color="auto" w:sz="4" w:space="0"/>
                    <w:right w:val="single" w:color="auto" w:sz="4" w:space="0"/>
                  </w:tcBorders>
                  <w:vAlign w:val="center"/>
                </w:tcPr>
                <w:p w14:paraId="372EB488">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1050" w:type="dxa"/>
                  <w:vMerge w:val="continue"/>
                  <w:tcBorders>
                    <w:top w:val="nil"/>
                    <w:left w:val="nil"/>
                    <w:bottom w:val="single" w:color="auto" w:sz="4" w:space="0"/>
                    <w:right w:val="single" w:color="auto" w:sz="4" w:space="0"/>
                  </w:tcBorders>
                  <w:vAlign w:val="center"/>
                </w:tcPr>
                <w:p w14:paraId="4565267A">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2040" w:type="dxa"/>
                  <w:vMerge w:val="continue"/>
                  <w:tcBorders>
                    <w:left w:val="nil"/>
                    <w:bottom w:val="single" w:color="auto" w:sz="4" w:space="0"/>
                    <w:right w:val="single" w:color="auto" w:sz="4" w:space="0"/>
                  </w:tcBorders>
                  <w:vAlign w:val="center"/>
                </w:tcPr>
                <w:p w14:paraId="6C70087A">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690" w:type="dxa"/>
                  <w:tcBorders>
                    <w:top w:val="single" w:color="auto" w:sz="4" w:space="0"/>
                    <w:left w:val="nil"/>
                    <w:bottom w:val="single" w:color="auto" w:sz="4" w:space="0"/>
                    <w:right w:val="single" w:color="auto" w:sz="4" w:space="0"/>
                  </w:tcBorders>
                  <w:vAlign w:val="center"/>
                </w:tcPr>
                <w:p w14:paraId="3FEDB0E9">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vMerge w:val="continue"/>
                  <w:tcBorders>
                    <w:left w:val="nil"/>
                    <w:bottom w:val="single" w:color="auto" w:sz="4" w:space="0"/>
                    <w:right w:val="single" w:color="auto" w:sz="4" w:space="0"/>
                  </w:tcBorders>
                  <w:vAlign w:val="center"/>
                </w:tcPr>
                <w:p w14:paraId="34119AC2">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700" w:type="dxa"/>
                  <w:vMerge w:val="continue"/>
                  <w:tcBorders>
                    <w:left w:val="nil"/>
                    <w:bottom w:val="single" w:color="auto" w:sz="4" w:space="0"/>
                    <w:right w:val="single" w:color="auto" w:sz="4" w:space="0"/>
                  </w:tcBorders>
                  <w:vAlign w:val="center"/>
                </w:tcPr>
                <w:p w14:paraId="6E6106BE">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r>
            <w:tr w14:paraId="4538E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709" w:type="dxa"/>
                  <w:vMerge w:val="restart"/>
                  <w:tcBorders>
                    <w:top w:val="nil"/>
                    <w:left w:val="single" w:color="auto" w:sz="4" w:space="0"/>
                    <w:bottom w:val="single" w:color="auto" w:sz="4" w:space="0"/>
                    <w:right w:val="single" w:color="auto" w:sz="4" w:space="0"/>
                  </w:tcBorders>
                  <w:vAlign w:val="center"/>
                </w:tcPr>
                <w:p w14:paraId="26B6A78A">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其他</w:t>
                  </w:r>
                </w:p>
              </w:tc>
              <w:tc>
                <w:tcPr>
                  <w:tcW w:w="870" w:type="dxa"/>
                  <w:vMerge w:val="restart"/>
                  <w:tcBorders>
                    <w:top w:val="nil"/>
                    <w:left w:val="nil"/>
                    <w:bottom w:val="single" w:color="auto" w:sz="4" w:space="0"/>
                    <w:right w:val="single" w:color="auto" w:sz="4" w:space="0"/>
                  </w:tcBorders>
                  <w:vAlign w:val="center"/>
                </w:tcPr>
                <w:p w14:paraId="1206AF81">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原规划环评及本次规划环评优化调整</w:t>
                  </w:r>
                </w:p>
              </w:tc>
              <w:tc>
                <w:tcPr>
                  <w:tcW w:w="3090" w:type="dxa"/>
                  <w:gridSpan w:val="2"/>
                  <w:tcBorders>
                    <w:top w:val="single" w:color="auto" w:sz="4" w:space="0"/>
                    <w:left w:val="nil"/>
                    <w:bottom w:val="single" w:color="auto" w:sz="4" w:space="0"/>
                    <w:right w:val="single" w:color="auto" w:sz="4" w:space="0"/>
                  </w:tcBorders>
                  <w:vAlign w:val="center"/>
                </w:tcPr>
                <w:p w14:paraId="43E8FB16">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pacing w:val="-4"/>
                      <w:sz w:val="21"/>
                      <w:szCs w:val="21"/>
                    </w:rPr>
                    <w:t>C28化学纤维制造业</w:t>
                  </w:r>
                </w:p>
              </w:tc>
              <w:tc>
                <w:tcPr>
                  <w:tcW w:w="690" w:type="dxa"/>
                  <w:tcBorders>
                    <w:top w:val="single" w:color="auto" w:sz="4" w:space="0"/>
                    <w:left w:val="nil"/>
                    <w:bottom w:val="single" w:color="auto" w:sz="4" w:space="0"/>
                    <w:right w:val="single" w:color="auto" w:sz="4" w:space="0"/>
                  </w:tcBorders>
                  <w:vAlign w:val="center"/>
                </w:tcPr>
                <w:p w14:paraId="23A772FD">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vMerge w:val="restart"/>
                  <w:tcBorders>
                    <w:top w:val="single" w:color="auto" w:sz="4" w:space="0"/>
                    <w:left w:val="nil"/>
                    <w:right w:val="single" w:color="auto" w:sz="4" w:space="0"/>
                  </w:tcBorders>
                  <w:vAlign w:val="center"/>
                </w:tcPr>
                <w:p w14:paraId="09C2E7E0">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本项目国民经济行业类别为C3831电线、电缆制造</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lang w:val="en-US" w:eastAsia="zh-CN"/>
                    </w:rPr>
                    <w:t>不属于禁止进入类项目</w:t>
                  </w:r>
                </w:p>
              </w:tc>
              <w:tc>
                <w:tcPr>
                  <w:tcW w:w="700" w:type="dxa"/>
                  <w:vMerge w:val="restart"/>
                  <w:tcBorders>
                    <w:top w:val="single" w:color="auto" w:sz="4" w:space="0"/>
                    <w:left w:val="nil"/>
                    <w:right w:val="single" w:color="auto" w:sz="4" w:space="0"/>
                  </w:tcBorders>
                  <w:vAlign w:val="center"/>
                </w:tcPr>
                <w:p w14:paraId="6AD40030">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符合</w:t>
                  </w:r>
                </w:p>
              </w:tc>
            </w:tr>
            <w:tr w14:paraId="537D5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continue"/>
                  <w:tcBorders>
                    <w:top w:val="nil"/>
                    <w:left w:val="single" w:color="auto" w:sz="4" w:space="0"/>
                    <w:bottom w:val="single" w:color="auto" w:sz="4" w:space="0"/>
                    <w:right w:val="single" w:color="auto" w:sz="4" w:space="0"/>
                  </w:tcBorders>
                  <w:vAlign w:val="center"/>
                </w:tcPr>
                <w:p w14:paraId="2CAFA5C4">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870" w:type="dxa"/>
                  <w:vMerge w:val="continue"/>
                  <w:tcBorders>
                    <w:top w:val="nil"/>
                    <w:left w:val="nil"/>
                    <w:bottom w:val="single" w:color="auto" w:sz="4" w:space="0"/>
                    <w:right w:val="single" w:color="auto" w:sz="4" w:space="0"/>
                  </w:tcBorders>
                  <w:vAlign w:val="center"/>
                </w:tcPr>
                <w:p w14:paraId="222EFF59">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3090" w:type="dxa"/>
                  <w:gridSpan w:val="2"/>
                  <w:tcBorders>
                    <w:top w:val="single" w:color="auto" w:sz="4" w:space="0"/>
                    <w:left w:val="nil"/>
                    <w:bottom w:val="single" w:color="auto" w:sz="4" w:space="0"/>
                    <w:right w:val="single" w:color="auto" w:sz="4" w:space="0"/>
                  </w:tcBorders>
                  <w:vAlign w:val="center"/>
                </w:tcPr>
                <w:p w14:paraId="086A35C8">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pacing w:val="-3"/>
                      <w:sz w:val="21"/>
                      <w:szCs w:val="21"/>
                    </w:rPr>
                    <w:t>C384电池制造业中（C3842镍氢电池制造及C3843铅蓄电池制造）</w:t>
                  </w:r>
                </w:p>
              </w:tc>
              <w:tc>
                <w:tcPr>
                  <w:tcW w:w="690" w:type="dxa"/>
                  <w:tcBorders>
                    <w:top w:val="single" w:color="auto" w:sz="4" w:space="0"/>
                    <w:left w:val="nil"/>
                    <w:bottom w:val="single" w:color="auto" w:sz="4" w:space="0"/>
                    <w:right w:val="single" w:color="auto" w:sz="4" w:space="0"/>
                  </w:tcBorders>
                  <w:vAlign w:val="center"/>
                </w:tcPr>
                <w:p w14:paraId="103D9666">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vMerge w:val="continue"/>
                  <w:tcBorders>
                    <w:left w:val="nil"/>
                    <w:right w:val="single" w:color="auto" w:sz="4" w:space="0"/>
                  </w:tcBorders>
                  <w:vAlign w:val="center"/>
                </w:tcPr>
                <w:p w14:paraId="6DC3B129">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700" w:type="dxa"/>
                  <w:vMerge w:val="continue"/>
                  <w:tcBorders>
                    <w:left w:val="nil"/>
                    <w:right w:val="single" w:color="auto" w:sz="4" w:space="0"/>
                  </w:tcBorders>
                  <w:vAlign w:val="center"/>
                </w:tcPr>
                <w:p w14:paraId="47252130">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r>
            <w:tr w14:paraId="2F37D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continue"/>
                  <w:tcBorders>
                    <w:top w:val="nil"/>
                    <w:left w:val="single" w:color="auto" w:sz="4" w:space="0"/>
                    <w:bottom w:val="single" w:color="auto" w:sz="4" w:space="0"/>
                    <w:right w:val="single" w:color="auto" w:sz="4" w:space="0"/>
                  </w:tcBorders>
                  <w:vAlign w:val="center"/>
                </w:tcPr>
                <w:p w14:paraId="2833B2EB">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870" w:type="dxa"/>
                  <w:vMerge w:val="continue"/>
                  <w:tcBorders>
                    <w:top w:val="nil"/>
                    <w:left w:val="nil"/>
                    <w:bottom w:val="single" w:color="auto" w:sz="4" w:space="0"/>
                    <w:right w:val="single" w:color="auto" w:sz="4" w:space="0"/>
                  </w:tcBorders>
                  <w:vAlign w:val="center"/>
                </w:tcPr>
                <w:p w14:paraId="0F7A1AE0">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3090" w:type="dxa"/>
                  <w:gridSpan w:val="2"/>
                  <w:tcBorders>
                    <w:top w:val="single" w:color="auto" w:sz="4" w:space="0"/>
                    <w:left w:val="nil"/>
                    <w:bottom w:val="single" w:color="auto" w:sz="4" w:space="0"/>
                    <w:right w:val="single" w:color="auto" w:sz="4" w:space="0"/>
                  </w:tcBorders>
                  <w:vAlign w:val="center"/>
                </w:tcPr>
                <w:p w14:paraId="23041EBF">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pacing w:val="-3"/>
                      <w:sz w:val="21"/>
                      <w:szCs w:val="21"/>
                    </w:rPr>
                    <w:t>C42废弃资源综合利用中的废电池、废油炼油、皮革废料、造纸废料、橡胶废料、废旧农膜回收</w:t>
                  </w:r>
                </w:p>
              </w:tc>
              <w:tc>
                <w:tcPr>
                  <w:tcW w:w="690" w:type="dxa"/>
                  <w:tcBorders>
                    <w:top w:val="single" w:color="auto" w:sz="4" w:space="0"/>
                    <w:left w:val="nil"/>
                    <w:bottom w:val="single" w:color="auto" w:sz="4" w:space="0"/>
                    <w:right w:val="single" w:color="auto" w:sz="4" w:space="0"/>
                  </w:tcBorders>
                  <w:vAlign w:val="center"/>
                </w:tcPr>
                <w:p w14:paraId="38E44618">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vMerge w:val="continue"/>
                  <w:tcBorders>
                    <w:left w:val="nil"/>
                    <w:right w:val="single" w:color="auto" w:sz="4" w:space="0"/>
                  </w:tcBorders>
                  <w:vAlign w:val="center"/>
                </w:tcPr>
                <w:p w14:paraId="0E09AAD1">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700" w:type="dxa"/>
                  <w:vMerge w:val="continue"/>
                  <w:tcBorders>
                    <w:left w:val="nil"/>
                    <w:right w:val="single" w:color="auto" w:sz="4" w:space="0"/>
                  </w:tcBorders>
                  <w:vAlign w:val="center"/>
                </w:tcPr>
                <w:p w14:paraId="19AE244E">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r>
            <w:tr w14:paraId="5DF2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continue"/>
                  <w:tcBorders>
                    <w:top w:val="nil"/>
                    <w:left w:val="single" w:color="auto" w:sz="4" w:space="0"/>
                    <w:bottom w:val="single" w:color="auto" w:sz="4" w:space="0"/>
                    <w:right w:val="single" w:color="auto" w:sz="4" w:space="0"/>
                  </w:tcBorders>
                  <w:vAlign w:val="center"/>
                </w:tcPr>
                <w:p w14:paraId="759B0C05">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870" w:type="dxa"/>
                  <w:vMerge w:val="continue"/>
                  <w:tcBorders>
                    <w:top w:val="nil"/>
                    <w:left w:val="nil"/>
                    <w:bottom w:val="single" w:color="auto" w:sz="4" w:space="0"/>
                    <w:right w:val="single" w:color="auto" w:sz="4" w:space="0"/>
                  </w:tcBorders>
                  <w:vAlign w:val="center"/>
                </w:tcPr>
                <w:p w14:paraId="2B44D0AB">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3090" w:type="dxa"/>
                  <w:gridSpan w:val="2"/>
                  <w:tcBorders>
                    <w:top w:val="single" w:color="auto" w:sz="4" w:space="0"/>
                    <w:left w:val="nil"/>
                    <w:bottom w:val="single" w:color="auto" w:sz="4" w:space="0"/>
                    <w:right w:val="single" w:color="auto" w:sz="4" w:space="0"/>
                  </w:tcBorders>
                  <w:vAlign w:val="center"/>
                </w:tcPr>
                <w:p w14:paraId="2C0DD48A">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pacing w:val="-3"/>
                      <w:sz w:val="21"/>
                      <w:szCs w:val="21"/>
                    </w:rPr>
                    <w:t>C17纺织业中涉及印染精加工</w:t>
                  </w:r>
                </w:p>
              </w:tc>
              <w:tc>
                <w:tcPr>
                  <w:tcW w:w="690" w:type="dxa"/>
                  <w:tcBorders>
                    <w:top w:val="single" w:color="auto" w:sz="4" w:space="0"/>
                    <w:left w:val="nil"/>
                    <w:bottom w:val="single" w:color="auto" w:sz="4" w:space="0"/>
                    <w:right w:val="single" w:color="auto" w:sz="4" w:space="0"/>
                  </w:tcBorders>
                  <w:vAlign w:val="center"/>
                </w:tcPr>
                <w:p w14:paraId="61B598B0">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vMerge w:val="continue"/>
                  <w:tcBorders>
                    <w:left w:val="nil"/>
                    <w:bottom w:val="single" w:color="auto" w:sz="4" w:space="0"/>
                    <w:right w:val="single" w:color="auto" w:sz="4" w:space="0"/>
                  </w:tcBorders>
                  <w:vAlign w:val="center"/>
                </w:tcPr>
                <w:p w14:paraId="40D4B87D">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700" w:type="dxa"/>
                  <w:vMerge w:val="continue"/>
                  <w:tcBorders>
                    <w:left w:val="nil"/>
                    <w:bottom w:val="single" w:color="auto" w:sz="4" w:space="0"/>
                    <w:right w:val="single" w:color="auto" w:sz="4" w:space="0"/>
                  </w:tcBorders>
                  <w:vAlign w:val="center"/>
                </w:tcPr>
                <w:p w14:paraId="1772D902">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r>
            <w:tr w14:paraId="1FFBD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continue"/>
                  <w:tcBorders>
                    <w:top w:val="nil"/>
                    <w:left w:val="single" w:color="auto" w:sz="4" w:space="0"/>
                    <w:bottom w:val="single" w:color="auto" w:sz="4" w:space="0"/>
                    <w:right w:val="single" w:color="auto" w:sz="4" w:space="0"/>
                  </w:tcBorders>
                  <w:vAlign w:val="center"/>
                </w:tcPr>
                <w:p w14:paraId="0264D93E">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870" w:type="dxa"/>
                  <w:vMerge w:val="restart"/>
                  <w:tcBorders>
                    <w:top w:val="nil"/>
                    <w:left w:val="nil"/>
                    <w:bottom w:val="single" w:color="auto" w:sz="4" w:space="0"/>
                    <w:right w:val="single" w:color="auto" w:sz="4" w:space="0"/>
                  </w:tcBorders>
                  <w:vAlign w:val="center"/>
                </w:tcPr>
                <w:p w14:paraId="410B91CB">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《市场准入负面清单草案》</w:t>
                  </w:r>
                </w:p>
              </w:tc>
              <w:tc>
                <w:tcPr>
                  <w:tcW w:w="3090" w:type="dxa"/>
                  <w:gridSpan w:val="2"/>
                  <w:tcBorders>
                    <w:top w:val="single" w:color="auto" w:sz="4" w:space="0"/>
                    <w:left w:val="nil"/>
                    <w:bottom w:val="single" w:color="auto" w:sz="4" w:space="0"/>
                    <w:right w:val="single" w:color="auto" w:sz="4" w:space="0"/>
                  </w:tcBorders>
                  <w:vAlign w:val="center"/>
                </w:tcPr>
                <w:p w14:paraId="40A2A671">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禁止类</w:t>
                  </w:r>
                </w:p>
              </w:tc>
              <w:tc>
                <w:tcPr>
                  <w:tcW w:w="690" w:type="dxa"/>
                  <w:tcBorders>
                    <w:top w:val="single" w:color="auto" w:sz="4" w:space="0"/>
                    <w:left w:val="nil"/>
                    <w:bottom w:val="single" w:color="auto" w:sz="4" w:space="0"/>
                    <w:right w:val="single" w:color="auto" w:sz="4" w:space="0"/>
                  </w:tcBorders>
                  <w:vAlign w:val="center"/>
                </w:tcPr>
                <w:p w14:paraId="55714F14">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vMerge w:val="restart"/>
                  <w:tcBorders>
                    <w:top w:val="single" w:color="auto" w:sz="4" w:space="0"/>
                    <w:left w:val="nil"/>
                    <w:right w:val="single" w:color="auto" w:sz="4" w:space="0"/>
                  </w:tcBorders>
                  <w:vAlign w:val="center"/>
                </w:tcPr>
                <w:p w14:paraId="277FBC2A">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项目不属于规定的“禁止准入类”和“许可准入类”项目，视为允许类</w:t>
                  </w:r>
                </w:p>
              </w:tc>
              <w:tc>
                <w:tcPr>
                  <w:tcW w:w="700" w:type="dxa"/>
                  <w:vMerge w:val="restart"/>
                  <w:tcBorders>
                    <w:top w:val="single" w:color="auto" w:sz="4" w:space="0"/>
                    <w:left w:val="nil"/>
                    <w:right w:val="single" w:color="auto" w:sz="4" w:space="0"/>
                  </w:tcBorders>
                  <w:vAlign w:val="center"/>
                </w:tcPr>
                <w:p w14:paraId="4A9680BC">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符合</w:t>
                  </w:r>
                </w:p>
              </w:tc>
            </w:tr>
            <w:tr w14:paraId="3BFBF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continue"/>
                  <w:tcBorders>
                    <w:top w:val="nil"/>
                    <w:left w:val="single" w:color="auto" w:sz="4" w:space="0"/>
                    <w:bottom w:val="single" w:color="auto" w:sz="4" w:space="0"/>
                    <w:right w:val="single" w:color="auto" w:sz="4" w:space="0"/>
                  </w:tcBorders>
                  <w:vAlign w:val="center"/>
                </w:tcPr>
                <w:p w14:paraId="793045D2">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870" w:type="dxa"/>
                  <w:vMerge w:val="continue"/>
                  <w:tcBorders>
                    <w:top w:val="nil"/>
                    <w:left w:val="nil"/>
                    <w:bottom w:val="single" w:color="auto" w:sz="4" w:space="0"/>
                    <w:right w:val="single" w:color="auto" w:sz="4" w:space="0"/>
                  </w:tcBorders>
                  <w:vAlign w:val="center"/>
                </w:tcPr>
                <w:p w14:paraId="3064546E">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3090" w:type="dxa"/>
                  <w:gridSpan w:val="2"/>
                  <w:tcBorders>
                    <w:top w:val="single" w:color="auto" w:sz="4" w:space="0"/>
                    <w:left w:val="nil"/>
                    <w:bottom w:val="single" w:color="auto" w:sz="4" w:space="0"/>
                    <w:right w:val="single" w:color="auto" w:sz="4" w:space="0"/>
                  </w:tcBorders>
                  <w:vAlign w:val="center"/>
                </w:tcPr>
                <w:p w14:paraId="450E698B">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限制类</w:t>
                  </w:r>
                </w:p>
              </w:tc>
              <w:tc>
                <w:tcPr>
                  <w:tcW w:w="690" w:type="dxa"/>
                  <w:tcBorders>
                    <w:top w:val="single" w:color="auto" w:sz="4" w:space="0"/>
                    <w:left w:val="nil"/>
                    <w:bottom w:val="single" w:color="auto" w:sz="4" w:space="0"/>
                    <w:right w:val="single" w:color="auto" w:sz="4" w:space="0"/>
                  </w:tcBorders>
                  <w:vAlign w:val="center"/>
                </w:tcPr>
                <w:p w14:paraId="246FC336">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限制进入</w:t>
                  </w:r>
                </w:p>
              </w:tc>
              <w:tc>
                <w:tcPr>
                  <w:tcW w:w="1390" w:type="dxa"/>
                  <w:vMerge w:val="continue"/>
                  <w:tcBorders>
                    <w:left w:val="nil"/>
                    <w:bottom w:val="single" w:color="auto" w:sz="4" w:space="0"/>
                    <w:right w:val="single" w:color="auto" w:sz="4" w:space="0"/>
                  </w:tcBorders>
                  <w:vAlign w:val="center"/>
                </w:tcPr>
                <w:p w14:paraId="577090C1">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700" w:type="dxa"/>
                  <w:vMerge w:val="continue"/>
                  <w:tcBorders>
                    <w:left w:val="nil"/>
                    <w:bottom w:val="single" w:color="auto" w:sz="4" w:space="0"/>
                    <w:right w:val="single" w:color="auto" w:sz="4" w:space="0"/>
                  </w:tcBorders>
                  <w:vAlign w:val="center"/>
                </w:tcPr>
                <w:p w14:paraId="4C582212">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r>
            <w:tr w14:paraId="50DAA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continue"/>
                  <w:tcBorders>
                    <w:top w:val="nil"/>
                    <w:left w:val="single" w:color="auto" w:sz="4" w:space="0"/>
                    <w:bottom w:val="single" w:color="auto" w:sz="4" w:space="0"/>
                    <w:right w:val="single" w:color="auto" w:sz="4" w:space="0"/>
                  </w:tcBorders>
                  <w:vAlign w:val="center"/>
                </w:tcPr>
                <w:p w14:paraId="61663E1E">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870" w:type="dxa"/>
                  <w:vMerge w:val="restart"/>
                  <w:tcBorders>
                    <w:top w:val="nil"/>
                    <w:left w:val="nil"/>
                    <w:bottom w:val="single" w:color="auto" w:sz="4" w:space="0"/>
                    <w:right w:val="single" w:color="auto" w:sz="4" w:space="0"/>
                  </w:tcBorders>
                  <w:vAlign w:val="center"/>
                </w:tcPr>
                <w:p w14:paraId="1CB1D2DD">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w:t>
                  </w:r>
                  <w:r>
                    <w:rPr>
                      <w:rFonts w:ascii="Times New Roman" w:hAnsi="Times New Roman" w:eastAsia="宋体" w:cs="Times New Roman"/>
                      <w:color w:val="auto"/>
                      <w:spacing w:val="-2"/>
                      <w:sz w:val="21"/>
                      <w:szCs w:val="21"/>
                    </w:rPr>
                    <w:t>产业结构调整指导目录（2019年本）</w:t>
                  </w:r>
                  <w:r>
                    <w:rPr>
                      <w:rFonts w:ascii="Times New Roman" w:hAnsi="Times New Roman" w:eastAsia="宋体" w:cs="Times New Roman"/>
                      <w:color w:val="auto"/>
                      <w:sz w:val="21"/>
                      <w:szCs w:val="21"/>
                    </w:rPr>
                    <w:t>》</w:t>
                  </w:r>
                </w:p>
              </w:tc>
              <w:tc>
                <w:tcPr>
                  <w:tcW w:w="3090" w:type="dxa"/>
                  <w:gridSpan w:val="2"/>
                  <w:tcBorders>
                    <w:top w:val="single" w:color="auto" w:sz="4" w:space="0"/>
                    <w:left w:val="nil"/>
                    <w:bottom w:val="single" w:color="auto" w:sz="4" w:space="0"/>
                    <w:right w:val="single" w:color="auto" w:sz="4" w:space="0"/>
                  </w:tcBorders>
                  <w:vAlign w:val="center"/>
                </w:tcPr>
                <w:p w14:paraId="65C18170">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禁止类</w:t>
                  </w:r>
                </w:p>
              </w:tc>
              <w:tc>
                <w:tcPr>
                  <w:tcW w:w="690" w:type="dxa"/>
                  <w:tcBorders>
                    <w:top w:val="single" w:color="auto" w:sz="4" w:space="0"/>
                    <w:left w:val="nil"/>
                    <w:bottom w:val="single" w:color="auto" w:sz="4" w:space="0"/>
                    <w:right w:val="single" w:color="auto" w:sz="4" w:space="0"/>
                  </w:tcBorders>
                  <w:vAlign w:val="center"/>
                </w:tcPr>
                <w:p w14:paraId="1C2C1A90">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vMerge w:val="restart"/>
                  <w:tcBorders>
                    <w:top w:val="single" w:color="auto" w:sz="4" w:space="0"/>
                    <w:left w:val="nil"/>
                    <w:right w:val="single" w:color="auto" w:sz="4" w:space="0"/>
                  </w:tcBorders>
                  <w:vAlign w:val="center"/>
                </w:tcPr>
                <w:p w14:paraId="6EDC8998">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项目不属于《产业结构调整指导目录（20</w:t>
                  </w:r>
                  <w:r>
                    <w:rPr>
                      <w:rFonts w:hint="eastAsia" w:ascii="Times New Roman" w:hAnsi="Times New Roman" w:eastAsia="宋体" w:cs="Times New Roman"/>
                      <w:color w:val="auto"/>
                      <w:sz w:val="21"/>
                      <w:szCs w:val="21"/>
                      <w:lang w:val="en-US" w:eastAsia="zh-CN"/>
                    </w:rPr>
                    <w:t>24</w:t>
                  </w:r>
                  <w:r>
                    <w:rPr>
                      <w:rFonts w:hint="eastAsia" w:ascii="Times New Roman" w:hAnsi="Times New Roman" w:eastAsia="宋体" w:cs="Times New Roman"/>
                      <w:color w:val="auto"/>
                      <w:sz w:val="21"/>
                      <w:szCs w:val="21"/>
                    </w:rPr>
                    <w:t>年本）》中限制类及淘汰类</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lang w:val="en-US" w:eastAsia="zh-CN"/>
                    </w:rPr>
                    <w:t>该</w:t>
                  </w:r>
                  <w:r>
                    <w:rPr>
                      <w:rFonts w:hint="eastAsia" w:ascii="Times New Roman" w:hAnsi="Times New Roman" w:eastAsia="宋体" w:cs="Times New Roman"/>
                      <w:color w:val="auto"/>
                      <w:sz w:val="21"/>
                      <w:szCs w:val="21"/>
                    </w:rPr>
                    <w:t>项目</w:t>
                  </w:r>
                  <w:r>
                    <w:rPr>
                      <w:rFonts w:hint="eastAsia" w:ascii="Times New Roman" w:hAnsi="Times New Roman" w:eastAsia="宋体" w:cs="Times New Roman"/>
                      <w:color w:val="auto"/>
                      <w:sz w:val="21"/>
                      <w:szCs w:val="21"/>
                      <w:lang w:eastAsia="zh-CN"/>
                    </w:rPr>
                    <w:t>于</w:t>
                  </w:r>
                  <w:r>
                    <w:rPr>
                      <w:rFonts w:hint="eastAsia" w:ascii="Times New Roman" w:hAnsi="Times New Roman" w:eastAsia="宋体" w:cs="Times New Roman"/>
                      <w:color w:val="auto"/>
                      <w:sz w:val="21"/>
                      <w:szCs w:val="21"/>
                      <w:lang w:val="en-US" w:eastAsia="zh-CN"/>
                    </w:rPr>
                    <w:t>2025年9月9日</w:t>
                  </w:r>
                  <w:r>
                    <w:rPr>
                      <w:rFonts w:hint="eastAsia" w:ascii="Times New Roman" w:hAnsi="Times New Roman" w:eastAsia="宋体" w:cs="Times New Roman"/>
                      <w:color w:val="auto"/>
                      <w:sz w:val="21"/>
                      <w:szCs w:val="21"/>
                    </w:rPr>
                    <w:t>取得</w:t>
                  </w:r>
                  <w:r>
                    <w:rPr>
                      <w:rFonts w:hint="eastAsia" w:ascii="Times New Roman" w:hAnsi="Times New Roman" w:eastAsia="宋体" w:cs="Times New Roman"/>
                      <w:color w:val="auto"/>
                      <w:sz w:val="21"/>
                      <w:szCs w:val="21"/>
                      <w:lang w:val="en-US" w:eastAsia="zh-CN"/>
                    </w:rPr>
                    <w:t>青阳县发展和改革委员会</w:t>
                  </w:r>
                  <w:r>
                    <w:rPr>
                      <w:rFonts w:hint="eastAsia" w:ascii="Times New Roman" w:hAnsi="Times New Roman" w:eastAsia="宋体" w:cs="Times New Roman"/>
                      <w:color w:val="auto"/>
                      <w:sz w:val="21"/>
                      <w:szCs w:val="21"/>
                    </w:rPr>
                    <w:t>出具的项目备案表</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rPr>
                    <w:t>文号：青</w:t>
                  </w:r>
                  <w:r>
                    <w:rPr>
                      <w:rFonts w:hint="eastAsia" w:ascii="Times New Roman" w:hAnsi="Times New Roman" w:eastAsia="宋体" w:cs="Times New Roman"/>
                      <w:color w:val="auto"/>
                      <w:sz w:val="21"/>
                      <w:szCs w:val="21"/>
                      <w:lang w:val="en-US" w:eastAsia="zh-CN"/>
                    </w:rPr>
                    <w:t>发改</w:t>
                  </w:r>
                  <w:r>
                    <w:rPr>
                      <w:rFonts w:hint="eastAsia" w:ascii="Times New Roman" w:hAnsi="Times New Roman" w:eastAsia="宋体" w:cs="Times New Roman"/>
                      <w:color w:val="auto"/>
                      <w:sz w:val="21"/>
                      <w:szCs w:val="21"/>
                    </w:rPr>
                    <w:t>〔202</w:t>
                  </w:r>
                  <w:r>
                    <w:rPr>
                      <w:rFonts w:hint="eastAsia" w:ascii="Times New Roman" w:hAnsi="Times New Roman" w:eastAsia="宋体" w:cs="Times New Roman"/>
                      <w:color w:val="auto"/>
                      <w:sz w:val="21"/>
                      <w:szCs w:val="21"/>
                      <w:lang w:val="en-US" w:eastAsia="zh-CN"/>
                    </w:rPr>
                    <w:t>5</w:t>
                  </w:r>
                  <w:r>
                    <w:rPr>
                      <w:rFonts w:hint="eastAsia" w:ascii="Times New Roman" w:hAnsi="Times New Roman" w:eastAsia="宋体" w:cs="Times New Roman"/>
                      <w:color w:val="auto"/>
                      <w:sz w:val="21"/>
                      <w:szCs w:val="21"/>
                    </w:rPr>
                    <w:t>〕</w:t>
                  </w:r>
                  <w:r>
                    <w:rPr>
                      <w:rFonts w:hint="eastAsia" w:ascii="Times New Roman" w:hAnsi="Times New Roman" w:eastAsia="宋体" w:cs="Times New Roman"/>
                      <w:color w:val="auto"/>
                      <w:sz w:val="21"/>
                      <w:szCs w:val="21"/>
                      <w:lang w:val="en-US" w:eastAsia="zh-CN"/>
                    </w:rPr>
                    <w:t>509</w:t>
                  </w:r>
                  <w:r>
                    <w:rPr>
                      <w:rFonts w:hint="eastAsia" w:ascii="Times New Roman" w:hAnsi="Times New Roman" w:eastAsia="宋体" w:cs="Times New Roman"/>
                      <w:color w:val="auto"/>
                      <w:sz w:val="21"/>
                      <w:szCs w:val="21"/>
                    </w:rPr>
                    <w:t>号</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rPr>
                    <w:t>项目建设符合国家和地方产业政策要求</w:t>
                  </w:r>
                </w:p>
              </w:tc>
              <w:tc>
                <w:tcPr>
                  <w:tcW w:w="700" w:type="dxa"/>
                  <w:vMerge w:val="restart"/>
                  <w:tcBorders>
                    <w:top w:val="single" w:color="auto" w:sz="4" w:space="0"/>
                    <w:left w:val="nil"/>
                    <w:right w:val="single" w:color="auto" w:sz="4" w:space="0"/>
                  </w:tcBorders>
                  <w:vAlign w:val="center"/>
                </w:tcPr>
                <w:p w14:paraId="6EC9EB3A">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符合</w:t>
                  </w:r>
                </w:p>
              </w:tc>
            </w:tr>
            <w:tr w14:paraId="1F926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continue"/>
                  <w:tcBorders>
                    <w:top w:val="nil"/>
                    <w:left w:val="single" w:color="auto" w:sz="4" w:space="0"/>
                    <w:bottom w:val="single" w:color="auto" w:sz="4" w:space="0"/>
                    <w:right w:val="single" w:color="auto" w:sz="4" w:space="0"/>
                  </w:tcBorders>
                  <w:vAlign w:val="center"/>
                </w:tcPr>
                <w:p w14:paraId="4409C9D4">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870" w:type="dxa"/>
                  <w:vMerge w:val="continue"/>
                  <w:tcBorders>
                    <w:top w:val="nil"/>
                    <w:left w:val="nil"/>
                    <w:bottom w:val="single" w:color="auto" w:sz="4" w:space="0"/>
                    <w:right w:val="single" w:color="auto" w:sz="4" w:space="0"/>
                  </w:tcBorders>
                  <w:vAlign w:val="center"/>
                </w:tcPr>
                <w:p w14:paraId="453DBDCB">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3090" w:type="dxa"/>
                  <w:gridSpan w:val="2"/>
                  <w:tcBorders>
                    <w:top w:val="single" w:color="auto" w:sz="4" w:space="0"/>
                    <w:left w:val="nil"/>
                    <w:bottom w:val="single" w:color="auto" w:sz="4" w:space="0"/>
                    <w:right w:val="single" w:color="auto" w:sz="4" w:space="0"/>
                  </w:tcBorders>
                  <w:vAlign w:val="center"/>
                </w:tcPr>
                <w:p w14:paraId="0DAF821D">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限制类</w:t>
                  </w:r>
                </w:p>
              </w:tc>
              <w:tc>
                <w:tcPr>
                  <w:tcW w:w="690" w:type="dxa"/>
                  <w:tcBorders>
                    <w:top w:val="single" w:color="auto" w:sz="4" w:space="0"/>
                    <w:left w:val="nil"/>
                    <w:bottom w:val="single" w:color="auto" w:sz="4" w:space="0"/>
                    <w:right w:val="single" w:color="auto" w:sz="4" w:space="0"/>
                  </w:tcBorders>
                  <w:vAlign w:val="center"/>
                </w:tcPr>
                <w:p w14:paraId="1FE9C16A">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限制进入</w:t>
                  </w:r>
                </w:p>
              </w:tc>
              <w:tc>
                <w:tcPr>
                  <w:tcW w:w="1390" w:type="dxa"/>
                  <w:vMerge w:val="continue"/>
                  <w:tcBorders>
                    <w:left w:val="nil"/>
                    <w:bottom w:val="single" w:color="auto" w:sz="4" w:space="0"/>
                    <w:right w:val="single" w:color="auto" w:sz="4" w:space="0"/>
                  </w:tcBorders>
                  <w:vAlign w:val="center"/>
                </w:tcPr>
                <w:p w14:paraId="360086BB">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700" w:type="dxa"/>
                  <w:vMerge w:val="continue"/>
                  <w:tcBorders>
                    <w:left w:val="nil"/>
                    <w:bottom w:val="single" w:color="auto" w:sz="4" w:space="0"/>
                    <w:right w:val="single" w:color="auto" w:sz="4" w:space="0"/>
                  </w:tcBorders>
                  <w:vAlign w:val="center"/>
                </w:tcPr>
                <w:p w14:paraId="7DA03880">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r>
            <w:tr w14:paraId="7A9E5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restart"/>
                  <w:tcBorders>
                    <w:top w:val="nil"/>
                    <w:left w:val="single" w:color="auto" w:sz="4" w:space="0"/>
                    <w:bottom w:val="single" w:color="auto" w:sz="4" w:space="0"/>
                    <w:right w:val="single" w:color="auto" w:sz="4" w:space="0"/>
                  </w:tcBorders>
                  <w:vAlign w:val="center"/>
                </w:tcPr>
                <w:p w14:paraId="49952837">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其他</w:t>
                  </w:r>
                </w:p>
              </w:tc>
              <w:tc>
                <w:tcPr>
                  <w:tcW w:w="3960" w:type="dxa"/>
                  <w:gridSpan w:val="3"/>
                  <w:tcBorders>
                    <w:top w:val="single" w:color="auto" w:sz="4" w:space="0"/>
                    <w:left w:val="nil"/>
                    <w:bottom w:val="single" w:color="auto" w:sz="4" w:space="0"/>
                    <w:right w:val="single" w:color="auto" w:sz="4" w:space="0"/>
                  </w:tcBorders>
                  <w:vAlign w:val="center"/>
                </w:tcPr>
                <w:p w14:paraId="263E6D21">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与规划区主导产业和优先进入行业不符合，低污染、低能耗、低水耗、对周边企业影响</w:t>
                  </w:r>
                  <w:r>
                    <w:rPr>
                      <w:rFonts w:hint="eastAsia" w:cs="Times New Roman"/>
                      <w:color w:val="auto"/>
                      <w:sz w:val="21"/>
                      <w:szCs w:val="21"/>
                      <w:lang w:eastAsia="zh-CN"/>
                    </w:rPr>
                    <w:t>、对</w:t>
                  </w:r>
                  <w:r>
                    <w:rPr>
                      <w:rFonts w:ascii="Times New Roman" w:hAnsi="Times New Roman" w:eastAsia="宋体" w:cs="Times New Roman"/>
                      <w:color w:val="auto"/>
                      <w:sz w:val="21"/>
                      <w:szCs w:val="21"/>
                    </w:rPr>
                    <w:t>环境质量影响不大的建设项目</w:t>
                  </w:r>
                </w:p>
              </w:tc>
              <w:tc>
                <w:tcPr>
                  <w:tcW w:w="690" w:type="dxa"/>
                  <w:vMerge w:val="restart"/>
                  <w:tcBorders>
                    <w:top w:val="nil"/>
                    <w:left w:val="nil"/>
                    <w:bottom w:val="single" w:color="auto" w:sz="4" w:space="0"/>
                    <w:right w:val="single" w:color="auto" w:sz="4" w:space="0"/>
                  </w:tcBorders>
                  <w:vAlign w:val="center"/>
                </w:tcPr>
                <w:p w14:paraId="1D206E0E">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限制发展</w:t>
                  </w:r>
                </w:p>
              </w:tc>
              <w:tc>
                <w:tcPr>
                  <w:tcW w:w="1390" w:type="dxa"/>
                  <w:vMerge w:val="restart"/>
                  <w:tcBorders>
                    <w:top w:val="nil"/>
                    <w:left w:val="nil"/>
                    <w:right w:val="single" w:color="auto" w:sz="4" w:space="0"/>
                  </w:tcBorders>
                  <w:vAlign w:val="center"/>
                </w:tcPr>
                <w:p w14:paraId="37C0C59A">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default" w:ascii="Times New Roman" w:hAnsi="Times New Roman" w:eastAsia="宋体" w:cs="Times New Roman"/>
                      <w:color w:val="auto"/>
                      <w:sz w:val="21"/>
                      <w:szCs w:val="21"/>
                      <w:lang w:val="en-US"/>
                    </w:rPr>
                  </w:pPr>
                  <w:r>
                    <w:rPr>
                      <w:rFonts w:hint="eastAsia"/>
                      <w:color w:val="auto"/>
                      <w:sz w:val="21"/>
                      <w:szCs w:val="21"/>
                      <w:lang w:val="en-US" w:eastAsia="zh-CN"/>
                    </w:rPr>
                    <w:t>本项目国民经济行业类别为C3831电线、电缆制造</w:t>
                  </w:r>
                  <w:r>
                    <w:rPr>
                      <w:rFonts w:hint="eastAsia"/>
                      <w:color w:val="auto"/>
                      <w:sz w:val="21"/>
                      <w:szCs w:val="21"/>
                      <w:lang w:eastAsia="zh-CN"/>
                    </w:rPr>
                    <w:t>，</w:t>
                  </w:r>
                  <w:r>
                    <w:rPr>
                      <w:rFonts w:hint="eastAsia"/>
                      <w:color w:val="auto"/>
                      <w:sz w:val="21"/>
                      <w:szCs w:val="21"/>
                      <w:lang w:val="en-US" w:eastAsia="zh-CN"/>
                    </w:rPr>
                    <w:t>符合经济开发区产业布局规划。</w:t>
                  </w:r>
                </w:p>
              </w:tc>
              <w:tc>
                <w:tcPr>
                  <w:tcW w:w="700" w:type="dxa"/>
                  <w:vMerge w:val="restart"/>
                  <w:tcBorders>
                    <w:top w:val="nil"/>
                    <w:left w:val="nil"/>
                    <w:right w:val="single" w:color="auto" w:sz="4" w:space="0"/>
                  </w:tcBorders>
                  <w:vAlign w:val="center"/>
                </w:tcPr>
                <w:p w14:paraId="5DEE069E">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符合</w:t>
                  </w:r>
                </w:p>
              </w:tc>
            </w:tr>
            <w:tr w14:paraId="037A4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continue"/>
                  <w:tcBorders>
                    <w:top w:val="nil"/>
                    <w:left w:val="single" w:color="auto" w:sz="4" w:space="0"/>
                    <w:bottom w:val="single" w:color="auto" w:sz="4" w:space="0"/>
                    <w:right w:val="single" w:color="auto" w:sz="4" w:space="0"/>
                  </w:tcBorders>
                  <w:vAlign w:val="center"/>
                </w:tcPr>
                <w:p w14:paraId="4822A9B0">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3960" w:type="dxa"/>
                  <w:gridSpan w:val="3"/>
                  <w:tcBorders>
                    <w:top w:val="single" w:color="auto" w:sz="4" w:space="0"/>
                    <w:left w:val="nil"/>
                    <w:bottom w:val="single" w:color="auto" w:sz="4" w:space="0"/>
                    <w:right w:val="single" w:color="auto" w:sz="4" w:space="0"/>
                  </w:tcBorders>
                  <w:vAlign w:val="center"/>
                </w:tcPr>
                <w:p w14:paraId="37BE313F">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与规划区主导产业和优先进入行业相配套，但高污染、高能耗、高水耗、对环境影响较大的建设项目</w:t>
                  </w:r>
                </w:p>
              </w:tc>
              <w:tc>
                <w:tcPr>
                  <w:tcW w:w="690" w:type="dxa"/>
                  <w:vMerge w:val="continue"/>
                  <w:tcBorders>
                    <w:top w:val="nil"/>
                    <w:left w:val="nil"/>
                    <w:bottom w:val="single" w:color="auto" w:sz="4" w:space="0"/>
                    <w:right w:val="single" w:color="auto" w:sz="4" w:space="0"/>
                  </w:tcBorders>
                  <w:vAlign w:val="center"/>
                </w:tcPr>
                <w:p w14:paraId="3CD6E68E">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1390" w:type="dxa"/>
                  <w:vMerge w:val="continue"/>
                  <w:tcBorders>
                    <w:left w:val="nil"/>
                    <w:bottom w:val="single" w:color="auto" w:sz="4" w:space="0"/>
                    <w:right w:val="single" w:color="auto" w:sz="4" w:space="0"/>
                  </w:tcBorders>
                  <w:vAlign w:val="center"/>
                </w:tcPr>
                <w:p w14:paraId="309BF9E0">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700" w:type="dxa"/>
                  <w:vMerge w:val="continue"/>
                  <w:tcBorders>
                    <w:left w:val="nil"/>
                    <w:bottom w:val="single" w:color="auto" w:sz="4" w:space="0"/>
                    <w:right w:val="single" w:color="auto" w:sz="4" w:space="0"/>
                  </w:tcBorders>
                  <w:vAlign w:val="center"/>
                </w:tcPr>
                <w:p w14:paraId="36076E09">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r>
            <w:tr w14:paraId="75336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9" w:type="dxa"/>
                  <w:vMerge w:val="continue"/>
                  <w:tcBorders>
                    <w:top w:val="nil"/>
                    <w:left w:val="single" w:color="auto" w:sz="4" w:space="0"/>
                    <w:bottom w:val="single" w:color="auto" w:sz="4" w:space="0"/>
                    <w:right w:val="single" w:color="auto" w:sz="4" w:space="0"/>
                  </w:tcBorders>
                  <w:vAlign w:val="center"/>
                </w:tcPr>
                <w:p w14:paraId="276EF522">
                  <w:pPr>
                    <w:keepNext w:val="0"/>
                    <w:keepLines w:val="0"/>
                    <w:pageBreakBefore w:val="0"/>
                    <w:widowControl/>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p>
              </w:tc>
              <w:tc>
                <w:tcPr>
                  <w:tcW w:w="3960" w:type="dxa"/>
                  <w:gridSpan w:val="3"/>
                  <w:tcBorders>
                    <w:top w:val="single" w:color="auto" w:sz="4" w:space="0"/>
                    <w:left w:val="nil"/>
                    <w:bottom w:val="single" w:color="auto" w:sz="4" w:space="0"/>
                    <w:right w:val="single" w:color="auto" w:sz="4" w:space="0"/>
                  </w:tcBorders>
                  <w:vAlign w:val="center"/>
                </w:tcPr>
                <w:p w14:paraId="269B4D85">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规模效益差、能源资源消耗大、环境影响严重的企业</w:t>
                  </w:r>
                </w:p>
              </w:tc>
              <w:tc>
                <w:tcPr>
                  <w:tcW w:w="690" w:type="dxa"/>
                  <w:tcBorders>
                    <w:top w:val="single" w:color="auto" w:sz="4" w:space="0"/>
                    <w:left w:val="nil"/>
                    <w:bottom w:val="single" w:color="auto" w:sz="4" w:space="0"/>
                    <w:right w:val="single" w:color="auto" w:sz="4" w:space="0"/>
                  </w:tcBorders>
                  <w:vAlign w:val="center"/>
                </w:tcPr>
                <w:p w14:paraId="2FA46BA2">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禁止进入</w:t>
                  </w:r>
                </w:p>
              </w:tc>
              <w:tc>
                <w:tcPr>
                  <w:tcW w:w="1390" w:type="dxa"/>
                  <w:tcBorders>
                    <w:top w:val="single" w:color="auto" w:sz="4" w:space="0"/>
                    <w:left w:val="nil"/>
                    <w:bottom w:val="single" w:color="auto" w:sz="4" w:space="0"/>
                    <w:right w:val="single" w:color="auto" w:sz="4" w:space="0"/>
                  </w:tcBorders>
                  <w:vAlign w:val="center"/>
                </w:tcPr>
                <w:p w14:paraId="356E7AA3">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本项目不属于</w:t>
                  </w:r>
                  <w:r>
                    <w:rPr>
                      <w:rFonts w:ascii="Times New Roman" w:hAnsi="Times New Roman" w:eastAsia="宋体" w:cs="Times New Roman"/>
                      <w:color w:val="auto"/>
                      <w:sz w:val="21"/>
                      <w:szCs w:val="21"/>
                    </w:rPr>
                    <w:t>规模效益差、能源资源消耗大、环境影响严重的企业</w:t>
                  </w:r>
                </w:p>
              </w:tc>
              <w:tc>
                <w:tcPr>
                  <w:tcW w:w="700" w:type="dxa"/>
                  <w:tcBorders>
                    <w:top w:val="single" w:color="auto" w:sz="4" w:space="0"/>
                    <w:left w:val="nil"/>
                    <w:bottom w:val="single" w:color="auto" w:sz="4" w:space="0"/>
                    <w:right w:val="single" w:color="auto" w:sz="4" w:space="0"/>
                  </w:tcBorders>
                  <w:vAlign w:val="center"/>
                </w:tcPr>
                <w:p w14:paraId="7C9D8429">
                  <w:pPr>
                    <w:keepNext w:val="0"/>
                    <w:keepLines w:val="0"/>
                    <w:pageBreakBefore w:val="0"/>
                    <w:kinsoku/>
                    <w:wordWrap/>
                    <w:overflowPunct/>
                    <w:topLinePunct w:val="0"/>
                    <w:autoSpaceDE/>
                    <w:autoSpaceDN/>
                    <w:bidi w:val="0"/>
                    <w:adjustRightInd w:val="0"/>
                    <w:snapToGrid w:val="0"/>
                    <w:spacing w:afterAutospacing="0"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符合</w:t>
                  </w:r>
                </w:p>
              </w:tc>
            </w:tr>
          </w:tbl>
          <w:p w14:paraId="546A47C6">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both"/>
              <w:textAlignment w:val="auto"/>
              <w:rPr>
                <w:rFonts w:hint="default"/>
                <w:b/>
                <w:bCs/>
                <w:color w:val="auto"/>
                <w:sz w:val="21"/>
                <w:szCs w:val="21"/>
                <w:highlight w:val="none"/>
                <w:lang w:val="en-US" w:eastAsia="zh-CN"/>
              </w:rPr>
            </w:pPr>
          </w:p>
          <w:p w14:paraId="3AB76E2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b/>
                <w:bCs/>
                <w:color w:val="auto"/>
                <w:sz w:val="21"/>
                <w:szCs w:val="21"/>
                <w:highlight w:val="none"/>
                <w:lang w:val="en-US" w:eastAsia="zh-CN"/>
              </w:rPr>
            </w:pPr>
            <w:r>
              <w:rPr>
                <w:rFonts w:hint="default"/>
                <w:b/>
                <w:bCs/>
                <w:color w:val="auto"/>
                <w:sz w:val="21"/>
                <w:szCs w:val="21"/>
                <w:highlight w:val="none"/>
                <w:lang w:val="en-US" w:eastAsia="zh-CN"/>
              </w:rPr>
              <w:t>表1-</w:t>
            </w:r>
            <w:r>
              <w:rPr>
                <w:rFonts w:hint="eastAsia"/>
                <w:b/>
                <w:bCs/>
                <w:color w:val="auto"/>
                <w:sz w:val="21"/>
                <w:szCs w:val="21"/>
                <w:highlight w:val="none"/>
                <w:lang w:val="en-US" w:eastAsia="zh-CN"/>
              </w:rPr>
              <w:t>3</w:t>
            </w:r>
            <w:r>
              <w:rPr>
                <w:rFonts w:hint="default"/>
                <w:b/>
                <w:bCs/>
                <w:color w:val="auto"/>
                <w:sz w:val="21"/>
                <w:szCs w:val="21"/>
                <w:highlight w:val="none"/>
                <w:lang w:val="en-US" w:eastAsia="zh-CN"/>
              </w:rPr>
              <w:t>本项目与规划环境影响评价、审查意见的相符性分析</w:t>
            </w:r>
          </w:p>
          <w:tbl>
            <w:tblPr>
              <w:tblStyle w:val="27"/>
              <w:tblW w:w="7446" w:type="dxa"/>
              <w:jc w:val="center"/>
              <w:tblBorders>
                <w:top w:val="single" w:color="auto" w:sz="12"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90"/>
              <w:gridCol w:w="3690"/>
              <w:gridCol w:w="2150"/>
              <w:gridCol w:w="916"/>
            </w:tblGrid>
            <w:tr w14:paraId="41E52001">
              <w:tblPrEx>
                <w:tblBorders>
                  <w:top w:val="single" w:color="auto" w:sz="12"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690" w:type="dxa"/>
                  <w:tcBorders>
                    <w:tl2br w:val="nil"/>
                    <w:tr2bl w:val="nil"/>
                  </w:tcBorders>
                  <w:noWrap w:val="0"/>
                  <w:vAlign w:val="center"/>
                </w:tcPr>
                <w:p w14:paraId="074A19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b/>
                      <w:bCs/>
                      <w:color w:val="auto"/>
                      <w:sz w:val="21"/>
                      <w:szCs w:val="21"/>
                      <w:highlight w:val="none"/>
                      <w:lang w:val="en-US" w:eastAsia="zh-CN"/>
                    </w:rPr>
                  </w:pPr>
                  <w:r>
                    <w:rPr>
                      <w:rFonts w:hint="default"/>
                      <w:b/>
                      <w:bCs/>
                      <w:color w:val="auto"/>
                      <w:sz w:val="21"/>
                      <w:szCs w:val="21"/>
                      <w:highlight w:val="none"/>
                      <w:lang w:val="en-US" w:eastAsia="zh-CN"/>
                    </w:rPr>
                    <w:t>序号</w:t>
                  </w:r>
                </w:p>
              </w:tc>
              <w:tc>
                <w:tcPr>
                  <w:tcW w:w="3690" w:type="dxa"/>
                  <w:tcBorders>
                    <w:tl2br w:val="nil"/>
                    <w:tr2bl w:val="nil"/>
                  </w:tcBorders>
                  <w:noWrap w:val="0"/>
                  <w:vAlign w:val="center"/>
                </w:tcPr>
                <w:p w14:paraId="4AC8D1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b/>
                      <w:bCs/>
                      <w:color w:val="auto"/>
                      <w:sz w:val="21"/>
                      <w:szCs w:val="21"/>
                      <w:highlight w:val="none"/>
                      <w:lang w:val="en-US" w:eastAsia="zh-CN"/>
                    </w:rPr>
                  </w:pPr>
                  <w:r>
                    <w:rPr>
                      <w:rFonts w:hint="default"/>
                      <w:b/>
                      <w:bCs/>
                      <w:color w:val="auto"/>
                      <w:sz w:val="21"/>
                      <w:szCs w:val="21"/>
                      <w:highlight w:val="none"/>
                      <w:lang w:val="en-US" w:eastAsia="zh-CN"/>
                    </w:rPr>
                    <w:t>规划环境影响评价、审查意见内容</w:t>
                  </w:r>
                </w:p>
              </w:tc>
              <w:tc>
                <w:tcPr>
                  <w:tcW w:w="2150" w:type="dxa"/>
                  <w:tcBorders>
                    <w:tl2br w:val="nil"/>
                    <w:tr2bl w:val="nil"/>
                  </w:tcBorders>
                  <w:noWrap w:val="0"/>
                  <w:vAlign w:val="center"/>
                </w:tcPr>
                <w:p w14:paraId="5AD111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b/>
                      <w:bCs/>
                      <w:color w:val="auto"/>
                      <w:sz w:val="21"/>
                      <w:szCs w:val="21"/>
                      <w:highlight w:val="none"/>
                      <w:lang w:val="en-US" w:eastAsia="zh-CN"/>
                    </w:rPr>
                  </w:pPr>
                  <w:r>
                    <w:rPr>
                      <w:rFonts w:hint="default"/>
                      <w:b/>
                      <w:bCs/>
                      <w:color w:val="auto"/>
                      <w:sz w:val="21"/>
                      <w:szCs w:val="21"/>
                      <w:highlight w:val="none"/>
                      <w:lang w:val="en-US" w:eastAsia="zh-CN"/>
                    </w:rPr>
                    <w:t>项目情况</w:t>
                  </w:r>
                </w:p>
              </w:tc>
              <w:tc>
                <w:tcPr>
                  <w:tcW w:w="916" w:type="dxa"/>
                  <w:tcBorders>
                    <w:tl2br w:val="nil"/>
                    <w:tr2bl w:val="nil"/>
                  </w:tcBorders>
                  <w:noWrap w:val="0"/>
                  <w:vAlign w:val="center"/>
                </w:tcPr>
                <w:p w14:paraId="17173A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b/>
                      <w:bCs/>
                      <w:color w:val="auto"/>
                      <w:sz w:val="21"/>
                      <w:szCs w:val="21"/>
                      <w:highlight w:val="none"/>
                      <w:lang w:val="en-US" w:eastAsia="zh-CN"/>
                    </w:rPr>
                  </w:pPr>
                  <w:r>
                    <w:rPr>
                      <w:rFonts w:hint="default"/>
                      <w:b/>
                      <w:bCs/>
                      <w:color w:val="auto"/>
                      <w:sz w:val="21"/>
                      <w:szCs w:val="21"/>
                      <w:highlight w:val="none"/>
                      <w:lang w:val="en-US" w:eastAsia="zh-CN"/>
                    </w:rPr>
                    <w:t>符合性</w:t>
                  </w:r>
                </w:p>
              </w:tc>
            </w:tr>
            <w:tr w14:paraId="1CEABAE4">
              <w:tblPrEx>
                <w:tblBorders>
                  <w:top w:val="single" w:color="auto" w:sz="12"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54" w:hRule="atLeast"/>
                <w:jc w:val="center"/>
              </w:trPr>
              <w:tc>
                <w:tcPr>
                  <w:tcW w:w="690" w:type="dxa"/>
                  <w:tcBorders>
                    <w:tl2br w:val="nil"/>
                    <w:tr2bl w:val="nil"/>
                  </w:tcBorders>
                  <w:noWrap w:val="0"/>
                  <w:vAlign w:val="center"/>
                </w:tcPr>
                <w:p w14:paraId="7C333F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1</w:t>
                  </w:r>
                </w:p>
              </w:tc>
              <w:tc>
                <w:tcPr>
                  <w:tcW w:w="3690" w:type="dxa"/>
                  <w:tcBorders>
                    <w:tl2br w:val="nil"/>
                    <w:tr2bl w:val="nil"/>
                  </w:tcBorders>
                  <w:noWrap w:val="0"/>
                  <w:vAlign w:val="center"/>
                </w:tcPr>
                <w:p w14:paraId="12C8A5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园区禁止新建造纸、酒精、印染、制革、化工、石化等项目，允许发展与主导产业相配套的低污染、低能耗的行业。建议规划形成“3+1”的产业体系，即“镁基新材料、机电装备制造、非金属材料”3大主导产业集群和1个支持性产业。</w:t>
                  </w:r>
                </w:p>
              </w:tc>
              <w:tc>
                <w:tcPr>
                  <w:tcW w:w="2150" w:type="dxa"/>
                  <w:tcBorders>
                    <w:tl2br w:val="nil"/>
                    <w:tr2bl w:val="nil"/>
                  </w:tcBorders>
                  <w:noWrap w:val="0"/>
                  <w:vAlign w:val="center"/>
                </w:tcPr>
                <w:p w14:paraId="3D4E78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本项目为C3831电线、电缆制造，属于</w:t>
                  </w:r>
                  <w:r>
                    <w:rPr>
                      <w:rFonts w:hint="eastAsia"/>
                      <w:color w:val="auto"/>
                      <w:sz w:val="21"/>
                      <w:szCs w:val="21"/>
                      <w:highlight w:val="none"/>
                      <w:lang w:val="en-US" w:eastAsia="zh-CN"/>
                    </w:rPr>
                    <w:t>低污染、低能耗的行业，</w:t>
                  </w:r>
                  <w:r>
                    <w:rPr>
                      <w:rFonts w:hint="default"/>
                      <w:color w:val="auto"/>
                      <w:sz w:val="21"/>
                      <w:szCs w:val="21"/>
                      <w:highlight w:val="none"/>
                      <w:lang w:val="en-US" w:eastAsia="zh-CN"/>
                    </w:rPr>
                    <w:t>与东河园规划产业布局相符。</w:t>
                  </w:r>
                </w:p>
              </w:tc>
              <w:tc>
                <w:tcPr>
                  <w:tcW w:w="916" w:type="dxa"/>
                  <w:tcBorders>
                    <w:tl2br w:val="nil"/>
                    <w:tr2bl w:val="nil"/>
                  </w:tcBorders>
                  <w:noWrap w:val="0"/>
                  <w:vAlign w:val="center"/>
                </w:tcPr>
                <w:p w14:paraId="3B04AD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符合</w:t>
                  </w:r>
                </w:p>
              </w:tc>
            </w:tr>
            <w:tr w14:paraId="05CE7827">
              <w:tblPrEx>
                <w:tblBorders>
                  <w:top w:val="single" w:color="auto" w:sz="12"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67" w:hRule="atLeast"/>
                <w:jc w:val="center"/>
              </w:trPr>
              <w:tc>
                <w:tcPr>
                  <w:tcW w:w="690" w:type="dxa"/>
                  <w:tcBorders>
                    <w:tl2br w:val="nil"/>
                    <w:tr2bl w:val="nil"/>
                  </w:tcBorders>
                  <w:noWrap w:val="0"/>
                  <w:vAlign w:val="center"/>
                </w:tcPr>
                <w:p w14:paraId="0D6DE8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2</w:t>
                  </w:r>
                </w:p>
              </w:tc>
              <w:tc>
                <w:tcPr>
                  <w:tcW w:w="3690" w:type="dxa"/>
                  <w:tcBorders>
                    <w:tl2br w:val="nil"/>
                    <w:tr2bl w:val="nil"/>
                  </w:tcBorders>
                  <w:noWrap w:val="0"/>
                  <w:vAlign w:val="center"/>
                </w:tcPr>
                <w:p w14:paraId="2FE46C7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严格生态环境准入，推动高质量发展：</w:t>
                  </w:r>
                </w:p>
                <w:p w14:paraId="165A0E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根据国家和区域发展战略，结合区域生态环境质量现状、省市“三线一单”成果等，严格落实《报告书》生态环境准入要求。严格执行国家产业政策，坚决遏制高耗能、高排放项目盲目发展，应在生态环境准入清单中深化“两高”项目环境准入及管控要求，限制与规划主导产业不相关且污染物排放量大的项目入区，引进的镁基新材料等项目的生产工艺、设备、自动化水平，以及单位产品能耗、污染物排放等均需达到国际同行业先进水平。新建、改建、改建用煤项目，应当实行煤炭消费等量或减量替代制度。对现有不符合环境准入要求的企业，提出相应的管控措施。</w:t>
                  </w:r>
                </w:p>
              </w:tc>
              <w:tc>
                <w:tcPr>
                  <w:tcW w:w="2150" w:type="dxa"/>
                  <w:tcBorders>
                    <w:tl2br w:val="nil"/>
                    <w:tr2bl w:val="nil"/>
                  </w:tcBorders>
                  <w:noWrap w:val="0"/>
                  <w:vAlign w:val="center"/>
                </w:tcPr>
                <w:p w14:paraId="510956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ascii="Times New Roman" w:hAnsi="Times New Roman" w:eastAsia="宋体" w:cs="Times New Roman"/>
                      <w:color w:val="auto"/>
                      <w:sz w:val="21"/>
                      <w:szCs w:val="21"/>
                      <w:lang w:val="en-US" w:eastAsia="zh-CN"/>
                    </w:rPr>
                    <w:t>对照《</w:t>
                  </w:r>
                  <w:r>
                    <w:rPr>
                      <w:rFonts w:hint="default" w:ascii="Times New Roman" w:hAnsi="Times New Roman" w:eastAsia="宋体" w:cs="Times New Roman"/>
                      <w:color w:val="auto"/>
                      <w:sz w:val="21"/>
                      <w:szCs w:val="21"/>
                    </w:rPr>
                    <w:t>产业结构调整指导目录（2024年本）》可知，本项目不在鼓励类、限制类、淘汰类之列，可视为允许类。本项目污染物排放</w:t>
                  </w:r>
                  <w:r>
                    <w:rPr>
                      <w:rFonts w:hint="eastAsia" w:ascii="Times New Roman" w:hAnsi="Times New Roman" w:eastAsia="宋体" w:cs="Times New Roman"/>
                      <w:color w:val="auto"/>
                      <w:sz w:val="21"/>
                      <w:szCs w:val="21"/>
                      <w:lang w:val="en-US" w:eastAsia="zh-CN"/>
                    </w:rPr>
                    <w:t>量</w:t>
                  </w:r>
                  <w:r>
                    <w:rPr>
                      <w:rFonts w:hint="default" w:ascii="Times New Roman" w:hAnsi="Times New Roman" w:eastAsia="宋体" w:cs="Times New Roman"/>
                      <w:color w:val="auto"/>
                      <w:sz w:val="21"/>
                      <w:szCs w:val="21"/>
                    </w:rPr>
                    <w:t>较小。</w:t>
                  </w:r>
                  <w:r>
                    <w:rPr>
                      <w:rFonts w:hint="default"/>
                      <w:color w:val="auto"/>
                      <w:sz w:val="21"/>
                      <w:szCs w:val="21"/>
                      <w:highlight w:val="none"/>
                      <w:lang w:val="en-US" w:eastAsia="zh-CN"/>
                    </w:rPr>
                    <w:t>本项目不属于“两高项目”，项目</w:t>
                  </w:r>
                  <w:r>
                    <w:rPr>
                      <w:rFonts w:hint="eastAsia"/>
                      <w:color w:val="auto"/>
                      <w:sz w:val="21"/>
                      <w:szCs w:val="21"/>
                      <w:highlight w:val="none"/>
                      <w:lang w:val="en-US" w:eastAsia="zh-CN"/>
                    </w:rPr>
                    <w:t>能源为电，不使用煤炭等</w:t>
                  </w:r>
                  <w:r>
                    <w:rPr>
                      <w:rFonts w:hint="default"/>
                      <w:color w:val="auto"/>
                      <w:sz w:val="21"/>
                      <w:szCs w:val="21"/>
                      <w:highlight w:val="none"/>
                      <w:lang w:val="en-US" w:eastAsia="zh-CN"/>
                    </w:rPr>
                    <w:t>。</w:t>
                  </w:r>
                </w:p>
              </w:tc>
              <w:tc>
                <w:tcPr>
                  <w:tcW w:w="916" w:type="dxa"/>
                  <w:tcBorders>
                    <w:tl2br w:val="nil"/>
                    <w:tr2bl w:val="nil"/>
                  </w:tcBorders>
                  <w:noWrap w:val="0"/>
                  <w:vAlign w:val="center"/>
                </w:tcPr>
                <w:p w14:paraId="1676D6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符合</w:t>
                  </w:r>
                </w:p>
              </w:tc>
            </w:tr>
            <w:tr w14:paraId="671EA755">
              <w:tblPrEx>
                <w:tblBorders>
                  <w:top w:val="single" w:color="auto" w:sz="12"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Borders>
                    <w:tl2br w:val="nil"/>
                    <w:tr2bl w:val="nil"/>
                  </w:tcBorders>
                  <w:noWrap w:val="0"/>
                  <w:vAlign w:val="center"/>
                </w:tcPr>
                <w:p w14:paraId="5743D9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3</w:t>
                  </w:r>
                </w:p>
              </w:tc>
              <w:tc>
                <w:tcPr>
                  <w:tcW w:w="3690" w:type="dxa"/>
                  <w:tcBorders>
                    <w:tl2br w:val="nil"/>
                    <w:tr2bl w:val="nil"/>
                  </w:tcBorders>
                  <w:noWrap w:val="0"/>
                  <w:vAlign w:val="center"/>
                </w:tcPr>
                <w:p w14:paraId="5E7C21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优化产业布局，加强生态空间保护：</w:t>
                  </w:r>
                </w:p>
                <w:p w14:paraId="4E6549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结合园区产业定位，合理规划不同功能区的环境保护空间，严禁不符合管控要求的各类开发建设活动，禁止布局对生态系统有严重影响的产业。《规划》应主动避让安徽贵池十八索省级自然保护区、饮用水水源保护区、永久基本农田保护区、生态保护红线等生态敏感区，并与其边界保持一定的缓冲防护距离，建设生态防护隔离带。做好园区建设生产，科研，生活服务空间之间及周边环境敏感目标的隔离和管控。实现产业发展与区域生态环境保护相协调。</w:t>
                  </w:r>
                </w:p>
              </w:tc>
              <w:tc>
                <w:tcPr>
                  <w:tcW w:w="2150" w:type="dxa"/>
                  <w:tcBorders>
                    <w:tl2br w:val="nil"/>
                    <w:tr2bl w:val="nil"/>
                  </w:tcBorders>
                  <w:noWrap w:val="0"/>
                  <w:vAlign w:val="center"/>
                </w:tcPr>
                <w:p w14:paraId="72E461E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本项目位于青阳经济开发区东河园区，</w:t>
                  </w:r>
                  <w:r>
                    <w:rPr>
                      <w:rFonts w:hint="eastAsia"/>
                      <w:color w:val="auto"/>
                      <w:sz w:val="21"/>
                      <w:szCs w:val="21"/>
                      <w:highlight w:val="none"/>
                      <w:lang w:val="en-US" w:eastAsia="zh-CN"/>
                    </w:rPr>
                    <w:t>用地</w:t>
                  </w:r>
                  <w:r>
                    <w:rPr>
                      <w:rFonts w:hint="default"/>
                      <w:color w:val="auto"/>
                      <w:sz w:val="21"/>
                      <w:szCs w:val="21"/>
                      <w:highlight w:val="none"/>
                      <w:lang w:val="en-US" w:eastAsia="zh-CN"/>
                    </w:rPr>
                    <w:t>为工业用地，</w:t>
                  </w:r>
                  <w:r>
                    <w:rPr>
                      <w:rFonts w:hint="default" w:ascii="Times New Roman" w:hAnsi="Times New Roman" w:eastAsia="宋体" w:cs="Times New Roman"/>
                      <w:color w:val="auto"/>
                      <w:sz w:val="21"/>
                      <w:szCs w:val="21"/>
                    </w:rPr>
                    <w:t>不属于生态敏感区，不属于对生态系统有严重影响的产业</w:t>
                  </w:r>
                  <w:r>
                    <w:rPr>
                      <w:rFonts w:hint="default"/>
                      <w:color w:val="auto"/>
                      <w:sz w:val="21"/>
                      <w:szCs w:val="21"/>
                      <w:highlight w:val="none"/>
                      <w:lang w:val="en-US" w:eastAsia="zh-CN"/>
                    </w:rPr>
                    <w:t>。</w:t>
                  </w:r>
                </w:p>
              </w:tc>
              <w:tc>
                <w:tcPr>
                  <w:tcW w:w="916" w:type="dxa"/>
                  <w:tcBorders>
                    <w:tl2br w:val="nil"/>
                    <w:tr2bl w:val="nil"/>
                  </w:tcBorders>
                  <w:noWrap w:val="0"/>
                  <w:vAlign w:val="center"/>
                </w:tcPr>
                <w:p w14:paraId="4A8E10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符合</w:t>
                  </w:r>
                </w:p>
              </w:tc>
            </w:tr>
            <w:tr w14:paraId="13418924">
              <w:tblPrEx>
                <w:tblBorders>
                  <w:top w:val="single" w:color="auto" w:sz="12"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Borders>
                    <w:tl2br w:val="nil"/>
                    <w:tr2bl w:val="nil"/>
                  </w:tcBorders>
                  <w:noWrap w:val="0"/>
                  <w:vAlign w:val="center"/>
                </w:tcPr>
                <w:p w14:paraId="071EC7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4</w:t>
                  </w:r>
                </w:p>
              </w:tc>
              <w:tc>
                <w:tcPr>
                  <w:tcW w:w="3690" w:type="dxa"/>
                  <w:tcBorders>
                    <w:tl2br w:val="nil"/>
                    <w:tr2bl w:val="nil"/>
                  </w:tcBorders>
                  <w:noWrap w:val="0"/>
                  <w:vAlign w:val="center"/>
                </w:tcPr>
                <w:p w14:paraId="4EE351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严守环境质量底线，落实区域环境管控措施：</w:t>
                  </w:r>
                </w:p>
                <w:p w14:paraId="190BA7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根据国家和我省大气、水、土壤、固体废物污染防治相关要求，制定污染防控方案和污染物总量管控措施。加强入驻项目环境管理，切实保障区域内入驻项目达标排放，合理控制污染物排放总量，落实区域污染物排放总量削减，确保区域环境质量持续优化，达到国家、省，市下达的环境质量管控目标要求，童埠园区项目入驻不得损害安徽贵池十八索省级自然保护区内的环境质量。</w:t>
                  </w:r>
                </w:p>
              </w:tc>
              <w:tc>
                <w:tcPr>
                  <w:tcW w:w="2150" w:type="dxa"/>
                  <w:tcBorders>
                    <w:tl2br w:val="nil"/>
                    <w:tr2bl w:val="nil"/>
                  </w:tcBorders>
                  <w:noWrap w:val="0"/>
                  <w:vAlign w:val="center"/>
                </w:tcPr>
                <w:p w14:paraId="3E2D7A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本项目所在区域环境质量良好，采取各项污染防治措施后，各项污染物达标排放，项目对周围环境影响较小，不会降低区域环境功能级别。</w:t>
                  </w:r>
                </w:p>
              </w:tc>
              <w:tc>
                <w:tcPr>
                  <w:tcW w:w="916" w:type="dxa"/>
                  <w:tcBorders>
                    <w:tl2br w:val="nil"/>
                    <w:tr2bl w:val="nil"/>
                  </w:tcBorders>
                  <w:noWrap w:val="0"/>
                  <w:vAlign w:val="center"/>
                </w:tcPr>
                <w:p w14:paraId="2916BB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符合</w:t>
                  </w:r>
                </w:p>
              </w:tc>
            </w:tr>
            <w:tr w14:paraId="5377003D">
              <w:tblPrEx>
                <w:tblBorders>
                  <w:top w:val="single" w:color="auto" w:sz="12"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Borders>
                    <w:tl2br w:val="nil"/>
                    <w:tr2bl w:val="nil"/>
                  </w:tcBorders>
                  <w:noWrap w:val="0"/>
                  <w:vAlign w:val="center"/>
                </w:tcPr>
                <w:p w14:paraId="23A91C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5</w:t>
                  </w:r>
                </w:p>
              </w:tc>
              <w:tc>
                <w:tcPr>
                  <w:tcW w:w="3690" w:type="dxa"/>
                  <w:tcBorders>
                    <w:tl2br w:val="nil"/>
                    <w:tr2bl w:val="nil"/>
                  </w:tcBorders>
                  <w:noWrap w:val="0"/>
                  <w:vAlign w:val="center"/>
                </w:tcPr>
                <w:p w14:paraId="69C3CCC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完善环保基础设施建设，强化环境污染防控：</w:t>
                  </w:r>
                </w:p>
                <w:p w14:paraId="686779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加快规划污水处理厂和污水管网建设，童埠园区工业废水处理后全部回用。结合区域供水、排水和供气（供热）等规划，合理确定开发规模、强度和时序。结合区域环境质量现状，细化污染防治基础设施建设要求，对存在环境问题的现有企业制订整改方案，督促落实整改措施。</w:t>
                  </w:r>
                </w:p>
              </w:tc>
              <w:tc>
                <w:tcPr>
                  <w:tcW w:w="2150" w:type="dxa"/>
                  <w:tcBorders>
                    <w:tl2br w:val="nil"/>
                    <w:tr2bl w:val="nil"/>
                  </w:tcBorders>
                  <w:noWrap w:val="0"/>
                  <w:vAlign w:val="center"/>
                </w:tcPr>
                <w:p w14:paraId="494838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eastAsia" w:ascii="Times New Roman" w:cs="Times New Roman"/>
                      <w:bCs/>
                      <w:color w:val="auto"/>
                      <w:sz w:val="21"/>
                      <w:szCs w:val="21"/>
                      <w:highlight w:val="none"/>
                      <w:lang w:val="en-US" w:eastAsia="zh-CN"/>
                    </w:rPr>
                    <w:t>项目生活污水经化粪池处理后汇同经隔油池处理后的餐饮废水一同与冷却水定期排水一起通过园区污水管网送往青阳县污水处理厂，处理达标后排放。</w:t>
                  </w:r>
                </w:p>
              </w:tc>
              <w:tc>
                <w:tcPr>
                  <w:tcW w:w="916" w:type="dxa"/>
                  <w:tcBorders>
                    <w:tl2br w:val="nil"/>
                    <w:tr2bl w:val="nil"/>
                  </w:tcBorders>
                  <w:noWrap w:val="0"/>
                  <w:vAlign w:val="center"/>
                </w:tcPr>
                <w:p w14:paraId="12156A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符合</w:t>
                  </w:r>
                </w:p>
              </w:tc>
            </w:tr>
            <w:tr w14:paraId="54C211DE">
              <w:tblPrEx>
                <w:tblBorders>
                  <w:top w:val="single" w:color="auto" w:sz="12"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Borders>
                    <w:bottom w:val="single" w:color="auto" w:sz="12" w:space="0"/>
                  </w:tcBorders>
                  <w:noWrap w:val="0"/>
                  <w:vAlign w:val="center"/>
                </w:tcPr>
                <w:p w14:paraId="5BB0CA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6</w:t>
                  </w:r>
                </w:p>
              </w:tc>
              <w:tc>
                <w:tcPr>
                  <w:tcW w:w="3690" w:type="dxa"/>
                  <w:tcBorders>
                    <w:bottom w:val="single" w:color="auto" w:sz="12" w:space="0"/>
                  </w:tcBorders>
                  <w:noWrap w:val="0"/>
                  <w:vAlign w:val="center"/>
                </w:tcPr>
                <w:p w14:paraId="435868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强化环境风险防控，完善环境监测体系：</w:t>
                  </w:r>
                </w:p>
                <w:p w14:paraId="0C9CE4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加强园区环境风险三级防控体系和能力建设，落实环境风险应急与防范措施，重点关注童埠园区环境风险源的识别与管控，确保事故状态下的事故废水与外环境有效隔离。加强环境应急物资储备，强化园区环境管理和监测能力建设，定期开展突发环境事件应急演练，加强事件处置协同能力建设。根据规划产业布局及功能分区、重点企业分布、特征污染物的排放种类和状况、重要生态环境敏感目标的分布等，建立健全水、气、土等各环境要素长期稳定的环境监控体系，建立童埠园区对安徽贵池十八索省级自然保护区的生态影响跟踪监控分析体系。严格落实建设项目环境影响评价和排污许可制度，适时开展规划环境影响跟踪评价。</w:t>
                  </w:r>
                </w:p>
                <w:p w14:paraId="18D30B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p>
              </w:tc>
              <w:tc>
                <w:tcPr>
                  <w:tcW w:w="2150" w:type="dxa"/>
                  <w:tcBorders>
                    <w:bottom w:val="single" w:color="auto" w:sz="12" w:space="0"/>
                  </w:tcBorders>
                  <w:noWrap w:val="0"/>
                  <w:vAlign w:val="center"/>
                </w:tcPr>
                <w:p w14:paraId="0D2991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本次评价要求建设单位</w:t>
                  </w:r>
                  <w:r>
                    <w:rPr>
                      <w:rFonts w:hint="eastAsia"/>
                      <w:color w:val="auto"/>
                      <w:sz w:val="21"/>
                      <w:szCs w:val="21"/>
                      <w:highlight w:val="none"/>
                      <w:lang w:val="en-US" w:eastAsia="zh-CN"/>
                    </w:rPr>
                    <w:t>编制</w:t>
                  </w:r>
                  <w:r>
                    <w:rPr>
                      <w:rFonts w:hint="default"/>
                      <w:color w:val="auto"/>
                      <w:sz w:val="21"/>
                      <w:szCs w:val="21"/>
                      <w:highlight w:val="none"/>
                      <w:lang w:val="en-US" w:eastAsia="zh-CN"/>
                    </w:rPr>
                    <w:t>突发环境事件应急预案并定期进行演练，采取风险防范措施，配备风险物资，将环境风险水平降至最低。</w:t>
                  </w:r>
                </w:p>
              </w:tc>
              <w:tc>
                <w:tcPr>
                  <w:tcW w:w="916" w:type="dxa"/>
                  <w:tcBorders>
                    <w:bottom w:val="single" w:color="auto" w:sz="12" w:space="0"/>
                  </w:tcBorders>
                  <w:noWrap w:val="0"/>
                  <w:vAlign w:val="center"/>
                </w:tcPr>
                <w:p w14:paraId="31DC11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符合</w:t>
                  </w:r>
                </w:p>
              </w:tc>
            </w:tr>
          </w:tbl>
          <w:p w14:paraId="24DD250E">
            <w:pPr>
              <w:rPr>
                <w:rFonts w:hint="default"/>
                <w:color w:val="auto"/>
                <w:highlight w:val="none"/>
                <w:lang w:val="en-US" w:eastAsia="zh-CN"/>
              </w:rPr>
            </w:pPr>
          </w:p>
        </w:tc>
      </w:tr>
      <w:tr w14:paraId="1A92FC2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658" w:type="pct"/>
            <w:tcBorders>
              <w:tl2br w:val="nil"/>
              <w:tr2bl w:val="nil"/>
            </w:tcBorders>
            <w:noWrap w:val="0"/>
            <w:vAlign w:val="center"/>
          </w:tcPr>
          <w:p w14:paraId="5EB9BED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其他符合性分析</w:t>
            </w:r>
          </w:p>
        </w:tc>
        <w:tc>
          <w:tcPr>
            <w:tcW w:w="4341" w:type="pct"/>
            <w:gridSpan w:val="3"/>
            <w:tcBorders>
              <w:tl2br w:val="nil"/>
              <w:tr2bl w:val="nil"/>
            </w:tcBorders>
            <w:noWrap w:val="0"/>
            <w:vAlign w:val="center"/>
          </w:tcPr>
          <w:p w14:paraId="06B0FD8D">
            <w:pPr>
              <w:bidi w:val="0"/>
              <w:ind w:left="0" w:leftChars="0" w:firstLine="0" w:firstLineChars="0"/>
              <w:rPr>
                <w:rFonts w:hint="eastAsia"/>
                <w:b/>
                <w:bCs/>
                <w:color w:val="auto"/>
                <w:highlight w:val="none"/>
              </w:rPr>
            </w:pPr>
            <w:r>
              <w:rPr>
                <w:rFonts w:hint="eastAsia"/>
                <w:b/>
                <w:bCs/>
                <w:color w:val="auto"/>
                <w:highlight w:val="none"/>
                <w:lang w:val="en-US" w:eastAsia="zh-CN"/>
              </w:rPr>
              <w:t>1、</w:t>
            </w:r>
            <w:r>
              <w:rPr>
                <w:rFonts w:hint="eastAsia"/>
                <w:b/>
                <w:bCs/>
                <w:color w:val="auto"/>
                <w:highlight w:val="none"/>
              </w:rPr>
              <w:t>产业政策符合性分析</w:t>
            </w:r>
          </w:p>
          <w:p w14:paraId="49972B21">
            <w:pPr>
              <w:bidi w:val="0"/>
              <w:rPr>
                <w:rFonts w:hint="eastAsia"/>
                <w:color w:val="auto"/>
                <w:highlight w:val="none"/>
                <w:lang w:eastAsia="zh-CN"/>
              </w:rPr>
            </w:pPr>
            <w:r>
              <w:rPr>
                <w:rFonts w:hint="eastAsia"/>
                <w:color w:val="auto"/>
                <w:highlight w:val="none"/>
              </w:rPr>
              <w:t>本项目</w:t>
            </w:r>
            <w:r>
              <w:rPr>
                <w:rFonts w:hint="eastAsia"/>
                <w:color w:val="auto"/>
                <w:highlight w:val="none"/>
                <w:lang w:val="en-US" w:eastAsia="zh-CN"/>
              </w:rPr>
              <w:t>属于C3831电线、电缆制造</w:t>
            </w:r>
            <w:r>
              <w:rPr>
                <w:rFonts w:hint="eastAsia"/>
                <w:color w:val="auto"/>
                <w:highlight w:val="none"/>
              </w:rPr>
              <w:t>，</w:t>
            </w:r>
            <w:r>
              <w:rPr>
                <w:rFonts w:hint="default" w:ascii="Times New Roman" w:hAnsi="Times New Roman" w:cs="Times New Roman"/>
                <w:color w:val="auto"/>
                <w:highlight w:val="none"/>
                <w:lang w:val="en-US" w:eastAsia="zh-CN"/>
              </w:rPr>
              <w:t>不属于《产业结构调整指导目录（2024年本）》中“鼓励类</w:t>
            </w:r>
            <w:r>
              <w:rPr>
                <w:rFonts w:hint="eastAsia" w:cs="Times New Roman"/>
                <w:color w:val="auto"/>
                <w:highlight w:val="none"/>
                <w:lang w:val="en-US" w:eastAsia="zh-CN"/>
              </w:rPr>
              <w:t>”“</w:t>
            </w:r>
            <w:r>
              <w:rPr>
                <w:rFonts w:hint="default" w:ascii="Times New Roman" w:hAnsi="Times New Roman" w:cs="Times New Roman"/>
                <w:color w:val="auto"/>
                <w:highlight w:val="none"/>
                <w:lang w:val="en-US" w:eastAsia="zh-CN"/>
              </w:rPr>
              <w:t>限制类”和“淘汰类”项目，视为“允许类”项目，项目符合国家现行产业政策</w:t>
            </w:r>
            <w:r>
              <w:rPr>
                <w:rFonts w:hint="eastAsia"/>
                <w:color w:val="auto"/>
                <w:highlight w:val="none"/>
              </w:rPr>
              <w:t>。对照《安徽省工业产业结构调整指导目录》，本</w:t>
            </w:r>
            <w:r>
              <w:rPr>
                <w:rFonts w:hint="eastAsia"/>
                <w:color w:val="auto"/>
                <w:highlight w:val="none"/>
                <w:lang w:eastAsia="zh-CN"/>
              </w:rPr>
              <w:t>项目不属于限制或者禁止类项目。该项目于</w:t>
            </w:r>
            <w:r>
              <w:rPr>
                <w:rFonts w:hint="eastAsia" w:cs="Times New Roman"/>
                <w:color w:val="auto"/>
                <w:sz w:val="24"/>
                <w:szCs w:val="24"/>
                <w:highlight w:val="none"/>
                <w:lang w:val="en-US" w:eastAsia="zh-CN"/>
              </w:rPr>
              <w:t>2025年9月9日</w:t>
            </w:r>
            <w:r>
              <w:rPr>
                <w:rFonts w:hint="eastAsia"/>
                <w:color w:val="auto"/>
                <w:highlight w:val="none"/>
                <w:lang w:val="en-US" w:eastAsia="zh-CN"/>
              </w:rPr>
              <w:t>获得青阳县发展和改革委员会备案，项目编码</w:t>
            </w:r>
            <w:r>
              <w:rPr>
                <w:rFonts w:hint="default" w:ascii="Times New Roman" w:hAnsi="Times New Roman" w:cs="Times New Roman"/>
                <w:color w:val="auto"/>
                <w:szCs w:val="21"/>
                <w:highlight w:val="none"/>
                <w:lang w:val="en-US" w:eastAsia="zh-CN"/>
              </w:rPr>
              <w:t>2509-341723-04-01-234174</w:t>
            </w:r>
            <w:r>
              <w:rPr>
                <w:rFonts w:hint="eastAsia"/>
                <w:color w:val="auto"/>
                <w:highlight w:val="none"/>
                <w:lang w:eastAsia="zh-CN"/>
              </w:rPr>
              <w:t>。因此，本项目符合相关产业政策。</w:t>
            </w:r>
          </w:p>
          <w:p w14:paraId="543FCA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b/>
                <w:bCs/>
                <w:color w:val="auto"/>
                <w:sz w:val="21"/>
                <w:szCs w:val="21"/>
                <w:highlight w:val="none"/>
                <w:lang w:eastAsia="zh-CN"/>
              </w:rPr>
            </w:pPr>
            <w:r>
              <w:rPr>
                <w:rFonts w:hint="eastAsia"/>
                <w:b/>
                <w:bCs/>
                <w:color w:val="auto"/>
                <w:sz w:val="21"/>
                <w:szCs w:val="21"/>
                <w:highlight w:val="none"/>
                <w:lang w:eastAsia="zh-CN"/>
              </w:rPr>
              <w:t>表1-</w:t>
            </w:r>
            <w:r>
              <w:rPr>
                <w:rFonts w:hint="eastAsia"/>
                <w:b/>
                <w:bCs/>
                <w:color w:val="auto"/>
                <w:sz w:val="21"/>
                <w:szCs w:val="21"/>
                <w:highlight w:val="none"/>
                <w:lang w:val="en-US" w:eastAsia="zh-CN"/>
              </w:rPr>
              <w:t>4</w:t>
            </w:r>
            <w:r>
              <w:rPr>
                <w:rFonts w:hint="eastAsia"/>
                <w:b/>
                <w:bCs/>
                <w:color w:val="auto"/>
                <w:sz w:val="21"/>
                <w:szCs w:val="21"/>
                <w:highlight w:val="none"/>
                <w:lang w:eastAsia="zh-CN"/>
              </w:rPr>
              <w:t>本项目与《产业结构调整指导</w:t>
            </w:r>
            <w:r>
              <w:rPr>
                <w:rFonts w:hint="eastAsia"/>
                <w:b/>
                <w:bCs/>
                <w:color w:val="auto"/>
                <w:sz w:val="21"/>
                <w:szCs w:val="21"/>
                <w:highlight w:val="none"/>
                <w:lang w:val="en-US" w:eastAsia="zh-CN"/>
              </w:rPr>
              <w:t>目</w:t>
            </w:r>
            <w:r>
              <w:rPr>
                <w:rFonts w:hint="eastAsia"/>
                <w:b/>
                <w:bCs/>
                <w:color w:val="auto"/>
                <w:sz w:val="21"/>
                <w:szCs w:val="21"/>
                <w:highlight w:val="none"/>
                <w:lang w:eastAsia="zh-CN"/>
              </w:rPr>
              <w:t>录（2024年本）》对照表</w:t>
            </w:r>
          </w:p>
          <w:tbl>
            <w:tblPr>
              <w:tblStyle w:val="28"/>
              <w:tblW w:w="7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7"/>
              <w:gridCol w:w="2496"/>
              <w:gridCol w:w="1928"/>
              <w:gridCol w:w="1814"/>
            </w:tblGrid>
            <w:tr w14:paraId="6D203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47" w:type="dxa"/>
                  <w:vAlign w:val="center"/>
                </w:tcPr>
                <w:p w14:paraId="2DB04B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类别</w:t>
                  </w:r>
                </w:p>
              </w:tc>
              <w:tc>
                <w:tcPr>
                  <w:tcW w:w="2496" w:type="dxa"/>
                  <w:vAlign w:val="center"/>
                </w:tcPr>
                <w:p w14:paraId="4E4DD1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vertAlign w:val="baseline"/>
                      <w:lang w:val="en-US" w:eastAsia="zh-CN"/>
                    </w:rPr>
                  </w:pPr>
                  <w:r>
                    <w:rPr>
                      <w:rFonts w:hint="eastAsia"/>
                      <w:color w:val="auto"/>
                      <w:sz w:val="21"/>
                      <w:szCs w:val="21"/>
                      <w:highlight w:val="none"/>
                      <w:vertAlign w:val="baseline"/>
                      <w:lang w:eastAsia="zh-CN"/>
                    </w:rPr>
                    <w:t>《</w:t>
                  </w:r>
                  <w:r>
                    <w:rPr>
                      <w:rFonts w:hint="eastAsia"/>
                      <w:color w:val="auto"/>
                      <w:sz w:val="21"/>
                      <w:szCs w:val="21"/>
                      <w:highlight w:val="none"/>
                      <w:vertAlign w:val="baseline"/>
                      <w:lang w:val="en-US" w:eastAsia="zh-CN"/>
                    </w:rPr>
                    <w:t>产业结构调整指导目录</w:t>
                  </w:r>
                  <w:r>
                    <w:rPr>
                      <w:rFonts w:hint="eastAsia"/>
                      <w:color w:val="auto"/>
                      <w:sz w:val="21"/>
                      <w:szCs w:val="21"/>
                      <w:highlight w:val="none"/>
                      <w:vertAlign w:val="baseline"/>
                      <w:lang w:eastAsia="zh-CN"/>
                    </w:rPr>
                    <w:t>》</w:t>
                  </w:r>
                  <w:r>
                    <w:rPr>
                      <w:rFonts w:hint="eastAsia"/>
                      <w:color w:val="auto"/>
                      <w:sz w:val="21"/>
                      <w:szCs w:val="21"/>
                      <w:highlight w:val="none"/>
                      <w:vertAlign w:val="baseline"/>
                      <w:lang w:val="en-US" w:eastAsia="zh-CN"/>
                    </w:rPr>
                    <w:t>要求</w:t>
                  </w:r>
                </w:p>
              </w:tc>
              <w:tc>
                <w:tcPr>
                  <w:tcW w:w="1928" w:type="dxa"/>
                  <w:vAlign w:val="center"/>
                </w:tcPr>
                <w:p w14:paraId="099D66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本项目情况</w:t>
                  </w:r>
                </w:p>
              </w:tc>
              <w:tc>
                <w:tcPr>
                  <w:tcW w:w="1814" w:type="dxa"/>
                  <w:vAlign w:val="center"/>
                </w:tcPr>
                <w:p w14:paraId="5A4B87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是否属于</w:t>
                  </w:r>
                </w:p>
              </w:tc>
            </w:tr>
            <w:tr w14:paraId="78F05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7" w:type="dxa"/>
                  <w:vAlign w:val="center"/>
                </w:tcPr>
                <w:p w14:paraId="247257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限制类</w:t>
                  </w:r>
                </w:p>
              </w:tc>
              <w:tc>
                <w:tcPr>
                  <w:tcW w:w="2496" w:type="dxa"/>
                  <w:vAlign w:val="center"/>
                </w:tcPr>
                <w:p w14:paraId="4886B4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6千伏及以上干法交联电力电缆（陆上用制造项目）</w:t>
                  </w:r>
                </w:p>
              </w:tc>
              <w:tc>
                <w:tcPr>
                  <w:tcW w:w="1928" w:type="dxa"/>
                  <w:vAlign w:val="center"/>
                </w:tcPr>
                <w:p w14:paraId="07D144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项目产品电缆额定电压为300V</w:t>
                  </w:r>
                </w:p>
              </w:tc>
              <w:tc>
                <w:tcPr>
                  <w:tcW w:w="1814" w:type="dxa"/>
                  <w:vAlign w:val="center"/>
                </w:tcPr>
                <w:p w14:paraId="742540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否</w:t>
                  </w:r>
                </w:p>
              </w:tc>
            </w:tr>
            <w:tr w14:paraId="175B1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7" w:type="dxa"/>
                  <w:vAlign w:val="center"/>
                </w:tcPr>
                <w:p w14:paraId="1E36B4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淘汰类</w:t>
                  </w:r>
                </w:p>
              </w:tc>
              <w:tc>
                <w:tcPr>
                  <w:tcW w:w="2496" w:type="dxa"/>
                  <w:vAlign w:val="center"/>
                </w:tcPr>
                <w:p w14:paraId="358A447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地下矿山使用非阻燃电缆</w:t>
                  </w:r>
                </w:p>
              </w:tc>
              <w:tc>
                <w:tcPr>
                  <w:tcW w:w="1928" w:type="dxa"/>
                  <w:vAlign w:val="center"/>
                </w:tcPr>
                <w:p w14:paraId="45DDE1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项目产品主要应用于工业机械等，不生产地下矿山使用的非阻燃电缆</w:t>
                  </w:r>
                </w:p>
              </w:tc>
              <w:tc>
                <w:tcPr>
                  <w:tcW w:w="1814" w:type="dxa"/>
                  <w:vAlign w:val="center"/>
                </w:tcPr>
                <w:p w14:paraId="52C6A2D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否</w:t>
                  </w:r>
                </w:p>
              </w:tc>
            </w:tr>
          </w:tbl>
          <w:p w14:paraId="6CE4EB5D">
            <w:pPr>
              <w:bidi w:val="0"/>
              <w:rPr>
                <w:rFonts w:hint="eastAsia"/>
                <w:color w:val="auto"/>
                <w:highlight w:val="none"/>
                <w:lang w:eastAsia="zh-CN"/>
              </w:rPr>
            </w:pPr>
          </w:p>
          <w:p w14:paraId="493F6039">
            <w:pPr>
              <w:bidi w:val="0"/>
              <w:ind w:left="0" w:leftChars="0" w:firstLine="482" w:firstLineChars="200"/>
              <w:rPr>
                <w:rFonts w:hint="eastAsia"/>
                <w:b/>
                <w:bCs/>
                <w:color w:val="auto"/>
                <w:highlight w:val="none"/>
              </w:rPr>
            </w:pPr>
            <w:r>
              <w:rPr>
                <w:rFonts w:hint="eastAsia"/>
                <w:b/>
                <w:bCs/>
                <w:color w:val="auto"/>
                <w:highlight w:val="none"/>
                <w:lang w:val="en-US" w:eastAsia="zh-CN"/>
              </w:rPr>
              <w:t>2、</w:t>
            </w:r>
            <w:r>
              <w:rPr>
                <w:rFonts w:hint="eastAsia"/>
                <w:b/>
                <w:bCs/>
                <w:color w:val="auto"/>
                <w:highlight w:val="none"/>
              </w:rPr>
              <w:t>选址合理性分析</w:t>
            </w:r>
          </w:p>
          <w:p w14:paraId="68E945E7">
            <w:pPr>
              <w:keepNext w:val="0"/>
              <w:keepLines w:val="0"/>
              <w:widowControl w:val="0"/>
              <w:suppressLineNumbers w:val="0"/>
              <w:spacing w:before="0" w:beforeAutospacing="0" w:after="0" w:afterAutospacing="0" w:line="360" w:lineRule="auto"/>
              <w:ind w:left="0" w:right="0" w:firstLine="480"/>
              <w:rPr>
                <w:rFonts w:hint="default" w:ascii="Times New Roman" w:hAnsi="Times New Roman" w:eastAsia="宋体" w:cs="Times New Roman"/>
                <w:bCs/>
                <w:color w:val="auto"/>
                <w:kern w:val="2"/>
                <w:sz w:val="24"/>
                <w:szCs w:val="24"/>
                <w:highlight w:val="none"/>
                <w:lang w:val="en-US" w:eastAsia="zh-CN"/>
              </w:rPr>
            </w:pPr>
            <w:r>
              <w:rPr>
                <w:rFonts w:hint="eastAsia"/>
                <w:color w:val="auto"/>
                <w:highlight w:val="none"/>
                <w:lang w:eastAsia="zh-CN"/>
              </w:rPr>
              <w:t>（</w:t>
            </w:r>
            <w:r>
              <w:rPr>
                <w:rFonts w:hint="eastAsia"/>
                <w:color w:val="auto"/>
                <w:highlight w:val="none"/>
                <w:lang w:val="en-US" w:eastAsia="zh-CN"/>
              </w:rPr>
              <w:t>1）</w:t>
            </w:r>
            <w:r>
              <w:rPr>
                <w:rFonts w:hint="default" w:ascii="Times New Roman" w:hAnsi="Times New Roman" w:eastAsia="宋体" w:cs="Times New Roman"/>
                <w:bCs/>
                <w:color w:val="auto"/>
                <w:kern w:val="2"/>
                <w:sz w:val="24"/>
                <w:szCs w:val="24"/>
                <w:highlight w:val="none"/>
                <w:lang w:val="en-US" w:eastAsia="zh-CN"/>
              </w:rPr>
              <w:t>用地性质符合性</w:t>
            </w:r>
          </w:p>
          <w:p w14:paraId="6FA9479A">
            <w:pPr>
              <w:bidi w:val="0"/>
              <w:rPr>
                <w:rFonts w:hint="eastAsia"/>
                <w:color w:val="auto"/>
                <w:highlight w:val="none"/>
                <w:lang w:eastAsia="zh-CN"/>
              </w:rPr>
            </w:pPr>
            <w:r>
              <w:rPr>
                <w:rFonts w:hint="eastAsia"/>
                <w:color w:val="auto"/>
                <w:highlight w:val="none"/>
                <w:lang w:eastAsia="zh-CN"/>
              </w:rPr>
              <w:t>对照《限制用地项目目录</w:t>
            </w:r>
            <w:r>
              <w:rPr>
                <w:rFonts w:hint="default"/>
                <w:color w:val="auto"/>
                <w:highlight w:val="none"/>
                <w:lang w:eastAsia="zh-CN"/>
              </w:rPr>
              <w:t>（2012</w:t>
            </w:r>
            <w:r>
              <w:rPr>
                <w:rFonts w:hint="eastAsia"/>
                <w:color w:val="auto"/>
                <w:highlight w:val="none"/>
                <w:lang w:eastAsia="zh-CN"/>
              </w:rPr>
              <w:t>年本</w:t>
            </w:r>
            <w:r>
              <w:rPr>
                <w:rFonts w:hint="default"/>
                <w:color w:val="auto"/>
                <w:highlight w:val="none"/>
                <w:lang w:eastAsia="zh-CN"/>
              </w:rPr>
              <w:t>）</w:t>
            </w:r>
            <w:r>
              <w:rPr>
                <w:rFonts w:hint="eastAsia"/>
                <w:color w:val="auto"/>
                <w:highlight w:val="none"/>
                <w:lang w:eastAsia="zh-CN"/>
              </w:rPr>
              <w:t>》和《禁止用地项目目录（2012年本）》，项目不属于其规定的限制用地和禁止用地范畴，符合土地政策要求。</w:t>
            </w:r>
            <w:r>
              <w:rPr>
                <w:rFonts w:hint="eastAsia"/>
                <w:color w:val="auto"/>
                <w:highlight w:val="none"/>
                <w:lang w:val="en-US" w:eastAsia="zh-CN"/>
              </w:rPr>
              <w:t>本</w:t>
            </w:r>
            <w:r>
              <w:rPr>
                <w:rFonts w:hint="eastAsia"/>
                <w:color w:val="auto"/>
                <w:highlight w:val="none"/>
                <w:lang w:eastAsia="zh-CN"/>
              </w:rPr>
              <w:t>项目位于安徽省</w:t>
            </w:r>
            <w:r>
              <w:rPr>
                <w:rFonts w:hint="eastAsia"/>
                <w:color w:val="auto"/>
                <w:highlight w:val="none"/>
                <w:lang w:val="en-US" w:eastAsia="zh-CN"/>
              </w:rPr>
              <w:t>青阳经济开发区东河园内</w:t>
            </w:r>
            <w:r>
              <w:rPr>
                <w:rFonts w:hint="eastAsia"/>
                <w:color w:val="auto"/>
                <w:highlight w:val="none"/>
                <w:lang w:eastAsia="zh-CN"/>
              </w:rPr>
              <w:t>，</w:t>
            </w:r>
            <w:r>
              <w:rPr>
                <w:rFonts w:hint="default" w:ascii="Times New Roman" w:hAnsi="Times New Roman" w:eastAsia="宋体" w:cs="Times New Roman"/>
                <w:color w:val="auto"/>
                <w:highlight w:val="none"/>
                <w:lang w:val="en-US" w:eastAsia="zh-CN"/>
              </w:rPr>
              <w:t>根据</w:t>
            </w:r>
            <w:r>
              <w:rPr>
                <w:rFonts w:hint="eastAsia" w:cs="Times New Roman"/>
                <w:color w:val="auto"/>
                <w:highlight w:val="none"/>
                <w:lang w:val="en-US" w:eastAsia="zh-CN"/>
              </w:rPr>
              <w:t>《</w:t>
            </w:r>
            <w:r>
              <w:rPr>
                <w:rFonts w:hint="default" w:ascii="Times New Roman" w:hAnsi="Times New Roman" w:eastAsia="宋体" w:cs="Times New Roman"/>
                <w:color w:val="auto"/>
                <w:highlight w:val="none"/>
                <w:lang w:val="en-US" w:eastAsia="zh-CN"/>
              </w:rPr>
              <w:t>安徽青阳经济开发区总体发展规划（2021</w:t>
            </w:r>
            <w:r>
              <w:rPr>
                <w:rFonts w:hint="eastAsia" w:cs="Times New Roman"/>
                <w:color w:val="auto"/>
                <w:highlight w:val="none"/>
                <w:lang w:val="en-US" w:eastAsia="zh-CN"/>
              </w:rPr>
              <w:t>—</w:t>
            </w:r>
            <w:r>
              <w:rPr>
                <w:rFonts w:hint="default" w:ascii="Times New Roman" w:hAnsi="Times New Roman" w:eastAsia="宋体" w:cs="Times New Roman"/>
                <w:color w:val="auto"/>
                <w:highlight w:val="none"/>
                <w:lang w:val="en-US" w:eastAsia="zh-CN"/>
              </w:rPr>
              <w:t>2030年</w:t>
            </w:r>
            <w:r>
              <w:rPr>
                <w:rFonts w:hint="eastAsia" w:cs="Times New Roman"/>
                <w:color w:val="auto"/>
                <w:highlight w:val="none"/>
                <w:lang w:val="en-US" w:eastAsia="zh-CN"/>
              </w:rPr>
              <w:t>）》</w:t>
            </w:r>
            <w:r>
              <w:rPr>
                <w:rFonts w:hint="default" w:ascii="Times New Roman" w:hAnsi="Times New Roman" w:eastAsia="宋体" w:cs="Times New Roman"/>
                <w:color w:val="auto"/>
                <w:highlight w:val="none"/>
                <w:lang w:val="en-US" w:eastAsia="zh-CN"/>
              </w:rPr>
              <w:t>可知，</w:t>
            </w:r>
            <w:r>
              <w:rPr>
                <w:rFonts w:hint="eastAsia" w:ascii="Times New Roman" w:hAnsi="Times New Roman" w:eastAsia="宋体" w:cs="Times New Roman"/>
                <w:color w:val="auto"/>
                <w:highlight w:val="none"/>
                <w:lang w:val="en-US" w:eastAsia="zh-CN"/>
              </w:rPr>
              <w:t>项目</w:t>
            </w:r>
            <w:r>
              <w:rPr>
                <w:rFonts w:hint="eastAsia"/>
                <w:color w:val="auto"/>
                <w:highlight w:val="none"/>
                <w:lang w:eastAsia="zh-CN"/>
              </w:rPr>
              <w:t>用地性质为</w:t>
            </w:r>
            <w:r>
              <w:rPr>
                <w:rFonts w:hint="eastAsia"/>
                <w:color w:val="auto"/>
                <w:highlight w:val="none"/>
                <w:lang w:val="en-US" w:eastAsia="zh-CN"/>
              </w:rPr>
              <w:t>规划的工业用地。</w:t>
            </w:r>
          </w:p>
          <w:p w14:paraId="60FA8A60">
            <w:pPr>
              <w:keepNext w:val="0"/>
              <w:keepLines w:val="0"/>
              <w:pageBreakBefore w:val="0"/>
              <w:widowControl w:val="0"/>
              <w:kinsoku/>
              <w:wordWrap/>
              <w:overflowPunct/>
              <w:topLinePunct w:val="0"/>
              <w:autoSpaceDE/>
              <w:autoSpaceDN/>
              <w:bidi w:val="0"/>
              <w:spacing w:line="360" w:lineRule="auto"/>
              <w:ind w:left="0" w:leftChars="0" w:firstLine="480" w:firstLineChars="0"/>
              <w:textAlignment w:val="auto"/>
              <w:rPr>
                <w:rFonts w:hint="eastAsia"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（2）周边环境相容性分析</w:t>
            </w:r>
          </w:p>
          <w:p w14:paraId="103B87EF">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本项目位于</w:t>
            </w:r>
            <w:r>
              <w:rPr>
                <w:rFonts w:hint="eastAsia"/>
                <w:color w:val="auto"/>
                <w:highlight w:val="none"/>
                <w:lang w:eastAsia="zh-CN"/>
              </w:rPr>
              <w:t>安徽省</w:t>
            </w:r>
            <w:r>
              <w:rPr>
                <w:rFonts w:hint="eastAsia"/>
                <w:color w:val="auto"/>
                <w:highlight w:val="none"/>
                <w:lang w:val="en-US" w:eastAsia="zh-CN"/>
              </w:rPr>
              <w:t>青阳县经济开发区东河园区</w:t>
            </w:r>
            <w:r>
              <w:rPr>
                <w:rFonts w:hint="eastAsia" w:cs="Times New Roman"/>
                <w:color w:val="auto"/>
                <w:sz w:val="24"/>
                <w:szCs w:val="24"/>
                <w:highlight w:val="none"/>
                <w:lang w:val="en-US" w:eastAsia="zh-CN"/>
              </w:rPr>
              <w:t>，用地</w:t>
            </w:r>
            <w:r>
              <w:rPr>
                <w:rFonts w:hint="eastAsia" w:ascii="Times New Roman" w:hAnsi="Times New Roman" w:eastAsia="宋体" w:cs="Times New Roman"/>
                <w:color w:val="auto"/>
                <w:sz w:val="24"/>
                <w:szCs w:val="24"/>
                <w:highlight w:val="none"/>
                <w:lang w:val="en-US" w:eastAsia="zh-CN"/>
              </w:rPr>
              <w:t>为工业用地</w:t>
            </w:r>
            <w:r>
              <w:rPr>
                <w:rFonts w:hint="default" w:ascii="Times New Roman" w:hAnsi="Times New Roman" w:eastAsia="宋体" w:cs="Times New Roman"/>
                <w:bCs/>
                <w:color w:val="auto"/>
                <w:kern w:val="2"/>
                <w:sz w:val="24"/>
                <w:szCs w:val="24"/>
                <w:highlight w:val="none"/>
              </w:rPr>
              <w:t>，</w:t>
            </w:r>
            <w:r>
              <w:rPr>
                <w:rFonts w:hint="eastAsia" w:ascii="Times New Roman" w:hAnsi="Times New Roman" w:eastAsia="宋体" w:cs="Times New Roman"/>
                <w:bCs/>
                <w:color w:val="auto"/>
                <w:kern w:val="2"/>
                <w:sz w:val="24"/>
                <w:szCs w:val="24"/>
                <w:highlight w:val="none"/>
                <w:lang w:val="en-US" w:eastAsia="zh-CN"/>
              </w:rPr>
              <w:t>项目</w:t>
            </w:r>
            <w:r>
              <w:rPr>
                <w:rFonts w:hint="eastAsia" w:ascii="Times New Roman" w:hAnsi="Times New Roman" w:eastAsia="宋体" w:cs="Times New Roman"/>
                <w:color w:val="auto"/>
                <w:sz w:val="24"/>
                <w:szCs w:val="24"/>
                <w:highlight w:val="none"/>
                <w:lang w:val="en-US" w:eastAsia="zh-CN"/>
              </w:rPr>
              <w:t>厂区西南侧为池州苏美新能源有限责任公司，西北侧为安徽合金科技有限公司，东侧隔杨田路为安徽海挺环境科技股份有限公司，北侧隔杨田路为光明村，</w:t>
            </w:r>
            <w:r>
              <w:rPr>
                <w:rFonts w:hint="eastAsia" w:cs="Times New Roman"/>
                <w:color w:val="auto"/>
                <w:sz w:val="24"/>
                <w:szCs w:val="24"/>
                <w:highlight w:val="none"/>
                <w:lang w:val="en-US" w:eastAsia="zh-CN"/>
              </w:rPr>
              <w:t>项目周边环境概况图见附图2。</w:t>
            </w:r>
          </w:p>
          <w:p w14:paraId="6720BE0E">
            <w:pPr>
              <w:keepNext w:val="0"/>
              <w:keepLines w:val="0"/>
              <w:widowControl w:val="0"/>
              <w:suppressLineNumbers w:val="0"/>
              <w:spacing w:before="0" w:beforeAutospacing="0" w:after="0" w:afterAutospacing="0" w:line="360" w:lineRule="auto"/>
              <w:ind w:left="0" w:right="0" w:firstLine="480"/>
              <w:rPr>
                <w:rFonts w:hint="default" w:ascii="Times New Roman" w:hAnsi="Times New Roman" w:eastAsia="宋体" w:cs="Times New Roman"/>
                <w:bCs/>
                <w:color w:val="auto"/>
                <w:kern w:val="2"/>
                <w:sz w:val="24"/>
                <w:szCs w:val="24"/>
                <w:highlight w:val="none"/>
                <w:lang w:eastAsia="zh-CN"/>
              </w:rPr>
            </w:pPr>
            <w:r>
              <w:rPr>
                <w:rFonts w:hint="default" w:ascii="Times New Roman" w:hAnsi="Times New Roman" w:eastAsia="宋体" w:cs="Times New Roman"/>
                <w:color w:val="auto"/>
                <w:sz w:val="24"/>
                <w:szCs w:val="24"/>
                <w:highlight w:val="none"/>
                <w:lang w:val="en-US" w:eastAsia="zh-CN"/>
              </w:rPr>
              <w:t>经</w:t>
            </w:r>
            <w:r>
              <w:rPr>
                <w:rFonts w:hint="eastAsia" w:ascii="Times New Roman" w:hAnsi="Times New Roman" w:eastAsia="宋体" w:cs="Times New Roman"/>
                <w:color w:val="auto"/>
                <w:sz w:val="24"/>
                <w:szCs w:val="24"/>
                <w:highlight w:val="none"/>
                <w:lang w:val="en-US" w:eastAsia="zh-CN"/>
              </w:rPr>
              <w:t>现场踏勘</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项目</w:t>
            </w:r>
            <w:r>
              <w:rPr>
                <w:rFonts w:hint="default" w:ascii="Times New Roman" w:hAnsi="Times New Roman" w:eastAsia="宋体" w:cs="Times New Roman"/>
                <w:color w:val="auto"/>
                <w:sz w:val="24"/>
                <w:szCs w:val="24"/>
                <w:highlight w:val="none"/>
                <w:lang w:val="en-US" w:eastAsia="zh-CN"/>
              </w:rPr>
              <w:t>500米范围内</w:t>
            </w:r>
            <w:r>
              <w:rPr>
                <w:rFonts w:hint="eastAsia" w:cs="Times New Roman"/>
                <w:color w:val="auto"/>
                <w:sz w:val="24"/>
                <w:szCs w:val="24"/>
                <w:highlight w:val="none"/>
                <w:lang w:val="en-US" w:eastAsia="zh-CN"/>
              </w:rPr>
              <w:t>存在1处大气环境</w:t>
            </w:r>
            <w:r>
              <w:rPr>
                <w:rFonts w:hint="default" w:ascii="Times New Roman" w:hAnsi="Times New Roman" w:eastAsia="宋体" w:cs="Times New Roman"/>
                <w:color w:val="auto"/>
                <w:sz w:val="24"/>
                <w:szCs w:val="24"/>
                <w:highlight w:val="none"/>
                <w:lang w:val="en-US" w:eastAsia="zh-CN"/>
              </w:rPr>
              <w:t>敏感点，</w:t>
            </w:r>
            <w:r>
              <w:rPr>
                <w:rFonts w:hint="default" w:ascii="Times New Roman" w:hAnsi="Times New Roman" w:eastAsia="宋体" w:cs="Times New Roman"/>
                <w:bCs/>
                <w:color w:val="auto"/>
                <w:kern w:val="2"/>
                <w:sz w:val="24"/>
                <w:szCs w:val="24"/>
                <w:highlight w:val="none"/>
                <w:lang w:eastAsia="zh-CN"/>
              </w:rPr>
              <w:t>本项目评价区域内无需特殊保护的濒危动植物，无国家级、省级和市级重点文物保护单位</w:t>
            </w:r>
            <w:r>
              <w:rPr>
                <w:rFonts w:hint="eastAsia" w:ascii="Times New Roman" w:hAnsi="Times New Roman" w:eastAsia="宋体" w:cs="Times New Roman"/>
                <w:bCs/>
                <w:color w:val="auto"/>
                <w:kern w:val="2"/>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无风景名胜区、饮用水源地等敏感环境保护目标</w:t>
            </w:r>
            <w:r>
              <w:rPr>
                <w:rFonts w:hint="default" w:ascii="Times New Roman" w:hAnsi="Times New Roman" w:eastAsia="宋体" w:cs="Times New Roman"/>
                <w:bCs/>
                <w:color w:val="auto"/>
                <w:kern w:val="2"/>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本项目各项污染物经治理后对环境造成的影响较小</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bCs/>
                <w:color w:val="auto"/>
                <w:kern w:val="2"/>
                <w:sz w:val="24"/>
                <w:szCs w:val="24"/>
                <w:highlight w:val="none"/>
                <w:lang w:eastAsia="zh-CN"/>
              </w:rPr>
              <w:t>因此本项目建设与周边环境相容</w:t>
            </w:r>
            <w:r>
              <w:rPr>
                <w:rFonts w:hint="eastAsia" w:ascii="Times New Roman" w:hAnsi="Times New Roman" w:eastAsia="宋体" w:cs="Times New Roman"/>
                <w:bCs/>
                <w:color w:val="auto"/>
                <w:kern w:val="2"/>
                <w:sz w:val="24"/>
                <w:szCs w:val="24"/>
                <w:highlight w:val="none"/>
                <w:lang w:eastAsia="zh-CN"/>
              </w:rPr>
              <w:t>。</w:t>
            </w:r>
            <w:r>
              <w:rPr>
                <w:rFonts w:hint="eastAsia" w:ascii="Times New Roman" w:hAnsi="Times New Roman" w:eastAsia="宋体" w:cs="Times New Roman"/>
                <w:snapToGrid/>
                <w:color w:val="auto"/>
                <w:kern w:val="2"/>
                <w:sz w:val="24"/>
                <w:szCs w:val="24"/>
                <w:highlight w:val="none"/>
                <w:lang w:val="en-US" w:eastAsia="zh-CN"/>
              </w:rPr>
              <w:t>项目环境保护目标分布图</w:t>
            </w:r>
            <w:r>
              <w:rPr>
                <w:rFonts w:hint="eastAsia" w:ascii="Times New Roman" w:hAnsi="Times New Roman" w:eastAsia="宋体" w:cs="Times New Roman"/>
                <w:color w:val="auto"/>
                <w:sz w:val="24"/>
                <w:szCs w:val="24"/>
                <w:highlight w:val="none"/>
                <w:lang w:val="en-US" w:eastAsia="zh-CN"/>
              </w:rPr>
              <w:t>见附图</w:t>
            </w:r>
            <w:r>
              <w:rPr>
                <w:rFonts w:hint="eastAsia"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val="en-US" w:eastAsia="zh-CN"/>
              </w:rPr>
              <w:t>。</w:t>
            </w:r>
          </w:p>
          <w:p w14:paraId="4664AFC2">
            <w:pPr>
              <w:keepNext w:val="0"/>
              <w:keepLines w:val="0"/>
              <w:widowControl/>
              <w:numPr>
                <w:ilvl w:val="0"/>
                <w:numId w:val="0"/>
              </w:numPr>
              <w:suppressLineNumbers w:val="0"/>
              <w:spacing w:before="0" w:beforeAutospacing="0" w:after="0" w:afterAutospacing="0" w:line="360" w:lineRule="auto"/>
              <w:ind w:left="0" w:right="0" w:firstLine="480"/>
              <w:rPr>
                <w:rFonts w:hint="default" w:ascii="Times New Roman" w:hAnsi="Times New Roman" w:eastAsia="宋体" w:cs="Times New Roman"/>
                <w:bCs/>
                <w:color w:val="auto"/>
                <w:kern w:val="2"/>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bCs/>
                <w:color w:val="auto"/>
                <w:kern w:val="2"/>
                <w:sz w:val="24"/>
                <w:szCs w:val="24"/>
                <w:highlight w:val="none"/>
                <w:lang w:val="en-US" w:eastAsia="zh-CN"/>
              </w:rPr>
              <w:t>外部建设条件可行性</w:t>
            </w:r>
          </w:p>
          <w:p w14:paraId="47E1AA26">
            <w:pPr>
              <w:keepNext w:val="0"/>
              <w:keepLines w:val="0"/>
              <w:widowControl w:val="0"/>
              <w:numPr>
                <w:ilvl w:val="0"/>
                <w:numId w:val="0"/>
              </w:numPr>
              <w:suppressLineNumbers w:val="0"/>
              <w:spacing w:before="0" w:beforeAutospacing="0" w:after="0" w:afterAutospacing="0" w:line="360" w:lineRule="auto"/>
              <w:ind w:right="0" w:rightChars="0" w:firstLine="480" w:firstLineChars="200"/>
              <w:rPr>
                <w:rFonts w:hint="default" w:ascii="Times New Roman" w:hAnsi="Times New Roman" w:eastAsia="宋体" w:cs="Times New Roman"/>
                <w:bCs/>
                <w:color w:val="auto"/>
                <w:kern w:val="2"/>
                <w:sz w:val="24"/>
                <w:szCs w:val="24"/>
                <w:highlight w:val="none"/>
                <w:lang w:val="en-US" w:eastAsia="zh-CN"/>
              </w:rPr>
            </w:pPr>
            <w:r>
              <w:rPr>
                <w:rFonts w:hint="eastAsia" w:ascii="Times New Roman" w:hAnsi="Times New Roman" w:eastAsia="宋体" w:cs="Times New Roman"/>
                <w:bCs/>
                <w:color w:val="auto"/>
                <w:kern w:val="2"/>
                <w:sz w:val="24"/>
                <w:szCs w:val="24"/>
                <w:highlight w:val="none"/>
                <w:lang w:val="en-US" w:eastAsia="zh-CN"/>
              </w:rPr>
              <w:t>项目</w:t>
            </w:r>
            <w:r>
              <w:rPr>
                <w:rFonts w:hint="default" w:ascii="Times New Roman" w:hAnsi="Times New Roman" w:eastAsia="宋体" w:cs="Times New Roman"/>
                <w:bCs/>
                <w:color w:val="auto"/>
                <w:kern w:val="2"/>
                <w:sz w:val="24"/>
                <w:szCs w:val="24"/>
                <w:highlight w:val="none"/>
                <w:lang w:val="en-US" w:eastAsia="zh-CN"/>
              </w:rPr>
              <w:t>位于</w:t>
            </w:r>
            <w:r>
              <w:rPr>
                <w:rFonts w:hint="eastAsia"/>
                <w:color w:val="auto"/>
                <w:highlight w:val="none"/>
                <w:lang w:eastAsia="zh-CN"/>
              </w:rPr>
              <w:t>安徽省池州市</w:t>
            </w:r>
            <w:r>
              <w:rPr>
                <w:rFonts w:hint="eastAsia" w:ascii="Times New Roman" w:hAnsi="Times New Roman" w:eastAsia="宋体" w:cs="Times New Roman"/>
                <w:color w:val="auto"/>
                <w:sz w:val="24"/>
                <w:szCs w:val="24"/>
                <w:highlight w:val="none"/>
                <w:lang w:val="en-US" w:eastAsia="zh-CN"/>
              </w:rPr>
              <w:t>青阳县</w:t>
            </w:r>
            <w:r>
              <w:rPr>
                <w:rFonts w:hint="eastAsia" w:cs="Times New Roman"/>
                <w:color w:val="auto"/>
                <w:sz w:val="24"/>
                <w:szCs w:val="24"/>
                <w:highlight w:val="none"/>
                <w:lang w:val="en-US" w:eastAsia="zh-CN"/>
              </w:rPr>
              <w:t>经济开发区东河园</w:t>
            </w:r>
            <w:r>
              <w:rPr>
                <w:rFonts w:hint="default" w:ascii="Times New Roman" w:hAnsi="Times New Roman" w:eastAsia="宋体" w:cs="Times New Roman"/>
                <w:bCs/>
                <w:color w:val="auto"/>
                <w:kern w:val="2"/>
                <w:sz w:val="24"/>
                <w:szCs w:val="24"/>
                <w:highlight w:val="none"/>
                <w:lang w:val="en-US" w:eastAsia="zh-CN"/>
              </w:rPr>
              <w:t>，所在地理位置条件较好，交通便利，区域水、电、通讯等基础配套设施齐全，因此项目外部建设具有可行性。</w:t>
            </w:r>
          </w:p>
          <w:p w14:paraId="3FCD7FCD">
            <w:pPr>
              <w:keepNext w:val="0"/>
              <w:keepLines w:val="0"/>
              <w:widowControl w:val="0"/>
              <w:numPr>
                <w:ilvl w:val="0"/>
                <w:numId w:val="0"/>
              </w:numPr>
              <w:suppressLineNumbers w:val="0"/>
              <w:spacing w:before="0" w:beforeAutospacing="0" w:after="0" w:afterAutospacing="0" w:line="360" w:lineRule="auto"/>
              <w:ind w:right="0" w:rightChars="0" w:firstLine="480" w:firstLineChars="200"/>
              <w:rPr>
                <w:rFonts w:hint="default" w:ascii="Times New Roman" w:hAnsi="Times New Roman" w:eastAsia="宋体" w:cs="Times New Roman"/>
                <w:bCs/>
                <w:color w:val="auto"/>
                <w:kern w:val="2"/>
                <w:sz w:val="24"/>
                <w:szCs w:val="24"/>
                <w:highlight w:val="none"/>
                <w:lang w:val="en-US" w:eastAsia="zh-CN"/>
              </w:rPr>
            </w:pPr>
            <w:r>
              <w:rPr>
                <w:rFonts w:hint="default" w:ascii="Times New Roman" w:hAnsi="Times New Roman" w:eastAsia="宋体" w:cs="Times New Roman"/>
                <w:bCs/>
                <w:color w:val="auto"/>
                <w:kern w:val="2"/>
                <w:sz w:val="24"/>
                <w:szCs w:val="24"/>
                <w:highlight w:val="none"/>
                <w:lang w:val="en-US" w:eastAsia="zh-CN"/>
              </w:rPr>
              <w:t>综上，从项目用地性质、周边环境相容性、外部建设条件等方面综合分析，项目选址是可行的。</w:t>
            </w:r>
          </w:p>
          <w:p w14:paraId="294A65EA">
            <w:pPr>
              <w:spacing w:line="360" w:lineRule="auto"/>
              <w:ind w:firstLine="482" w:firstLineChars="200"/>
              <w:rPr>
                <w:b/>
                <w:bCs/>
                <w:color w:val="auto"/>
                <w:sz w:val="24"/>
                <w:highlight w:val="none"/>
              </w:rPr>
            </w:pPr>
            <w:r>
              <w:rPr>
                <w:rFonts w:hint="eastAsia"/>
                <w:b/>
                <w:bCs/>
                <w:color w:val="auto"/>
                <w:sz w:val="24"/>
                <w:highlight w:val="none"/>
                <w:lang w:val="en-US" w:eastAsia="zh-CN"/>
              </w:rPr>
              <w:t>3</w:t>
            </w:r>
            <w:r>
              <w:rPr>
                <w:rFonts w:hint="eastAsia"/>
                <w:b/>
                <w:bCs/>
                <w:color w:val="auto"/>
                <w:sz w:val="24"/>
                <w:highlight w:val="none"/>
              </w:rPr>
              <w:t>、与安徽省“三线一单”生态环境分区管控符合性分析</w:t>
            </w:r>
          </w:p>
          <w:p w14:paraId="5161DF38">
            <w:pPr>
              <w:spacing w:line="360" w:lineRule="auto"/>
              <w:ind w:firstLine="480" w:firstLineChars="200"/>
              <w:rPr>
                <w:rFonts w:hint="default" w:ascii="Times New Roman" w:hAnsi="Times New Roman" w:eastAsia="宋体" w:cs="Times New Roman"/>
                <w:b w:val="0"/>
                <w:bCs w:val="0"/>
                <w:color w:val="auto"/>
                <w:szCs w:val="24"/>
                <w:highlight w:val="none"/>
                <w:lang w:val="en-US" w:eastAsia="zh-CN"/>
              </w:rPr>
            </w:pPr>
            <w:r>
              <w:rPr>
                <w:color w:val="auto"/>
                <w:sz w:val="24"/>
                <w:highlight w:val="none"/>
              </w:rPr>
              <w:t>根据</w:t>
            </w:r>
            <w:r>
              <w:rPr>
                <w:rFonts w:hint="eastAsia"/>
                <w:color w:val="auto"/>
                <w:sz w:val="24"/>
                <w:highlight w:val="none"/>
              </w:rPr>
              <w:t>查询安徽省“三线一单”公众服务平台</w:t>
            </w:r>
            <w:r>
              <w:rPr>
                <w:color w:val="auto"/>
                <w:sz w:val="24"/>
                <w:highlight w:val="none"/>
              </w:rPr>
              <w:t>，将本项目所在位置与“三线一单”研究成果中</w:t>
            </w:r>
            <w:r>
              <w:rPr>
                <w:rFonts w:hint="eastAsia"/>
                <w:color w:val="auto"/>
                <w:sz w:val="24"/>
                <w:highlight w:val="none"/>
              </w:rPr>
              <w:t>环境管控单元</w:t>
            </w:r>
            <w:r>
              <w:rPr>
                <w:color w:val="auto"/>
                <w:sz w:val="24"/>
                <w:highlight w:val="none"/>
              </w:rPr>
              <w:t>叠加对比分析</w:t>
            </w:r>
            <w:r>
              <w:rPr>
                <w:rFonts w:hint="eastAsia"/>
                <w:color w:val="auto"/>
                <w:sz w:val="24"/>
                <w:highlight w:val="none"/>
              </w:rPr>
              <w:t>，本项目与1个环境管控单元存在交叠，其中优先保护类0个，重点管控类1个，一般管控类0个。与本项目有关的管控要求及交叠情况</w:t>
            </w:r>
            <w:r>
              <w:rPr>
                <w:rFonts w:hint="eastAsia"/>
                <w:color w:val="auto"/>
                <w:sz w:val="24"/>
                <w:highlight w:val="none"/>
                <w:lang w:eastAsia="zh-CN"/>
              </w:rPr>
              <w:t>如</w:t>
            </w:r>
            <w:r>
              <w:rPr>
                <w:rFonts w:hint="eastAsia"/>
                <w:color w:val="auto"/>
                <w:sz w:val="24"/>
                <w:highlight w:val="none"/>
              </w:rPr>
              <w:t>下</w:t>
            </w:r>
            <w:r>
              <w:rPr>
                <w:rFonts w:hint="eastAsia"/>
                <w:color w:val="auto"/>
                <w:sz w:val="24"/>
                <w:highlight w:val="none"/>
                <w:lang w:eastAsia="zh-CN"/>
              </w:rPr>
              <w:t>。</w:t>
            </w:r>
            <w:r>
              <w:rPr>
                <w:rFonts w:hint="eastAsia" w:ascii="Times New Roman" w:hAnsi="Times New Roman" w:eastAsia="宋体" w:cs="Times New Roman"/>
                <w:b w:val="0"/>
                <w:bCs w:val="0"/>
                <w:color w:val="auto"/>
                <w:szCs w:val="24"/>
                <w:highlight w:val="none"/>
              </w:rPr>
              <w:t>本项目在</w:t>
            </w:r>
            <w:r>
              <w:rPr>
                <w:rFonts w:hint="eastAsia"/>
                <w:color w:val="auto"/>
                <w:sz w:val="24"/>
                <w:highlight w:val="none"/>
              </w:rPr>
              <w:t>安徽省“三线一单”公众服务平台</w:t>
            </w:r>
            <w:r>
              <w:rPr>
                <w:rFonts w:hint="eastAsia" w:ascii="Times New Roman" w:hAnsi="Times New Roman" w:eastAsia="宋体" w:cs="Times New Roman"/>
                <w:b w:val="0"/>
                <w:bCs w:val="0"/>
                <w:color w:val="auto"/>
                <w:szCs w:val="24"/>
                <w:highlight w:val="none"/>
              </w:rPr>
              <w:t>管控单元的位置</w:t>
            </w:r>
            <w:r>
              <w:rPr>
                <w:rFonts w:hint="eastAsia" w:ascii="Times New Roman" w:hAnsi="Times New Roman" w:eastAsia="宋体" w:cs="Times New Roman"/>
                <w:b w:val="0"/>
                <w:bCs w:val="0"/>
                <w:color w:val="auto"/>
                <w:szCs w:val="24"/>
                <w:highlight w:val="none"/>
                <w:lang w:val="en-US" w:eastAsia="zh-CN"/>
              </w:rPr>
              <w:t>图</w:t>
            </w:r>
            <w:r>
              <w:rPr>
                <w:rFonts w:hint="eastAsia" w:cs="Times New Roman"/>
                <w:b w:val="0"/>
                <w:bCs w:val="0"/>
                <w:color w:val="auto"/>
                <w:szCs w:val="24"/>
                <w:highlight w:val="none"/>
                <w:lang w:val="en-US" w:eastAsia="zh-CN"/>
              </w:rPr>
              <w:t>如下</w:t>
            </w:r>
            <w:r>
              <w:rPr>
                <w:rFonts w:hint="eastAsia" w:ascii="Times New Roman" w:hAnsi="Times New Roman" w:eastAsia="宋体" w:cs="Times New Roman"/>
                <w:b w:val="0"/>
                <w:bCs w:val="0"/>
                <w:color w:val="auto"/>
                <w:szCs w:val="24"/>
                <w:highlight w:val="none"/>
                <w:lang w:val="en-US" w:eastAsia="zh-CN"/>
              </w:rPr>
              <w:t>。</w:t>
            </w:r>
          </w:p>
          <w:p w14:paraId="7753C9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val="0"/>
                <w:color w:val="auto"/>
                <w:szCs w:val="24"/>
                <w:highlight w:val="none"/>
                <w:lang w:val="en-US" w:eastAsia="zh-CN"/>
              </w:rPr>
            </w:pPr>
            <w:r>
              <w:drawing>
                <wp:inline distT="0" distB="0" distL="114300" distR="114300">
                  <wp:extent cx="4751070" cy="2369185"/>
                  <wp:effectExtent l="0" t="0" r="11430" b="571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3"/>
                          <a:stretch>
                            <a:fillRect/>
                          </a:stretch>
                        </pic:blipFill>
                        <pic:spPr>
                          <a:xfrm>
                            <a:off x="0" y="0"/>
                            <a:ext cx="4751070" cy="2369185"/>
                          </a:xfrm>
                          <a:prstGeom prst="rect">
                            <a:avLst/>
                          </a:prstGeom>
                          <a:noFill/>
                          <a:ln>
                            <a:noFill/>
                          </a:ln>
                        </pic:spPr>
                      </pic:pic>
                    </a:graphicData>
                  </a:graphic>
                </wp:inline>
              </w:drawing>
            </w:r>
          </w:p>
          <w:p w14:paraId="0B98F2E8">
            <w:pPr>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图1-1 安徽省“三线一单”公共服务平台对照图</w:t>
            </w:r>
          </w:p>
          <w:p w14:paraId="5D6AF363">
            <w:pPr>
              <w:adjustRightInd/>
              <w:snapToGrid/>
              <w:spacing w:line="240" w:lineRule="auto"/>
              <w:ind w:firstLine="0" w:firstLineChars="0"/>
              <w:jc w:val="center"/>
              <w:rPr>
                <w:b/>
                <w:color w:val="auto"/>
                <w:szCs w:val="21"/>
                <w:highlight w:val="none"/>
              </w:rPr>
            </w:pPr>
            <w:r>
              <w:rPr>
                <w:rFonts w:hint="eastAsia" w:ascii="Times New Roman" w:hAnsi="Times New Roman" w:eastAsia="宋体" w:cs="Times New Roman"/>
                <w:b/>
                <w:bCs/>
                <w:color w:val="auto"/>
                <w:sz w:val="21"/>
                <w:szCs w:val="21"/>
                <w:highlight w:val="none"/>
              </w:rPr>
              <w:t>表1-</w:t>
            </w:r>
            <w:r>
              <w:rPr>
                <w:rFonts w:hint="eastAsia" w:cs="Times New Roman"/>
                <w:b/>
                <w:bCs/>
                <w:color w:val="auto"/>
                <w:sz w:val="21"/>
                <w:szCs w:val="21"/>
                <w:highlight w:val="none"/>
                <w:lang w:val="en-US" w:eastAsia="zh-CN"/>
              </w:rPr>
              <w:t>5</w:t>
            </w:r>
            <w:r>
              <w:rPr>
                <w:rFonts w:hint="eastAsia" w:ascii="Times New Roman" w:hAnsi="Times New Roman" w:eastAsia="宋体" w:cs="Times New Roman"/>
                <w:b/>
                <w:bCs/>
                <w:color w:val="auto"/>
                <w:sz w:val="21"/>
                <w:szCs w:val="21"/>
                <w:highlight w:val="none"/>
              </w:rPr>
              <w:t xml:space="preserve"> 环境管控单元情况表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1"/>
              <w:gridCol w:w="1953"/>
              <w:gridCol w:w="1965"/>
              <w:gridCol w:w="1564"/>
            </w:tblGrid>
            <w:tr w14:paraId="2A56F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32" w:type="pct"/>
                  <w:noWrap w:val="0"/>
                  <w:vAlign w:val="center"/>
                </w:tcPr>
                <w:p w14:paraId="6E513242">
                  <w:pPr>
                    <w:pStyle w:val="10"/>
                    <w:ind w:firstLine="0" w:firstLineChars="0"/>
                    <w:rPr>
                      <w:rFonts w:hint="eastAsia"/>
                      <w:b/>
                      <w:bCs/>
                      <w:color w:val="auto"/>
                      <w:highlight w:val="none"/>
                    </w:rPr>
                  </w:pPr>
                  <w:r>
                    <w:rPr>
                      <w:rFonts w:hint="eastAsia"/>
                      <w:b/>
                      <w:bCs/>
                      <w:color w:val="auto"/>
                      <w:highlight w:val="none"/>
                    </w:rPr>
                    <w:t>环境管控单元编码</w:t>
                  </w:r>
                </w:p>
              </w:tc>
              <w:tc>
                <w:tcPr>
                  <w:tcW w:w="1306" w:type="pct"/>
                  <w:noWrap w:val="0"/>
                  <w:vAlign w:val="center"/>
                </w:tcPr>
                <w:p w14:paraId="5AFF7DC6">
                  <w:pPr>
                    <w:pStyle w:val="10"/>
                    <w:ind w:firstLine="0" w:firstLineChars="0"/>
                    <w:rPr>
                      <w:rFonts w:hint="eastAsia"/>
                      <w:b/>
                      <w:bCs/>
                      <w:color w:val="auto"/>
                      <w:highlight w:val="none"/>
                    </w:rPr>
                  </w:pPr>
                  <w:r>
                    <w:rPr>
                      <w:rFonts w:hint="eastAsia"/>
                      <w:b/>
                      <w:bCs/>
                      <w:color w:val="auto"/>
                      <w:highlight w:val="none"/>
                    </w:rPr>
                    <w:t>环境管控单元</w:t>
                  </w:r>
                  <w:r>
                    <w:rPr>
                      <w:rFonts w:hint="eastAsia"/>
                      <w:b/>
                      <w:bCs/>
                      <w:color w:val="auto"/>
                      <w:highlight w:val="none"/>
                      <w:lang w:val="en-US" w:eastAsia="zh-CN"/>
                    </w:rPr>
                    <w:t>名称</w:t>
                  </w:r>
                </w:p>
              </w:tc>
              <w:tc>
                <w:tcPr>
                  <w:tcW w:w="1314" w:type="pct"/>
                  <w:noWrap w:val="0"/>
                  <w:vAlign w:val="center"/>
                </w:tcPr>
                <w:p w14:paraId="06E12EB5">
                  <w:pPr>
                    <w:pStyle w:val="10"/>
                    <w:ind w:right="0" w:rightChars="0" w:firstLine="0" w:firstLineChars="0"/>
                    <w:rPr>
                      <w:rFonts w:hint="eastAsia"/>
                      <w:b/>
                      <w:bCs/>
                      <w:color w:val="auto"/>
                      <w:highlight w:val="none"/>
                    </w:rPr>
                  </w:pPr>
                  <w:r>
                    <w:rPr>
                      <w:rFonts w:hint="eastAsia"/>
                      <w:b/>
                      <w:bCs/>
                      <w:color w:val="auto"/>
                      <w:highlight w:val="none"/>
                    </w:rPr>
                    <w:t>环境管控单元分类</w:t>
                  </w:r>
                </w:p>
              </w:tc>
              <w:tc>
                <w:tcPr>
                  <w:tcW w:w="1046" w:type="pct"/>
                  <w:noWrap w:val="0"/>
                  <w:vAlign w:val="center"/>
                </w:tcPr>
                <w:p w14:paraId="0A392AA7">
                  <w:pPr>
                    <w:pStyle w:val="10"/>
                    <w:ind w:firstLine="0" w:firstLineChars="0"/>
                    <w:rPr>
                      <w:rFonts w:hint="eastAsia"/>
                      <w:b/>
                      <w:bCs/>
                      <w:color w:val="auto"/>
                      <w:highlight w:val="none"/>
                    </w:rPr>
                  </w:pPr>
                  <w:r>
                    <w:rPr>
                      <w:rFonts w:hint="eastAsia"/>
                      <w:b/>
                      <w:bCs/>
                      <w:color w:val="auto"/>
                      <w:highlight w:val="none"/>
                    </w:rPr>
                    <w:t>区域管控要求</w:t>
                  </w:r>
                </w:p>
              </w:tc>
            </w:tr>
            <w:tr w14:paraId="55DF0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32" w:type="pct"/>
                  <w:noWrap w:val="0"/>
                  <w:vAlign w:val="center"/>
                </w:tcPr>
                <w:p w14:paraId="37059843">
                  <w:pPr>
                    <w:pStyle w:val="10"/>
                    <w:ind w:firstLine="0" w:firstLineChars="0"/>
                    <w:rPr>
                      <w:rFonts w:hint="default" w:ascii="Times New Roman" w:hAnsi="Times New Roman" w:eastAsia="宋体" w:cs="Times New Roman"/>
                      <w:color w:val="auto"/>
                      <w:szCs w:val="21"/>
                      <w:highlight w:val="none"/>
                    </w:rPr>
                  </w:pPr>
                  <w:r>
                    <w:rPr>
                      <w:rFonts w:ascii="Times New Roman" w:hAnsi="Times New Roman" w:eastAsia="宋体" w:cs="Times New Roman"/>
                      <w:color w:val="auto"/>
                      <w:kern w:val="0"/>
                      <w:sz w:val="21"/>
                      <w:szCs w:val="21"/>
                      <w:highlight w:val="none"/>
                      <w:lang w:val="en-US" w:eastAsia="zh-CN" w:bidi="ar"/>
                    </w:rPr>
                    <w:t>ZH34172320007</w:t>
                  </w:r>
                </w:p>
              </w:tc>
              <w:tc>
                <w:tcPr>
                  <w:tcW w:w="1306" w:type="pct"/>
                  <w:noWrap w:val="0"/>
                  <w:vAlign w:val="center"/>
                </w:tcPr>
                <w:p w14:paraId="3DF941F3">
                  <w:pPr>
                    <w:pStyle w:val="10"/>
                    <w:ind w:firstLine="0" w:firstLineChars="0"/>
                    <w:rPr>
                      <w:rFonts w:hint="eastAsia"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重点管控单元</w:t>
                  </w:r>
                  <w:r>
                    <w:rPr>
                      <w:rFonts w:hint="eastAsia" w:ascii="Times New Roman" w:hAnsi="Times New Roman" w:eastAsia="宋体" w:cs="Times New Roman"/>
                      <w:color w:val="auto"/>
                      <w:szCs w:val="21"/>
                      <w:highlight w:val="none"/>
                      <w:lang w:val="en-US" w:eastAsia="zh-CN"/>
                    </w:rPr>
                    <w:t>7</w:t>
                  </w:r>
                </w:p>
              </w:tc>
              <w:tc>
                <w:tcPr>
                  <w:tcW w:w="1314" w:type="pct"/>
                  <w:noWrap w:val="0"/>
                  <w:vAlign w:val="center"/>
                </w:tcPr>
                <w:p w14:paraId="2AF74E91">
                  <w:pPr>
                    <w:pStyle w:val="10"/>
                    <w:ind w:right="0" w:rightChars="0" w:firstLine="0" w:firstLineChars="0"/>
                    <w:rPr>
                      <w:rFonts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重点管控单元</w:t>
                  </w:r>
                </w:p>
              </w:tc>
              <w:tc>
                <w:tcPr>
                  <w:tcW w:w="1046" w:type="pct"/>
                  <w:noWrap w:val="0"/>
                  <w:vAlign w:val="center"/>
                </w:tcPr>
                <w:p w14:paraId="3C688391">
                  <w:pPr>
                    <w:pStyle w:val="10"/>
                    <w:ind w:firstLine="0" w:firstLineChars="0"/>
                    <w:rPr>
                      <w:rFonts w:hint="eastAsia" w:ascii="Times New Roman" w:hAnsi="Times New Roman" w:eastAsia="宋体" w:cs="Times New Roman"/>
                      <w:color w:val="auto"/>
                      <w:szCs w:val="21"/>
                      <w:highlight w:val="none"/>
                      <w:lang w:eastAsia="zh-CN"/>
                    </w:rPr>
                  </w:pPr>
                  <w:r>
                    <w:rPr>
                      <w:rFonts w:hint="eastAsia" w:ascii="Times New Roman" w:hAnsi="Times New Roman" w:eastAsia="宋体" w:cs="Times New Roman"/>
                      <w:color w:val="auto"/>
                      <w:szCs w:val="21"/>
                      <w:highlight w:val="none"/>
                      <w:lang w:val="en-US" w:eastAsia="zh-CN"/>
                    </w:rPr>
                    <w:t>无</w:t>
                  </w:r>
                </w:p>
              </w:tc>
            </w:tr>
          </w:tbl>
          <w:p w14:paraId="3C23C763">
            <w:pPr>
              <w:adjustRightInd/>
              <w:snapToGrid/>
              <w:ind w:firstLine="0" w:firstLineChars="0"/>
              <w:jc w:val="center"/>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表1-</w:t>
            </w:r>
            <w:r>
              <w:rPr>
                <w:rFonts w:hint="eastAsia" w:cs="Times New Roman"/>
                <w:b/>
                <w:bCs/>
                <w:color w:val="auto"/>
                <w:sz w:val="21"/>
                <w:szCs w:val="21"/>
                <w:highlight w:val="none"/>
                <w:lang w:val="en-US" w:eastAsia="zh-CN"/>
              </w:rPr>
              <w:t>6</w:t>
            </w:r>
            <w:r>
              <w:rPr>
                <w:rFonts w:hint="eastAsia" w:ascii="Times New Roman" w:hAnsi="Times New Roman" w:eastAsia="宋体" w:cs="Times New Roman"/>
                <w:b/>
                <w:bCs/>
                <w:color w:val="auto"/>
                <w:sz w:val="21"/>
                <w:szCs w:val="21"/>
                <w:highlight w:val="none"/>
              </w:rPr>
              <w:t xml:space="preserve"> 环境管控单元符合性分析（摘录）</w:t>
            </w:r>
          </w:p>
          <w:tbl>
            <w:tblPr>
              <w:tblStyle w:val="28"/>
              <w:tblW w:w="7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0"/>
              <w:gridCol w:w="3191"/>
              <w:gridCol w:w="2972"/>
              <w:gridCol w:w="850"/>
            </w:tblGrid>
            <w:tr w14:paraId="0BF7F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 w:type="pct"/>
                  <w:noWrap w:val="0"/>
                  <w:vAlign w:val="center"/>
                </w:tcPr>
                <w:p w14:paraId="6E7B71A8">
                  <w:pPr>
                    <w:pStyle w:val="10"/>
                    <w:ind w:firstLine="0" w:firstLineChars="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管控类别</w:t>
                  </w:r>
                </w:p>
              </w:tc>
              <w:tc>
                <w:tcPr>
                  <w:tcW w:w="2120" w:type="pct"/>
                  <w:noWrap w:val="0"/>
                  <w:vAlign w:val="center"/>
                </w:tcPr>
                <w:p w14:paraId="4C895A21">
                  <w:pPr>
                    <w:pStyle w:val="10"/>
                    <w:ind w:firstLine="0" w:firstLineChars="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管控要求</w:t>
                  </w:r>
                </w:p>
              </w:tc>
              <w:tc>
                <w:tcPr>
                  <w:tcW w:w="1975" w:type="pct"/>
                  <w:noWrap w:val="0"/>
                  <w:vAlign w:val="center"/>
                </w:tcPr>
                <w:p w14:paraId="5A586889">
                  <w:pPr>
                    <w:pStyle w:val="10"/>
                    <w:ind w:firstLine="0" w:firstLineChars="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符合性分析</w:t>
                  </w:r>
                </w:p>
              </w:tc>
              <w:tc>
                <w:tcPr>
                  <w:tcW w:w="564" w:type="pct"/>
                  <w:noWrap w:val="0"/>
                  <w:vAlign w:val="center"/>
                </w:tcPr>
                <w:p w14:paraId="28D6EDDF">
                  <w:pPr>
                    <w:pStyle w:val="10"/>
                    <w:ind w:firstLine="0" w:firstLineChars="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符合性</w:t>
                  </w:r>
                </w:p>
              </w:tc>
            </w:tr>
            <w:tr w14:paraId="7A367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 w:type="pct"/>
                  <w:noWrap w:val="0"/>
                  <w:vAlign w:val="center"/>
                </w:tcPr>
                <w:p w14:paraId="082BC39D">
                  <w:pPr>
                    <w:pStyle w:val="10"/>
                    <w:ind w:right="0" w:rightChars="0" w:firstLine="0" w:firstLineChars="0"/>
                    <w:rPr>
                      <w:rFonts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空间布局约束</w:t>
                  </w:r>
                </w:p>
              </w:tc>
              <w:tc>
                <w:tcPr>
                  <w:tcW w:w="2120" w:type="pct"/>
                  <w:noWrap w:val="0"/>
                  <w:vAlign w:val="center"/>
                </w:tcPr>
                <w:p w14:paraId="568CE4BF">
                  <w:pPr>
                    <w:pStyle w:val="10"/>
                    <w:ind w:right="0" w:rightChars="0" w:firstLine="0" w:firstLineChars="0"/>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1、</w:t>
                  </w:r>
                  <w:r>
                    <w:rPr>
                      <w:rFonts w:ascii="Times New Roman" w:hAnsi="Times New Roman" w:eastAsia="宋体" w:cs="Times New Roman"/>
                      <w:color w:val="auto"/>
                      <w:kern w:val="0"/>
                      <w:sz w:val="21"/>
                      <w:szCs w:val="21"/>
                      <w:highlight w:val="none"/>
                      <w:lang w:val="en-US" w:eastAsia="zh-CN" w:bidi="ar"/>
                    </w:rPr>
                    <w:t>城市建成区排放污水的工业企业应依法持有排污许可证，并严格按证排</w:t>
                  </w:r>
                  <w:r>
                    <w:rPr>
                      <w:rFonts w:hint="default" w:ascii="Times New Roman" w:hAnsi="Times New Roman" w:eastAsia="宋体" w:cs="Times New Roman"/>
                      <w:color w:val="auto"/>
                      <w:kern w:val="0"/>
                      <w:sz w:val="21"/>
                      <w:szCs w:val="21"/>
                      <w:highlight w:val="none"/>
                      <w:lang w:val="en-US" w:eastAsia="zh-CN" w:bidi="ar"/>
                    </w:rPr>
                    <w:t>污。排入城镇水体的工业污水应符合相关行业标准及地方标准要求，严禁任何企业、单位超标和超总量排污，对超标或超总量的排污单位一律限制生产或停产整顿</w:t>
                  </w:r>
                  <w:r>
                    <w:rPr>
                      <w:rFonts w:hint="eastAsia" w:ascii="Times New Roman" w:hAnsi="Times New Roman" w:eastAsia="宋体" w:cs="Times New Roman"/>
                      <w:color w:val="auto"/>
                      <w:kern w:val="0"/>
                      <w:sz w:val="21"/>
                      <w:szCs w:val="21"/>
                      <w:highlight w:val="none"/>
                      <w:lang w:val="en-US" w:eastAsia="zh-CN" w:bidi="ar"/>
                    </w:rPr>
                    <w:t>。</w:t>
                  </w:r>
                </w:p>
                <w:p w14:paraId="2AF7542F">
                  <w:pPr>
                    <w:pStyle w:val="10"/>
                    <w:ind w:right="0" w:rightChars="0" w:firstLine="0" w:firstLineChars="0"/>
                    <w:rPr>
                      <w:rFonts w:ascii="Times New Roman" w:hAnsi="Times New Roman" w:eastAsia="宋体" w:cs="Times New Roman"/>
                      <w:color w:val="auto"/>
                      <w:szCs w:val="21"/>
                      <w:highlight w:val="none"/>
                    </w:rPr>
                  </w:pPr>
                  <w:r>
                    <w:rPr>
                      <w:rFonts w:hint="eastAsia" w:ascii="Times New Roman" w:hAnsi="Times New Roman" w:eastAsia="宋体" w:cs="Times New Roman"/>
                      <w:color w:val="auto"/>
                      <w:kern w:val="0"/>
                      <w:sz w:val="21"/>
                      <w:szCs w:val="21"/>
                      <w:highlight w:val="none"/>
                      <w:lang w:val="en-US" w:eastAsia="zh-CN" w:bidi="ar"/>
                    </w:rPr>
                    <w:t>2、</w:t>
                  </w:r>
                  <w:r>
                    <w:rPr>
                      <w:rFonts w:ascii="Times New Roman" w:hAnsi="Times New Roman" w:eastAsia="宋体" w:cs="Times New Roman"/>
                      <w:color w:val="auto"/>
                      <w:kern w:val="0"/>
                      <w:sz w:val="21"/>
                      <w:szCs w:val="21"/>
                      <w:highlight w:val="none"/>
                      <w:lang w:val="en-US" w:eastAsia="zh-CN" w:bidi="ar"/>
                    </w:rPr>
                    <w:t>严肃执法监督，严格执行排污许可、排水许可制度，严禁生活污水和工</w:t>
                  </w:r>
                  <w:r>
                    <w:rPr>
                      <w:rFonts w:hint="default" w:ascii="Times New Roman" w:hAnsi="Times New Roman" w:eastAsia="宋体" w:cs="Times New Roman"/>
                      <w:color w:val="auto"/>
                      <w:kern w:val="0"/>
                      <w:sz w:val="21"/>
                      <w:szCs w:val="21"/>
                      <w:highlight w:val="none"/>
                      <w:lang w:val="en-US" w:eastAsia="zh-CN" w:bidi="ar"/>
                    </w:rPr>
                    <w:t>业废水直排水体</w:t>
                  </w:r>
                  <w:r>
                    <w:rPr>
                      <w:rFonts w:hint="eastAsia" w:ascii="Times New Roman" w:hAnsi="Times New Roman" w:eastAsia="宋体" w:cs="Times New Roman"/>
                      <w:color w:val="auto"/>
                      <w:kern w:val="0"/>
                      <w:sz w:val="21"/>
                      <w:szCs w:val="21"/>
                      <w:highlight w:val="none"/>
                      <w:lang w:val="en-US" w:eastAsia="zh-CN" w:bidi="ar"/>
                    </w:rPr>
                    <w:t>。</w:t>
                  </w:r>
                </w:p>
              </w:tc>
              <w:tc>
                <w:tcPr>
                  <w:tcW w:w="1975" w:type="pct"/>
                  <w:noWrap w:val="0"/>
                  <w:vAlign w:val="center"/>
                </w:tcPr>
                <w:p w14:paraId="072FA619">
                  <w:pPr>
                    <w:pStyle w:val="10"/>
                    <w:ind w:right="0" w:rightChars="0" w:firstLine="0" w:firstLineChars="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本项目排污许可类别为登记管理，项目实际排污前完成排污登记备案。本项目废水</w:t>
                  </w:r>
                  <w:r>
                    <w:rPr>
                      <w:rFonts w:hint="default"/>
                      <w:color w:val="auto"/>
                      <w:highlight w:val="none"/>
                      <w:lang w:val="en-US" w:eastAsia="zh-CN"/>
                    </w:rPr>
                    <w:t>达</w:t>
                  </w:r>
                  <w:r>
                    <w:rPr>
                      <w:rFonts w:hint="eastAsia"/>
                      <w:color w:val="auto"/>
                      <w:highlight w:val="none"/>
                      <w:lang w:val="en-US" w:eastAsia="zh-CN"/>
                    </w:rPr>
                    <w:t>到青阳县污水处理厂</w:t>
                  </w:r>
                  <w:r>
                    <w:rPr>
                      <w:rFonts w:hint="default"/>
                      <w:color w:val="auto"/>
                      <w:highlight w:val="none"/>
                      <w:lang w:val="en-US" w:eastAsia="zh-CN"/>
                    </w:rPr>
                    <w:t>纳管标准、《污水综合排放标准》（GB8978-1996）表4三级标准后纳入市政污水管网，进入</w:t>
                  </w:r>
                  <w:r>
                    <w:rPr>
                      <w:rFonts w:hint="eastAsia"/>
                      <w:color w:val="auto"/>
                      <w:highlight w:val="none"/>
                      <w:lang w:val="en-US" w:eastAsia="zh-CN"/>
                    </w:rPr>
                    <w:t>青阳县污水处理厂</w:t>
                  </w:r>
                  <w:r>
                    <w:rPr>
                      <w:rFonts w:hint="default"/>
                      <w:color w:val="auto"/>
                      <w:highlight w:val="none"/>
                      <w:lang w:val="en-US"/>
                    </w:rPr>
                    <w:t>集中处理，</w:t>
                  </w:r>
                  <w:r>
                    <w:rPr>
                      <w:rFonts w:hint="eastAsia"/>
                      <w:color w:val="auto"/>
                      <w:highlight w:val="none"/>
                      <w:lang w:val="en-US" w:eastAsia="zh-CN"/>
                    </w:rPr>
                    <w:t>达到《</w:t>
                  </w:r>
                  <w:r>
                    <w:rPr>
                      <w:rFonts w:hint="default"/>
                      <w:color w:val="auto"/>
                      <w:highlight w:val="none"/>
                      <w:lang w:val="en-US"/>
                    </w:rPr>
                    <w:t>城镇污水处理厂污染物排放标准</w:t>
                  </w:r>
                  <w:r>
                    <w:rPr>
                      <w:rFonts w:hint="eastAsia"/>
                      <w:color w:val="auto"/>
                      <w:highlight w:val="none"/>
                      <w:lang w:val="en-US" w:eastAsia="zh-CN"/>
                    </w:rPr>
                    <w:t>》</w:t>
                  </w:r>
                  <w:r>
                    <w:rPr>
                      <w:rFonts w:hint="default"/>
                      <w:color w:val="auto"/>
                      <w:highlight w:val="none"/>
                      <w:lang w:val="en-US"/>
                    </w:rPr>
                    <w:t>（GB18918-2002）一级A标准后尾水排入青通河</w:t>
                  </w:r>
                  <w:r>
                    <w:rPr>
                      <w:rFonts w:hint="eastAsia"/>
                      <w:color w:val="auto"/>
                      <w:highlight w:val="none"/>
                      <w:lang w:val="en-US" w:eastAsia="zh-CN"/>
                    </w:rPr>
                    <w:t>。</w:t>
                  </w:r>
                </w:p>
              </w:tc>
              <w:tc>
                <w:tcPr>
                  <w:tcW w:w="564" w:type="pct"/>
                  <w:noWrap w:val="0"/>
                  <w:vAlign w:val="center"/>
                </w:tcPr>
                <w:p w14:paraId="4F2F4F6C">
                  <w:pPr>
                    <w:pStyle w:val="10"/>
                    <w:ind w:right="0" w:rightChars="0" w:firstLine="0" w:firstLineChars="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符合</w:t>
                  </w:r>
                </w:p>
              </w:tc>
            </w:tr>
            <w:tr w14:paraId="43785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 w:type="pct"/>
                  <w:vMerge w:val="restart"/>
                  <w:noWrap w:val="0"/>
                  <w:vAlign w:val="center"/>
                </w:tcPr>
                <w:p w14:paraId="3F6F3CAA">
                  <w:pPr>
                    <w:pStyle w:val="10"/>
                    <w:ind w:firstLine="0" w:firstLineChars="0"/>
                    <w:rPr>
                      <w:rFonts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污染物排放管控</w:t>
                  </w:r>
                </w:p>
              </w:tc>
              <w:tc>
                <w:tcPr>
                  <w:tcW w:w="2120" w:type="pct"/>
                  <w:noWrap w:val="0"/>
                  <w:vAlign w:val="center"/>
                </w:tcPr>
                <w:p w14:paraId="2E0FAFC5">
                  <w:pPr>
                    <w:pStyle w:val="10"/>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kern w:val="0"/>
                      <w:sz w:val="21"/>
                      <w:szCs w:val="21"/>
                      <w:highlight w:val="none"/>
                      <w:lang w:val="en-US" w:eastAsia="zh-CN" w:bidi="ar"/>
                    </w:rPr>
                    <w:t>所有排污单位必须依法实现全面达标排放。逐一排查工业企业排污情况</w:t>
                  </w:r>
                  <w:r>
                    <w:rPr>
                      <w:rFonts w:hint="default" w:ascii="Times New Roman" w:hAnsi="Times New Roman" w:eastAsia="宋体" w:cs="Times New Roman"/>
                      <w:color w:val="auto"/>
                      <w:kern w:val="0"/>
                      <w:sz w:val="21"/>
                      <w:szCs w:val="21"/>
                      <w:highlight w:val="none"/>
                      <w:lang w:val="en-US" w:eastAsia="zh-CN" w:bidi="ar"/>
                    </w:rPr>
                    <w:t>，达标企业应采取措施确保稳定达标；对超标和超总量的企业予以“黄牌”警示，一律限制生产或停产整治；对整治仍不能达到要求且情节严重的企业予以“红牌”处罚，一律停业、关闭。</w:t>
                  </w:r>
                </w:p>
                <w:p w14:paraId="7F762E50">
                  <w:pPr>
                    <w:pStyle w:val="10"/>
                    <w:ind w:firstLine="0" w:firstLineChars="0"/>
                    <w:rPr>
                      <w:rFonts w:ascii="Times New Roman" w:hAnsi="Times New Roman" w:eastAsia="宋体" w:cs="Times New Roman"/>
                      <w:color w:val="auto"/>
                      <w:szCs w:val="21"/>
                      <w:highlight w:val="none"/>
                    </w:rPr>
                  </w:pPr>
                  <w:r>
                    <w:rPr>
                      <w:rFonts w:ascii="Times New Roman" w:hAnsi="Times New Roman" w:eastAsia="宋体" w:cs="Times New Roman"/>
                      <w:color w:val="auto"/>
                      <w:kern w:val="0"/>
                      <w:sz w:val="21"/>
                      <w:szCs w:val="21"/>
                      <w:highlight w:val="none"/>
                      <w:lang w:val="en-US" w:eastAsia="zh-CN" w:bidi="ar"/>
                    </w:rPr>
                    <w:t>深化工业污染治理，工业污染源全面达标排放，未达标排放的企业一律</w:t>
                  </w:r>
                  <w:r>
                    <w:rPr>
                      <w:rFonts w:hint="default" w:ascii="Times New Roman" w:hAnsi="Times New Roman" w:eastAsia="宋体" w:cs="Times New Roman"/>
                      <w:color w:val="auto"/>
                      <w:kern w:val="0"/>
                      <w:sz w:val="21"/>
                      <w:szCs w:val="21"/>
                      <w:highlight w:val="none"/>
                      <w:lang w:val="en-US" w:eastAsia="zh-CN" w:bidi="ar"/>
                    </w:rPr>
                    <w:t>依法停产整治。</w:t>
                  </w:r>
                </w:p>
              </w:tc>
              <w:tc>
                <w:tcPr>
                  <w:tcW w:w="1975" w:type="pct"/>
                  <w:noWrap w:val="0"/>
                  <w:vAlign w:val="center"/>
                </w:tcPr>
                <w:p w14:paraId="03F13443">
                  <w:pPr>
                    <w:pStyle w:val="10"/>
                    <w:ind w:firstLine="0" w:firstLineChars="0"/>
                    <w:rPr>
                      <w:rFonts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本项目建成后</w:t>
                  </w:r>
                  <w:r>
                    <w:rPr>
                      <w:rFonts w:hint="eastAsia" w:ascii="Times New Roman" w:hAnsi="Times New Roman" w:eastAsia="宋体" w:cs="Times New Roman"/>
                      <w:color w:val="auto"/>
                      <w:szCs w:val="21"/>
                      <w:highlight w:val="none"/>
                      <w:lang w:val="en-US" w:eastAsia="zh-CN"/>
                    </w:rPr>
                    <w:t>严格</w:t>
                  </w:r>
                  <w:r>
                    <w:rPr>
                      <w:rFonts w:hint="default" w:ascii="Times New Roman" w:hAnsi="Times New Roman" w:eastAsia="宋体" w:cs="Times New Roman"/>
                      <w:color w:val="auto"/>
                      <w:szCs w:val="21"/>
                      <w:highlight w:val="none"/>
                    </w:rPr>
                    <w:t>按照污染物排放标准限值和总量要求排放污染物。</w:t>
                  </w:r>
                </w:p>
              </w:tc>
              <w:tc>
                <w:tcPr>
                  <w:tcW w:w="564" w:type="pct"/>
                  <w:noWrap w:val="0"/>
                  <w:vAlign w:val="center"/>
                </w:tcPr>
                <w:p w14:paraId="516D5691">
                  <w:pPr>
                    <w:pStyle w:val="10"/>
                    <w:ind w:firstLine="0" w:firstLineChars="0"/>
                    <w:rPr>
                      <w:rFonts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符合</w:t>
                  </w:r>
                </w:p>
              </w:tc>
            </w:tr>
            <w:tr w14:paraId="299DA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 w:type="pct"/>
                  <w:vMerge w:val="continue"/>
                  <w:noWrap w:val="0"/>
                  <w:vAlign w:val="center"/>
                </w:tcPr>
                <w:p w14:paraId="58835976">
                  <w:pPr>
                    <w:pStyle w:val="10"/>
                    <w:ind w:firstLine="0" w:firstLineChars="0"/>
                    <w:rPr>
                      <w:rFonts w:hint="default" w:ascii="Times New Roman" w:hAnsi="Times New Roman" w:eastAsia="宋体" w:cs="Times New Roman"/>
                      <w:color w:val="auto"/>
                      <w:szCs w:val="21"/>
                      <w:highlight w:val="none"/>
                      <w:lang w:bidi="ar"/>
                    </w:rPr>
                  </w:pPr>
                </w:p>
              </w:tc>
              <w:tc>
                <w:tcPr>
                  <w:tcW w:w="2120" w:type="pct"/>
                  <w:noWrap w:val="0"/>
                  <w:vAlign w:val="center"/>
                </w:tcPr>
                <w:p w14:paraId="6C73AAAF">
                  <w:pPr>
                    <w:pStyle w:val="10"/>
                    <w:ind w:firstLine="0" w:firstLineChars="0"/>
                    <w:rPr>
                      <w:rFonts w:ascii="Times New Roman" w:hAnsi="Times New Roman" w:eastAsia="宋体" w:cs="Times New Roman"/>
                      <w:color w:val="auto"/>
                      <w:szCs w:val="21"/>
                      <w:highlight w:val="none"/>
                      <w:lang w:bidi="ar"/>
                    </w:rPr>
                  </w:pPr>
                  <w:r>
                    <w:rPr>
                      <w:rFonts w:ascii="Times New Roman" w:hAnsi="Times New Roman" w:eastAsia="宋体" w:cs="Times New Roman"/>
                      <w:color w:val="auto"/>
                      <w:kern w:val="0"/>
                      <w:sz w:val="21"/>
                      <w:szCs w:val="21"/>
                      <w:highlight w:val="none"/>
                      <w:lang w:val="en-US" w:eastAsia="zh-CN" w:bidi="ar"/>
                    </w:rPr>
                    <w:t>建筑工程施工现场扬尘污染防治应做到工地周边围挡、物料堆放覆盖、</w:t>
                  </w:r>
                  <w:r>
                    <w:rPr>
                      <w:rFonts w:hint="default" w:ascii="Times New Roman" w:hAnsi="Times New Roman" w:eastAsia="宋体" w:cs="Times New Roman"/>
                      <w:color w:val="auto"/>
                      <w:kern w:val="0"/>
                      <w:sz w:val="21"/>
                      <w:szCs w:val="21"/>
                      <w:highlight w:val="none"/>
                      <w:lang w:val="en-US" w:eastAsia="zh-CN" w:bidi="ar"/>
                    </w:rPr>
                    <w:t>路面硬化、土方开挖湿法作业、出入车辆清洗、渣土车辆密闭运输“六个百分之百”。具体要求执行《建筑工程施工和预拌混凝土生产扬尘污染防治标准》（试行）</w:t>
                  </w:r>
                  <w:r>
                    <w:rPr>
                      <w:rFonts w:hint="eastAsia" w:ascii="Times New Roman" w:hAnsi="Times New Roman" w:eastAsia="宋体" w:cs="Times New Roman"/>
                      <w:color w:val="auto"/>
                      <w:kern w:val="0"/>
                      <w:sz w:val="21"/>
                      <w:szCs w:val="21"/>
                      <w:highlight w:val="none"/>
                      <w:lang w:val="en-US" w:eastAsia="zh-CN" w:bidi="ar"/>
                    </w:rPr>
                    <w:t>。</w:t>
                  </w:r>
                </w:p>
              </w:tc>
              <w:tc>
                <w:tcPr>
                  <w:tcW w:w="1975" w:type="pct"/>
                  <w:noWrap w:val="0"/>
                  <w:vAlign w:val="center"/>
                </w:tcPr>
                <w:p w14:paraId="567EE868">
                  <w:pPr>
                    <w:pStyle w:val="10"/>
                    <w:ind w:firstLine="0" w:firstLineChars="0"/>
                    <w:rPr>
                      <w:rFonts w:hint="default" w:ascii="Times New Roman" w:hAnsi="Times New Roman" w:eastAsia="宋体" w:cs="Times New Roman"/>
                      <w:color w:val="auto"/>
                      <w:szCs w:val="21"/>
                      <w:highlight w:val="none"/>
                      <w:lang w:val="en-US" w:bidi="ar"/>
                    </w:rPr>
                  </w:pPr>
                  <w:r>
                    <w:rPr>
                      <w:rFonts w:hint="eastAsia" w:ascii="Times New Roman" w:hAnsi="Times New Roman" w:eastAsia="宋体" w:cs="Times New Roman"/>
                      <w:color w:val="auto"/>
                      <w:szCs w:val="21"/>
                      <w:highlight w:val="none"/>
                      <w:lang w:val="en-US" w:eastAsia="zh-CN" w:bidi="ar"/>
                    </w:rPr>
                    <w:t>本项目</w:t>
                  </w:r>
                  <w:r>
                    <w:rPr>
                      <w:rFonts w:hint="eastAsia" w:cs="Times New Roman"/>
                      <w:color w:val="auto"/>
                      <w:szCs w:val="21"/>
                      <w:highlight w:val="none"/>
                      <w:lang w:val="en-US" w:eastAsia="zh-CN" w:bidi="ar"/>
                    </w:rPr>
                    <w:t>租赁现有厂房，施工期仅涉及设备安装调试等，不涉及土建工程。</w:t>
                  </w:r>
                </w:p>
              </w:tc>
              <w:tc>
                <w:tcPr>
                  <w:tcW w:w="564" w:type="pct"/>
                  <w:noWrap w:val="0"/>
                  <w:vAlign w:val="center"/>
                </w:tcPr>
                <w:p w14:paraId="1585EF17">
                  <w:pPr>
                    <w:pStyle w:val="10"/>
                    <w:ind w:firstLine="0" w:firstLineChars="0"/>
                    <w:rPr>
                      <w:rFonts w:hint="default"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rPr>
                    <w:t>符合</w:t>
                  </w:r>
                </w:p>
              </w:tc>
            </w:tr>
            <w:tr w14:paraId="3923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 w:type="pct"/>
                  <w:noWrap w:val="0"/>
                  <w:vAlign w:val="center"/>
                </w:tcPr>
                <w:p w14:paraId="3804D5DC">
                  <w:pPr>
                    <w:pStyle w:val="10"/>
                    <w:ind w:firstLine="0" w:firstLineChars="0"/>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资源开发效率要求</w:t>
                  </w:r>
                </w:p>
              </w:tc>
              <w:tc>
                <w:tcPr>
                  <w:tcW w:w="2120" w:type="pct"/>
                  <w:noWrap w:val="0"/>
                  <w:vAlign w:val="center"/>
                </w:tcPr>
                <w:p w14:paraId="24E091DB">
                  <w:pPr>
                    <w:pStyle w:val="10"/>
                    <w:numPr>
                      <w:ilvl w:val="0"/>
                      <w:numId w:val="1"/>
                    </w:numPr>
                    <w:ind w:firstLine="0" w:firstLineChars="0"/>
                    <w:jc w:val="center"/>
                    <w:rPr>
                      <w:rFonts w:ascii="Times New Roman" w:hAnsi="Times New Roman" w:eastAsia="宋体" w:cs="Times New Roman"/>
                      <w:i w:val="0"/>
                      <w:iCs w:val="0"/>
                      <w:caps w:val="0"/>
                      <w:color w:val="auto"/>
                      <w:spacing w:val="0"/>
                      <w:sz w:val="21"/>
                      <w:szCs w:val="21"/>
                      <w:highlight w:val="none"/>
                      <w:shd w:val="clear" w:color="auto" w:fill="auto"/>
                      <w:lang w:bidi="ar"/>
                    </w:rPr>
                  </w:pPr>
                  <w:r>
                    <w:rPr>
                      <w:rFonts w:ascii="Times New Roman" w:hAnsi="Times New Roman" w:eastAsia="宋体" w:cs="Times New Roman"/>
                      <w:i w:val="0"/>
                      <w:iCs w:val="0"/>
                      <w:caps w:val="0"/>
                      <w:color w:val="auto"/>
                      <w:spacing w:val="0"/>
                      <w:sz w:val="21"/>
                      <w:szCs w:val="21"/>
                      <w:highlight w:val="none"/>
                      <w:shd w:val="clear" w:color="auto" w:fill="auto"/>
                      <w:lang w:bidi="ar"/>
                    </w:rPr>
                    <w:t>禁燃区内禁止使用散煤等高污染燃料，逐步实现无煤化。</w:t>
                  </w:r>
                </w:p>
                <w:p w14:paraId="13483444">
                  <w:pPr>
                    <w:pStyle w:val="10"/>
                    <w:numPr>
                      <w:ilvl w:val="0"/>
                      <w:numId w:val="0"/>
                    </w:numPr>
                    <w:ind w:firstLine="0" w:firstLineChars="0"/>
                    <w:jc w:val="center"/>
                    <w:rPr>
                      <w:rFonts w:ascii="Times New Roman" w:hAnsi="Times New Roman" w:eastAsia="宋体" w:cs="Times New Roman"/>
                      <w:color w:val="auto"/>
                      <w:szCs w:val="21"/>
                      <w:highlight w:val="none"/>
                      <w:lang w:bidi="ar"/>
                    </w:rPr>
                  </w:pPr>
                  <w:r>
                    <w:rPr>
                      <w:rFonts w:ascii="Times New Roman" w:hAnsi="Times New Roman" w:eastAsia="宋体" w:cs="Times New Roman"/>
                      <w:i w:val="0"/>
                      <w:iCs w:val="0"/>
                      <w:caps w:val="0"/>
                      <w:color w:val="auto"/>
                      <w:spacing w:val="0"/>
                      <w:sz w:val="21"/>
                      <w:szCs w:val="21"/>
                      <w:highlight w:val="none"/>
                      <w:shd w:val="clear" w:color="auto" w:fill="auto"/>
                      <w:lang w:bidi="ar"/>
                    </w:rPr>
                    <w:t>2</w:t>
                  </w:r>
                  <w:r>
                    <w:rPr>
                      <w:rFonts w:hint="eastAsia" w:ascii="Times New Roman" w:hAnsi="Times New Roman" w:eastAsia="宋体" w:cs="Times New Roman"/>
                      <w:i w:val="0"/>
                      <w:iCs w:val="0"/>
                      <w:caps w:val="0"/>
                      <w:color w:val="auto"/>
                      <w:spacing w:val="0"/>
                      <w:sz w:val="21"/>
                      <w:szCs w:val="21"/>
                      <w:highlight w:val="none"/>
                      <w:shd w:val="clear" w:color="auto" w:fill="auto"/>
                      <w:lang w:eastAsia="zh-CN" w:bidi="ar"/>
                    </w:rPr>
                    <w:t>、</w:t>
                  </w:r>
                  <w:r>
                    <w:rPr>
                      <w:rFonts w:ascii="Times New Roman" w:hAnsi="Times New Roman" w:eastAsia="宋体" w:cs="Times New Roman"/>
                      <w:i w:val="0"/>
                      <w:iCs w:val="0"/>
                      <w:caps w:val="0"/>
                      <w:color w:val="auto"/>
                      <w:spacing w:val="0"/>
                      <w:sz w:val="21"/>
                      <w:szCs w:val="21"/>
                      <w:highlight w:val="none"/>
                      <w:shd w:val="clear" w:color="auto" w:fill="auto"/>
                      <w:lang w:bidi="ar"/>
                    </w:rPr>
                    <w:t>在禁燃区内的企业事业单位和其他生产经营者，应当在规定的期限内停止使用高污染燃料，改用天然气、液化石油气、电能或者其他清洁能源。</w:t>
                  </w:r>
                </w:p>
              </w:tc>
              <w:tc>
                <w:tcPr>
                  <w:tcW w:w="1975" w:type="pct"/>
                  <w:noWrap w:val="0"/>
                  <w:vAlign w:val="center"/>
                </w:tcPr>
                <w:p w14:paraId="6AE04937">
                  <w:pPr>
                    <w:pStyle w:val="10"/>
                    <w:ind w:firstLine="0" w:firstLineChars="0"/>
                    <w:rPr>
                      <w:rFonts w:ascii="Times New Roman" w:hAnsi="Times New Roman" w:eastAsia="宋体" w:cs="Times New Roman"/>
                      <w:color w:val="auto"/>
                      <w:szCs w:val="21"/>
                      <w:highlight w:val="none"/>
                      <w:lang w:bidi="ar"/>
                    </w:rPr>
                  </w:pPr>
                  <w:r>
                    <w:rPr>
                      <w:rFonts w:hint="eastAsia" w:ascii="Times New Roman" w:hAnsi="Times New Roman" w:eastAsia="宋体" w:cs="Times New Roman"/>
                      <w:i w:val="0"/>
                      <w:iCs w:val="0"/>
                      <w:caps w:val="0"/>
                      <w:color w:val="auto"/>
                      <w:spacing w:val="0"/>
                      <w:sz w:val="21"/>
                      <w:szCs w:val="21"/>
                      <w:highlight w:val="none"/>
                      <w:shd w:val="clear" w:color="auto" w:fill="auto"/>
                      <w:lang w:val="en-US" w:eastAsia="zh-CN" w:bidi="ar"/>
                    </w:rPr>
                    <w:t>本项目</w:t>
                  </w:r>
                  <w:r>
                    <w:rPr>
                      <w:rFonts w:hint="eastAsia" w:cs="Times New Roman"/>
                      <w:i w:val="0"/>
                      <w:iCs w:val="0"/>
                      <w:caps w:val="0"/>
                      <w:color w:val="auto"/>
                      <w:spacing w:val="0"/>
                      <w:sz w:val="21"/>
                      <w:szCs w:val="21"/>
                      <w:highlight w:val="none"/>
                      <w:shd w:val="clear" w:color="auto" w:fill="auto"/>
                      <w:lang w:val="en-US" w:eastAsia="zh-CN" w:bidi="ar"/>
                    </w:rPr>
                    <w:t>能源为电能</w:t>
                  </w:r>
                  <w:r>
                    <w:rPr>
                      <w:rFonts w:hint="eastAsia" w:ascii="Times New Roman" w:hAnsi="Times New Roman" w:eastAsia="宋体" w:cs="Times New Roman"/>
                      <w:i w:val="0"/>
                      <w:iCs w:val="0"/>
                      <w:caps w:val="0"/>
                      <w:color w:val="auto"/>
                      <w:spacing w:val="0"/>
                      <w:sz w:val="21"/>
                      <w:szCs w:val="21"/>
                      <w:highlight w:val="none"/>
                      <w:shd w:val="clear" w:color="auto" w:fill="auto"/>
                      <w:lang w:val="en-US" w:eastAsia="zh-CN" w:bidi="ar"/>
                    </w:rPr>
                    <w:t>，不使用高污染燃料。</w:t>
                  </w:r>
                </w:p>
              </w:tc>
              <w:tc>
                <w:tcPr>
                  <w:tcW w:w="564" w:type="pct"/>
                  <w:noWrap w:val="0"/>
                  <w:vAlign w:val="center"/>
                </w:tcPr>
                <w:p w14:paraId="7CDFCAD7">
                  <w:pPr>
                    <w:pStyle w:val="10"/>
                    <w:ind w:firstLine="0" w:firstLineChars="0"/>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符合</w:t>
                  </w:r>
                </w:p>
              </w:tc>
            </w:tr>
          </w:tbl>
          <w:p w14:paraId="1207922C">
            <w:pPr>
              <w:adjustRightInd w:val="0"/>
              <w:snapToGrid w:val="0"/>
              <w:spacing w:line="360" w:lineRule="auto"/>
              <w:ind w:left="0" w:leftChars="0" w:firstLine="482" w:firstLineChars="200"/>
              <w:jc w:val="left"/>
              <w:rPr>
                <w:rFonts w:hint="default" w:ascii="Times New Roman" w:hAnsi="Times New Roman" w:eastAsia="宋体" w:cs="Times New Roman"/>
                <w:color w:val="auto"/>
                <w:sz w:val="24"/>
                <w:szCs w:val="24"/>
                <w:highlight w:val="none"/>
                <w:lang w:eastAsia="zh-CN"/>
              </w:rPr>
            </w:pPr>
            <w:r>
              <w:rPr>
                <w:rFonts w:hint="eastAsia" w:ascii="Times New Roman" w:hAnsi="Times New Roman" w:cs="Times New Roman"/>
                <w:b/>
                <w:bCs/>
                <w:color w:val="auto"/>
                <w:sz w:val="24"/>
                <w:szCs w:val="24"/>
                <w:highlight w:val="none"/>
                <w:lang w:val="en-US" w:eastAsia="zh-CN"/>
              </w:rPr>
              <w:t>4、</w:t>
            </w:r>
            <w:r>
              <w:rPr>
                <w:rFonts w:hint="default" w:ascii="Times New Roman" w:hAnsi="Times New Roman" w:cs="Times New Roman"/>
                <w:b/>
                <w:bCs/>
                <w:color w:val="auto"/>
                <w:sz w:val="24"/>
                <w:szCs w:val="24"/>
                <w:highlight w:val="none"/>
                <w:lang w:val="en-US" w:eastAsia="zh-CN"/>
              </w:rPr>
              <w:t>与池州市生态环境分区管控要求相符性</w:t>
            </w:r>
            <w:r>
              <w:rPr>
                <w:rFonts w:hint="default" w:ascii="Times New Roman" w:hAnsi="Times New Roman" w:eastAsia="宋体" w:cs="Times New Roman"/>
                <w:b/>
                <w:bCs/>
                <w:color w:val="auto"/>
                <w:sz w:val="24"/>
                <w:szCs w:val="24"/>
                <w:highlight w:val="none"/>
                <w:lang w:val="en-US" w:eastAsia="zh-CN"/>
              </w:rPr>
              <w:t>分析</w:t>
            </w:r>
          </w:p>
          <w:p w14:paraId="63E80D5D">
            <w:pPr>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根据对比《</w:t>
            </w:r>
            <w:r>
              <w:rPr>
                <w:rFonts w:hint="default" w:ascii="Times New Roman" w:hAnsi="Times New Roman" w:cs="Times New Roman"/>
                <w:color w:val="auto"/>
                <w:sz w:val="24"/>
                <w:szCs w:val="24"/>
                <w:highlight w:val="none"/>
              </w:rPr>
              <w:t>池州市生态环境分区管控成果编制文本</w:t>
            </w:r>
            <w:r>
              <w:rPr>
                <w:rFonts w:hint="default" w:ascii="Times New Roman" w:hAnsi="Times New Roman" w:eastAsia="宋体" w:cs="Times New Roman"/>
                <w:color w:val="auto"/>
                <w:sz w:val="24"/>
                <w:szCs w:val="24"/>
                <w:highlight w:val="none"/>
              </w:rPr>
              <w:t>》中“池州市</w:t>
            </w:r>
            <w:r>
              <w:rPr>
                <w:rFonts w:hint="default" w:ascii="Times New Roman" w:hAnsi="Times New Roman" w:eastAsia="宋体" w:cs="Times New Roman"/>
                <w:color w:val="auto"/>
                <w:sz w:val="24"/>
                <w:szCs w:val="24"/>
                <w:highlight w:val="none"/>
                <w:lang w:val="en-US" w:eastAsia="zh-CN"/>
              </w:rPr>
              <w:t>环境管控单元分类</w:t>
            </w:r>
            <w:r>
              <w:rPr>
                <w:rFonts w:hint="default" w:ascii="Times New Roman" w:hAnsi="Times New Roman" w:eastAsia="宋体" w:cs="Times New Roman"/>
                <w:color w:val="auto"/>
                <w:sz w:val="24"/>
                <w:szCs w:val="24"/>
                <w:highlight w:val="none"/>
              </w:rPr>
              <w:t>图”</w:t>
            </w:r>
            <w:r>
              <w:rPr>
                <w:rFonts w:hint="default" w:ascii="Times New Roman" w:hAnsi="Times New Roman" w:eastAsia="宋体" w:cs="Times New Roman"/>
                <w:color w:val="auto"/>
                <w:sz w:val="24"/>
                <w:szCs w:val="24"/>
                <w:highlight w:val="none"/>
                <w:lang w:val="en-US" w:eastAsia="zh-CN"/>
              </w:rPr>
              <w:t>，项目所在区域为</w:t>
            </w:r>
            <w:r>
              <w:rPr>
                <w:rFonts w:hint="default" w:ascii="Times New Roman" w:hAnsi="Times New Roman" w:eastAsia="宋体" w:cs="Times New Roman"/>
                <w:b/>
                <w:bCs/>
                <w:color w:val="auto"/>
                <w:sz w:val="24"/>
                <w:szCs w:val="24"/>
                <w:highlight w:val="none"/>
                <w:lang w:val="en-US" w:eastAsia="zh-CN"/>
              </w:rPr>
              <w:t>重点管控单元</w:t>
            </w:r>
            <w:r>
              <w:rPr>
                <w:rFonts w:hint="default" w:ascii="Times New Roman" w:hAnsi="Times New Roman" w:eastAsia="宋体" w:cs="Times New Roman"/>
                <w:color w:val="auto"/>
                <w:sz w:val="24"/>
                <w:szCs w:val="24"/>
                <w:highlight w:val="none"/>
                <w:lang w:val="en-US" w:eastAsia="zh-CN"/>
              </w:rPr>
              <w:t>。通过分析，</w:t>
            </w:r>
            <w:r>
              <w:rPr>
                <w:rFonts w:hint="eastAsia" w:ascii="Times New Roman" w:hAnsi="Times New Roman" w:cs="Times New Roman"/>
                <w:color w:val="auto"/>
                <w:sz w:val="24"/>
                <w:szCs w:val="24"/>
                <w:highlight w:val="none"/>
                <w:lang w:val="en-US" w:eastAsia="zh-CN"/>
              </w:rPr>
              <w:t>本项目</w:t>
            </w:r>
            <w:r>
              <w:rPr>
                <w:rFonts w:hint="default" w:ascii="Times New Roman" w:hAnsi="Times New Roman" w:eastAsia="宋体" w:cs="Times New Roman"/>
                <w:color w:val="auto"/>
                <w:sz w:val="24"/>
                <w:szCs w:val="24"/>
                <w:highlight w:val="none"/>
                <w:lang w:val="en-US" w:eastAsia="zh-CN"/>
              </w:rPr>
              <w:t>的建设符合</w:t>
            </w:r>
            <w:r>
              <w:rPr>
                <w:rFonts w:hint="default" w:ascii="Times New Roman" w:hAnsi="Times New Roman" w:cs="Times New Roman"/>
                <w:color w:val="auto"/>
                <w:sz w:val="24"/>
                <w:szCs w:val="24"/>
                <w:highlight w:val="none"/>
                <w:lang w:val="en-US" w:eastAsia="zh-CN"/>
              </w:rPr>
              <w:t>该单元</w:t>
            </w:r>
            <w:r>
              <w:rPr>
                <w:rFonts w:hint="default" w:ascii="Times New Roman" w:hAnsi="Times New Roman" w:eastAsia="宋体" w:cs="Times New Roman"/>
                <w:color w:val="auto"/>
                <w:sz w:val="24"/>
                <w:szCs w:val="24"/>
                <w:highlight w:val="none"/>
                <w:lang w:val="en-US" w:eastAsia="zh-CN"/>
              </w:rPr>
              <w:t>管控要求</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本项目</w:t>
            </w:r>
            <w:r>
              <w:rPr>
                <w:rFonts w:hint="default" w:ascii="Times New Roman" w:hAnsi="Times New Roman" w:cs="Times New Roman"/>
                <w:color w:val="auto"/>
                <w:sz w:val="24"/>
                <w:szCs w:val="24"/>
                <w:highlight w:val="none"/>
                <w:lang w:val="en-US" w:eastAsia="zh-CN"/>
              </w:rPr>
              <w:t>在池州市生态环境管控单元分类图中的位置见下</w:t>
            </w:r>
            <w:r>
              <w:rPr>
                <w:rFonts w:hint="eastAsia" w:cs="Times New Roman"/>
                <w:color w:val="auto"/>
                <w:sz w:val="24"/>
                <w:szCs w:val="24"/>
                <w:highlight w:val="none"/>
                <w:lang w:val="en-US" w:eastAsia="zh-CN"/>
              </w:rPr>
              <w:t>图</w:t>
            </w:r>
            <w:r>
              <w:rPr>
                <w:rFonts w:hint="default" w:ascii="Times New Roman" w:hAnsi="Times New Roman" w:eastAsia="宋体" w:cs="Times New Roman"/>
                <w:color w:val="auto"/>
                <w:sz w:val="24"/>
                <w:szCs w:val="24"/>
                <w:highlight w:val="none"/>
                <w:lang w:val="en-US" w:eastAsia="zh-CN"/>
              </w:rPr>
              <w:t>。</w:t>
            </w:r>
          </w:p>
          <w:p w14:paraId="5ACDCDE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drawing>
                <wp:inline distT="0" distB="0" distL="114300" distR="114300">
                  <wp:extent cx="4745990" cy="3358515"/>
                  <wp:effectExtent l="0" t="0" r="3810" b="6985"/>
                  <wp:docPr id="37" name="图片 3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1"/>
                          <pic:cNvPicPr>
                            <a:picLocks noChangeAspect="1"/>
                          </pic:cNvPicPr>
                        </pic:nvPicPr>
                        <pic:blipFill>
                          <a:blip r:embed="rId14"/>
                          <a:stretch>
                            <a:fillRect/>
                          </a:stretch>
                        </pic:blipFill>
                        <pic:spPr>
                          <a:xfrm>
                            <a:off x="0" y="0"/>
                            <a:ext cx="4745990" cy="3358515"/>
                          </a:xfrm>
                          <a:prstGeom prst="rect">
                            <a:avLst/>
                          </a:prstGeom>
                        </pic:spPr>
                      </pic:pic>
                    </a:graphicData>
                  </a:graphic>
                </wp:inline>
              </w:drawing>
            </w:r>
          </w:p>
          <w:p w14:paraId="261308DF">
            <w:pPr>
              <w:keepNext w:val="0"/>
              <w:keepLines w:val="0"/>
              <w:widowControl w:val="0"/>
              <w:suppressLineNumbers w:val="0"/>
              <w:spacing w:before="0" w:beforeAutospacing="0" w:after="0" w:afterAutospacing="0" w:line="360" w:lineRule="auto"/>
              <w:ind w:left="0" w:right="0" w:firstLine="422" w:firstLineChars="200"/>
              <w:jc w:val="center"/>
              <w:rPr>
                <w:rFonts w:hint="default" w:ascii="Times New Roman" w:hAnsi="Times New Roman" w:eastAsia="宋体" w:cs="Times New Roman"/>
                <w:color w:val="auto"/>
                <w:sz w:val="24"/>
                <w:szCs w:val="24"/>
                <w:highlight w:val="none"/>
                <w:lang w:val="en-US" w:eastAsia="zh-CN"/>
              </w:rPr>
            </w:pPr>
            <w:r>
              <w:rPr>
                <w:rFonts w:hint="eastAsia" w:ascii="宋体" w:hAnsi="宋体" w:eastAsia="宋体" w:cs="宋体"/>
                <w:b/>
                <w:bCs/>
                <w:kern w:val="2"/>
                <w:sz w:val="21"/>
                <w:szCs w:val="21"/>
                <w:lang w:val="en-US" w:eastAsia="zh-CN" w:bidi="ar"/>
              </w:rPr>
              <w:t>图</w:t>
            </w:r>
            <w:r>
              <w:rPr>
                <w:rFonts w:hint="default" w:ascii="Times New Roman" w:hAnsi="Times New Roman" w:eastAsia="宋体" w:cs="Times New Roman"/>
                <w:b/>
                <w:bCs/>
                <w:kern w:val="2"/>
                <w:sz w:val="21"/>
                <w:szCs w:val="21"/>
                <w:lang w:val="en-US" w:eastAsia="zh-CN" w:bidi="ar"/>
              </w:rPr>
              <w:t>1-</w:t>
            </w:r>
            <w:r>
              <w:rPr>
                <w:rFonts w:hint="eastAsia" w:ascii="Times New Roman" w:hAnsi="Times New Roman" w:eastAsia="宋体" w:cs="Times New Roman"/>
                <w:b/>
                <w:bCs/>
                <w:kern w:val="2"/>
                <w:sz w:val="21"/>
                <w:szCs w:val="21"/>
                <w:lang w:val="en-US" w:eastAsia="zh-CN" w:bidi="ar"/>
              </w:rPr>
              <w:t>2</w:t>
            </w:r>
            <w:r>
              <w:rPr>
                <w:rFonts w:hint="eastAsia" w:ascii="宋体" w:hAnsi="宋体" w:eastAsia="宋体" w:cs="宋体"/>
                <w:b/>
                <w:bCs/>
                <w:kern w:val="2"/>
                <w:sz w:val="21"/>
                <w:szCs w:val="21"/>
                <w:lang w:val="en-US" w:eastAsia="zh-CN" w:bidi="ar"/>
              </w:rPr>
              <w:t>本项目在池州市环境管控单元分类图中的位置图</w:t>
            </w:r>
          </w:p>
          <w:p w14:paraId="22196889">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w:t>
            </w:r>
            <w:r>
              <w:rPr>
                <w:rFonts w:hint="default" w:ascii="Times New Roman" w:hAnsi="Times New Roman"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rPr>
              <w:t>）与生态保护红线符合性分析</w:t>
            </w:r>
          </w:p>
          <w:p w14:paraId="67C70C85">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对照《池州市生态环境分区管控成果编制文本》，本项目位于</w:t>
            </w:r>
            <w:r>
              <w:rPr>
                <w:rFonts w:hint="default" w:ascii="Times New Roman" w:hAnsi="Times New Roman" w:cs="Times New Roman"/>
                <w:color w:val="auto"/>
                <w:sz w:val="24"/>
                <w:szCs w:val="24"/>
                <w:highlight w:val="none"/>
                <w:lang w:val="en-US" w:eastAsia="zh-CN"/>
              </w:rPr>
              <w:t>青阳县</w:t>
            </w:r>
            <w:r>
              <w:rPr>
                <w:rFonts w:hint="eastAsia"/>
                <w:color w:val="auto"/>
                <w:highlight w:val="none"/>
                <w:lang w:eastAsia="zh-CN"/>
              </w:rPr>
              <w:t>蓉城镇</w:t>
            </w:r>
            <w:r>
              <w:rPr>
                <w:rFonts w:hint="default" w:ascii="Times New Roman" w:hAnsi="Times New Roman" w:cs="Times New Roman"/>
                <w:color w:val="auto"/>
                <w:sz w:val="24"/>
                <w:szCs w:val="24"/>
                <w:highlight w:val="none"/>
              </w:rPr>
              <w:t>，项目周边无生态特殊及重要敏感区，项目建设不涉及自然保护区、风景名胜区、地质公园等敏感区，不在生态保护红线范围内。项目</w:t>
            </w:r>
            <w:r>
              <w:rPr>
                <w:rFonts w:hint="default" w:ascii="Times New Roman" w:hAnsi="Times New Roman" w:cs="Times New Roman"/>
                <w:color w:val="auto"/>
                <w:sz w:val="24"/>
                <w:szCs w:val="24"/>
                <w:highlight w:val="none"/>
                <w:lang w:val="en-US" w:eastAsia="zh-CN"/>
              </w:rPr>
              <w:t>周边</w:t>
            </w:r>
            <w:r>
              <w:rPr>
                <w:rFonts w:hint="default" w:ascii="Times New Roman" w:hAnsi="Times New Roman" w:cs="Times New Roman"/>
                <w:color w:val="auto"/>
                <w:sz w:val="24"/>
                <w:szCs w:val="24"/>
                <w:highlight w:val="none"/>
              </w:rPr>
              <w:t>生态保护红线分布图见</w:t>
            </w:r>
            <w:r>
              <w:rPr>
                <w:rFonts w:hint="eastAsia" w:cs="Times New Roman"/>
                <w:color w:val="auto"/>
                <w:sz w:val="24"/>
                <w:szCs w:val="24"/>
                <w:highlight w:val="none"/>
                <w:lang w:val="en-US" w:eastAsia="zh-CN"/>
              </w:rPr>
              <w:t>下图</w:t>
            </w:r>
            <w:r>
              <w:rPr>
                <w:rFonts w:hint="default" w:ascii="Times New Roman" w:hAnsi="Times New Roman" w:cs="Times New Roman"/>
                <w:color w:val="auto"/>
                <w:sz w:val="24"/>
                <w:szCs w:val="24"/>
                <w:highlight w:val="none"/>
              </w:rPr>
              <w:t>。</w:t>
            </w:r>
          </w:p>
          <w:p w14:paraId="580A166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drawing>
                <wp:inline distT="0" distB="0" distL="114300" distR="114300">
                  <wp:extent cx="4745990" cy="3358515"/>
                  <wp:effectExtent l="0" t="0" r="3810" b="6985"/>
                  <wp:docPr id="38" name="图片 3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2"/>
                          <pic:cNvPicPr>
                            <a:picLocks noChangeAspect="1"/>
                          </pic:cNvPicPr>
                        </pic:nvPicPr>
                        <pic:blipFill>
                          <a:blip r:embed="rId15"/>
                          <a:stretch>
                            <a:fillRect/>
                          </a:stretch>
                        </pic:blipFill>
                        <pic:spPr>
                          <a:xfrm>
                            <a:off x="0" y="0"/>
                            <a:ext cx="4745990" cy="3358515"/>
                          </a:xfrm>
                          <a:prstGeom prst="rect">
                            <a:avLst/>
                          </a:prstGeom>
                        </pic:spPr>
                      </pic:pic>
                    </a:graphicData>
                  </a:graphic>
                </wp:inline>
              </w:drawing>
            </w:r>
          </w:p>
          <w:p w14:paraId="1201CF9C">
            <w:pPr>
              <w:keepNext w:val="0"/>
              <w:keepLines w:val="0"/>
              <w:widowControl w:val="0"/>
              <w:suppressLineNumbers w:val="0"/>
              <w:spacing w:before="0" w:beforeAutospacing="0" w:after="0" w:afterAutospacing="0" w:line="360" w:lineRule="auto"/>
              <w:ind w:left="0" w:right="0" w:firstLine="422" w:firstLineChars="200"/>
              <w:jc w:val="center"/>
              <w:rPr>
                <w:rFonts w:hint="eastAsia" w:ascii="Times New Roman" w:hAnsi="Times New Roman" w:eastAsia="宋体" w:cs="Times New Roman"/>
                <w:color w:val="auto"/>
                <w:sz w:val="24"/>
                <w:szCs w:val="24"/>
                <w:highlight w:val="none"/>
                <w:lang w:eastAsia="zh-CN"/>
              </w:rPr>
            </w:pPr>
            <w:r>
              <w:rPr>
                <w:rFonts w:hint="eastAsia" w:ascii="宋体" w:hAnsi="宋体" w:eastAsia="宋体" w:cs="宋体"/>
                <w:b/>
                <w:bCs/>
                <w:kern w:val="2"/>
                <w:sz w:val="21"/>
                <w:szCs w:val="21"/>
                <w:lang w:val="en-US" w:eastAsia="zh-CN" w:bidi="ar"/>
              </w:rPr>
              <w:t>图</w:t>
            </w:r>
            <w:r>
              <w:rPr>
                <w:rFonts w:hint="default" w:ascii="Times New Roman" w:hAnsi="Times New Roman" w:eastAsia="宋体" w:cs="Times New Roman"/>
                <w:b/>
                <w:bCs/>
                <w:kern w:val="2"/>
                <w:sz w:val="21"/>
                <w:szCs w:val="21"/>
                <w:lang w:val="en-US" w:eastAsia="zh-CN" w:bidi="ar"/>
              </w:rPr>
              <w:t>1-</w:t>
            </w:r>
            <w:r>
              <w:rPr>
                <w:rFonts w:hint="eastAsia" w:ascii="Times New Roman" w:hAnsi="Times New Roman" w:eastAsia="宋体" w:cs="Times New Roman"/>
                <w:b/>
                <w:bCs/>
                <w:kern w:val="2"/>
                <w:sz w:val="21"/>
                <w:szCs w:val="21"/>
                <w:lang w:val="en-US" w:eastAsia="zh-CN" w:bidi="ar"/>
              </w:rPr>
              <w:t>3</w:t>
            </w:r>
            <w:r>
              <w:rPr>
                <w:rFonts w:hint="eastAsia" w:ascii="宋体" w:hAnsi="宋体" w:eastAsia="宋体" w:cs="宋体"/>
                <w:b/>
                <w:bCs/>
                <w:kern w:val="2"/>
                <w:sz w:val="21"/>
                <w:szCs w:val="21"/>
                <w:lang w:val="en-US" w:eastAsia="zh-CN" w:bidi="ar"/>
              </w:rPr>
              <w:t>项目在池州市生态保护红线分布图中位置图</w:t>
            </w:r>
          </w:p>
          <w:p w14:paraId="4CE9C4DA">
            <w:pPr>
              <w:spacing w:line="360" w:lineRule="auto"/>
              <w:ind w:firstLine="482" w:firstLineChars="20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w:t>
            </w:r>
            <w:r>
              <w:rPr>
                <w:rFonts w:hint="default" w:ascii="Times New Roman" w:hAnsi="Times New Roman" w:cs="Times New Roman"/>
                <w:b/>
                <w:bCs/>
                <w:color w:val="auto"/>
                <w:sz w:val="24"/>
                <w:szCs w:val="24"/>
                <w:highlight w:val="none"/>
                <w:lang w:val="en-US" w:eastAsia="zh-CN"/>
              </w:rPr>
              <w:t>2</w:t>
            </w:r>
            <w:r>
              <w:rPr>
                <w:rFonts w:hint="default" w:ascii="Times New Roman" w:hAnsi="Times New Roman" w:eastAsia="宋体" w:cs="Times New Roman"/>
                <w:b/>
                <w:bCs/>
                <w:color w:val="auto"/>
                <w:sz w:val="24"/>
                <w:szCs w:val="24"/>
                <w:highlight w:val="none"/>
              </w:rPr>
              <w:t>）与环境质量底线符合性分析</w:t>
            </w:r>
          </w:p>
          <w:p w14:paraId="404757BB">
            <w:pPr>
              <w:spacing w:line="360" w:lineRule="auto"/>
              <w:ind w:firstLine="482" w:firstLineChars="20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①水环境质量底线及分区管控</w:t>
            </w:r>
          </w:p>
          <w:p w14:paraId="33B2CD87">
            <w:pPr>
              <w:spacing w:line="360" w:lineRule="auto"/>
              <w:ind w:firstLine="480" w:firstLineChars="200"/>
              <w:rPr>
                <w:rFonts w:hint="eastAsia"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根据对比《</w:t>
            </w:r>
            <w:r>
              <w:rPr>
                <w:rFonts w:hint="default" w:ascii="Times New Roman" w:hAnsi="Times New Roman" w:cs="Times New Roman"/>
                <w:color w:val="auto"/>
                <w:sz w:val="24"/>
                <w:szCs w:val="24"/>
                <w:highlight w:val="none"/>
              </w:rPr>
              <w:t>池州市生态环境分区管控成果编制文本</w:t>
            </w:r>
            <w:r>
              <w:rPr>
                <w:rFonts w:hint="default" w:ascii="Times New Roman" w:hAnsi="Times New Roman" w:eastAsia="宋体" w:cs="Times New Roman"/>
                <w:color w:val="auto"/>
                <w:sz w:val="24"/>
                <w:szCs w:val="24"/>
                <w:highlight w:val="none"/>
              </w:rPr>
              <w:t>》中“池州市水环境分区管控图”可知，项目所在区域为</w:t>
            </w:r>
            <w:r>
              <w:rPr>
                <w:rFonts w:hint="default" w:ascii="Times New Roman" w:hAnsi="Times New Roman" w:eastAsia="宋体" w:cs="Times New Roman"/>
                <w:b/>
                <w:bCs/>
                <w:color w:val="auto"/>
                <w:sz w:val="24"/>
                <w:szCs w:val="24"/>
                <w:highlight w:val="none"/>
              </w:rPr>
              <w:t>水环境</w:t>
            </w:r>
            <w:r>
              <w:rPr>
                <w:rFonts w:hint="default" w:ascii="Times New Roman" w:hAnsi="Times New Roman" w:eastAsia="宋体" w:cs="Times New Roman"/>
                <w:b/>
                <w:bCs/>
                <w:color w:val="auto"/>
                <w:sz w:val="24"/>
                <w:szCs w:val="24"/>
                <w:highlight w:val="none"/>
                <w:lang w:val="en-US" w:eastAsia="zh-CN"/>
              </w:rPr>
              <w:t>城镇生活</w:t>
            </w:r>
            <w:r>
              <w:rPr>
                <w:rFonts w:hint="default" w:ascii="Times New Roman" w:hAnsi="Times New Roman" w:eastAsia="宋体" w:cs="Times New Roman"/>
                <w:b/>
                <w:bCs/>
                <w:color w:val="auto"/>
                <w:sz w:val="24"/>
                <w:szCs w:val="24"/>
                <w:highlight w:val="none"/>
              </w:rPr>
              <w:t>污染重点管控区</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b w:val="0"/>
                <w:bCs w:val="0"/>
                <w:color w:val="auto"/>
                <w:sz w:val="24"/>
                <w:szCs w:val="24"/>
                <w:highlight w:val="none"/>
                <w:lang w:val="en-US" w:eastAsia="zh-CN"/>
              </w:rPr>
              <w:t>项目在池州市水环境分区管控图中的位置图</w:t>
            </w:r>
            <w:r>
              <w:rPr>
                <w:rFonts w:hint="eastAsia" w:ascii="Times New Roman" w:hAnsi="Times New Roman" w:eastAsia="宋体" w:cs="Times New Roman"/>
                <w:b w:val="0"/>
                <w:bCs w:val="0"/>
                <w:color w:val="auto"/>
                <w:sz w:val="24"/>
                <w:szCs w:val="24"/>
                <w:highlight w:val="none"/>
                <w:lang w:val="en-US" w:eastAsia="zh-CN"/>
              </w:rPr>
              <w:t>见</w:t>
            </w:r>
            <w:r>
              <w:rPr>
                <w:rFonts w:hint="eastAsia" w:cs="Times New Roman"/>
                <w:b w:val="0"/>
                <w:bCs w:val="0"/>
                <w:color w:val="auto"/>
                <w:sz w:val="24"/>
                <w:szCs w:val="24"/>
                <w:highlight w:val="none"/>
                <w:lang w:val="en-US" w:eastAsia="zh-CN"/>
              </w:rPr>
              <w:t>下图</w:t>
            </w:r>
            <w:r>
              <w:rPr>
                <w:rFonts w:hint="eastAsia" w:ascii="Times New Roman" w:hAnsi="Times New Roman" w:eastAsia="宋体" w:cs="Times New Roman"/>
                <w:b w:val="0"/>
                <w:bCs w:val="0"/>
                <w:color w:val="auto"/>
                <w:sz w:val="24"/>
                <w:szCs w:val="24"/>
                <w:highlight w:val="none"/>
                <w:lang w:val="en-US" w:eastAsia="zh-CN"/>
              </w:rPr>
              <w:t>。</w:t>
            </w:r>
          </w:p>
          <w:p w14:paraId="6B5D3EF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drawing>
                <wp:inline distT="0" distB="0" distL="114300" distR="114300">
                  <wp:extent cx="4745990" cy="3358515"/>
                  <wp:effectExtent l="0" t="0" r="3810" b="6985"/>
                  <wp:docPr id="39" name="图片 3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3"/>
                          <pic:cNvPicPr>
                            <a:picLocks noChangeAspect="1"/>
                          </pic:cNvPicPr>
                        </pic:nvPicPr>
                        <pic:blipFill>
                          <a:blip r:embed="rId16"/>
                          <a:stretch>
                            <a:fillRect/>
                          </a:stretch>
                        </pic:blipFill>
                        <pic:spPr>
                          <a:xfrm>
                            <a:off x="0" y="0"/>
                            <a:ext cx="4745990" cy="3358515"/>
                          </a:xfrm>
                          <a:prstGeom prst="rect">
                            <a:avLst/>
                          </a:prstGeom>
                        </pic:spPr>
                      </pic:pic>
                    </a:graphicData>
                  </a:graphic>
                </wp:inline>
              </w:drawing>
            </w:r>
          </w:p>
          <w:p w14:paraId="0990D8BD">
            <w:pPr>
              <w:keepNext w:val="0"/>
              <w:keepLines w:val="0"/>
              <w:widowControl w:val="0"/>
              <w:suppressLineNumbers w:val="0"/>
              <w:spacing w:before="0" w:beforeAutospacing="0" w:after="0" w:afterAutospacing="0" w:line="360" w:lineRule="auto"/>
              <w:ind w:left="0" w:leftChars="0" w:right="0" w:firstLine="0" w:firstLineChars="0"/>
              <w:jc w:val="center"/>
              <w:rPr>
                <w:rFonts w:hint="default" w:ascii="Times New Roman" w:hAnsi="Times New Roman" w:eastAsia="宋体" w:cs="Times New Roman"/>
                <w:b w:val="0"/>
                <w:bCs w:val="0"/>
                <w:color w:val="auto"/>
                <w:sz w:val="24"/>
                <w:szCs w:val="24"/>
                <w:highlight w:val="none"/>
                <w:lang w:val="en-US" w:eastAsia="zh-CN"/>
              </w:rPr>
            </w:pPr>
            <w:r>
              <w:rPr>
                <w:rFonts w:hint="eastAsia" w:ascii="宋体" w:hAnsi="宋体" w:eastAsia="宋体" w:cs="宋体"/>
                <w:b/>
                <w:bCs/>
                <w:kern w:val="2"/>
                <w:sz w:val="21"/>
                <w:szCs w:val="21"/>
                <w:lang w:val="en-US" w:eastAsia="zh-CN" w:bidi="ar"/>
              </w:rPr>
              <w:t>图</w:t>
            </w:r>
            <w:r>
              <w:rPr>
                <w:rFonts w:hint="default" w:ascii="Times New Roman" w:hAnsi="Times New Roman" w:eastAsia="宋体" w:cs="Times New Roman"/>
                <w:b/>
                <w:bCs/>
                <w:kern w:val="2"/>
                <w:sz w:val="21"/>
                <w:szCs w:val="21"/>
                <w:lang w:val="en-US" w:eastAsia="zh-CN" w:bidi="ar"/>
              </w:rPr>
              <w:t>1-</w:t>
            </w:r>
            <w:r>
              <w:rPr>
                <w:rFonts w:hint="eastAsia" w:ascii="Times New Roman" w:hAnsi="Times New Roman" w:eastAsia="宋体" w:cs="Times New Roman"/>
                <w:b/>
                <w:bCs/>
                <w:kern w:val="2"/>
                <w:sz w:val="21"/>
                <w:szCs w:val="21"/>
                <w:lang w:val="en-US" w:eastAsia="zh-CN" w:bidi="ar"/>
              </w:rPr>
              <w:t>4</w:t>
            </w:r>
            <w:r>
              <w:rPr>
                <w:rFonts w:hint="eastAsia" w:ascii="宋体" w:hAnsi="宋体" w:eastAsia="宋体" w:cs="宋体"/>
                <w:b/>
                <w:bCs/>
                <w:kern w:val="2"/>
                <w:sz w:val="21"/>
                <w:szCs w:val="21"/>
                <w:lang w:val="en-US" w:eastAsia="zh-CN" w:bidi="ar"/>
              </w:rPr>
              <w:t>项目在池州市水环境分区管控图中的位置</w:t>
            </w:r>
          </w:p>
          <w:p w14:paraId="03EF7FF4">
            <w:pPr>
              <w:spacing w:line="360" w:lineRule="auto"/>
              <w:ind w:firstLine="482"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重点管控区管控要求：</w:t>
            </w:r>
            <w:r>
              <w:rPr>
                <w:rFonts w:hint="default" w:ascii="Times New Roman" w:hAnsi="Times New Roman" w:eastAsia="宋体" w:cs="Times New Roman"/>
                <w:color w:val="auto"/>
                <w:kern w:val="0"/>
                <w:sz w:val="24"/>
                <w:highlight w:val="none"/>
              </w:rPr>
              <w:t>依据《中华人民共和国水污染防治法》《水污染防治行动计划》《安徽省水污染防治工作方案》及池州市水污染防治工作方案对重点管控区实施管控；依据《长江经济带工业园区水污染整治专项行动工作方案》、池州市相关开发区规划、规划环评及审查意见相关要求对开发区实施管控；落实《安徽省“十四五”生态环境保护规划》《安徽省“十四五”节能减排实施方案》《池州市“十四五”生态环境保护规划》《池州市“十四五”水生态环境保护专项规划》《池州市“十四五”节能减排方案》《池州市水污染防治工作方案》等要求；新建、改建和扩建项目水污染物实施“等量替代”。</w:t>
            </w:r>
          </w:p>
          <w:p w14:paraId="6BB498BE">
            <w:pPr>
              <w:spacing w:line="360" w:lineRule="auto"/>
              <w:ind w:firstLine="480" w:firstLineChars="200"/>
              <w:rPr>
                <w:rFonts w:hint="eastAsia"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根据《202</w:t>
            </w:r>
            <w:r>
              <w:rPr>
                <w:rFonts w:hint="eastAsia"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年青阳县环境质量状况公报》，</w:t>
            </w:r>
            <w:r>
              <w:rPr>
                <w:rFonts w:hint="default" w:ascii="Times New Roman" w:hAnsi="Times New Roman" w:eastAsia="宋体" w:cs="Times New Roman"/>
                <w:color w:val="auto"/>
                <w:kern w:val="2"/>
                <w:sz w:val="24"/>
                <w:szCs w:val="24"/>
                <w:lang w:val="en-US" w:eastAsia="zh-CN" w:bidi="ar"/>
              </w:rPr>
              <w:t>2024年1</w:t>
            </w:r>
            <w:r>
              <w:rPr>
                <w:rFonts w:hint="eastAsia" w:cs="Times New Roman"/>
                <w:color w:val="auto"/>
                <w:kern w:val="2"/>
                <w:sz w:val="24"/>
                <w:szCs w:val="24"/>
                <w:lang w:val="en-US" w:eastAsia="zh-CN" w:bidi="ar"/>
              </w:rPr>
              <w:t>—</w:t>
            </w:r>
            <w:r>
              <w:rPr>
                <w:rFonts w:hint="default" w:ascii="Times New Roman" w:hAnsi="Times New Roman" w:eastAsia="宋体" w:cs="Times New Roman"/>
                <w:color w:val="auto"/>
                <w:kern w:val="2"/>
                <w:sz w:val="24"/>
                <w:szCs w:val="24"/>
                <w:lang w:val="en-US" w:eastAsia="zh-CN" w:bidi="ar"/>
              </w:rPr>
              <w:t>12月对境内湖泊和河流地表水开展监测（境内主要河流——青通河、七星河、东河、九华河、陵阳河、牛桥水库的共十三个断面：牛桥水库、青通河牛桥断面、青通河青山断面、青通河大桥断面、青通河元桥断面、青通河河口断面、东河杨田断面、东河元桥断面、七星河南河330国道断面、七星河河口断面、九华河三元桥断面、九华河庙前断面、陵阳河陵阳断面）。水质监测4次，共检测24项指标，青通河河口断面水质年均值符合《地表水环境质量标准》（GB3838-2002）中的Ⅱ类标准，其他断面水质年均值符合《地表水环境质量标准》（GB3838-2002）中的Ⅲ类标准，水质优良，达标率为100%，满足地表水功能要求。项目生活污水经化粪池处理后汇同经隔油池处理后的餐饮废水一同与冷却水定期排水一起通过园区污水管网送往青阳县污水处理厂，</w:t>
            </w:r>
            <w:r>
              <w:rPr>
                <w:rFonts w:hint="eastAsia" w:ascii="Times New Roman" w:hAnsi="Times New Roman" w:eastAsia="宋体" w:cs="Times New Roman"/>
                <w:b w:val="0"/>
                <w:bCs w:val="0"/>
                <w:color w:val="auto"/>
                <w:sz w:val="24"/>
                <w:szCs w:val="24"/>
                <w:highlight w:val="none"/>
                <w:lang w:val="en-US" w:eastAsia="zh-CN"/>
              </w:rPr>
              <w:t>达</w:t>
            </w:r>
            <w:r>
              <w:rPr>
                <w:rFonts w:hint="eastAsia" w:ascii="Times New Roman" w:hAnsi="Times New Roman" w:eastAsia="宋体" w:cs="Times New Roman"/>
                <w:b w:val="0"/>
                <w:bCs w:val="0"/>
                <w:color w:val="auto"/>
                <w:sz w:val="24"/>
                <w:szCs w:val="24"/>
                <w:highlight w:val="none"/>
              </w:rPr>
              <w:t>标后</w:t>
            </w:r>
            <w:r>
              <w:rPr>
                <w:rFonts w:hint="eastAsia" w:ascii="Times New Roman" w:hAnsi="Times New Roman" w:eastAsia="宋体" w:cs="Times New Roman"/>
                <w:b w:val="0"/>
                <w:bCs w:val="0"/>
                <w:color w:val="auto"/>
                <w:sz w:val="24"/>
                <w:szCs w:val="24"/>
                <w:highlight w:val="none"/>
                <w:lang w:val="en-US" w:eastAsia="zh-CN"/>
              </w:rPr>
              <w:t>尾水</w:t>
            </w:r>
            <w:r>
              <w:rPr>
                <w:rFonts w:hint="eastAsia" w:ascii="Times New Roman" w:hAnsi="Times New Roman" w:eastAsia="宋体" w:cs="Times New Roman"/>
                <w:b w:val="0"/>
                <w:bCs w:val="0"/>
                <w:color w:val="auto"/>
                <w:sz w:val="24"/>
                <w:szCs w:val="24"/>
                <w:highlight w:val="none"/>
              </w:rPr>
              <w:t>排入</w:t>
            </w:r>
            <w:r>
              <w:rPr>
                <w:rFonts w:hint="eastAsia" w:ascii="Times New Roman" w:hAnsi="Times New Roman" w:eastAsia="宋体" w:cs="Times New Roman"/>
                <w:b w:val="0"/>
                <w:bCs w:val="0"/>
                <w:color w:val="auto"/>
                <w:sz w:val="24"/>
                <w:szCs w:val="24"/>
                <w:highlight w:val="none"/>
                <w:lang w:val="en-US" w:eastAsia="zh-CN"/>
              </w:rPr>
              <w:t>青通河</w:t>
            </w:r>
            <w:r>
              <w:rPr>
                <w:rFonts w:hint="eastAsia" w:ascii="Times New Roman" w:hAnsi="Times New Roman" w:eastAsia="宋体" w:cs="Times New Roman"/>
                <w:b w:val="0"/>
                <w:bCs w:val="0"/>
                <w:color w:val="auto"/>
                <w:kern w:val="2"/>
                <w:sz w:val="24"/>
                <w:szCs w:val="24"/>
                <w:highlight w:val="none"/>
                <w:lang w:val="en-US" w:eastAsia="zh-CN"/>
              </w:rPr>
              <w:t>。</w:t>
            </w:r>
            <w:r>
              <w:rPr>
                <w:rFonts w:hint="default" w:ascii="Times New Roman" w:hAnsi="Times New Roman" w:eastAsia="宋体" w:cs="Times New Roman"/>
                <w:color w:val="auto"/>
                <w:sz w:val="24"/>
                <w:szCs w:val="24"/>
                <w:highlight w:val="none"/>
              </w:rPr>
              <w:t>本项目的实施不会对周围水环境造成影响。本项目的实施不会对周围水环境造成影响。</w:t>
            </w:r>
          </w:p>
          <w:p w14:paraId="49AE15CB">
            <w:pPr>
              <w:spacing w:line="360" w:lineRule="auto"/>
              <w:ind w:firstLine="482" w:firstLineChars="20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②大气环境质量底线及分区管控</w:t>
            </w:r>
          </w:p>
          <w:p w14:paraId="3FE93009">
            <w:pPr>
              <w:ind w:firstLine="480" w:firstLineChars="200"/>
              <w:rPr>
                <w:rFonts w:hint="eastAsia"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根据对比《</w:t>
            </w:r>
            <w:r>
              <w:rPr>
                <w:rFonts w:hint="default" w:ascii="Times New Roman" w:hAnsi="Times New Roman" w:cs="Times New Roman"/>
                <w:color w:val="auto"/>
                <w:sz w:val="24"/>
                <w:szCs w:val="24"/>
                <w:highlight w:val="none"/>
              </w:rPr>
              <w:t>池州市生态环境分区管控成果编制文本</w:t>
            </w:r>
            <w:r>
              <w:rPr>
                <w:rFonts w:hint="default" w:ascii="Times New Roman" w:hAnsi="Times New Roman" w:eastAsia="宋体" w:cs="Times New Roman"/>
                <w:color w:val="auto"/>
                <w:sz w:val="24"/>
                <w:szCs w:val="24"/>
                <w:highlight w:val="none"/>
              </w:rPr>
              <w:t>》</w:t>
            </w:r>
            <w:r>
              <w:rPr>
                <w:rFonts w:hint="default" w:ascii="Times New Roman" w:hAnsi="Times New Roman" w:cs="Times New Roman"/>
                <w:color w:val="auto"/>
                <w:sz w:val="24"/>
                <w:szCs w:val="24"/>
                <w:highlight w:val="none"/>
                <w:lang w:val="en-US" w:eastAsia="zh-CN"/>
              </w:rPr>
              <w:t>中</w:t>
            </w:r>
            <w:r>
              <w:rPr>
                <w:rFonts w:hint="default"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池州市大气环境分区管控图</w:t>
            </w:r>
            <w:r>
              <w:rPr>
                <w:rFonts w:hint="default"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可知，本项目所在区域为</w:t>
            </w:r>
            <w:r>
              <w:rPr>
                <w:rFonts w:hint="default" w:ascii="Times New Roman" w:hAnsi="Times New Roman" w:cs="Times New Roman"/>
                <w:b/>
                <w:bCs/>
                <w:color w:val="auto"/>
                <w:sz w:val="24"/>
                <w:szCs w:val="24"/>
                <w:highlight w:val="none"/>
                <w:lang w:val="en-US" w:eastAsia="zh-CN"/>
              </w:rPr>
              <w:t>大气环境受体敏感重点管控区</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b w:val="0"/>
                <w:bCs w:val="0"/>
                <w:color w:val="auto"/>
                <w:sz w:val="24"/>
                <w:szCs w:val="24"/>
                <w:highlight w:val="none"/>
                <w:lang w:val="en-US" w:eastAsia="zh-CN"/>
              </w:rPr>
              <w:t>项目在池州市大气环境分区管控图中的位置图</w:t>
            </w:r>
            <w:r>
              <w:rPr>
                <w:rFonts w:hint="eastAsia" w:ascii="Times New Roman" w:hAnsi="Times New Roman" w:eastAsia="宋体" w:cs="Times New Roman"/>
                <w:b w:val="0"/>
                <w:bCs w:val="0"/>
                <w:color w:val="auto"/>
                <w:sz w:val="24"/>
                <w:szCs w:val="24"/>
                <w:highlight w:val="none"/>
                <w:lang w:val="en-US" w:eastAsia="zh-CN"/>
              </w:rPr>
              <w:t>见</w:t>
            </w:r>
            <w:r>
              <w:rPr>
                <w:rFonts w:hint="eastAsia" w:cs="Times New Roman"/>
                <w:b w:val="0"/>
                <w:bCs w:val="0"/>
                <w:color w:val="auto"/>
                <w:sz w:val="24"/>
                <w:szCs w:val="24"/>
                <w:highlight w:val="none"/>
                <w:lang w:val="en-US" w:eastAsia="zh-CN"/>
              </w:rPr>
              <w:t>下图</w:t>
            </w:r>
            <w:r>
              <w:rPr>
                <w:rFonts w:hint="eastAsia" w:ascii="Times New Roman" w:hAnsi="Times New Roman" w:eastAsia="宋体" w:cs="Times New Roman"/>
                <w:b w:val="0"/>
                <w:bCs w:val="0"/>
                <w:color w:val="auto"/>
                <w:sz w:val="24"/>
                <w:szCs w:val="24"/>
                <w:highlight w:val="none"/>
                <w:lang w:val="en-US" w:eastAsia="zh-CN"/>
              </w:rPr>
              <w:t>。</w:t>
            </w:r>
          </w:p>
          <w:p w14:paraId="596FC57A">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drawing>
                <wp:inline distT="0" distB="0" distL="114300" distR="114300">
                  <wp:extent cx="4745990" cy="3358515"/>
                  <wp:effectExtent l="0" t="0" r="3810" b="6985"/>
                  <wp:docPr id="40" name="图片 40"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4"/>
                          <pic:cNvPicPr>
                            <a:picLocks noChangeAspect="1"/>
                          </pic:cNvPicPr>
                        </pic:nvPicPr>
                        <pic:blipFill>
                          <a:blip r:embed="rId17"/>
                          <a:stretch>
                            <a:fillRect/>
                          </a:stretch>
                        </pic:blipFill>
                        <pic:spPr>
                          <a:xfrm>
                            <a:off x="0" y="0"/>
                            <a:ext cx="4745990" cy="3358515"/>
                          </a:xfrm>
                          <a:prstGeom prst="rect">
                            <a:avLst/>
                          </a:prstGeom>
                        </pic:spPr>
                      </pic:pic>
                    </a:graphicData>
                  </a:graphic>
                </wp:inline>
              </w:drawing>
            </w:r>
          </w:p>
          <w:p w14:paraId="5111413D">
            <w:pPr>
              <w:keepNext w:val="0"/>
              <w:keepLines w:val="0"/>
              <w:widowControl w:val="0"/>
              <w:suppressLineNumbers w:val="0"/>
              <w:spacing w:before="0" w:beforeAutospacing="0" w:after="0" w:afterAutospacing="0" w:line="360" w:lineRule="auto"/>
              <w:ind w:left="0" w:right="0" w:firstLine="422" w:firstLineChars="200"/>
              <w:jc w:val="center"/>
              <w:rPr>
                <w:rFonts w:hint="default" w:ascii="Times New Roman" w:hAnsi="Times New Roman" w:eastAsia="宋体" w:cs="Times New Roman"/>
                <w:b w:val="0"/>
                <w:bCs w:val="0"/>
                <w:color w:val="auto"/>
                <w:sz w:val="24"/>
                <w:szCs w:val="24"/>
                <w:highlight w:val="none"/>
                <w:lang w:val="en-US" w:eastAsia="zh-CN"/>
              </w:rPr>
            </w:pPr>
            <w:r>
              <w:rPr>
                <w:rFonts w:hint="eastAsia" w:ascii="宋体" w:hAnsi="宋体" w:eastAsia="宋体" w:cs="宋体"/>
                <w:b/>
                <w:bCs/>
                <w:kern w:val="2"/>
                <w:sz w:val="21"/>
                <w:szCs w:val="21"/>
                <w:lang w:val="en-US" w:eastAsia="zh-CN" w:bidi="ar"/>
              </w:rPr>
              <w:t>图</w:t>
            </w:r>
            <w:r>
              <w:rPr>
                <w:rFonts w:hint="default" w:ascii="Times New Roman" w:hAnsi="Times New Roman" w:eastAsia="宋体" w:cs="Times New Roman"/>
                <w:b/>
                <w:bCs/>
                <w:kern w:val="2"/>
                <w:sz w:val="21"/>
                <w:szCs w:val="21"/>
                <w:lang w:val="en-US" w:eastAsia="zh-CN" w:bidi="ar"/>
              </w:rPr>
              <w:t>1-</w:t>
            </w:r>
            <w:r>
              <w:rPr>
                <w:rFonts w:hint="eastAsia" w:ascii="Times New Roman" w:hAnsi="Times New Roman" w:eastAsia="宋体" w:cs="Times New Roman"/>
                <w:b/>
                <w:bCs/>
                <w:kern w:val="2"/>
                <w:sz w:val="21"/>
                <w:szCs w:val="21"/>
                <w:lang w:val="en-US" w:eastAsia="zh-CN" w:bidi="ar"/>
              </w:rPr>
              <w:t>5</w:t>
            </w:r>
            <w:r>
              <w:rPr>
                <w:rFonts w:hint="eastAsia" w:ascii="宋体" w:hAnsi="宋体" w:eastAsia="宋体" w:cs="宋体"/>
                <w:b/>
                <w:bCs/>
                <w:kern w:val="2"/>
                <w:sz w:val="21"/>
                <w:szCs w:val="21"/>
                <w:lang w:val="en-US" w:eastAsia="zh-CN" w:bidi="ar"/>
              </w:rPr>
              <w:t>项目在池州市大气环境分区管控图中的位置</w:t>
            </w:r>
          </w:p>
          <w:p w14:paraId="3611169A">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大气环境重点管控区管控要求：落实《安徽省大气污染防治条例》《安徽省碳达峰实施方案的通知》《安徽省工业领域碳达峰实施方案》《安徽省城乡建设领域碳达峰实施方案》《关于进一步加强新上“两高”项目管理的通知》《安徽省挥发性有机物污染整治工作方案》《关于进一步加强建设项目新增大气污染物总量控制指标管理工作的通知》《安徽省“十四五”节能减排实施方案》《深入打好污染防治攻坚战行动方案》《池州市“十四五”节能减排方案》要求；严格目标实施计划，加强环境监管，促进生态环境质量好转；大气主要污染物总量指标实行区域内等量或倍量削减替代，执行特别排放标准的行业实施提标升级改造。</w:t>
            </w:r>
          </w:p>
          <w:p w14:paraId="20BB9566">
            <w:pPr>
              <w:spacing w:line="360" w:lineRule="auto"/>
              <w:ind w:firstLine="480" w:firstLineChars="200"/>
              <w:rPr>
                <w:rFonts w:hint="default" w:ascii="Times New Roman" w:hAnsi="Times New Roman" w:eastAsia="宋体" w:cs="Times New Roman"/>
                <w:color w:val="auto"/>
                <w:sz w:val="24"/>
                <w:szCs w:val="24"/>
                <w:highlight w:val="yellow"/>
              </w:rPr>
            </w:pPr>
            <w:r>
              <w:rPr>
                <w:rFonts w:hint="eastAsia" w:ascii="宋体" w:hAnsi="宋体" w:eastAsia="宋体" w:cs="宋体"/>
                <w:kern w:val="2"/>
                <w:sz w:val="24"/>
                <w:szCs w:val="24"/>
                <w:lang w:val="en-US" w:eastAsia="zh-CN" w:bidi="ar"/>
              </w:rPr>
              <w:t>根据《</w:t>
            </w:r>
            <w:r>
              <w:rPr>
                <w:rFonts w:hint="default" w:ascii="Times New Roman" w:hAnsi="Times New Roman" w:eastAsia="宋体" w:cs="Times New Roman"/>
                <w:kern w:val="2"/>
                <w:sz w:val="24"/>
                <w:szCs w:val="24"/>
                <w:lang w:val="en-US" w:eastAsia="zh-CN" w:bidi="ar"/>
              </w:rPr>
              <w:t>202</w:t>
            </w:r>
            <w:r>
              <w:rPr>
                <w:rFonts w:hint="eastAsia" w:cs="Times New Roman"/>
                <w:kern w:val="2"/>
                <w:sz w:val="24"/>
                <w:szCs w:val="24"/>
                <w:lang w:val="en-US" w:eastAsia="zh-CN" w:bidi="ar"/>
              </w:rPr>
              <w:t>4</w:t>
            </w:r>
            <w:r>
              <w:rPr>
                <w:rFonts w:hint="eastAsia" w:ascii="宋体" w:hAnsi="宋体" w:eastAsia="宋体" w:cs="宋体"/>
                <w:kern w:val="2"/>
                <w:sz w:val="24"/>
                <w:szCs w:val="24"/>
                <w:lang w:val="en-US" w:eastAsia="zh-CN" w:bidi="ar"/>
              </w:rPr>
              <w:t>年青阳县环境质量状况公报》，</w:t>
            </w:r>
            <w:r>
              <w:rPr>
                <w:rFonts w:hint="default" w:ascii="Times New Roman" w:hAnsi="Times New Roman" w:eastAsia="宋体" w:cs="Times New Roman"/>
                <w:kern w:val="2"/>
                <w:sz w:val="24"/>
                <w:szCs w:val="24"/>
                <w:lang w:val="en-US" w:eastAsia="zh-CN" w:bidi="ar"/>
              </w:rPr>
              <w:t>2024年，青阳县城区环境空气质量达到优、良天数共341天，优良率93.4%，较去年同期相比提高了1.1%。影响城区环境空气质量的主要污染物是可吸入颗粒物、细颗粒物和臭氧。环境空气中二氧化硫（SO</w:t>
            </w:r>
            <w:r>
              <w:rPr>
                <w:rFonts w:hint="default" w:ascii="Times New Roman" w:hAnsi="Times New Roman" w:eastAsia="宋体" w:cs="Times New Roman"/>
                <w:kern w:val="2"/>
                <w:sz w:val="24"/>
                <w:szCs w:val="24"/>
                <w:vertAlign w:val="subscript"/>
                <w:lang w:val="en-US" w:eastAsia="zh-CN" w:bidi="ar"/>
              </w:rPr>
              <w:t>2</w:t>
            </w:r>
            <w:r>
              <w:rPr>
                <w:rFonts w:hint="default" w:ascii="Times New Roman" w:hAnsi="Times New Roman" w:eastAsia="宋体" w:cs="Times New Roman"/>
                <w:kern w:val="2"/>
                <w:sz w:val="24"/>
                <w:szCs w:val="24"/>
                <w:lang w:val="en-US" w:eastAsia="zh-CN" w:bidi="ar"/>
              </w:rPr>
              <w:t>）、二氧化氮（NO</w:t>
            </w:r>
            <w:r>
              <w:rPr>
                <w:rFonts w:hint="default" w:ascii="Times New Roman" w:hAnsi="Times New Roman" w:eastAsia="宋体" w:cs="Times New Roman"/>
                <w:kern w:val="2"/>
                <w:sz w:val="24"/>
                <w:szCs w:val="24"/>
                <w:vertAlign w:val="subscript"/>
                <w:lang w:val="en-US" w:eastAsia="zh-CN" w:bidi="ar"/>
              </w:rPr>
              <w:t>2</w:t>
            </w:r>
            <w:r>
              <w:rPr>
                <w:rFonts w:hint="default" w:ascii="Times New Roman" w:hAnsi="Times New Roman" w:eastAsia="宋体" w:cs="Times New Roman"/>
                <w:kern w:val="2"/>
                <w:sz w:val="24"/>
                <w:szCs w:val="24"/>
                <w:lang w:val="en-US" w:eastAsia="zh-CN" w:bidi="ar"/>
              </w:rPr>
              <w:t>）、可吸入颗粒物（PM</w:t>
            </w:r>
            <w:r>
              <w:rPr>
                <w:rFonts w:hint="default" w:ascii="Times New Roman" w:hAnsi="Times New Roman" w:eastAsia="宋体" w:cs="Times New Roman"/>
                <w:kern w:val="2"/>
                <w:sz w:val="24"/>
                <w:szCs w:val="24"/>
                <w:vertAlign w:val="subscript"/>
                <w:lang w:val="en-US" w:eastAsia="zh-CN" w:bidi="ar"/>
              </w:rPr>
              <w:t>10</w:t>
            </w:r>
            <w:r>
              <w:rPr>
                <w:rFonts w:hint="default" w:ascii="Times New Roman" w:hAnsi="Times New Roman" w:eastAsia="宋体" w:cs="Times New Roman"/>
                <w:kern w:val="2"/>
                <w:sz w:val="24"/>
                <w:szCs w:val="24"/>
                <w:lang w:val="en-US" w:eastAsia="zh-CN" w:bidi="ar"/>
              </w:rPr>
              <w:t>）、细颗粒物（PM</w:t>
            </w:r>
            <w:r>
              <w:rPr>
                <w:rFonts w:hint="default" w:ascii="Times New Roman" w:hAnsi="Times New Roman" w:eastAsia="宋体" w:cs="Times New Roman"/>
                <w:kern w:val="2"/>
                <w:sz w:val="24"/>
                <w:szCs w:val="24"/>
                <w:vertAlign w:val="subscript"/>
                <w:lang w:val="en-US" w:eastAsia="zh-CN" w:bidi="ar"/>
              </w:rPr>
              <w:t>2.5</w:t>
            </w:r>
            <w:r>
              <w:rPr>
                <w:rFonts w:hint="default" w:ascii="Times New Roman" w:hAnsi="Times New Roman" w:eastAsia="宋体" w:cs="Times New Roman"/>
                <w:kern w:val="2"/>
                <w:sz w:val="24"/>
                <w:szCs w:val="24"/>
                <w:lang w:val="en-US" w:eastAsia="zh-CN" w:bidi="ar"/>
              </w:rPr>
              <w:t>）年均浓度分别为7微克/立方米、17微克/立方米、54微克/立方米、29微克/立方米，一氧化碳（CO）24小时平均第95百分位数浓度为1.1毫克/立方米，臭氧（O3）日最大八小时平均第90百分位数浓度为138微克/立方米。PM</w:t>
            </w:r>
            <w:r>
              <w:rPr>
                <w:rFonts w:hint="default" w:ascii="Times New Roman" w:hAnsi="Times New Roman" w:eastAsia="宋体" w:cs="Times New Roman"/>
                <w:kern w:val="2"/>
                <w:sz w:val="24"/>
                <w:szCs w:val="24"/>
                <w:vertAlign w:val="subscript"/>
                <w:lang w:val="en-US" w:eastAsia="zh-CN" w:bidi="ar"/>
              </w:rPr>
              <w:t>10</w:t>
            </w:r>
            <w:r>
              <w:rPr>
                <w:rFonts w:hint="default" w:ascii="Times New Roman" w:hAnsi="Times New Roman" w:eastAsia="宋体" w:cs="Times New Roman"/>
                <w:kern w:val="2"/>
                <w:sz w:val="24"/>
                <w:szCs w:val="24"/>
                <w:lang w:val="en-US" w:eastAsia="zh-CN" w:bidi="ar"/>
              </w:rPr>
              <w:t>较去年同期相比保持不变，PM</w:t>
            </w:r>
            <w:r>
              <w:rPr>
                <w:rFonts w:hint="default" w:ascii="Times New Roman" w:hAnsi="Times New Roman" w:eastAsia="宋体" w:cs="Times New Roman"/>
                <w:kern w:val="2"/>
                <w:sz w:val="24"/>
                <w:szCs w:val="24"/>
                <w:vertAlign w:val="subscript"/>
                <w:lang w:val="en-US" w:eastAsia="zh-CN" w:bidi="ar"/>
              </w:rPr>
              <w:t>2.5</w:t>
            </w:r>
            <w:r>
              <w:rPr>
                <w:rFonts w:hint="default" w:ascii="Times New Roman" w:hAnsi="Times New Roman" w:eastAsia="宋体" w:cs="Times New Roman"/>
                <w:kern w:val="2"/>
                <w:sz w:val="24"/>
                <w:szCs w:val="24"/>
                <w:lang w:val="en-US" w:eastAsia="zh-CN" w:bidi="ar"/>
              </w:rPr>
              <w:t>较去年同期相比上升了7.4％。城区降水pH值年均值为7.34，全年未出现酸雨。城区空气降尘量为1.9吨/平方千米•月。</w:t>
            </w:r>
            <w:r>
              <w:rPr>
                <w:rFonts w:hint="default" w:ascii="Times New Roman" w:hAnsi="Times New Roman" w:eastAsia="宋体" w:cs="Times New Roman"/>
                <w:color w:val="auto"/>
                <w:sz w:val="24"/>
                <w:szCs w:val="24"/>
                <w:highlight w:val="none"/>
              </w:rPr>
              <w:t>本项目营运期</w:t>
            </w:r>
            <w:r>
              <w:rPr>
                <w:rFonts w:hint="default" w:ascii="Times New Roman" w:hAnsi="Times New Roman" w:eastAsia="宋体" w:cs="仿宋"/>
                <w:color w:val="auto"/>
                <w:spacing w:val="0"/>
                <w:kern w:val="2"/>
                <w:sz w:val="24"/>
                <w:szCs w:val="24"/>
                <w:highlight w:val="none"/>
                <w:lang w:val="en-US" w:eastAsia="zh-CN" w:bidi="ar-SA"/>
              </w:rPr>
              <w:t>产生的废气主要</w:t>
            </w:r>
            <w:r>
              <w:rPr>
                <w:rFonts w:hint="eastAsia" w:cs="仿宋"/>
                <w:color w:val="auto"/>
                <w:spacing w:val="0"/>
                <w:kern w:val="2"/>
                <w:sz w:val="24"/>
                <w:szCs w:val="24"/>
                <w:highlight w:val="none"/>
                <w:lang w:val="en-US" w:eastAsia="zh-CN" w:bidi="ar-SA"/>
              </w:rPr>
              <w:t>为挤出废气、喷码废气、注塑废气、投料粉尘、熔融造粒废气和食堂油烟。挤出废气、喷码废气和注塑废气经两级活性炭吸附处理装置处理后排放；熔融造粒废气经油烟净化器和两级活性炭吸附处理装置处理后排放；投料粉尘经布袋除尘器处理后排放，食堂油烟经油烟净化器处理后排放</w:t>
            </w:r>
            <w:r>
              <w:rPr>
                <w:rFonts w:hint="eastAsia"/>
                <w:color w:val="auto"/>
                <w:highlight w:val="none"/>
                <w:lang w:val="en-US" w:eastAsia="zh-CN"/>
              </w:rPr>
              <w:t>。本项目废气均能达标排放，</w:t>
            </w:r>
            <w:r>
              <w:rPr>
                <w:rFonts w:hint="default" w:ascii="Times New Roman" w:hAnsi="Times New Roman" w:eastAsia="宋体" w:cs="Times New Roman"/>
                <w:color w:val="auto"/>
                <w:sz w:val="24"/>
                <w:szCs w:val="24"/>
                <w:highlight w:val="none"/>
              </w:rPr>
              <w:t>不会降低区域环境功能类别。</w:t>
            </w:r>
          </w:p>
          <w:p w14:paraId="2BFDA9B6">
            <w:pPr>
              <w:spacing w:line="360" w:lineRule="auto"/>
              <w:ind w:firstLine="482" w:firstLineChars="20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③土壤环境质量底线及分区管控</w:t>
            </w:r>
          </w:p>
          <w:p w14:paraId="0763BD11">
            <w:pPr>
              <w:shd w:val="clear" w:color="auto" w:fill="auto"/>
              <w:spacing w:line="360" w:lineRule="auto"/>
              <w:ind w:firstLine="480"/>
              <w:jc w:val="left"/>
              <w:rPr>
                <w:rFonts w:hint="eastAsia"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rPr>
              <w:t>根据</w:t>
            </w:r>
            <w:r>
              <w:rPr>
                <w:rFonts w:hint="default" w:ascii="Times New Roman" w:hAnsi="Times New Roman" w:eastAsia="宋体" w:cs="Times New Roman"/>
                <w:color w:val="auto"/>
                <w:sz w:val="24"/>
                <w:szCs w:val="24"/>
                <w:highlight w:val="none"/>
                <w:lang w:val="en-US" w:eastAsia="zh-CN"/>
              </w:rPr>
              <w:t>对比</w:t>
            </w:r>
            <w:r>
              <w:rPr>
                <w:rFonts w:hint="default" w:ascii="Times New Roman" w:hAnsi="Times New Roman" w:eastAsia="宋体" w:cs="Times New Roman"/>
                <w:color w:val="auto"/>
                <w:sz w:val="24"/>
                <w:szCs w:val="24"/>
                <w:highlight w:val="none"/>
              </w:rPr>
              <w:t>《池州市生态环境分区管控成果编制文本》</w:t>
            </w:r>
            <w:r>
              <w:rPr>
                <w:rFonts w:hint="default" w:ascii="Times New Roman" w:hAnsi="Times New Roman" w:eastAsia="宋体" w:cs="Times New Roman"/>
                <w:color w:val="auto"/>
                <w:sz w:val="24"/>
                <w:szCs w:val="24"/>
                <w:highlight w:val="none"/>
                <w:lang w:val="en-US" w:eastAsia="zh-CN"/>
              </w:rPr>
              <w:t>中</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池州市土壤污染风险分区防控图</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可知，本项目所在区域为</w:t>
            </w:r>
            <w:r>
              <w:rPr>
                <w:rFonts w:hint="default" w:ascii="Times New Roman" w:hAnsi="Times New Roman" w:eastAsia="宋体" w:cs="Times New Roman"/>
                <w:color w:val="auto"/>
                <w:sz w:val="24"/>
                <w:szCs w:val="24"/>
                <w:highlight w:val="none"/>
                <w:lang w:val="en-US" w:eastAsia="zh-CN"/>
              </w:rPr>
              <w:t>一般管控区</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b w:val="0"/>
                <w:bCs w:val="0"/>
                <w:color w:val="auto"/>
                <w:kern w:val="2"/>
                <w:sz w:val="24"/>
                <w:szCs w:val="24"/>
                <w:highlight w:val="none"/>
                <w:lang w:val="en-US" w:eastAsia="zh-CN" w:bidi="ar-SA"/>
              </w:rPr>
              <w:t>项目在池州市土壤环境风险分区防控图中的位置图</w:t>
            </w:r>
            <w:r>
              <w:rPr>
                <w:rFonts w:hint="eastAsia" w:ascii="Times New Roman" w:hAnsi="Times New Roman" w:eastAsia="宋体" w:cs="Times New Roman"/>
                <w:b w:val="0"/>
                <w:bCs w:val="0"/>
                <w:color w:val="auto"/>
                <w:kern w:val="2"/>
                <w:sz w:val="24"/>
                <w:szCs w:val="24"/>
                <w:highlight w:val="none"/>
                <w:lang w:val="en-US" w:eastAsia="zh-CN" w:bidi="ar-SA"/>
              </w:rPr>
              <w:t>见</w:t>
            </w:r>
            <w:r>
              <w:rPr>
                <w:rFonts w:hint="eastAsia" w:cs="Times New Roman"/>
                <w:b w:val="0"/>
                <w:bCs w:val="0"/>
                <w:color w:val="auto"/>
                <w:kern w:val="2"/>
                <w:sz w:val="24"/>
                <w:szCs w:val="24"/>
                <w:highlight w:val="none"/>
                <w:lang w:val="en-US" w:eastAsia="zh-CN" w:bidi="ar-SA"/>
              </w:rPr>
              <w:t>下图</w:t>
            </w:r>
            <w:r>
              <w:rPr>
                <w:rFonts w:hint="eastAsia" w:ascii="Times New Roman" w:hAnsi="Times New Roman" w:eastAsia="宋体" w:cs="Times New Roman"/>
                <w:b w:val="0"/>
                <w:bCs w:val="0"/>
                <w:color w:val="auto"/>
                <w:kern w:val="2"/>
                <w:sz w:val="24"/>
                <w:szCs w:val="24"/>
                <w:highlight w:val="none"/>
                <w:lang w:val="en-US" w:eastAsia="zh-CN" w:bidi="ar-SA"/>
              </w:rPr>
              <w:t>。</w:t>
            </w:r>
          </w:p>
          <w:p w14:paraId="2BE8D512">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0" w:firstLineChars="0"/>
              <w:jc w:val="left"/>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drawing>
                <wp:inline distT="0" distB="0" distL="114300" distR="114300">
                  <wp:extent cx="4745990" cy="3358515"/>
                  <wp:effectExtent l="0" t="0" r="3810" b="6985"/>
                  <wp:docPr id="41" name="图片 4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5"/>
                          <pic:cNvPicPr>
                            <a:picLocks noChangeAspect="1"/>
                          </pic:cNvPicPr>
                        </pic:nvPicPr>
                        <pic:blipFill>
                          <a:blip r:embed="rId18"/>
                          <a:stretch>
                            <a:fillRect/>
                          </a:stretch>
                        </pic:blipFill>
                        <pic:spPr>
                          <a:xfrm>
                            <a:off x="0" y="0"/>
                            <a:ext cx="4745990" cy="3358515"/>
                          </a:xfrm>
                          <a:prstGeom prst="rect">
                            <a:avLst/>
                          </a:prstGeom>
                        </pic:spPr>
                      </pic:pic>
                    </a:graphicData>
                  </a:graphic>
                </wp:inline>
              </w:drawing>
            </w:r>
          </w:p>
          <w:p w14:paraId="38A08623">
            <w:pPr>
              <w:keepNext w:val="0"/>
              <w:keepLines w:val="0"/>
              <w:widowControl w:val="0"/>
              <w:suppressLineNumbers w:val="0"/>
              <w:spacing w:before="0" w:beforeAutospacing="0" w:after="0" w:afterAutospacing="0" w:line="360" w:lineRule="auto"/>
              <w:ind w:left="0" w:right="0" w:firstLine="422" w:firstLineChars="200"/>
              <w:jc w:val="center"/>
              <w:rPr>
                <w:rFonts w:hint="eastAsia" w:ascii="Times New Roman" w:hAnsi="Times New Roman" w:cs="Times New Roman"/>
                <w:color w:val="auto"/>
                <w:highlight w:val="none"/>
                <w:lang w:val="en-US" w:eastAsia="zh-CN"/>
              </w:rPr>
            </w:pPr>
            <w:r>
              <w:rPr>
                <w:rFonts w:hint="eastAsia" w:ascii="宋体" w:hAnsi="宋体" w:eastAsia="宋体" w:cs="宋体"/>
                <w:b/>
                <w:bCs/>
                <w:kern w:val="2"/>
                <w:sz w:val="21"/>
                <w:szCs w:val="21"/>
                <w:lang w:val="en-US" w:eastAsia="zh-CN" w:bidi="ar"/>
              </w:rPr>
              <w:t>图</w:t>
            </w:r>
            <w:r>
              <w:rPr>
                <w:rFonts w:hint="default" w:ascii="Times New Roman" w:hAnsi="Times New Roman" w:eastAsia="宋体" w:cs="Times New Roman"/>
                <w:b/>
                <w:bCs/>
                <w:kern w:val="2"/>
                <w:sz w:val="21"/>
                <w:szCs w:val="21"/>
                <w:lang w:val="en-US" w:eastAsia="zh-CN" w:bidi="ar"/>
              </w:rPr>
              <w:t>1-</w:t>
            </w:r>
            <w:r>
              <w:rPr>
                <w:rFonts w:hint="eastAsia" w:ascii="Times New Roman" w:hAnsi="Times New Roman" w:eastAsia="宋体" w:cs="Times New Roman"/>
                <w:b/>
                <w:bCs/>
                <w:kern w:val="2"/>
                <w:sz w:val="21"/>
                <w:szCs w:val="21"/>
                <w:lang w:val="en-US" w:eastAsia="zh-CN" w:bidi="ar"/>
              </w:rPr>
              <w:t>6</w:t>
            </w:r>
            <w:r>
              <w:rPr>
                <w:rFonts w:hint="eastAsia" w:ascii="宋体" w:hAnsi="宋体" w:eastAsia="宋体" w:cs="宋体"/>
                <w:b/>
                <w:bCs/>
                <w:kern w:val="2"/>
                <w:sz w:val="21"/>
                <w:szCs w:val="21"/>
                <w:lang w:val="en-US" w:eastAsia="zh-CN" w:bidi="ar"/>
              </w:rPr>
              <w:t>项目在池州市土壤环境风险分区防控图中的位置</w:t>
            </w:r>
          </w:p>
          <w:p w14:paraId="6EA0DCB8">
            <w:pPr>
              <w:spacing w:line="360" w:lineRule="auto"/>
              <w:ind w:firstLine="480" w:firstLineChars="200"/>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highlight w:val="none"/>
                <w:lang w:val="en-US" w:eastAsia="zh-CN"/>
              </w:rPr>
              <w:t>本项目</w:t>
            </w:r>
            <w:r>
              <w:rPr>
                <w:rFonts w:hint="default" w:ascii="Times New Roman" w:hAnsi="Times New Roman" w:eastAsia="宋体" w:cs="Times New Roman"/>
                <w:color w:val="auto"/>
                <w:sz w:val="24"/>
                <w:szCs w:val="24"/>
                <w:highlight w:val="none"/>
              </w:rPr>
              <w:t>土壤环境风险主要为</w:t>
            </w:r>
            <w:r>
              <w:rPr>
                <w:rFonts w:hint="default" w:ascii="Times New Roman" w:hAnsi="Times New Roman" w:cs="Times New Roman"/>
                <w:color w:val="auto"/>
                <w:sz w:val="24"/>
                <w:szCs w:val="24"/>
                <w:highlight w:val="none"/>
                <w:lang w:val="en-US" w:eastAsia="zh-CN"/>
              </w:rPr>
              <w:t>机油</w:t>
            </w:r>
            <w:r>
              <w:rPr>
                <w:rFonts w:hint="eastAsia" w:ascii="Times New Roman" w:hAnsi="Times New Roman" w:cs="Times New Roman"/>
                <w:color w:val="auto"/>
                <w:sz w:val="24"/>
                <w:szCs w:val="24"/>
                <w:highlight w:val="none"/>
                <w:lang w:val="en-US" w:eastAsia="zh-CN"/>
              </w:rPr>
              <w:t>、危废、</w:t>
            </w:r>
            <w:r>
              <w:rPr>
                <w:rFonts w:hint="eastAsia" w:cs="Times New Roman"/>
                <w:color w:val="auto"/>
                <w:sz w:val="24"/>
                <w:szCs w:val="24"/>
                <w:highlight w:val="none"/>
                <w:lang w:val="en-US" w:eastAsia="zh-CN"/>
              </w:rPr>
              <w:t>油墨</w:t>
            </w:r>
            <w:r>
              <w:rPr>
                <w:rFonts w:hint="default" w:ascii="Times New Roman" w:hAnsi="Times New Roman" w:eastAsia="宋体" w:cs="Times New Roman"/>
                <w:color w:val="auto"/>
                <w:sz w:val="24"/>
                <w:szCs w:val="24"/>
                <w:highlight w:val="none"/>
              </w:rPr>
              <w:t>等</w:t>
            </w:r>
            <w:r>
              <w:rPr>
                <w:rFonts w:hint="default" w:ascii="Times New Roman" w:hAnsi="Times New Roman" w:cs="Times New Roman"/>
                <w:color w:val="auto"/>
                <w:sz w:val="24"/>
                <w:szCs w:val="24"/>
                <w:highlight w:val="none"/>
                <w:lang w:eastAsia="zh-CN"/>
              </w:rPr>
              <w:t>泄漏</w:t>
            </w:r>
            <w:r>
              <w:rPr>
                <w:rFonts w:hint="default" w:ascii="Times New Roman" w:hAnsi="Times New Roman" w:eastAsia="宋体" w:cs="Times New Roman"/>
                <w:color w:val="auto"/>
                <w:sz w:val="24"/>
                <w:szCs w:val="24"/>
                <w:highlight w:val="none"/>
              </w:rPr>
              <w:t>造成土壤环境污染，项目采取源头控制、分区防渗等措施，对</w:t>
            </w:r>
            <w:r>
              <w:rPr>
                <w:rFonts w:hint="eastAsia" w:cs="Times New Roman"/>
                <w:color w:val="auto"/>
                <w:sz w:val="24"/>
                <w:szCs w:val="24"/>
                <w:highlight w:val="none"/>
                <w:lang w:val="en-US" w:eastAsia="zh-CN"/>
              </w:rPr>
              <w:t>辅料库</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危废</w:t>
            </w:r>
            <w:r>
              <w:rPr>
                <w:rFonts w:hint="eastAsia" w:cs="Times New Roman"/>
                <w:color w:val="auto"/>
                <w:sz w:val="24"/>
                <w:szCs w:val="24"/>
                <w:highlight w:val="none"/>
                <w:lang w:eastAsia="zh-CN"/>
              </w:rPr>
              <w:t>库</w:t>
            </w:r>
            <w:r>
              <w:rPr>
                <w:rFonts w:hint="eastAsia" w:ascii="Times New Roman" w:hAnsi="Times New Roman" w:cs="Times New Roman"/>
                <w:color w:val="auto"/>
                <w:sz w:val="24"/>
                <w:szCs w:val="24"/>
                <w:highlight w:val="none"/>
                <w:lang w:val="en-US" w:eastAsia="zh-CN"/>
              </w:rPr>
              <w:t>等</w:t>
            </w:r>
            <w:r>
              <w:rPr>
                <w:rFonts w:hint="default" w:ascii="Times New Roman" w:hAnsi="Times New Roman" w:eastAsia="宋体" w:cs="Times New Roman"/>
                <w:color w:val="auto"/>
                <w:sz w:val="24"/>
                <w:szCs w:val="24"/>
                <w:highlight w:val="none"/>
              </w:rPr>
              <w:t>区域采取重点防渗措施，</w:t>
            </w:r>
            <w:r>
              <w:rPr>
                <w:rFonts w:hint="eastAsia" w:ascii="Times New Roman" w:hAnsi="Times New Roman" w:eastAsia="宋体" w:cs="Times New Roman"/>
                <w:color w:val="auto"/>
                <w:sz w:val="24"/>
                <w:szCs w:val="24"/>
                <w:highlight w:val="none"/>
                <w:lang w:val="en-US" w:eastAsia="zh-CN"/>
              </w:rPr>
              <w:t>对化粪池、一般固废间</w:t>
            </w:r>
            <w:r>
              <w:rPr>
                <w:rFonts w:hint="eastAsia" w:cs="Times New Roman"/>
                <w:color w:val="auto"/>
                <w:sz w:val="24"/>
                <w:szCs w:val="24"/>
                <w:highlight w:val="none"/>
                <w:lang w:val="en-US" w:eastAsia="zh-CN"/>
              </w:rPr>
              <w:t>、成品库、原料库、隔油池等</w:t>
            </w:r>
            <w:r>
              <w:rPr>
                <w:rFonts w:hint="default" w:ascii="Times New Roman" w:hAnsi="Times New Roman" w:eastAsia="宋体" w:cs="Times New Roman"/>
                <w:color w:val="auto"/>
                <w:sz w:val="24"/>
                <w:szCs w:val="24"/>
                <w:highlight w:val="none"/>
              </w:rPr>
              <w:t>采取</w:t>
            </w:r>
            <w:r>
              <w:rPr>
                <w:rFonts w:hint="eastAsia" w:ascii="Times New Roman" w:hAnsi="Times New Roman" w:eastAsia="宋体" w:cs="Times New Roman"/>
                <w:color w:val="auto"/>
                <w:sz w:val="24"/>
                <w:szCs w:val="24"/>
                <w:highlight w:val="none"/>
                <w:lang w:val="en-US" w:eastAsia="zh-CN"/>
              </w:rPr>
              <w:t>一般</w:t>
            </w:r>
            <w:r>
              <w:rPr>
                <w:rFonts w:hint="default" w:ascii="Times New Roman" w:hAnsi="Times New Roman" w:eastAsia="宋体" w:cs="Times New Roman"/>
                <w:color w:val="auto"/>
                <w:sz w:val="24"/>
                <w:szCs w:val="24"/>
                <w:highlight w:val="none"/>
              </w:rPr>
              <w:t>防渗措施</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可有效降低土壤环境污染风险，对项目区及周边土壤环境影响较小。</w:t>
            </w:r>
          </w:p>
          <w:p w14:paraId="4E7A3DB6">
            <w:pPr>
              <w:spacing w:line="360" w:lineRule="auto"/>
              <w:ind w:firstLine="482" w:firstLineChars="200"/>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w:t>
            </w:r>
            <w:r>
              <w:rPr>
                <w:rFonts w:hint="default" w:ascii="Times New Roman" w:hAnsi="Times New Roman" w:cs="Times New Roman"/>
                <w:b/>
                <w:bCs/>
                <w:color w:val="auto"/>
                <w:sz w:val="24"/>
                <w:szCs w:val="24"/>
                <w:highlight w:val="none"/>
                <w:lang w:val="en-US" w:eastAsia="zh-CN"/>
              </w:rPr>
              <w:t>3</w:t>
            </w:r>
            <w:r>
              <w:rPr>
                <w:rFonts w:hint="default" w:ascii="Times New Roman" w:hAnsi="Times New Roman" w:eastAsia="宋体" w:cs="Times New Roman"/>
                <w:b/>
                <w:bCs/>
                <w:color w:val="auto"/>
                <w:sz w:val="24"/>
                <w:szCs w:val="24"/>
                <w:highlight w:val="none"/>
                <w:lang w:val="en-US" w:eastAsia="zh-CN"/>
              </w:rPr>
              <w:t>）资源利用上线</w:t>
            </w:r>
          </w:p>
          <w:p w14:paraId="19814160">
            <w:pPr>
              <w:spacing w:line="360" w:lineRule="auto"/>
              <w:ind w:firstLine="482" w:firstLineChars="200"/>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①水资源利用上线及分区管控</w:t>
            </w:r>
          </w:p>
          <w:p w14:paraId="16683122">
            <w:pPr>
              <w:spacing w:line="360" w:lineRule="auto"/>
              <w:ind w:firstLine="480" w:firstLineChars="200"/>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w:t>
            </w:r>
            <w:r>
              <w:rPr>
                <w:rFonts w:hint="default" w:ascii="Times New Roman" w:hAnsi="Times New Roman" w:cs="Times New Roman"/>
                <w:color w:val="auto"/>
                <w:sz w:val="24"/>
                <w:szCs w:val="24"/>
                <w:highlight w:val="none"/>
                <w:lang w:val="en-US" w:eastAsia="zh-CN"/>
              </w:rPr>
              <w:t>对比</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cs="Times New Roman"/>
                <w:color w:val="auto"/>
                <w:sz w:val="24"/>
                <w:szCs w:val="24"/>
                <w:highlight w:val="none"/>
              </w:rPr>
              <w:t>池州市生态环境分区管控成果编制文本</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中“池州市水资源管控分区图”可知</w:t>
            </w:r>
            <w:r>
              <w:rPr>
                <w:rFonts w:hint="default" w:ascii="Times New Roman" w:hAnsi="Times New Roman" w:eastAsia="宋体" w:cs="Times New Roman"/>
                <w:color w:val="auto"/>
                <w:sz w:val="24"/>
                <w:szCs w:val="24"/>
                <w:highlight w:val="none"/>
                <w:lang w:val="en-US" w:eastAsia="zh-CN"/>
              </w:rPr>
              <w:t>，本项目所在区域为一般管控区。</w:t>
            </w:r>
            <w:r>
              <w:rPr>
                <w:rFonts w:hint="default" w:ascii="Times New Roman" w:hAnsi="Times New Roman" w:eastAsia="宋体" w:cs="Times New Roman"/>
                <w:b w:val="0"/>
                <w:bCs w:val="0"/>
                <w:color w:val="auto"/>
                <w:sz w:val="24"/>
                <w:szCs w:val="24"/>
                <w:highlight w:val="none"/>
              </w:rPr>
              <w:t>项目在池州市</w:t>
            </w:r>
            <w:r>
              <w:rPr>
                <w:rFonts w:hint="default" w:ascii="Times New Roman" w:hAnsi="Times New Roman" w:eastAsia="宋体" w:cs="Times New Roman"/>
                <w:b w:val="0"/>
                <w:bCs w:val="0"/>
                <w:color w:val="auto"/>
                <w:sz w:val="24"/>
                <w:szCs w:val="24"/>
                <w:highlight w:val="none"/>
                <w:lang w:val="en-US" w:eastAsia="zh-CN"/>
              </w:rPr>
              <w:t>水资源管控分区</w:t>
            </w:r>
            <w:r>
              <w:rPr>
                <w:rFonts w:hint="default" w:ascii="Times New Roman" w:hAnsi="Times New Roman" w:eastAsia="宋体" w:cs="Times New Roman"/>
                <w:b w:val="0"/>
                <w:bCs w:val="0"/>
                <w:color w:val="auto"/>
                <w:sz w:val="24"/>
                <w:szCs w:val="24"/>
                <w:highlight w:val="none"/>
              </w:rPr>
              <w:t>图中的位置</w:t>
            </w:r>
            <w:r>
              <w:rPr>
                <w:rFonts w:hint="default" w:ascii="Times New Roman" w:hAnsi="Times New Roman" w:eastAsia="宋体" w:cs="Times New Roman"/>
                <w:b w:val="0"/>
                <w:bCs w:val="0"/>
                <w:color w:val="auto"/>
                <w:sz w:val="24"/>
                <w:szCs w:val="24"/>
                <w:highlight w:val="none"/>
                <w:lang w:val="en-US" w:eastAsia="zh-CN"/>
              </w:rPr>
              <w:t>图见</w:t>
            </w:r>
            <w:r>
              <w:rPr>
                <w:rFonts w:hint="eastAsia" w:cs="Times New Roman"/>
                <w:b w:val="0"/>
                <w:bCs w:val="0"/>
                <w:color w:val="auto"/>
                <w:sz w:val="24"/>
                <w:szCs w:val="24"/>
                <w:highlight w:val="none"/>
                <w:lang w:val="en-US" w:eastAsia="zh-CN"/>
              </w:rPr>
              <w:t>下图</w:t>
            </w:r>
            <w:r>
              <w:rPr>
                <w:rFonts w:hint="default" w:ascii="Times New Roman" w:hAnsi="Times New Roman" w:eastAsia="宋体" w:cs="Times New Roman"/>
                <w:b w:val="0"/>
                <w:bCs w:val="0"/>
                <w:color w:val="auto"/>
                <w:sz w:val="24"/>
                <w:szCs w:val="24"/>
                <w:highlight w:val="none"/>
                <w:lang w:val="en-US" w:eastAsia="zh-CN"/>
              </w:rPr>
              <w:t>。</w:t>
            </w:r>
          </w:p>
          <w:p w14:paraId="68673B1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drawing>
                <wp:inline distT="0" distB="0" distL="114300" distR="114300">
                  <wp:extent cx="4745990" cy="3358515"/>
                  <wp:effectExtent l="0" t="0" r="3810" b="6985"/>
                  <wp:docPr id="42" name="图片 42"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6"/>
                          <pic:cNvPicPr>
                            <a:picLocks noChangeAspect="1"/>
                          </pic:cNvPicPr>
                        </pic:nvPicPr>
                        <pic:blipFill>
                          <a:blip r:embed="rId19"/>
                          <a:stretch>
                            <a:fillRect/>
                          </a:stretch>
                        </pic:blipFill>
                        <pic:spPr>
                          <a:xfrm>
                            <a:off x="0" y="0"/>
                            <a:ext cx="4745990" cy="3358515"/>
                          </a:xfrm>
                          <a:prstGeom prst="rect">
                            <a:avLst/>
                          </a:prstGeom>
                        </pic:spPr>
                      </pic:pic>
                    </a:graphicData>
                  </a:graphic>
                </wp:inline>
              </w:drawing>
            </w:r>
          </w:p>
          <w:p w14:paraId="0B9567E7">
            <w:pPr>
              <w:keepNext w:val="0"/>
              <w:keepLines w:val="0"/>
              <w:widowControl w:val="0"/>
              <w:suppressLineNumbers w:val="0"/>
              <w:spacing w:before="0" w:beforeAutospacing="0" w:after="0" w:afterAutospacing="0" w:line="360" w:lineRule="auto"/>
              <w:ind w:left="0" w:right="0" w:firstLine="422" w:firstLineChars="200"/>
              <w:jc w:val="center"/>
              <w:rPr>
                <w:rFonts w:hint="default" w:ascii="Times New Roman" w:hAnsi="Times New Roman" w:eastAsia="宋体" w:cs="Times New Roman"/>
                <w:color w:val="auto"/>
                <w:sz w:val="24"/>
                <w:szCs w:val="24"/>
                <w:highlight w:val="none"/>
                <w:lang w:val="en-US" w:eastAsia="zh-CN"/>
              </w:rPr>
            </w:pPr>
            <w:r>
              <w:rPr>
                <w:rFonts w:hint="eastAsia" w:ascii="宋体" w:hAnsi="宋体" w:eastAsia="宋体" w:cs="宋体"/>
                <w:b/>
                <w:bCs/>
                <w:kern w:val="2"/>
                <w:sz w:val="21"/>
                <w:szCs w:val="21"/>
                <w:lang w:val="en-US" w:eastAsia="zh-CN" w:bidi="ar"/>
              </w:rPr>
              <w:t>图</w:t>
            </w:r>
            <w:r>
              <w:rPr>
                <w:rFonts w:hint="default" w:ascii="Times New Roman" w:hAnsi="Times New Roman" w:eastAsia="宋体" w:cs="Times New Roman"/>
                <w:b/>
                <w:bCs/>
                <w:kern w:val="2"/>
                <w:sz w:val="21"/>
                <w:szCs w:val="21"/>
                <w:lang w:val="en-US" w:eastAsia="zh-CN" w:bidi="ar"/>
              </w:rPr>
              <w:t>1-</w:t>
            </w:r>
            <w:r>
              <w:rPr>
                <w:rFonts w:hint="eastAsia" w:ascii="Times New Roman" w:hAnsi="Times New Roman" w:eastAsia="宋体" w:cs="Times New Roman"/>
                <w:b/>
                <w:bCs/>
                <w:kern w:val="2"/>
                <w:sz w:val="21"/>
                <w:szCs w:val="21"/>
                <w:lang w:val="en-US" w:eastAsia="zh-CN" w:bidi="ar"/>
              </w:rPr>
              <w:t>7</w:t>
            </w:r>
            <w:r>
              <w:rPr>
                <w:rFonts w:hint="eastAsia" w:ascii="宋体" w:hAnsi="宋体" w:eastAsia="宋体" w:cs="宋体"/>
                <w:b/>
                <w:bCs/>
                <w:kern w:val="2"/>
                <w:sz w:val="21"/>
                <w:szCs w:val="21"/>
                <w:lang w:val="en-US" w:eastAsia="zh-CN" w:bidi="ar"/>
              </w:rPr>
              <w:t>项目在池州市水资源管控分区图中的位置</w:t>
            </w:r>
          </w:p>
          <w:p w14:paraId="44B39B6D">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水资源分区管控要求：落实《国务院办公厅关于印发实行最严格水资源管理制度考核办法的通知》《关于落实池州市“十四五”用水总量和强度双控目标的通知》等要求。</w:t>
            </w:r>
          </w:p>
          <w:p w14:paraId="1BB1878B">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项目运营过程中消耗一定量的水资源，区域项目所在地已建基础设施能够满足本项目水资源供应需求，项目建设未突破区域</w:t>
            </w:r>
            <w:r>
              <w:rPr>
                <w:rFonts w:hint="eastAsia" w:ascii="Times New Roman" w:hAnsi="Times New Roman" w:eastAsia="宋体" w:cs="Times New Roman"/>
                <w:color w:val="auto"/>
                <w:sz w:val="24"/>
                <w:szCs w:val="24"/>
                <w:highlight w:val="none"/>
                <w:lang w:val="en-US" w:eastAsia="zh-CN"/>
              </w:rPr>
              <w:t>水</w:t>
            </w:r>
            <w:r>
              <w:rPr>
                <w:rFonts w:hint="default" w:ascii="Times New Roman" w:hAnsi="Times New Roman" w:eastAsia="宋体" w:cs="Times New Roman"/>
                <w:color w:val="auto"/>
                <w:sz w:val="24"/>
                <w:szCs w:val="24"/>
                <w:highlight w:val="none"/>
                <w:lang w:val="en-US" w:eastAsia="zh-CN"/>
              </w:rPr>
              <w:t>资源利用上线，符合</w:t>
            </w:r>
            <w:r>
              <w:rPr>
                <w:rFonts w:hint="eastAsia" w:ascii="Times New Roman" w:hAnsi="Times New Roman" w:eastAsia="宋体" w:cs="Times New Roman"/>
                <w:color w:val="auto"/>
                <w:sz w:val="24"/>
                <w:szCs w:val="24"/>
                <w:highlight w:val="none"/>
                <w:lang w:val="en-US" w:eastAsia="zh-CN"/>
              </w:rPr>
              <w:t>水</w:t>
            </w:r>
            <w:r>
              <w:rPr>
                <w:rFonts w:hint="default" w:ascii="Times New Roman" w:hAnsi="Times New Roman" w:eastAsia="宋体" w:cs="Times New Roman"/>
                <w:color w:val="auto"/>
                <w:sz w:val="24"/>
                <w:szCs w:val="24"/>
                <w:highlight w:val="none"/>
                <w:lang w:val="en-US" w:eastAsia="zh-CN"/>
              </w:rPr>
              <w:t>资源利用上线及分区管控要求。</w:t>
            </w:r>
          </w:p>
          <w:p w14:paraId="2D21F33D">
            <w:pPr>
              <w:spacing w:line="360" w:lineRule="auto"/>
              <w:ind w:firstLine="482" w:firstLineChars="200"/>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②土地资源利用上线及分区管控</w:t>
            </w:r>
          </w:p>
          <w:p w14:paraId="26104184">
            <w:pPr>
              <w:spacing w:line="360" w:lineRule="auto"/>
              <w:ind w:firstLine="480" w:firstLineChars="200"/>
              <w:rPr>
                <w:rFonts w:hint="eastAsia"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w:t>
            </w:r>
            <w:r>
              <w:rPr>
                <w:rFonts w:hint="default" w:ascii="Times New Roman" w:hAnsi="Times New Roman" w:cs="Times New Roman"/>
                <w:color w:val="auto"/>
                <w:sz w:val="24"/>
                <w:szCs w:val="24"/>
                <w:highlight w:val="none"/>
                <w:lang w:val="en-US" w:eastAsia="zh-CN"/>
              </w:rPr>
              <w:t>对比</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cs="Times New Roman"/>
                <w:color w:val="auto"/>
                <w:sz w:val="24"/>
                <w:szCs w:val="24"/>
                <w:highlight w:val="none"/>
              </w:rPr>
              <w:t>池州市生态环境分区管控成果编制文本</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中“池州市土地资源管控分区图”可知，本项目</w:t>
            </w:r>
            <w:r>
              <w:rPr>
                <w:rFonts w:hint="default" w:ascii="Times New Roman" w:hAnsi="Times New Roman" w:eastAsia="宋体" w:cs="Times New Roman"/>
                <w:color w:val="auto"/>
                <w:sz w:val="24"/>
                <w:szCs w:val="24"/>
                <w:highlight w:val="none"/>
              </w:rPr>
              <w:t>所在区域为</w:t>
            </w:r>
            <w:r>
              <w:rPr>
                <w:rFonts w:hint="default" w:ascii="Times New Roman" w:hAnsi="Times New Roman" w:cs="Times New Roman"/>
                <w:color w:val="auto"/>
                <w:sz w:val="24"/>
                <w:szCs w:val="24"/>
                <w:highlight w:val="none"/>
                <w:lang w:val="en-US" w:eastAsia="zh-CN"/>
              </w:rPr>
              <w:t>其他区域</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rPr>
              <w:t>项目在池州市</w:t>
            </w:r>
            <w:r>
              <w:rPr>
                <w:rFonts w:hint="default" w:ascii="Times New Roman" w:hAnsi="Times New Roman" w:eastAsia="宋体" w:cs="Times New Roman"/>
                <w:b w:val="0"/>
                <w:bCs w:val="0"/>
                <w:color w:val="auto"/>
                <w:sz w:val="24"/>
                <w:szCs w:val="24"/>
                <w:highlight w:val="none"/>
                <w:lang w:val="en-US" w:eastAsia="zh-CN"/>
              </w:rPr>
              <w:t>土地资源管控分区</w:t>
            </w:r>
            <w:r>
              <w:rPr>
                <w:rFonts w:hint="default" w:ascii="Times New Roman" w:hAnsi="Times New Roman" w:eastAsia="宋体" w:cs="Times New Roman"/>
                <w:b w:val="0"/>
                <w:bCs w:val="0"/>
                <w:color w:val="auto"/>
                <w:sz w:val="24"/>
                <w:szCs w:val="24"/>
                <w:highlight w:val="none"/>
              </w:rPr>
              <w:t>图中的位置</w:t>
            </w:r>
            <w:r>
              <w:rPr>
                <w:rFonts w:hint="eastAsia" w:ascii="Times New Roman" w:hAnsi="Times New Roman" w:eastAsia="宋体" w:cs="Times New Roman"/>
                <w:b w:val="0"/>
                <w:bCs w:val="0"/>
                <w:color w:val="auto"/>
                <w:sz w:val="24"/>
                <w:szCs w:val="24"/>
                <w:highlight w:val="none"/>
                <w:lang w:val="en-US" w:eastAsia="zh-CN"/>
              </w:rPr>
              <w:t>见</w:t>
            </w:r>
            <w:r>
              <w:rPr>
                <w:rFonts w:hint="eastAsia" w:cs="Times New Roman"/>
                <w:b w:val="0"/>
                <w:bCs w:val="0"/>
                <w:color w:val="auto"/>
                <w:sz w:val="24"/>
                <w:szCs w:val="24"/>
                <w:highlight w:val="none"/>
                <w:lang w:val="en-US" w:eastAsia="zh-CN"/>
              </w:rPr>
              <w:t>下图</w:t>
            </w:r>
            <w:r>
              <w:rPr>
                <w:rFonts w:hint="eastAsia" w:ascii="Times New Roman" w:hAnsi="Times New Roman" w:eastAsia="宋体" w:cs="Times New Roman"/>
                <w:b w:val="0"/>
                <w:bCs w:val="0"/>
                <w:color w:val="auto"/>
                <w:sz w:val="24"/>
                <w:szCs w:val="24"/>
                <w:highlight w:val="none"/>
                <w:lang w:val="en-US" w:eastAsia="zh-CN"/>
              </w:rPr>
              <w:t>。</w:t>
            </w:r>
          </w:p>
          <w:p w14:paraId="763D0AE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drawing>
                <wp:inline distT="0" distB="0" distL="114300" distR="114300">
                  <wp:extent cx="4745990" cy="3358515"/>
                  <wp:effectExtent l="0" t="0" r="3810" b="6985"/>
                  <wp:docPr id="43" name="图片 43"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7"/>
                          <pic:cNvPicPr>
                            <a:picLocks noChangeAspect="1"/>
                          </pic:cNvPicPr>
                        </pic:nvPicPr>
                        <pic:blipFill>
                          <a:blip r:embed="rId20"/>
                          <a:stretch>
                            <a:fillRect/>
                          </a:stretch>
                        </pic:blipFill>
                        <pic:spPr>
                          <a:xfrm>
                            <a:off x="0" y="0"/>
                            <a:ext cx="4745990" cy="3358515"/>
                          </a:xfrm>
                          <a:prstGeom prst="rect">
                            <a:avLst/>
                          </a:prstGeom>
                        </pic:spPr>
                      </pic:pic>
                    </a:graphicData>
                  </a:graphic>
                </wp:inline>
              </w:drawing>
            </w:r>
          </w:p>
          <w:p w14:paraId="1BF61888">
            <w:pPr>
              <w:keepNext w:val="0"/>
              <w:keepLines w:val="0"/>
              <w:widowControl w:val="0"/>
              <w:suppressLineNumbers w:val="0"/>
              <w:spacing w:before="0" w:beforeAutospacing="0" w:after="0" w:afterAutospacing="0" w:line="360" w:lineRule="auto"/>
              <w:ind w:left="0" w:right="0" w:firstLine="422" w:firstLineChars="200"/>
              <w:jc w:val="center"/>
              <w:rPr>
                <w:rFonts w:hint="default" w:ascii="Times New Roman" w:hAnsi="Times New Roman" w:eastAsia="宋体" w:cs="Times New Roman"/>
                <w:color w:val="auto"/>
                <w:sz w:val="24"/>
                <w:szCs w:val="24"/>
                <w:highlight w:val="none"/>
                <w:lang w:val="en-US" w:eastAsia="zh-CN"/>
              </w:rPr>
            </w:pPr>
            <w:r>
              <w:rPr>
                <w:rFonts w:hint="eastAsia" w:ascii="宋体" w:hAnsi="宋体" w:eastAsia="宋体" w:cs="宋体"/>
                <w:b/>
                <w:bCs/>
                <w:kern w:val="2"/>
                <w:sz w:val="21"/>
                <w:szCs w:val="21"/>
                <w:lang w:val="en-US" w:eastAsia="zh-CN" w:bidi="ar"/>
              </w:rPr>
              <w:t>图</w:t>
            </w:r>
            <w:r>
              <w:rPr>
                <w:rFonts w:hint="default" w:ascii="Times New Roman" w:hAnsi="Times New Roman" w:eastAsia="宋体" w:cs="Times New Roman"/>
                <w:b/>
                <w:bCs/>
                <w:kern w:val="2"/>
                <w:sz w:val="21"/>
                <w:szCs w:val="21"/>
                <w:lang w:val="en-US" w:eastAsia="zh-CN" w:bidi="ar"/>
              </w:rPr>
              <w:t>1-</w:t>
            </w:r>
            <w:r>
              <w:rPr>
                <w:rFonts w:hint="eastAsia" w:cs="Times New Roman"/>
                <w:b/>
                <w:bCs/>
                <w:kern w:val="2"/>
                <w:sz w:val="21"/>
                <w:szCs w:val="21"/>
                <w:lang w:val="en-US" w:eastAsia="zh-CN" w:bidi="ar"/>
              </w:rPr>
              <w:t>8</w:t>
            </w:r>
            <w:r>
              <w:rPr>
                <w:rFonts w:hint="eastAsia" w:ascii="宋体" w:hAnsi="宋体" w:eastAsia="宋体" w:cs="宋体"/>
                <w:b/>
                <w:bCs/>
                <w:kern w:val="2"/>
                <w:sz w:val="21"/>
                <w:szCs w:val="21"/>
                <w:lang w:val="en-US" w:eastAsia="zh-CN" w:bidi="ar"/>
              </w:rPr>
              <w:t>项目在池州市土地资源管控分区图中的位置</w:t>
            </w:r>
          </w:p>
          <w:p w14:paraId="5315F6D8">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土地资源分区管控要求：本轮更新衔接自然资源部门国土空间总体规划等有关文件关于土地资源开发利用总量及强度要求，深化细化分区管控要求。</w:t>
            </w:r>
          </w:p>
          <w:p w14:paraId="3D0EF15B">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highlight w:val="none"/>
                <w:lang w:val="en-US" w:eastAsia="zh-CN"/>
              </w:rPr>
              <w:t>本项目</w:t>
            </w:r>
            <w:r>
              <w:rPr>
                <w:rFonts w:hint="default" w:ascii="Times New Roman" w:hAnsi="Times New Roman" w:cs="Times New Roman"/>
                <w:color w:val="auto"/>
                <w:sz w:val="24"/>
                <w:szCs w:val="24"/>
                <w:highlight w:val="none"/>
                <w:lang w:val="en-US" w:eastAsia="zh-CN"/>
              </w:rPr>
              <w:t>位于</w:t>
            </w:r>
            <w:r>
              <w:rPr>
                <w:rFonts w:hint="eastAsia" w:cs="Times New Roman"/>
                <w:color w:val="auto"/>
                <w:sz w:val="24"/>
                <w:szCs w:val="24"/>
                <w:highlight w:val="none"/>
                <w:lang w:val="en-US" w:eastAsia="zh-CN"/>
              </w:rPr>
              <w:t>安徽省青阳经济开发区东河园</w:t>
            </w:r>
            <w:r>
              <w:rPr>
                <w:rFonts w:hint="default" w:ascii="Times New Roman" w:hAnsi="Times New Roman" w:eastAsia="宋体" w:cs="Times New Roman"/>
                <w:color w:val="auto"/>
                <w:sz w:val="24"/>
                <w:szCs w:val="24"/>
                <w:highlight w:val="none"/>
                <w:lang w:val="en-US" w:eastAsia="zh-CN"/>
              </w:rPr>
              <w:t>，属于工业用地，项目建设满足土地资源利用上线及分区管控要求。</w:t>
            </w:r>
          </w:p>
          <w:p w14:paraId="04B60A8D">
            <w:pPr>
              <w:spacing w:line="360" w:lineRule="auto"/>
              <w:ind w:firstLine="482" w:firstLineChars="200"/>
              <w:rPr>
                <w:rFonts w:hint="default" w:ascii="Times New Roman" w:hAnsi="Times New Roman" w:eastAsia="宋体" w:cs="Times New Roman"/>
                <w:b/>
                <w:bCs/>
                <w:color w:val="auto"/>
                <w:szCs w:val="24"/>
                <w:highlight w:val="none"/>
              </w:rPr>
            </w:pPr>
            <w:r>
              <w:rPr>
                <w:rFonts w:hint="default" w:ascii="Times New Roman" w:hAnsi="Times New Roman" w:eastAsia="宋体" w:cs="Times New Roman"/>
                <w:b/>
                <w:bCs/>
                <w:color w:val="auto"/>
                <w:sz w:val="24"/>
                <w:szCs w:val="24"/>
                <w:highlight w:val="none"/>
              </w:rPr>
              <w:t>③</w:t>
            </w:r>
            <w:r>
              <w:rPr>
                <w:rFonts w:hint="default" w:ascii="Times New Roman" w:hAnsi="Times New Roman" w:eastAsia="宋体" w:cs="Times New Roman"/>
                <w:b/>
                <w:bCs/>
                <w:color w:val="auto"/>
                <w:szCs w:val="24"/>
                <w:highlight w:val="none"/>
              </w:rPr>
              <w:t>煤炭资源利用</w:t>
            </w:r>
            <w:r>
              <w:rPr>
                <w:rFonts w:hint="eastAsia" w:ascii="Times New Roman" w:hAnsi="Times New Roman" w:eastAsia="宋体" w:cs="Times New Roman"/>
                <w:b/>
                <w:bCs/>
                <w:color w:val="auto"/>
                <w:szCs w:val="24"/>
                <w:highlight w:val="none"/>
                <w:lang w:val="en-US" w:eastAsia="zh-CN"/>
              </w:rPr>
              <w:t>上线及</w:t>
            </w:r>
            <w:r>
              <w:rPr>
                <w:rFonts w:hint="default" w:ascii="Times New Roman" w:hAnsi="Times New Roman" w:eastAsia="宋体" w:cs="Times New Roman"/>
                <w:b/>
                <w:bCs/>
                <w:color w:val="auto"/>
                <w:szCs w:val="24"/>
                <w:highlight w:val="none"/>
              </w:rPr>
              <w:t>分区管控</w:t>
            </w:r>
          </w:p>
          <w:p w14:paraId="15E4E4C7">
            <w:pPr>
              <w:spacing w:line="360" w:lineRule="auto"/>
              <w:ind w:firstLine="480" w:firstLineChars="200"/>
              <w:rPr>
                <w:rFonts w:hint="eastAsia"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w:t>
            </w:r>
            <w:r>
              <w:rPr>
                <w:rFonts w:hint="default" w:ascii="Times New Roman" w:hAnsi="Times New Roman" w:cs="Times New Roman"/>
                <w:color w:val="auto"/>
                <w:sz w:val="24"/>
                <w:szCs w:val="24"/>
                <w:highlight w:val="none"/>
                <w:lang w:val="en-US" w:eastAsia="zh-CN"/>
              </w:rPr>
              <w:t>对比</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cs="Times New Roman"/>
                <w:color w:val="auto"/>
                <w:sz w:val="24"/>
                <w:szCs w:val="24"/>
                <w:highlight w:val="none"/>
              </w:rPr>
              <w:t>池州市生态环境分区管控成果编制文本</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中“池州市</w:t>
            </w:r>
            <w:r>
              <w:rPr>
                <w:rFonts w:hint="eastAsia" w:ascii="Times New Roman" w:hAnsi="Times New Roman" w:cs="Times New Roman"/>
                <w:color w:val="auto"/>
                <w:sz w:val="24"/>
                <w:szCs w:val="24"/>
                <w:highlight w:val="none"/>
                <w:lang w:val="en-US" w:eastAsia="zh-CN"/>
              </w:rPr>
              <w:t>高污染燃料禁燃区</w:t>
            </w:r>
            <w:r>
              <w:rPr>
                <w:rFonts w:hint="default" w:ascii="Times New Roman" w:hAnsi="Times New Roman" w:cs="Times New Roman"/>
                <w:color w:val="auto"/>
                <w:sz w:val="24"/>
                <w:szCs w:val="24"/>
                <w:highlight w:val="none"/>
                <w:lang w:val="en-US" w:eastAsia="zh-CN"/>
              </w:rPr>
              <w:t>图”可知，本项目</w:t>
            </w:r>
            <w:r>
              <w:rPr>
                <w:rFonts w:hint="default" w:ascii="Times New Roman" w:hAnsi="Times New Roman" w:eastAsia="宋体" w:cs="Times New Roman"/>
                <w:color w:val="auto"/>
                <w:sz w:val="24"/>
                <w:szCs w:val="24"/>
                <w:highlight w:val="none"/>
              </w:rPr>
              <w:t>所在区域为</w:t>
            </w:r>
            <w:r>
              <w:rPr>
                <w:rFonts w:hint="eastAsia" w:cs="Times New Roman"/>
                <w:color w:val="auto"/>
                <w:sz w:val="24"/>
                <w:szCs w:val="24"/>
                <w:highlight w:val="none"/>
                <w:lang w:val="en-US" w:eastAsia="zh-CN"/>
              </w:rPr>
              <w:t>一般管控区</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rPr>
              <w:t>项目在池州市</w:t>
            </w:r>
            <w:r>
              <w:rPr>
                <w:rFonts w:hint="eastAsia" w:ascii="Times New Roman" w:hAnsi="Times New Roman" w:eastAsia="宋体" w:cs="Times New Roman"/>
                <w:b w:val="0"/>
                <w:bCs w:val="0"/>
                <w:color w:val="auto"/>
                <w:sz w:val="24"/>
                <w:szCs w:val="24"/>
                <w:highlight w:val="none"/>
                <w:lang w:val="en-US" w:eastAsia="zh-CN"/>
              </w:rPr>
              <w:t>高污染燃料禁燃区</w:t>
            </w:r>
            <w:r>
              <w:rPr>
                <w:rFonts w:hint="default" w:ascii="Times New Roman" w:hAnsi="Times New Roman" w:eastAsia="宋体" w:cs="Times New Roman"/>
                <w:b w:val="0"/>
                <w:bCs w:val="0"/>
                <w:color w:val="auto"/>
                <w:sz w:val="24"/>
                <w:szCs w:val="24"/>
                <w:highlight w:val="none"/>
              </w:rPr>
              <w:t>图中的位置</w:t>
            </w:r>
            <w:r>
              <w:rPr>
                <w:rFonts w:hint="eastAsia" w:ascii="Times New Roman" w:hAnsi="Times New Roman" w:eastAsia="宋体" w:cs="Times New Roman"/>
                <w:b w:val="0"/>
                <w:bCs w:val="0"/>
                <w:color w:val="auto"/>
                <w:sz w:val="24"/>
                <w:szCs w:val="24"/>
                <w:highlight w:val="none"/>
                <w:lang w:val="en-US" w:eastAsia="zh-CN"/>
              </w:rPr>
              <w:t>见</w:t>
            </w:r>
            <w:r>
              <w:rPr>
                <w:rFonts w:hint="eastAsia" w:cs="Times New Roman"/>
                <w:b w:val="0"/>
                <w:bCs w:val="0"/>
                <w:color w:val="auto"/>
                <w:sz w:val="24"/>
                <w:szCs w:val="24"/>
                <w:highlight w:val="none"/>
                <w:lang w:val="en-US" w:eastAsia="zh-CN"/>
              </w:rPr>
              <w:t>下图</w:t>
            </w:r>
            <w:r>
              <w:rPr>
                <w:rFonts w:hint="eastAsia" w:ascii="Times New Roman" w:hAnsi="Times New Roman" w:eastAsia="宋体" w:cs="Times New Roman"/>
                <w:b w:val="0"/>
                <w:bCs w:val="0"/>
                <w:color w:val="auto"/>
                <w:sz w:val="24"/>
                <w:szCs w:val="24"/>
                <w:highlight w:val="none"/>
                <w:lang w:val="en-US" w:eastAsia="zh-CN"/>
              </w:rPr>
              <w:t>。</w:t>
            </w:r>
          </w:p>
          <w:p w14:paraId="6892EF2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drawing>
                <wp:inline distT="0" distB="0" distL="114300" distR="114300">
                  <wp:extent cx="4745990" cy="3358515"/>
                  <wp:effectExtent l="0" t="0" r="3810" b="6985"/>
                  <wp:docPr id="45" name="图片 4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8"/>
                          <pic:cNvPicPr>
                            <a:picLocks noChangeAspect="1"/>
                          </pic:cNvPicPr>
                        </pic:nvPicPr>
                        <pic:blipFill>
                          <a:blip r:embed="rId21"/>
                          <a:stretch>
                            <a:fillRect/>
                          </a:stretch>
                        </pic:blipFill>
                        <pic:spPr>
                          <a:xfrm>
                            <a:off x="0" y="0"/>
                            <a:ext cx="4745990" cy="3358515"/>
                          </a:xfrm>
                          <a:prstGeom prst="rect">
                            <a:avLst/>
                          </a:prstGeom>
                        </pic:spPr>
                      </pic:pic>
                    </a:graphicData>
                  </a:graphic>
                </wp:inline>
              </w:drawing>
            </w:r>
          </w:p>
          <w:p w14:paraId="7617DAED">
            <w:pPr>
              <w:keepNext w:val="0"/>
              <w:keepLines w:val="0"/>
              <w:widowControl w:val="0"/>
              <w:suppressLineNumbers w:val="0"/>
              <w:spacing w:before="0" w:beforeAutospacing="0" w:after="0" w:afterAutospacing="0" w:line="360" w:lineRule="auto"/>
              <w:ind w:left="0" w:right="0" w:firstLine="422" w:firstLineChars="200"/>
              <w:jc w:val="center"/>
              <w:rPr>
                <w:rFonts w:hint="eastAsia" w:ascii="Times New Roman" w:hAnsi="Times New Roman" w:eastAsia="宋体" w:cs="Times New Roman"/>
                <w:b w:val="0"/>
                <w:color w:val="auto"/>
                <w:szCs w:val="24"/>
                <w:highlight w:val="none"/>
                <w:lang w:val="en-US" w:eastAsia="zh-CN"/>
              </w:rPr>
            </w:pPr>
            <w:r>
              <w:rPr>
                <w:rFonts w:hint="eastAsia" w:ascii="宋体" w:hAnsi="宋体" w:eastAsia="宋体" w:cs="宋体"/>
                <w:b/>
                <w:bCs/>
                <w:kern w:val="2"/>
                <w:sz w:val="21"/>
                <w:szCs w:val="21"/>
                <w:lang w:val="en-US" w:eastAsia="zh-CN" w:bidi="ar"/>
              </w:rPr>
              <w:t>图</w:t>
            </w:r>
            <w:r>
              <w:rPr>
                <w:rFonts w:hint="default" w:ascii="Times New Roman" w:hAnsi="Times New Roman" w:eastAsia="宋体" w:cs="Times New Roman"/>
                <w:b/>
                <w:bCs/>
                <w:kern w:val="2"/>
                <w:sz w:val="21"/>
                <w:szCs w:val="21"/>
                <w:lang w:val="en-US" w:eastAsia="zh-CN" w:bidi="ar"/>
              </w:rPr>
              <w:t>1-</w:t>
            </w:r>
            <w:r>
              <w:rPr>
                <w:rFonts w:hint="eastAsia" w:cs="Times New Roman"/>
                <w:b/>
                <w:bCs/>
                <w:kern w:val="2"/>
                <w:sz w:val="21"/>
                <w:szCs w:val="21"/>
                <w:lang w:val="en-US" w:eastAsia="zh-CN" w:bidi="ar"/>
              </w:rPr>
              <w:t>9</w:t>
            </w:r>
            <w:r>
              <w:rPr>
                <w:rFonts w:hint="eastAsia" w:ascii="Times New Roman" w:hAnsi="Times New Roman" w:eastAsia="宋体" w:cs="Times New Roman"/>
                <w:b/>
                <w:bCs/>
                <w:kern w:val="2"/>
                <w:sz w:val="21"/>
                <w:szCs w:val="21"/>
                <w:lang w:val="en-US" w:eastAsia="zh-CN" w:bidi="ar"/>
              </w:rPr>
              <w:t>池州市高污染燃料禁燃区图中的位置</w:t>
            </w:r>
          </w:p>
          <w:p w14:paraId="56BAC946">
            <w:pPr>
              <w:spacing w:line="360" w:lineRule="auto"/>
              <w:ind w:firstLine="562"/>
              <w:rPr>
                <w:rFonts w:ascii="Times New Roman" w:hAnsi="Times New Roman" w:cs="Times New Roman"/>
                <w:color w:val="auto"/>
                <w:szCs w:val="28"/>
                <w:highlight w:val="none"/>
              </w:rPr>
            </w:pPr>
            <w:r>
              <w:rPr>
                <w:rFonts w:hint="eastAsia" w:cs="Times New Roman"/>
                <w:b w:val="0"/>
                <w:color w:val="auto"/>
                <w:szCs w:val="24"/>
                <w:highlight w:val="none"/>
                <w:lang w:val="en-US" w:eastAsia="zh-CN"/>
              </w:rPr>
              <w:t>煤炭资源一般管控区</w:t>
            </w:r>
            <w:r>
              <w:rPr>
                <w:rFonts w:hint="default" w:ascii="Times New Roman" w:hAnsi="Times New Roman" w:eastAsia="宋体" w:cs="Times New Roman"/>
                <w:color w:val="auto"/>
                <w:sz w:val="24"/>
                <w:szCs w:val="24"/>
                <w:highlight w:val="none"/>
                <w:lang w:val="en-US" w:eastAsia="zh-CN"/>
              </w:rPr>
              <w:t>要求</w:t>
            </w:r>
            <w:r>
              <w:rPr>
                <w:rFonts w:ascii="Times New Roman" w:hAnsi="Times New Roman" w:eastAsia="宋体" w:cs="Times New Roman"/>
                <w:b w:val="0"/>
                <w:color w:val="auto"/>
                <w:szCs w:val="24"/>
                <w:highlight w:val="none"/>
              </w:rPr>
              <w:t>：</w:t>
            </w:r>
            <w:r>
              <w:rPr>
                <w:rFonts w:hint="eastAsia" w:ascii="Times New Roman" w:hAnsi="Times New Roman" w:cs="Times New Roman"/>
                <w:szCs w:val="28"/>
              </w:rPr>
              <w:t>落实《安徽省“十四五”节能减排实施方案》《池州市“十四五”生态环境保护规划》《池州市“十四五”节能减排方案》要求。</w:t>
            </w:r>
          </w:p>
          <w:p w14:paraId="559E5E83">
            <w:pPr>
              <w:spacing w:line="360" w:lineRule="auto"/>
              <w:ind w:firstLine="562" w:firstLineChars="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i w:val="0"/>
                <w:iCs w:val="0"/>
                <w:caps w:val="0"/>
                <w:color w:val="auto"/>
                <w:spacing w:val="0"/>
                <w:sz w:val="24"/>
                <w:szCs w:val="24"/>
                <w:highlight w:val="none"/>
                <w:shd w:val="clear" w:color="auto" w:fill="auto"/>
                <w:lang w:val="en-US" w:eastAsia="zh-CN" w:bidi="ar"/>
              </w:rPr>
              <w:t>本项目使用</w:t>
            </w:r>
            <w:r>
              <w:rPr>
                <w:rFonts w:hint="eastAsia" w:cs="Times New Roman"/>
                <w:i w:val="0"/>
                <w:iCs w:val="0"/>
                <w:caps w:val="0"/>
                <w:color w:val="auto"/>
                <w:spacing w:val="0"/>
                <w:sz w:val="24"/>
                <w:szCs w:val="24"/>
                <w:highlight w:val="none"/>
                <w:shd w:val="clear" w:color="auto" w:fill="auto"/>
                <w:lang w:val="en-US" w:eastAsia="zh-CN" w:bidi="ar"/>
              </w:rPr>
              <w:t>电能</w:t>
            </w:r>
            <w:r>
              <w:rPr>
                <w:rFonts w:hint="default" w:ascii="Times New Roman" w:hAnsi="Times New Roman" w:eastAsia="宋体" w:cs="Times New Roman"/>
                <w:i w:val="0"/>
                <w:iCs w:val="0"/>
                <w:caps w:val="0"/>
                <w:color w:val="auto"/>
                <w:spacing w:val="0"/>
                <w:sz w:val="24"/>
                <w:szCs w:val="24"/>
                <w:highlight w:val="none"/>
                <w:shd w:val="clear" w:color="auto" w:fill="auto"/>
                <w:lang w:val="en-US" w:eastAsia="zh-CN" w:bidi="ar"/>
              </w:rPr>
              <w:t>，不使用煤炭</w:t>
            </w:r>
            <w:r>
              <w:rPr>
                <w:rFonts w:hint="default" w:ascii="Times New Roman" w:hAnsi="Times New Roman" w:eastAsia="宋体" w:cs="Times New Roman"/>
                <w:color w:val="auto"/>
                <w:sz w:val="24"/>
                <w:szCs w:val="24"/>
                <w:highlight w:val="none"/>
                <w:lang w:val="en-US" w:eastAsia="zh-CN"/>
              </w:rPr>
              <w:t>，项目建设满足</w:t>
            </w:r>
            <w:r>
              <w:rPr>
                <w:rFonts w:hint="eastAsia" w:ascii="Times New Roman" w:hAnsi="Times New Roman" w:eastAsia="宋体" w:cs="Times New Roman"/>
                <w:color w:val="auto"/>
                <w:sz w:val="24"/>
                <w:szCs w:val="24"/>
                <w:highlight w:val="none"/>
                <w:lang w:val="en-US" w:eastAsia="zh-CN"/>
              </w:rPr>
              <w:t>煤炭</w:t>
            </w:r>
            <w:r>
              <w:rPr>
                <w:rFonts w:hint="default" w:ascii="Times New Roman" w:hAnsi="Times New Roman" w:eastAsia="宋体" w:cs="Times New Roman"/>
                <w:color w:val="auto"/>
                <w:sz w:val="24"/>
                <w:szCs w:val="24"/>
                <w:highlight w:val="none"/>
                <w:lang w:val="en-US" w:eastAsia="zh-CN"/>
              </w:rPr>
              <w:t>资源利用上线及分区管控要求。</w:t>
            </w:r>
          </w:p>
          <w:p w14:paraId="0332E7AB">
            <w:pPr>
              <w:bidi w:val="0"/>
              <w:rPr>
                <w:rFonts w:hint="default"/>
                <w:color w:val="auto"/>
                <w:highlight w:val="none"/>
                <w:lang w:val="en-US" w:eastAsia="zh-CN"/>
              </w:rPr>
            </w:pPr>
            <w:r>
              <w:rPr>
                <w:rFonts w:hint="default"/>
                <w:color w:val="auto"/>
                <w:highlight w:val="none"/>
                <w:lang w:val="en-US" w:eastAsia="zh-CN"/>
              </w:rPr>
              <w:t>（4）生态环境准入清单</w:t>
            </w:r>
          </w:p>
          <w:p w14:paraId="59A5EDE2">
            <w:pPr>
              <w:keepNext w:val="0"/>
              <w:keepLines w:val="0"/>
              <w:widowControl w:val="0"/>
              <w:suppressLineNumbers w:val="0"/>
              <w:spacing w:before="0" w:beforeAutospacing="0" w:after="0" w:afterAutospacing="0" w:line="360" w:lineRule="auto"/>
              <w:ind w:left="0" w:right="0" w:firstLine="480"/>
              <w:rPr>
                <w:rFonts w:hint="default" w:ascii="Times New Roman" w:hAnsi="Times New Roman" w:eastAsia="宋体" w:cs="Times New Roman"/>
                <w:bCs/>
                <w:color w:val="auto"/>
                <w:kern w:val="2"/>
                <w:sz w:val="24"/>
                <w:szCs w:val="24"/>
                <w:highlight w:val="none"/>
              </w:rPr>
            </w:pPr>
            <w:r>
              <w:rPr>
                <w:rFonts w:hint="default"/>
                <w:color w:val="auto"/>
                <w:highlight w:val="none"/>
              </w:rPr>
              <w:t>本项目属于C3831电线、电缆制造</w:t>
            </w:r>
            <w:r>
              <w:rPr>
                <w:rFonts w:hint="eastAsia"/>
                <w:color w:val="auto"/>
                <w:highlight w:val="none"/>
                <w:lang w:eastAsia="zh-CN"/>
              </w:rPr>
              <w:t>，</w:t>
            </w:r>
            <w:r>
              <w:rPr>
                <w:rFonts w:hint="default" w:ascii="Times New Roman" w:hAnsi="Times New Roman" w:eastAsia="宋体" w:cs="Times New Roman"/>
                <w:bCs/>
                <w:color w:val="auto"/>
                <w:kern w:val="2"/>
                <w:sz w:val="24"/>
                <w:szCs w:val="24"/>
                <w:highlight w:val="none"/>
              </w:rPr>
              <w:t>本项目不属于国家产业政策中限制类、淘汰类项目</w:t>
            </w:r>
            <w:r>
              <w:rPr>
                <w:rFonts w:hint="default" w:ascii="Times New Roman" w:hAnsi="Times New Roman" w:eastAsia="宋体" w:cs="Times New Roman"/>
                <w:color w:val="auto"/>
                <w:kern w:val="2"/>
                <w:sz w:val="24"/>
                <w:szCs w:val="24"/>
                <w:highlight w:val="none"/>
                <w:lang w:val="en-US" w:eastAsia="zh-CN" w:bidi="ar"/>
              </w:rPr>
              <w:t>，可视为允许类</w:t>
            </w:r>
            <w:r>
              <w:rPr>
                <w:rFonts w:hint="default" w:ascii="Times New Roman" w:hAnsi="Times New Roman" w:eastAsia="宋体" w:cs="Times New Roman"/>
                <w:bCs/>
                <w:color w:val="auto"/>
                <w:kern w:val="2"/>
                <w:sz w:val="24"/>
                <w:szCs w:val="24"/>
                <w:highlight w:val="none"/>
              </w:rPr>
              <w:t>，符合国家相关产业政策，本项目建设性质为</w:t>
            </w:r>
            <w:r>
              <w:rPr>
                <w:rFonts w:hint="eastAsia" w:cs="Times New Roman"/>
                <w:bCs/>
                <w:color w:val="auto"/>
                <w:kern w:val="2"/>
                <w:sz w:val="24"/>
                <w:szCs w:val="24"/>
                <w:highlight w:val="none"/>
                <w:lang w:val="en-US" w:eastAsia="zh-CN"/>
              </w:rPr>
              <w:t>新建</w:t>
            </w:r>
            <w:r>
              <w:rPr>
                <w:rFonts w:hint="default" w:ascii="Times New Roman" w:hAnsi="Times New Roman" w:eastAsia="宋体" w:cs="Times New Roman"/>
                <w:bCs/>
                <w:color w:val="auto"/>
                <w:kern w:val="2"/>
                <w:sz w:val="24"/>
                <w:szCs w:val="24"/>
                <w:highlight w:val="none"/>
              </w:rPr>
              <w:t>项目，</w:t>
            </w:r>
            <w:r>
              <w:rPr>
                <w:rFonts w:hint="eastAsia"/>
                <w:color w:val="auto"/>
                <w:highlight w:val="none"/>
                <w:lang w:eastAsia="zh-CN"/>
              </w:rPr>
              <w:t>项目于</w:t>
            </w:r>
            <w:r>
              <w:rPr>
                <w:rFonts w:hint="eastAsia" w:cs="Times New Roman"/>
                <w:color w:val="auto"/>
                <w:sz w:val="24"/>
                <w:szCs w:val="24"/>
                <w:highlight w:val="none"/>
                <w:lang w:val="en-US" w:eastAsia="zh-CN"/>
              </w:rPr>
              <w:t>2025年9月9日</w:t>
            </w:r>
            <w:r>
              <w:rPr>
                <w:rFonts w:hint="eastAsia"/>
                <w:color w:val="auto"/>
                <w:highlight w:val="none"/>
                <w:lang w:val="en-US" w:eastAsia="zh-CN"/>
              </w:rPr>
              <w:t>获得青阳县发展和改革委员会备案，项目编码</w:t>
            </w:r>
            <w:r>
              <w:rPr>
                <w:rFonts w:hint="default" w:ascii="Times New Roman" w:hAnsi="Times New Roman" w:eastAsia="宋体" w:cs="Times New Roman"/>
                <w:kern w:val="2"/>
                <w:sz w:val="24"/>
                <w:szCs w:val="24"/>
              </w:rPr>
              <w:t>2509-341723-04-01-234174</w:t>
            </w:r>
            <w:r>
              <w:rPr>
                <w:rFonts w:hint="eastAsia"/>
                <w:color w:val="auto"/>
                <w:highlight w:val="none"/>
                <w:lang w:val="en-US" w:eastAsia="zh-CN"/>
              </w:rPr>
              <w:t>。</w:t>
            </w:r>
            <w:r>
              <w:rPr>
                <w:rFonts w:hint="default"/>
                <w:color w:val="auto"/>
                <w:highlight w:val="none"/>
              </w:rPr>
              <w:t>因此，</w:t>
            </w:r>
            <w:r>
              <w:rPr>
                <w:rFonts w:hint="default" w:ascii="Times New Roman" w:hAnsi="Times New Roman" w:eastAsia="宋体" w:cs="Times New Roman"/>
                <w:bCs/>
                <w:color w:val="auto"/>
                <w:kern w:val="2"/>
                <w:sz w:val="24"/>
                <w:szCs w:val="24"/>
                <w:highlight w:val="none"/>
              </w:rPr>
              <w:t>本项目不在环境准入负面清单内。</w:t>
            </w:r>
          </w:p>
          <w:p w14:paraId="27AABCC5">
            <w:pPr>
              <w:bidi w:val="0"/>
              <w:ind w:firstLine="480"/>
              <w:rPr>
                <w:rFonts w:hint="eastAsia" w:ascii="宋体" w:hAnsi="宋体" w:eastAsia="宋体" w:cs="宋体"/>
                <w:color w:val="auto"/>
                <w:kern w:val="0"/>
                <w:sz w:val="24"/>
                <w:szCs w:val="24"/>
                <w:highlight w:val="none"/>
                <w:lang w:eastAsia="zh-CN"/>
              </w:rPr>
            </w:pPr>
            <w:r>
              <w:rPr>
                <w:rFonts w:hint="eastAsia"/>
                <w:color w:val="auto"/>
                <w:sz w:val="24"/>
                <w:highlight w:val="none"/>
              </w:rPr>
              <w:t>对照</w:t>
            </w:r>
            <w:r>
              <w:rPr>
                <w:color w:val="auto"/>
                <w:sz w:val="24"/>
                <w:highlight w:val="none"/>
              </w:rPr>
              <w:t>《</w:t>
            </w:r>
            <w:r>
              <w:rPr>
                <w:rFonts w:hint="eastAsia"/>
                <w:color w:val="auto"/>
                <w:sz w:val="24"/>
                <w:highlight w:val="none"/>
                <w:lang w:val="en-US" w:eastAsia="zh-CN"/>
              </w:rPr>
              <w:t>池州</w:t>
            </w:r>
            <w:r>
              <w:rPr>
                <w:color w:val="auto"/>
                <w:sz w:val="24"/>
                <w:highlight w:val="none"/>
              </w:rPr>
              <w:t>市生态环境分区管控成果文</w:t>
            </w:r>
            <w:r>
              <w:rPr>
                <w:rFonts w:hint="eastAsia"/>
                <w:color w:val="auto"/>
                <w:sz w:val="24"/>
                <w:highlight w:val="none"/>
              </w:rPr>
              <w:t>本》，</w:t>
            </w:r>
            <w:r>
              <w:rPr>
                <w:color w:val="auto"/>
                <w:sz w:val="24"/>
                <w:highlight w:val="none"/>
              </w:rPr>
              <w:t>项目建设符合生态环境准入清单要求</w:t>
            </w:r>
            <w:r>
              <w:rPr>
                <w:rFonts w:hint="eastAsia"/>
                <w:color w:val="auto"/>
                <w:sz w:val="24"/>
                <w:highlight w:val="none"/>
              </w:rPr>
              <w:t>，项目与</w:t>
            </w:r>
            <w:r>
              <w:rPr>
                <w:rFonts w:hint="eastAsia"/>
                <w:color w:val="auto"/>
                <w:sz w:val="24"/>
                <w:highlight w:val="none"/>
                <w:lang w:val="en-US" w:eastAsia="zh-CN"/>
              </w:rPr>
              <w:t>池州</w:t>
            </w:r>
            <w:r>
              <w:rPr>
                <w:rFonts w:hint="eastAsia"/>
                <w:color w:val="auto"/>
                <w:sz w:val="24"/>
                <w:highlight w:val="none"/>
              </w:rPr>
              <w:t>市生态环境准入清单符合性分析见下表。</w:t>
            </w:r>
          </w:p>
        </w:tc>
      </w:tr>
    </w:tbl>
    <w:p w14:paraId="6F8BDBB0">
      <w:pPr>
        <w:pageBreakBefore w:val="0"/>
        <w:kinsoku/>
        <w:wordWrap/>
        <w:topLinePunct w:val="0"/>
        <w:bidi w:val="0"/>
        <w:snapToGrid/>
        <w:spacing w:line="360" w:lineRule="auto"/>
        <w:outlineLvl w:val="0"/>
        <w:rPr>
          <w:rFonts w:eastAsia="黑体"/>
          <w:color w:val="auto"/>
          <w:sz w:val="30"/>
          <w:highlight w:val="none"/>
        </w:rPr>
        <w:sectPr>
          <w:footerReference r:id="rId7" w:type="default"/>
          <w:pgSz w:w="11906" w:h="16838"/>
          <w:pgMar w:top="1701" w:right="1531" w:bottom="1701" w:left="1531" w:header="851" w:footer="1077" w:gutter="0"/>
          <w:pgBorders>
            <w:top w:val="none" w:sz="0" w:space="0"/>
            <w:left w:val="none" w:sz="0" w:space="0"/>
            <w:bottom w:val="none" w:sz="0" w:space="0"/>
            <w:right w:val="none" w:sz="0" w:space="0"/>
          </w:pgBorders>
          <w:pgNumType w:fmt="decimal" w:start="1"/>
          <w:cols w:space="720" w:num="1"/>
          <w:rtlGutter w:val="0"/>
          <w:docGrid w:type="lines" w:linePitch="312" w:charSpace="0"/>
        </w:sectPr>
      </w:pPr>
    </w:p>
    <w:tbl>
      <w:tblPr>
        <w:tblStyle w:val="28"/>
        <w:tblW w:w="0" w:type="auto"/>
        <w:jc w:val="center"/>
        <w:tblBorders>
          <w:top w:val="single" w:color="000000" w:sz="12" w:space="0"/>
          <w:left w:val="single" w:color="000000" w:sz="12" w:space="0"/>
          <w:bottom w:val="single" w:color="000000" w:sz="12" w:space="0"/>
          <w:right w:val="single" w:color="000000" w:sz="12" w:space="0"/>
          <w:insideH w:val="single" w:color="auto" w:sz="4" w:space="0"/>
          <w:insideV w:val="single" w:color="auto" w:sz="4" w:space="0"/>
        </w:tblBorders>
        <w:tblLayout w:type="autofit"/>
        <w:tblCellMar>
          <w:top w:w="0" w:type="dxa"/>
          <w:left w:w="108" w:type="dxa"/>
          <w:bottom w:w="0" w:type="dxa"/>
          <w:right w:w="108" w:type="dxa"/>
        </w:tblCellMar>
      </w:tblPr>
      <w:tblGrid>
        <w:gridCol w:w="377"/>
        <w:gridCol w:w="13243"/>
      </w:tblGrid>
      <w:tr w14:paraId="38E22E3C">
        <w:tblPrEx>
          <w:tblBorders>
            <w:top w:val="single" w:color="000000" w:sz="12" w:space="0"/>
            <w:left w:val="single" w:color="000000" w:sz="12" w:space="0"/>
            <w:bottom w:val="single" w:color="000000" w:sz="12" w:space="0"/>
            <w:right w:val="single" w:color="000000" w:sz="12"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77" w:type="dxa"/>
            <w:noWrap w:val="0"/>
            <w:vAlign w:val="top"/>
          </w:tcPr>
          <w:p w14:paraId="363EF042">
            <w:pPr>
              <w:spacing w:line="360" w:lineRule="auto"/>
              <w:outlineLvl w:val="0"/>
              <w:rPr>
                <w:rFonts w:hint="default" w:ascii="Times New Roman" w:hAnsi="Times New Roman" w:eastAsia="黑体" w:cs="Times New Roman"/>
                <w:color w:val="auto"/>
                <w:sz w:val="30"/>
                <w:highlight w:val="none"/>
                <w:vertAlign w:val="baseline"/>
                <w:lang w:val="en-US" w:eastAsia="zh-CN"/>
              </w:rPr>
            </w:pPr>
          </w:p>
        </w:tc>
        <w:tc>
          <w:tcPr>
            <w:tcW w:w="13243" w:type="dxa"/>
            <w:noWrap w:val="0"/>
            <w:vAlign w:val="top"/>
          </w:tcPr>
          <w:p w14:paraId="04D88528">
            <w:pPr>
              <w:ind w:firstLine="422" w:firstLineChars="20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
                <w:bCs/>
                <w:i w:val="0"/>
                <w:iCs w:val="0"/>
                <w:color w:val="auto"/>
                <w:sz w:val="21"/>
                <w:szCs w:val="21"/>
                <w:highlight w:val="none"/>
              </w:rPr>
              <w:t>表1</w:t>
            </w:r>
            <w:r>
              <w:rPr>
                <w:rFonts w:hint="default" w:ascii="Times New Roman" w:hAnsi="Times New Roman" w:eastAsia="宋体" w:cs="Times New Roman"/>
                <w:b/>
                <w:bCs/>
                <w:i w:val="0"/>
                <w:iCs w:val="0"/>
                <w:color w:val="auto"/>
                <w:sz w:val="21"/>
                <w:szCs w:val="21"/>
                <w:highlight w:val="none"/>
                <w:lang w:val="en-US" w:eastAsia="zh-CN"/>
              </w:rPr>
              <w:t>-</w:t>
            </w:r>
            <w:r>
              <w:rPr>
                <w:rFonts w:hint="eastAsia" w:cs="Times New Roman"/>
                <w:b/>
                <w:bCs/>
                <w:i w:val="0"/>
                <w:iCs w:val="0"/>
                <w:color w:val="auto"/>
                <w:sz w:val="21"/>
                <w:szCs w:val="21"/>
                <w:highlight w:val="none"/>
                <w:lang w:val="en-US" w:eastAsia="zh-CN"/>
              </w:rPr>
              <w:t>7</w:t>
            </w:r>
            <w:r>
              <w:rPr>
                <w:rFonts w:hint="default" w:ascii="Times New Roman" w:hAnsi="Times New Roman" w:eastAsia="宋体" w:cs="Times New Roman"/>
                <w:b/>
                <w:bCs/>
                <w:i w:val="0"/>
                <w:iCs w:val="0"/>
                <w:color w:val="auto"/>
                <w:sz w:val="21"/>
                <w:szCs w:val="21"/>
                <w:highlight w:val="none"/>
                <w:lang w:val="en-US" w:eastAsia="zh-CN"/>
              </w:rPr>
              <w:t xml:space="preserve"> 本项目与池州市生态环境准入清单</w:t>
            </w:r>
            <w:r>
              <w:rPr>
                <w:rFonts w:hint="default" w:ascii="Times New Roman" w:hAnsi="Times New Roman" w:eastAsia="宋体" w:cs="Times New Roman"/>
                <w:b/>
                <w:bCs/>
                <w:color w:val="auto"/>
                <w:sz w:val="21"/>
                <w:szCs w:val="21"/>
                <w:highlight w:val="none"/>
                <w:lang w:val="en-US" w:eastAsia="zh-CN"/>
              </w:rPr>
              <w:t>符合性分析</w:t>
            </w:r>
          </w:p>
          <w:tbl>
            <w:tblPr>
              <w:tblStyle w:val="27"/>
              <w:tblW w:w="4997"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78"/>
              <w:gridCol w:w="305"/>
              <w:gridCol w:w="760"/>
              <w:gridCol w:w="422"/>
              <w:gridCol w:w="8094"/>
              <w:gridCol w:w="2476"/>
              <w:gridCol w:w="679"/>
            </w:tblGrid>
            <w:tr w14:paraId="427BD8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516" w:type="pct"/>
                  <w:gridSpan w:val="3"/>
                  <w:tcBorders>
                    <w:tl2br w:val="nil"/>
                    <w:tr2bl w:val="nil"/>
                  </w:tcBorders>
                  <w:noWrap w:val="0"/>
                  <w:vAlign w:val="center"/>
                </w:tcPr>
                <w:p w14:paraId="3A500827">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属性</w:t>
                  </w:r>
                </w:p>
              </w:tc>
              <w:tc>
                <w:tcPr>
                  <w:tcW w:w="162" w:type="pct"/>
                  <w:tcBorders>
                    <w:tl2br w:val="nil"/>
                    <w:tr2bl w:val="nil"/>
                  </w:tcBorders>
                  <w:noWrap w:val="0"/>
                  <w:vAlign w:val="center"/>
                </w:tcPr>
                <w:p w14:paraId="53FC5ECE">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bCs/>
                      <w:color w:val="auto"/>
                      <w:sz w:val="21"/>
                      <w:szCs w:val="21"/>
                      <w:highlight w:val="none"/>
                      <w:u w:val="none"/>
                    </w:rPr>
                  </w:pPr>
                  <w:r>
                    <w:rPr>
                      <w:rFonts w:hint="default" w:ascii="Times New Roman" w:hAnsi="Times New Roman" w:eastAsia="宋体" w:cs="Times New Roman"/>
                      <w:b/>
                      <w:bCs/>
                      <w:color w:val="auto"/>
                      <w:sz w:val="21"/>
                      <w:szCs w:val="21"/>
                      <w:highlight w:val="none"/>
                      <w:u w:val="none"/>
                    </w:rPr>
                    <w:t>序号</w:t>
                  </w:r>
                </w:p>
              </w:tc>
              <w:tc>
                <w:tcPr>
                  <w:tcW w:w="3109" w:type="pct"/>
                  <w:tcBorders>
                    <w:tl2br w:val="nil"/>
                    <w:tr2bl w:val="nil"/>
                  </w:tcBorders>
                  <w:noWrap w:val="0"/>
                  <w:vAlign w:val="center"/>
                </w:tcPr>
                <w:p w14:paraId="459F08F2">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bCs/>
                      <w:color w:val="auto"/>
                      <w:sz w:val="21"/>
                      <w:szCs w:val="21"/>
                      <w:highlight w:val="none"/>
                      <w:u w:val="none"/>
                      <w:lang w:eastAsia="zh-CN"/>
                    </w:rPr>
                  </w:pPr>
                  <w:r>
                    <w:rPr>
                      <w:rFonts w:hint="default" w:ascii="Times New Roman" w:hAnsi="Times New Roman" w:eastAsia="宋体" w:cs="Times New Roman"/>
                      <w:b/>
                      <w:bCs/>
                      <w:color w:val="auto"/>
                      <w:sz w:val="21"/>
                      <w:szCs w:val="21"/>
                      <w:highlight w:val="none"/>
                      <w:u w:val="none"/>
                    </w:rPr>
                    <w:t>管控要求</w:t>
                  </w:r>
                  <w:r>
                    <w:rPr>
                      <w:rFonts w:hint="default" w:ascii="Times New Roman" w:hAnsi="Times New Roman" w:eastAsia="宋体" w:cs="Times New Roman"/>
                      <w:b/>
                      <w:bCs/>
                      <w:color w:val="auto"/>
                      <w:sz w:val="21"/>
                      <w:szCs w:val="21"/>
                      <w:highlight w:val="none"/>
                      <w:u w:val="none"/>
                      <w:lang w:eastAsia="zh-CN"/>
                    </w:rPr>
                    <w:t>（</w:t>
                  </w:r>
                  <w:r>
                    <w:rPr>
                      <w:rFonts w:hint="default" w:ascii="Times New Roman" w:hAnsi="Times New Roman" w:eastAsia="宋体" w:cs="Times New Roman"/>
                      <w:b/>
                      <w:bCs/>
                      <w:color w:val="auto"/>
                      <w:sz w:val="21"/>
                      <w:szCs w:val="21"/>
                      <w:highlight w:val="none"/>
                      <w:u w:val="none"/>
                      <w:lang w:val="en-US" w:eastAsia="zh-CN"/>
                    </w:rPr>
                    <w:t>节选</w:t>
                  </w:r>
                  <w:r>
                    <w:rPr>
                      <w:rFonts w:hint="default" w:ascii="Times New Roman" w:hAnsi="Times New Roman" w:eastAsia="宋体" w:cs="Times New Roman"/>
                      <w:b/>
                      <w:bCs/>
                      <w:color w:val="auto"/>
                      <w:sz w:val="21"/>
                      <w:szCs w:val="21"/>
                      <w:highlight w:val="none"/>
                      <w:u w:val="none"/>
                      <w:lang w:eastAsia="zh-CN"/>
                    </w:rPr>
                    <w:t>）</w:t>
                  </w:r>
                </w:p>
              </w:tc>
              <w:tc>
                <w:tcPr>
                  <w:tcW w:w="951" w:type="pct"/>
                  <w:tcBorders>
                    <w:tl2br w:val="nil"/>
                    <w:tr2bl w:val="nil"/>
                  </w:tcBorders>
                  <w:noWrap w:val="0"/>
                  <w:vAlign w:val="center"/>
                </w:tcPr>
                <w:p w14:paraId="5D9652A0">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val="en-US" w:eastAsia="zh-CN"/>
                    </w:rPr>
                    <w:t>项目情况</w:t>
                  </w:r>
                </w:p>
              </w:tc>
              <w:tc>
                <w:tcPr>
                  <w:tcW w:w="261" w:type="pct"/>
                  <w:tcBorders>
                    <w:tl2br w:val="nil"/>
                    <w:tr2bl w:val="nil"/>
                  </w:tcBorders>
                  <w:noWrap w:val="0"/>
                  <w:vAlign w:val="center"/>
                </w:tcPr>
                <w:p w14:paraId="4F9AADE9">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符合性</w:t>
                  </w:r>
                </w:p>
              </w:tc>
            </w:tr>
            <w:tr w14:paraId="4FAA28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7" w:type="pct"/>
                  <w:vMerge w:val="restart"/>
                  <w:tcBorders>
                    <w:top w:val="single" w:color="auto" w:sz="4" w:space="0"/>
                    <w:left w:val="single" w:color="auto" w:sz="4" w:space="0"/>
                    <w:right w:val="single" w:color="auto" w:sz="4" w:space="0"/>
                  </w:tcBorders>
                  <w:noWrap w:val="0"/>
                  <w:vAlign w:val="center"/>
                </w:tcPr>
                <w:p w14:paraId="727289CE">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重点管控单元</w:t>
                  </w:r>
                </w:p>
              </w:tc>
              <w:tc>
                <w:tcPr>
                  <w:tcW w:w="117" w:type="pct"/>
                  <w:vMerge w:val="restart"/>
                  <w:tcBorders>
                    <w:top w:val="single" w:color="auto" w:sz="4" w:space="0"/>
                    <w:left w:val="single" w:color="auto" w:sz="4" w:space="0"/>
                    <w:right w:val="single" w:color="auto" w:sz="4" w:space="0"/>
                  </w:tcBorders>
                  <w:noWrap w:val="0"/>
                  <w:vAlign w:val="center"/>
                </w:tcPr>
                <w:p w14:paraId="78F92585">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空间布局约束</w:t>
                  </w:r>
                </w:p>
              </w:tc>
              <w:tc>
                <w:tcPr>
                  <w:tcW w:w="291" w:type="pct"/>
                  <w:tcBorders>
                    <w:top w:val="single" w:color="auto" w:sz="4" w:space="0"/>
                    <w:left w:val="single" w:color="auto" w:sz="4" w:space="0"/>
                    <w:right w:val="single" w:color="auto" w:sz="4" w:space="0"/>
                  </w:tcBorders>
                  <w:noWrap w:val="0"/>
                  <w:vAlign w:val="center"/>
                </w:tcPr>
                <w:p w14:paraId="1659B9F0">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禁止开发建设活动的要求</w:t>
                  </w:r>
                </w:p>
              </w:tc>
              <w:tc>
                <w:tcPr>
                  <w:tcW w:w="162" w:type="pct"/>
                  <w:tcBorders>
                    <w:tl2br w:val="nil"/>
                    <w:tr2bl w:val="nil"/>
                  </w:tcBorders>
                  <w:noWrap w:val="0"/>
                  <w:vAlign w:val="center"/>
                </w:tcPr>
                <w:p w14:paraId="30F7F508">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u w:val="none"/>
                      <w:lang w:eastAsia="zh-CN"/>
                    </w:rPr>
                  </w:pPr>
                  <w:r>
                    <w:rPr>
                      <w:rFonts w:hint="default" w:ascii="Times New Roman" w:hAnsi="Times New Roman" w:eastAsia="宋体" w:cs="Times New Roman"/>
                      <w:b w:val="0"/>
                      <w:bCs w:val="0"/>
                      <w:color w:val="auto"/>
                      <w:sz w:val="21"/>
                      <w:szCs w:val="21"/>
                      <w:highlight w:val="none"/>
                      <w:u w:val="none"/>
                      <w:lang w:val="en-US" w:eastAsia="zh-CN"/>
                    </w:rPr>
                    <w:t>1</w:t>
                  </w:r>
                </w:p>
              </w:tc>
              <w:tc>
                <w:tcPr>
                  <w:tcW w:w="3109" w:type="pct"/>
                  <w:tcBorders>
                    <w:top w:val="single" w:color="auto" w:sz="4" w:space="0"/>
                    <w:left w:val="single" w:color="auto" w:sz="4" w:space="0"/>
                    <w:right w:val="single" w:color="auto" w:sz="4" w:space="0"/>
                  </w:tcBorders>
                  <w:noWrap w:val="0"/>
                  <w:vAlign w:val="center"/>
                </w:tcPr>
                <w:p w14:paraId="065BACD7">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1、按照科学有序原则开发未利用地，防止新增土壤污染。农用地开发项目需重点开展土壤环境质量状况评估，禁止不符合相应标准的耕地种植食用农产品，加强纳入耕地后备资源的未利用地保护。严格执行相关行业企业布局选址要求，禁止在居民区、学校、医疗和养老机构等周边新建有色金属冶炼、焦化等行业企业。结合推进新型城镇化、产业结构调整和化解过剩产能等，有序搬迁或依法关闭对土壤造成严重污染的企业。结合区域功能定位和土壤污染防治需要，科学布局生活垃圾处理、危险废物处置、废旧资源再生利用等设施和场所。</w:t>
                  </w:r>
                </w:p>
                <w:p w14:paraId="388D6CC8">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eastAsia" w:ascii="Times New Roman" w:hAnsi="Times New Roman" w:eastAsia="宋体" w:cs="Times New Roman"/>
                      <w:b w:val="0"/>
                      <w:bCs w:val="0"/>
                      <w:color w:val="auto"/>
                      <w:kern w:val="0"/>
                      <w:sz w:val="21"/>
                      <w:szCs w:val="21"/>
                      <w:highlight w:val="none"/>
                      <w:u w:val="none"/>
                      <w:lang w:val="en-US" w:eastAsia="zh-CN" w:bidi="ar-SA"/>
                    </w:rPr>
                    <w:t>2</w:t>
                  </w:r>
                  <w:r>
                    <w:rPr>
                      <w:rFonts w:hint="default" w:ascii="Times New Roman" w:hAnsi="Times New Roman" w:eastAsia="宋体" w:cs="Times New Roman"/>
                      <w:b w:val="0"/>
                      <w:bCs w:val="0"/>
                      <w:color w:val="auto"/>
                      <w:kern w:val="0"/>
                      <w:sz w:val="21"/>
                      <w:szCs w:val="21"/>
                      <w:highlight w:val="none"/>
                      <w:u w:val="none"/>
                      <w:lang w:val="en-US" w:eastAsia="zh-CN" w:bidi="ar-SA"/>
                    </w:rPr>
                    <w:t>、强化有色冶炼、化工、危险废物处置等重点行业新建项目土壤环境影响评价，防止在产业结构和布局调整过程中造成新的难以治理的土壤污染</w:t>
                  </w:r>
                </w:p>
              </w:tc>
              <w:tc>
                <w:tcPr>
                  <w:tcW w:w="951" w:type="pct"/>
                  <w:vMerge w:val="restart"/>
                  <w:tcBorders>
                    <w:top w:val="single" w:color="auto" w:sz="4" w:space="0"/>
                    <w:left w:val="single" w:color="auto" w:sz="4" w:space="0"/>
                    <w:right w:val="single" w:color="auto" w:sz="4" w:space="0"/>
                  </w:tcBorders>
                  <w:noWrap w:val="0"/>
                  <w:vAlign w:val="center"/>
                </w:tcPr>
                <w:p w14:paraId="62624384">
                  <w:pPr>
                    <w:keepNext w:val="0"/>
                    <w:keepLines w:val="0"/>
                    <w:widowControl w:val="0"/>
                    <w:suppressLineNumbers w:val="0"/>
                    <w:spacing w:beforeLines="0" w:afterLines="0" w:line="240" w:lineRule="auto"/>
                    <w:ind w:firstLine="0" w:firstLineChars="0"/>
                    <w:jc w:val="both"/>
                    <w:rPr>
                      <w:rFonts w:hint="eastAsia"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rPr>
                    <w:t>本</w:t>
                  </w:r>
                  <w:r>
                    <w:rPr>
                      <w:rFonts w:hint="default" w:ascii="Times New Roman" w:hAnsi="Times New Roman" w:eastAsia="宋体" w:cs="Times New Roman"/>
                      <w:b w:val="0"/>
                      <w:bCs w:val="0"/>
                      <w:color w:val="auto"/>
                      <w:kern w:val="0"/>
                      <w:sz w:val="21"/>
                      <w:szCs w:val="21"/>
                      <w:highlight w:val="none"/>
                      <w:lang w:eastAsia="zh-CN"/>
                    </w:rPr>
                    <w:t>项目</w:t>
                  </w:r>
                  <w:r>
                    <w:rPr>
                      <w:rFonts w:hint="default" w:ascii="Times New Roman" w:hAnsi="Times New Roman" w:eastAsia="宋体" w:cs="Times New Roman"/>
                      <w:b w:val="0"/>
                      <w:bCs w:val="0"/>
                      <w:color w:val="auto"/>
                      <w:kern w:val="0"/>
                      <w:sz w:val="21"/>
                      <w:szCs w:val="21"/>
                      <w:highlight w:val="none"/>
                      <w:lang w:val="en-US" w:eastAsia="zh-CN"/>
                    </w:rPr>
                    <w:t>行业类别</w:t>
                  </w:r>
                  <w:r>
                    <w:rPr>
                      <w:rFonts w:hint="default" w:ascii="Times New Roman" w:hAnsi="Times New Roman" w:eastAsia="宋体" w:cs="Times New Roman"/>
                      <w:b w:val="0"/>
                      <w:bCs w:val="0"/>
                      <w:color w:val="auto"/>
                      <w:kern w:val="0"/>
                      <w:sz w:val="21"/>
                      <w:szCs w:val="21"/>
                      <w:highlight w:val="none"/>
                      <w:lang w:eastAsia="zh-CN"/>
                    </w:rPr>
                    <w:t>为C3831电线、电缆制造</w:t>
                  </w:r>
                  <w:r>
                    <w:rPr>
                      <w:rFonts w:hint="default" w:ascii="Times New Roman" w:hAnsi="Times New Roman" w:eastAsia="宋体" w:cs="Times New Roman"/>
                      <w:b w:val="0"/>
                      <w:bCs w:val="0"/>
                      <w:color w:val="auto"/>
                      <w:kern w:val="0"/>
                      <w:sz w:val="21"/>
                      <w:szCs w:val="21"/>
                      <w:highlight w:val="none"/>
                      <w:lang w:val="en-US" w:eastAsia="zh-CN"/>
                    </w:rPr>
                    <w:t>，</w:t>
                  </w:r>
                  <w:r>
                    <w:rPr>
                      <w:rFonts w:hint="default" w:ascii="Times New Roman" w:hAnsi="Times New Roman" w:eastAsia="宋体" w:cs="Times New Roman"/>
                      <w:b w:val="0"/>
                      <w:bCs w:val="0"/>
                      <w:color w:val="auto"/>
                      <w:kern w:val="0"/>
                      <w:sz w:val="21"/>
                      <w:szCs w:val="21"/>
                      <w:highlight w:val="none"/>
                    </w:rPr>
                    <w:t>项目</w:t>
                  </w:r>
                  <w:r>
                    <w:rPr>
                      <w:rFonts w:hint="default" w:ascii="Times New Roman" w:hAnsi="Times New Roman" w:eastAsia="宋体" w:cs="Times New Roman"/>
                      <w:color w:val="auto"/>
                      <w:kern w:val="0"/>
                      <w:sz w:val="21"/>
                      <w:szCs w:val="21"/>
                      <w:highlight w:val="none"/>
                      <w:lang w:val="en-US" w:eastAsia="zh-CN"/>
                    </w:rPr>
                    <w:t>位于</w:t>
                  </w:r>
                  <w:r>
                    <w:rPr>
                      <w:rFonts w:hint="default" w:ascii="Times New Roman" w:hAnsi="Times New Roman" w:eastAsia="宋体" w:cs="Times New Roman"/>
                      <w:color w:val="auto"/>
                      <w:kern w:val="0"/>
                      <w:sz w:val="21"/>
                      <w:szCs w:val="21"/>
                      <w:highlight w:val="none"/>
                    </w:rPr>
                    <w:t>安徽省池州市青阳县</w:t>
                  </w:r>
                  <w:r>
                    <w:rPr>
                      <w:rFonts w:hint="eastAsia" w:cs="Times New Roman"/>
                      <w:color w:val="auto"/>
                      <w:kern w:val="0"/>
                      <w:sz w:val="21"/>
                      <w:szCs w:val="21"/>
                      <w:highlight w:val="none"/>
                      <w:lang w:val="en-US" w:eastAsia="zh-CN"/>
                    </w:rPr>
                    <w:t>经济开发区东河园</w:t>
                  </w:r>
                  <w:r>
                    <w:rPr>
                      <w:rFonts w:hint="default" w:ascii="Times New Roman" w:hAnsi="Times New Roman" w:eastAsia="宋体" w:cs="Times New Roman"/>
                      <w:b w:val="0"/>
                      <w:bCs w:val="0"/>
                      <w:color w:val="auto"/>
                      <w:kern w:val="0"/>
                      <w:sz w:val="21"/>
                      <w:szCs w:val="21"/>
                      <w:highlight w:val="none"/>
                      <w:lang w:eastAsia="zh-CN"/>
                    </w:rPr>
                    <w:t>，用地性质为工业用地</w:t>
                  </w:r>
                  <w:r>
                    <w:rPr>
                      <w:rFonts w:hint="default" w:ascii="Times New Roman" w:hAnsi="Times New Roman" w:eastAsia="宋体" w:cs="Times New Roman"/>
                      <w:b w:val="0"/>
                      <w:bCs w:val="0"/>
                      <w:color w:val="auto"/>
                      <w:kern w:val="0"/>
                      <w:sz w:val="21"/>
                      <w:szCs w:val="21"/>
                      <w:highlight w:val="none"/>
                      <w:lang w:val="en-US" w:eastAsia="zh-CN"/>
                    </w:rPr>
                    <w:t>，经采取有效的分区防渗措施及污染防控措施，</w:t>
                  </w:r>
                  <w:r>
                    <w:rPr>
                      <w:rFonts w:hint="default" w:ascii="Times New Roman" w:hAnsi="Times New Roman" w:eastAsia="宋体" w:cs="Times New Roman"/>
                      <w:color w:val="auto"/>
                      <w:kern w:val="0"/>
                      <w:sz w:val="21"/>
                      <w:szCs w:val="21"/>
                      <w:highlight w:val="none"/>
                    </w:rPr>
                    <w:t>可有效降低土壤</w:t>
                  </w:r>
                  <w:r>
                    <w:rPr>
                      <w:rFonts w:hint="eastAsia" w:ascii="Times New Roman" w:hAnsi="Times New Roman" w:eastAsia="宋体" w:cs="Times New Roman"/>
                      <w:color w:val="auto"/>
                      <w:kern w:val="0"/>
                      <w:sz w:val="21"/>
                      <w:szCs w:val="21"/>
                      <w:highlight w:val="none"/>
                      <w:lang w:val="en-US" w:eastAsia="zh-CN"/>
                    </w:rPr>
                    <w:t>和地下水</w:t>
                  </w:r>
                  <w:r>
                    <w:rPr>
                      <w:rFonts w:hint="default" w:ascii="Times New Roman" w:hAnsi="Times New Roman" w:eastAsia="宋体" w:cs="Times New Roman"/>
                      <w:color w:val="auto"/>
                      <w:kern w:val="0"/>
                      <w:sz w:val="21"/>
                      <w:szCs w:val="21"/>
                      <w:highlight w:val="none"/>
                    </w:rPr>
                    <w:t>环境污染风险，对项目区及周边土壤</w:t>
                  </w:r>
                  <w:r>
                    <w:rPr>
                      <w:rFonts w:hint="eastAsia" w:ascii="Times New Roman" w:hAnsi="Times New Roman" w:eastAsia="宋体" w:cs="Times New Roman"/>
                      <w:color w:val="auto"/>
                      <w:kern w:val="0"/>
                      <w:sz w:val="21"/>
                      <w:szCs w:val="21"/>
                      <w:highlight w:val="none"/>
                      <w:lang w:val="en-US" w:eastAsia="zh-CN"/>
                    </w:rPr>
                    <w:t>和地下水</w:t>
                  </w:r>
                  <w:r>
                    <w:rPr>
                      <w:rFonts w:hint="default" w:ascii="Times New Roman" w:hAnsi="Times New Roman" w:eastAsia="宋体" w:cs="Times New Roman"/>
                      <w:color w:val="auto"/>
                      <w:kern w:val="0"/>
                      <w:sz w:val="21"/>
                      <w:szCs w:val="21"/>
                      <w:highlight w:val="none"/>
                    </w:rPr>
                    <w:t>环境影响较小</w:t>
                  </w:r>
                  <w:r>
                    <w:rPr>
                      <w:rFonts w:hint="eastAsia" w:ascii="Times New Roman" w:hAnsi="Times New Roman" w:eastAsia="宋体" w:cs="Times New Roman"/>
                      <w:color w:val="auto"/>
                      <w:kern w:val="0"/>
                      <w:sz w:val="21"/>
                      <w:szCs w:val="21"/>
                      <w:highlight w:val="none"/>
                      <w:lang w:eastAsia="zh-CN"/>
                    </w:rPr>
                    <w:t>。</w:t>
                  </w:r>
                </w:p>
              </w:tc>
              <w:tc>
                <w:tcPr>
                  <w:tcW w:w="261" w:type="pct"/>
                  <w:vMerge w:val="restart"/>
                  <w:tcBorders>
                    <w:top w:val="single" w:color="auto" w:sz="4" w:space="0"/>
                    <w:left w:val="single" w:color="auto" w:sz="4" w:space="0"/>
                    <w:right w:val="single" w:color="auto" w:sz="4" w:space="0"/>
                  </w:tcBorders>
                  <w:noWrap w:val="0"/>
                  <w:vAlign w:val="center"/>
                </w:tcPr>
                <w:p w14:paraId="4245A2D1">
                  <w:pPr>
                    <w:keepNext w:val="0"/>
                    <w:keepLines w:val="0"/>
                    <w:widowControl w:val="0"/>
                    <w:suppressLineNumbers w:val="0"/>
                    <w:spacing w:beforeLines="0" w:afterLines="0" w:line="240" w:lineRule="auto"/>
                    <w:ind w:firstLine="0" w:firstLineChars="0"/>
                    <w:jc w:val="center"/>
                    <w:rPr>
                      <w:rFonts w:hint="default" w:ascii="Times New Roman" w:hAnsi="Times New Roman" w:eastAsia="宋体" w:cs="Times New Roman"/>
                      <w:b w:val="0"/>
                      <w:bCs w:val="0"/>
                      <w:color w:val="auto"/>
                      <w:kern w:val="0"/>
                      <w:sz w:val="21"/>
                      <w:szCs w:val="21"/>
                      <w:highlight w:val="none"/>
                      <w:lang w:val="en-US" w:eastAsia="zh-CN"/>
                    </w:rPr>
                  </w:pPr>
                  <w:r>
                    <w:rPr>
                      <w:rFonts w:hint="default" w:ascii="Times New Roman" w:hAnsi="Times New Roman" w:eastAsia="宋体" w:cs="Times New Roman"/>
                      <w:b w:val="0"/>
                      <w:bCs w:val="0"/>
                      <w:color w:val="auto"/>
                      <w:kern w:val="0"/>
                      <w:sz w:val="21"/>
                      <w:szCs w:val="21"/>
                      <w:highlight w:val="none"/>
                      <w:lang w:val="en-US" w:eastAsia="zh-CN"/>
                    </w:rPr>
                    <w:t>符合</w:t>
                  </w:r>
                </w:p>
              </w:tc>
            </w:tr>
            <w:tr w14:paraId="163E1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7" w:type="pct"/>
                  <w:vMerge w:val="continue"/>
                  <w:tcBorders>
                    <w:left w:val="single" w:color="auto" w:sz="4" w:space="0"/>
                    <w:right w:val="single" w:color="auto" w:sz="4" w:space="0"/>
                  </w:tcBorders>
                  <w:noWrap w:val="0"/>
                  <w:vAlign w:val="center"/>
                </w:tcPr>
                <w:p w14:paraId="0E2E9F39">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17" w:type="pct"/>
                  <w:vMerge w:val="continue"/>
                  <w:tcBorders>
                    <w:left w:val="single" w:color="auto" w:sz="4" w:space="0"/>
                    <w:right w:val="single" w:color="auto" w:sz="4" w:space="0"/>
                  </w:tcBorders>
                  <w:noWrap w:val="0"/>
                  <w:vAlign w:val="center"/>
                </w:tcPr>
                <w:p w14:paraId="19E96EE9">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291" w:type="pct"/>
                  <w:tcBorders>
                    <w:left w:val="single" w:color="auto" w:sz="4" w:space="0"/>
                    <w:right w:val="single" w:color="auto" w:sz="4" w:space="0"/>
                  </w:tcBorders>
                  <w:noWrap w:val="0"/>
                  <w:vAlign w:val="center"/>
                </w:tcPr>
                <w:p w14:paraId="62D8B631">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限制开发建设活动的要求</w:t>
                  </w:r>
                </w:p>
              </w:tc>
              <w:tc>
                <w:tcPr>
                  <w:tcW w:w="162" w:type="pct"/>
                  <w:tcBorders>
                    <w:tl2br w:val="nil"/>
                    <w:tr2bl w:val="nil"/>
                  </w:tcBorders>
                  <w:noWrap w:val="0"/>
                  <w:vAlign w:val="center"/>
                </w:tcPr>
                <w:p w14:paraId="7932DB50">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u w:val="none"/>
                    </w:rPr>
                  </w:pPr>
                  <w:r>
                    <w:rPr>
                      <w:rFonts w:hint="default" w:ascii="Times New Roman" w:hAnsi="Times New Roman" w:eastAsia="宋体" w:cs="Times New Roman"/>
                      <w:b w:val="0"/>
                      <w:bCs w:val="0"/>
                      <w:color w:val="auto"/>
                      <w:sz w:val="21"/>
                      <w:szCs w:val="21"/>
                      <w:highlight w:val="none"/>
                      <w:u w:val="none"/>
                    </w:rPr>
                    <w:t>2</w:t>
                  </w:r>
                </w:p>
              </w:tc>
              <w:tc>
                <w:tcPr>
                  <w:tcW w:w="3109" w:type="pct"/>
                  <w:tcBorders>
                    <w:top w:val="single" w:color="auto" w:sz="4" w:space="0"/>
                    <w:left w:val="single" w:color="auto" w:sz="4" w:space="0"/>
                    <w:right w:val="single" w:color="auto" w:sz="4" w:space="0"/>
                  </w:tcBorders>
                  <w:noWrap w:val="0"/>
                  <w:vAlign w:val="center"/>
                </w:tcPr>
                <w:p w14:paraId="3D674073">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从严控制优先保护类耕地的使用情况，控制污染输入，监视污染动态，维护安全状态，保障土壤环境质量不降低。加强优先保护类土地区域的环境监管，开展周边污染源排查与整治，制定预防措施，防止对耕地造成污染。对严重影响优先保护类土地区域土壤环境质量的企业要限期予以治理，未达到治理要求的，要依法责令停产或关闭，并对其造成的土壤污染进行治理</w:t>
                  </w:r>
                </w:p>
              </w:tc>
              <w:tc>
                <w:tcPr>
                  <w:tcW w:w="951" w:type="pct"/>
                  <w:vMerge w:val="continue"/>
                  <w:tcBorders>
                    <w:left w:val="single" w:color="auto" w:sz="4" w:space="0"/>
                    <w:right w:val="single" w:color="auto" w:sz="4" w:space="0"/>
                  </w:tcBorders>
                  <w:noWrap w:val="0"/>
                  <w:vAlign w:val="center"/>
                </w:tcPr>
                <w:p w14:paraId="2D12AC83">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u w:val="single"/>
                    </w:rPr>
                  </w:pPr>
                </w:p>
              </w:tc>
              <w:tc>
                <w:tcPr>
                  <w:tcW w:w="261" w:type="pct"/>
                  <w:vMerge w:val="continue"/>
                  <w:tcBorders>
                    <w:left w:val="single" w:color="auto" w:sz="4" w:space="0"/>
                    <w:right w:val="single" w:color="auto" w:sz="4" w:space="0"/>
                  </w:tcBorders>
                  <w:noWrap w:val="0"/>
                  <w:vAlign w:val="center"/>
                </w:tcPr>
                <w:p w14:paraId="1C492C7C">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u w:val="single"/>
                    </w:rPr>
                  </w:pPr>
                </w:p>
              </w:tc>
            </w:tr>
            <w:tr w14:paraId="38C610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7" w:type="pct"/>
                  <w:vMerge w:val="continue"/>
                  <w:tcBorders>
                    <w:left w:val="single" w:color="auto" w:sz="4" w:space="0"/>
                    <w:right w:val="single" w:color="auto" w:sz="4" w:space="0"/>
                  </w:tcBorders>
                  <w:noWrap w:val="0"/>
                  <w:vAlign w:val="center"/>
                </w:tcPr>
                <w:p w14:paraId="17F54973">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17" w:type="pct"/>
                  <w:vMerge w:val="continue"/>
                  <w:tcBorders>
                    <w:left w:val="single" w:color="auto" w:sz="4" w:space="0"/>
                    <w:right w:val="single" w:color="auto" w:sz="4" w:space="0"/>
                  </w:tcBorders>
                  <w:noWrap w:val="0"/>
                  <w:vAlign w:val="center"/>
                </w:tcPr>
                <w:p w14:paraId="0445A535">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291" w:type="pct"/>
                  <w:tcBorders>
                    <w:left w:val="single" w:color="auto" w:sz="4" w:space="0"/>
                    <w:right w:val="single" w:color="auto" w:sz="4" w:space="0"/>
                  </w:tcBorders>
                  <w:noWrap w:val="0"/>
                  <w:vAlign w:val="center"/>
                </w:tcPr>
                <w:p w14:paraId="6C6DD726">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其他空间布局要求</w:t>
                  </w:r>
                </w:p>
              </w:tc>
              <w:tc>
                <w:tcPr>
                  <w:tcW w:w="162" w:type="pct"/>
                  <w:tcBorders>
                    <w:tl2br w:val="nil"/>
                    <w:tr2bl w:val="nil"/>
                  </w:tcBorders>
                  <w:noWrap w:val="0"/>
                  <w:vAlign w:val="center"/>
                </w:tcPr>
                <w:p w14:paraId="3550A9E5">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u w:val="none"/>
                    </w:rPr>
                  </w:pPr>
                  <w:r>
                    <w:rPr>
                      <w:rFonts w:hint="default" w:ascii="Times New Roman" w:hAnsi="Times New Roman" w:eastAsia="宋体" w:cs="Times New Roman"/>
                      <w:b w:val="0"/>
                      <w:bCs w:val="0"/>
                      <w:color w:val="auto"/>
                      <w:sz w:val="21"/>
                      <w:szCs w:val="21"/>
                      <w:highlight w:val="none"/>
                      <w:u w:val="none"/>
                    </w:rPr>
                    <w:t>3</w:t>
                  </w:r>
                </w:p>
              </w:tc>
              <w:tc>
                <w:tcPr>
                  <w:tcW w:w="3109" w:type="pct"/>
                  <w:tcBorders>
                    <w:top w:val="single" w:color="auto" w:sz="4" w:space="0"/>
                    <w:left w:val="single" w:color="auto" w:sz="4" w:space="0"/>
                    <w:right w:val="single" w:color="auto" w:sz="4" w:space="0"/>
                  </w:tcBorders>
                  <w:noWrap w:val="0"/>
                  <w:vAlign w:val="center"/>
                </w:tcPr>
                <w:p w14:paraId="62752137">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开发利用的地块，必须符合相应规划用地土壤环境质量要求，暂不开发利用或现阶段不具备治理修复条件的污染地块，由县区政府组织划定管控区域，设立标识，发布公告，开展监测，发现污染扩散的，责令相关责任方清理残留污染，有关责任主体要制定环境风险管控方案，封闭污染区域，采取污染物隔离、阻断等工程和管理措施，防止污染进一步扩散</w:t>
                  </w:r>
                </w:p>
              </w:tc>
              <w:tc>
                <w:tcPr>
                  <w:tcW w:w="951" w:type="pct"/>
                  <w:vMerge w:val="continue"/>
                  <w:tcBorders>
                    <w:left w:val="single" w:color="auto" w:sz="4" w:space="0"/>
                    <w:bottom w:val="single" w:color="auto" w:sz="4" w:space="0"/>
                    <w:right w:val="single" w:color="auto" w:sz="4" w:space="0"/>
                  </w:tcBorders>
                  <w:noWrap w:val="0"/>
                  <w:vAlign w:val="center"/>
                </w:tcPr>
                <w:p w14:paraId="0F0B4606">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261" w:type="pct"/>
                  <w:vMerge w:val="continue"/>
                  <w:tcBorders>
                    <w:left w:val="single" w:color="auto" w:sz="4" w:space="0"/>
                    <w:bottom w:val="single" w:color="auto" w:sz="4" w:space="0"/>
                    <w:right w:val="single" w:color="auto" w:sz="4" w:space="0"/>
                  </w:tcBorders>
                  <w:noWrap w:val="0"/>
                  <w:vAlign w:val="center"/>
                </w:tcPr>
                <w:p w14:paraId="6D7A9F6C">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r>
            <w:tr w14:paraId="35027F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7" w:type="pct"/>
                  <w:vMerge w:val="continue"/>
                  <w:tcBorders>
                    <w:left w:val="single" w:color="auto" w:sz="4" w:space="0"/>
                    <w:right w:val="single" w:color="auto" w:sz="4" w:space="0"/>
                  </w:tcBorders>
                  <w:noWrap w:val="0"/>
                  <w:vAlign w:val="center"/>
                </w:tcPr>
                <w:p w14:paraId="57D3CF5C">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17" w:type="pct"/>
                  <w:vMerge w:val="restart"/>
                  <w:tcBorders>
                    <w:left w:val="single" w:color="auto" w:sz="4" w:space="0"/>
                    <w:right w:val="single" w:color="auto" w:sz="4" w:space="0"/>
                  </w:tcBorders>
                  <w:noWrap w:val="0"/>
                  <w:vAlign w:val="center"/>
                </w:tcPr>
                <w:p w14:paraId="1852C7E6">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污染物排放管控</w:t>
                  </w:r>
                </w:p>
              </w:tc>
              <w:tc>
                <w:tcPr>
                  <w:tcW w:w="291" w:type="pct"/>
                  <w:vMerge w:val="restart"/>
                  <w:tcBorders>
                    <w:left w:val="single" w:color="auto" w:sz="4" w:space="0"/>
                    <w:right w:val="single" w:color="auto" w:sz="4" w:space="0"/>
                  </w:tcBorders>
                  <w:noWrap w:val="0"/>
                  <w:vAlign w:val="center"/>
                </w:tcPr>
                <w:p w14:paraId="02310006">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允许排放量要求</w:t>
                  </w:r>
                </w:p>
              </w:tc>
              <w:tc>
                <w:tcPr>
                  <w:tcW w:w="162" w:type="pct"/>
                  <w:tcBorders>
                    <w:tl2br w:val="nil"/>
                    <w:tr2bl w:val="nil"/>
                  </w:tcBorders>
                  <w:noWrap w:val="0"/>
                  <w:vAlign w:val="center"/>
                </w:tcPr>
                <w:p w14:paraId="3728A586">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u w:val="none"/>
                    </w:rPr>
                  </w:pPr>
                  <w:r>
                    <w:rPr>
                      <w:rFonts w:hint="default" w:ascii="Times New Roman" w:hAnsi="Times New Roman" w:eastAsia="宋体" w:cs="Times New Roman"/>
                      <w:b w:val="0"/>
                      <w:bCs w:val="0"/>
                      <w:color w:val="auto"/>
                      <w:sz w:val="21"/>
                      <w:szCs w:val="21"/>
                      <w:highlight w:val="none"/>
                      <w:u w:val="none"/>
                    </w:rPr>
                    <w:t>1</w:t>
                  </w:r>
                </w:p>
              </w:tc>
              <w:tc>
                <w:tcPr>
                  <w:tcW w:w="3109" w:type="pct"/>
                  <w:tcBorders>
                    <w:top w:val="single" w:color="auto" w:sz="4" w:space="0"/>
                    <w:left w:val="single" w:color="auto" w:sz="4" w:space="0"/>
                    <w:bottom w:val="single" w:color="auto" w:sz="4" w:space="0"/>
                    <w:right w:val="single" w:color="auto" w:sz="4" w:space="0"/>
                  </w:tcBorders>
                  <w:noWrap w:val="0"/>
                  <w:vAlign w:val="center"/>
                </w:tcPr>
                <w:p w14:paraId="6918CBBB">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“十四五”池州市生态环境有关指标计划：氮氧化物重点工程减排量（吨）：2949；挥发性有机物重点工程减排量（吨）：1609；氨氮重点工程减排量（吨）：40；化学需氧量重点工程减排量（吨）：773</w:t>
                  </w:r>
                </w:p>
              </w:tc>
              <w:tc>
                <w:tcPr>
                  <w:tcW w:w="951" w:type="pct"/>
                  <w:vMerge w:val="restart"/>
                  <w:tcBorders>
                    <w:top w:val="single" w:color="auto" w:sz="4" w:space="0"/>
                    <w:left w:val="single" w:color="auto" w:sz="4" w:space="0"/>
                    <w:right w:val="single" w:color="auto" w:sz="4" w:space="0"/>
                  </w:tcBorders>
                  <w:noWrap w:val="0"/>
                  <w:vAlign w:val="center"/>
                </w:tcPr>
                <w:p w14:paraId="088B36B4">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项目所在区域环境质量良好</w:t>
                  </w:r>
                  <w:r>
                    <w:rPr>
                      <w:rFonts w:hint="default" w:ascii="Times New Roman" w:hAnsi="Times New Roman" w:eastAsia="宋体" w:cs="Times New Roman"/>
                      <w:b w:val="0"/>
                      <w:bCs w:val="0"/>
                      <w:color w:val="auto"/>
                      <w:sz w:val="21"/>
                      <w:szCs w:val="21"/>
                      <w:highlight w:val="none"/>
                      <w:lang w:val="en-US" w:eastAsia="zh-CN"/>
                    </w:rPr>
                    <w:t>，在</w:t>
                  </w:r>
                  <w:r>
                    <w:rPr>
                      <w:rFonts w:hint="default" w:ascii="Times New Roman" w:hAnsi="Times New Roman" w:eastAsia="宋体" w:cs="Times New Roman"/>
                      <w:b w:val="0"/>
                      <w:bCs w:val="0"/>
                      <w:color w:val="auto"/>
                      <w:sz w:val="21"/>
                      <w:szCs w:val="21"/>
                      <w:highlight w:val="none"/>
                    </w:rPr>
                    <w:t>采取各项污染防治措施后各项污染物达标排放</w:t>
                  </w:r>
                  <w:r>
                    <w:rPr>
                      <w:rFonts w:hint="eastAsia" w:ascii="Times New Roman" w:hAnsi="Times New Roman" w:eastAsia="宋体" w:cs="Times New Roman"/>
                      <w:b w:val="0"/>
                      <w:bCs w:val="0"/>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本项目生活污水经化粪池处理后汇同经隔油池处理后的餐饮废水一同与冷却水定期排水一起通过园区污水管网送往青阳县污水处理厂，</w:t>
                  </w:r>
                  <w:r>
                    <w:rPr>
                      <w:rFonts w:hint="default" w:ascii="Times New Roman" w:hAnsi="Times New Roman" w:eastAsia="宋体" w:cs="Times New Roman"/>
                      <w:b w:val="0"/>
                      <w:bCs w:val="0"/>
                      <w:color w:val="auto"/>
                      <w:sz w:val="21"/>
                      <w:szCs w:val="21"/>
                      <w:highlight w:val="none"/>
                      <w:lang w:val="en-US" w:eastAsia="zh-CN"/>
                    </w:rPr>
                    <w:t>达</w:t>
                  </w:r>
                  <w:r>
                    <w:rPr>
                      <w:rFonts w:hint="default" w:ascii="Times New Roman" w:hAnsi="Times New Roman" w:eastAsia="宋体" w:cs="Times New Roman"/>
                      <w:b w:val="0"/>
                      <w:bCs w:val="0"/>
                      <w:color w:val="auto"/>
                      <w:sz w:val="21"/>
                      <w:szCs w:val="21"/>
                      <w:highlight w:val="none"/>
                    </w:rPr>
                    <w:t>标后</w:t>
                  </w:r>
                  <w:r>
                    <w:rPr>
                      <w:rFonts w:hint="default" w:ascii="Times New Roman" w:hAnsi="Times New Roman" w:eastAsia="宋体" w:cs="Times New Roman"/>
                      <w:b w:val="0"/>
                      <w:bCs w:val="0"/>
                      <w:color w:val="auto"/>
                      <w:sz w:val="21"/>
                      <w:szCs w:val="21"/>
                      <w:highlight w:val="none"/>
                      <w:lang w:val="en-US" w:eastAsia="zh-CN"/>
                    </w:rPr>
                    <w:t>尾水</w:t>
                  </w:r>
                  <w:r>
                    <w:rPr>
                      <w:rFonts w:hint="default" w:ascii="Times New Roman" w:hAnsi="Times New Roman" w:eastAsia="宋体" w:cs="Times New Roman"/>
                      <w:b w:val="0"/>
                      <w:bCs w:val="0"/>
                      <w:color w:val="auto"/>
                      <w:sz w:val="21"/>
                      <w:szCs w:val="21"/>
                      <w:highlight w:val="none"/>
                    </w:rPr>
                    <w:t>排入</w:t>
                  </w:r>
                  <w:r>
                    <w:rPr>
                      <w:rFonts w:hint="default" w:ascii="Times New Roman" w:hAnsi="Times New Roman" w:eastAsia="宋体" w:cs="Times New Roman"/>
                      <w:b w:val="0"/>
                      <w:bCs w:val="0"/>
                      <w:color w:val="auto"/>
                      <w:sz w:val="21"/>
                      <w:szCs w:val="21"/>
                      <w:highlight w:val="none"/>
                      <w:lang w:val="en-US" w:eastAsia="zh-CN"/>
                    </w:rPr>
                    <w:t>青通河</w:t>
                  </w:r>
                  <w:r>
                    <w:rPr>
                      <w:rFonts w:hint="default" w:ascii="Times New Roman" w:hAnsi="Times New Roman" w:eastAsia="宋体" w:cs="Times New Roman"/>
                      <w:b w:val="0"/>
                      <w:bCs w:val="0"/>
                      <w:color w:val="auto"/>
                      <w:kern w:val="2"/>
                      <w:sz w:val="21"/>
                      <w:szCs w:val="21"/>
                      <w:highlight w:val="none"/>
                      <w:lang w:val="en-US" w:eastAsia="zh-CN"/>
                    </w:rPr>
                    <w:t>。</w:t>
                  </w:r>
                </w:p>
              </w:tc>
              <w:tc>
                <w:tcPr>
                  <w:tcW w:w="261" w:type="pct"/>
                  <w:vMerge w:val="restart"/>
                  <w:tcBorders>
                    <w:top w:val="single" w:color="auto" w:sz="4" w:space="0"/>
                    <w:left w:val="single" w:color="auto" w:sz="4" w:space="0"/>
                    <w:right w:val="single" w:color="auto" w:sz="4" w:space="0"/>
                  </w:tcBorders>
                  <w:noWrap w:val="0"/>
                  <w:vAlign w:val="center"/>
                </w:tcPr>
                <w:p w14:paraId="148951D8">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lang w:val="en-US" w:eastAsia="zh-CN"/>
                    </w:rPr>
                    <w:t>符合</w:t>
                  </w:r>
                </w:p>
              </w:tc>
            </w:tr>
            <w:tr w14:paraId="7570D5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07" w:type="pct"/>
                  <w:vMerge w:val="continue"/>
                  <w:tcBorders>
                    <w:left w:val="single" w:color="auto" w:sz="4" w:space="0"/>
                    <w:right w:val="single" w:color="auto" w:sz="4" w:space="0"/>
                  </w:tcBorders>
                  <w:noWrap w:val="0"/>
                  <w:vAlign w:val="center"/>
                </w:tcPr>
                <w:p w14:paraId="6DC740F1">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17" w:type="pct"/>
                  <w:vMerge w:val="continue"/>
                  <w:tcBorders>
                    <w:left w:val="single" w:color="auto" w:sz="4" w:space="0"/>
                    <w:right w:val="single" w:color="auto" w:sz="4" w:space="0"/>
                  </w:tcBorders>
                  <w:noWrap w:val="0"/>
                  <w:vAlign w:val="center"/>
                </w:tcPr>
                <w:p w14:paraId="70416AC9">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291" w:type="pct"/>
                  <w:vMerge w:val="continue"/>
                  <w:tcBorders>
                    <w:left w:val="single" w:color="auto" w:sz="4" w:space="0"/>
                    <w:right w:val="single" w:color="auto" w:sz="4" w:space="0"/>
                  </w:tcBorders>
                  <w:noWrap w:val="0"/>
                  <w:vAlign w:val="center"/>
                </w:tcPr>
                <w:p w14:paraId="4B111FBD">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62" w:type="pct"/>
                  <w:tcBorders>
                    <w:tl2br w:val="nil"/>
                    <w:tr2bl w:val="nil"/>
                  </w:tcBorders>
                  <w:noWrap w:val="0"/>
                  <w:vAlign w:val="center"/>
                </w:tcPr>
                <w:p w14:paraId="35710CC8">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u w:val="none"/>
                      <w:lang w:eastAsia="zh-CN"/>
                    </w:rPr>
                  </w:pPr>
                  <w:r>
                    <w:rPr>
                      <w:rFonts w:hint="default" w:ascii="Times New Roman" w:hAnsi="Times New Roman" w:eastAsia="宋体" w:cs="Times New Roman"/>
                      <w:b w:val="0"/>
                      <w:bCs w:val="0"/>
                      <w:color w:val="auto"/>
                      <w:sz w:val="21"/>
                      <w:szCs w:val="21"/>
                      <w:highlight w:val="none"/>
                      <w:u w:val="none"/>
                      <w:lang w:val="en-US" w:eastAsia="zh-CN"/>
                    </w:rPr>
                    <w:t>2</w:t>
                  </w:r>
                </w:p>
              </w:tc>
              <w:tc>
                <w:tcPr>
                  <w:tcW w:w="3109" w:type="pct"/>
                  <w:tcBorders>
                    <w:top w:val="single" w:color="auto" w:sz="4" w:space="0"/>
                    <w:left w:val="single" w:color="auto" w:sz="4" w:space="0"/>
                    <w:bottom w:val="single" w:color="auto" w:sz="4" w:space="0"/>
                    <w:right w:val="single" w:color="auto" w:sz="4" w:space="0"/>
                  </w:tcBorders>
                  <w:noWrap w:val="0"/>
                  <w:vAlign w:val="center"/>
                </w:tcPr>
                <w:p w14:paraId="66C7E8AC">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鼓励优先选择氮磷资源化与尾水利用技术，尾水利用应满足国家或地方相应的标准或要求。其中，用于农田、林地、草地等施肥的，应符合施肥的相关标准和要求，不得造成环境污染。用于农田灌溉的，相关控制指标应满足</w:t>
                  </w:r>
                  <w:r>
                    <w:rPr>
                      <w:rFonts w:hint="eastAsia" w:cs="Times New Roman"/>
                      <w:b w:val="0"/>
                      <w:bCs w:val="0"/>
                      <w:color w:val="auto"/>
                      <w:kern w:val="0"/>
                      <w:sz w:val="21"/>
                      <w:szCs w:val="21"/>
                      <w:highlight w:val="none"/>
                      <w:u w:val="none"/>
                      <w:lang w:val="en-US" w:eastAsia="zh-CN" w:bidi="ar-SA"/>
                    </w:rPr>
                    <w:t>《农田灌溉水质标准》（GB5084-2005）</w:t>
                  </w:r>
                  <w:r>
                    <w:rPr>
                      <w:rFonts w:hint="default" w:ascii="Times New Roman" w:hAnsi="Times New Roman" w:eastAsia="宋体" w:cs="Times New Roman"/>
                      <w:b w:val="0"/>
                      <w:bCs w:val="0"/>
                      <w:color w:val="auto"/>
                      <w:kern w:val="0"/>
                      <w:sz w:val="21"/>
                      <w:szCs w:val="21"/>
                      <w:highlight w:val="none"/>
                      <w:u w:val="none"/>
                      <w:lang w:val="en-US" w:eastAsia="zh-CN" w:bidi="ar-SA"/>
                    </w:rPr>
                    <w:t>的要求，用于渔业的，相关控制指标应满足</w:t>
                  </w:r>
                  <w:r>
                    <w:rPr>
                      <w:rFonts w:hint="eastAsia" w:cs="Times New Roman"/>
                      <w:b w:val="0"/>
                      <w:bCs w:val="0"/>
                      <w:color w:val="auto"/>
                      <w:kern w:val="0"/>
                      <w:sz w:val="21"/>
                      <w:szCs w:val="21"/>
                      <w:highlight w:val="none"/>
                      <w:u w:val="none"/>
                      <w:lang w:val="en-US" w:eastAsia="zh-CN" w:bidi="ar-SA"/>
                    </w:rPr>
                    <w:t>《渔业水质标准》（GB11607-89）</w:t>
                  </w:r>
                  <w:r>
                    <w:rPr>
                      <w:rFonts w:hint="default" w:ascii="Times New Roman" w:hAnsi="Times New Roman" w:eastAsia="宋体" w:cs="Times New Roman"/>
                      <w:b w:val="0"/>
                      <w:bCs w:val="0"/>
                      <w:color w:val="auto"/>
                      <w:kern w:val="0"/>
                      <w:sz w:val="21"/>
                      <w:szCs w:val="21"/>
                      <w:highlight w:val="none"/>
                      <w:u w:val="none"/>
                      <w:lang w:val="en-US" w:eastAsia="zh-CN" w:bidi="ar-SA"/>
                    </w:rPr>
                    <w:t xml:space="preserve">的要求。尾水资源化利用，要充分考虑当地的经济条件、基础设施等技术，合理采用尾水处理技术，多途径利用污水处理厂尾水。 </w:t>
                  </w:r>
                </w:p>
              </w:tc>
              <w:tc>
                <w:tcPr>
                  <w:tcW w:w="951" w:type="pct"/>
                  <w:vMerge w:val="continue"/>
                  <w:tcBorders>
                    <w:left w:val="single" w:color="auto" w:sz="4" w:space="0"/>
                    <w:bottom w:val="single" w:color="auto" w:sz="4" w:space="0"/>
                    <w:right w:val="single" w:color="auto" w:sz="4" w:space="0"/>
                  </w:tcBorders>
                  <w:noWrap w:val="0"/>
                  <w:vAlign w:val="center"/>
                </w:tcPr>
                <w:p w14:paraId="6F937E2B">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261" w:type="pct"/>
                  <w:vMerge w:val="continue"/>
                  <w:tcBorders>
                    <w:left w:val="single" w:color="auto" w:sz="4" w:space="0"/>
                    <w:bottom w:val="single" w:color="auto" w:sz="4" w:space="0"/>
                    <w:right w:val="single" w:color="auto" w:sz="4" w:space="0"/>
                  </w:tcBorders>
                  <w:noWrap w:val="0"/>
                  <w:vAlign w:val="center"/>
                </w:tcPr>
                <w:p w14:paraId="29F43CFF">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r>
            <w:tr w14:paraId="7E4099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7" w:type="pct"/>
                  <w:vMerge w:val="continue"/>
                  <w:tcBorders>
                    <w:left w:val="single" w:color="auto" w:sz="4" w:space="0"/>
                    <w:right w:val="single" w:color="auto" w:sz="4" w:space="0"/>
                  </w:tcBorders>
                  <w:noWrap w:val="0"/>
                  <w:vAlign w:val="center"/>
                </w:tcPr>
                <w:p w14:paraId="1EEEA150">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17" w:type="pct"/>
                  <w:vMerge w:val="continue"/>
                  <w:tcBorders>
                    <w:left w:val="single" w:color="auto" w:sz="4" w:space="0"/>
                    <w:right w:val="single" w:color="auto" w:sz="4" w:space="0"/>
                  </w:tcBorders>
                  <w:noWrap w:val="0"/>
                  <w:vAlign w:val="center"/>
                </w:tcPr>
                <w:p w14:paraId="7BD8572E">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291" w:type="pct"/>
                  <w:vMerge w:val="restart"/>
                  <w:tcBorders>
                    <w:left w:val="single" w:color="auto" w:sz="4" w:space="0"/>
                    <w:right w:val="single" w:color="auto" w:sz="4" w:space="0"/>
                  </w:tcBorders>
                  <w:noWrap w:val="0"/>
                  <w:vAlign w:val="center"/>
                </w:tcPr>
                <w:p w14:paraId="5BA89C70">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现有源提标升级改造</w:t>
                  </w:r>
                </w:p>
              </w:tc>
              <w:tc>
                <w:tcPr>
                  <w:tcW w:w="162" w:type="pct"/>
                  <w:tcBorders>
                    <w:tl2br w:val="nil"/>
                    <w:tr2bl w:val="nil"/>
                  </w:tcBorders>
                  <w:noWrap w:val="0"/>
                  <w:vAlign w:val="center"/>
                </w:tcPr>
                <w:p w14:paraId="6DC79719">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u w:val="none"/>
                    </w:rPr>
                  </w:pPr>
                  <w:r>
                    <w:rPr>
                      <w:rFonts w:hint="default" w:ascii="Times New Roman" w:hAnsi="Times New Roman" w:eastAsia="宋体" w:cs="Times New Roman"/>
                      <w:b w:val="0"/>
                      <w:bCs w:val="0"/>
                      <w:color w:val="auto"/>
                      <w:sz w:val="21"/>
                      <w:szCs w:val="21"/>
                      <w:highlight w:val="none"/>
                      <w:u w:val="none"/>
                    </w:rPr>
                    <w:t>1</w:t>
                  </w:r>
                </w:p>
              </w:tc>
              <w:tc>
                <w:tcPr>
                  <w:tcW w:w="3109" w:type="pct"/>
                  <w:tcBorders>
                    <w:top w:val="single" w:color="auto" w:sz="4" w:space="0"/>
                    <w:left w:val="single" w:color="auto" w:sz="4" w:space="0"/>
                    <w:bottom w:val="single" w:color="auto" w:sz="4" w:space="0"/>
                    <w:right w:val="single" w:color="auto" w:sz="4" w:space="0"/>
                  </w:tcBorders>
                  <w:noWrap w:val="0"/>
                  <w:vAlign w:val="center"/>
                </w:tcPr>
                <w:p w14:paraId="47DA861F">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1、推进重点行业深度治理。实施重点行业污染物深度治理，加强大型燃煤设施的烟气净化设备的安装与管理，净化烟尘、二氧化硫和氮氧化物，重点开展水泥、钢铁、石灰和石膏、铸造等行业高污染排放行业的防治，全力推进钢铁行业超低排放改造。对全市无组织排放情况进行摸底排查，建立颗粒物无组织排放治理清单，深化工业企业生产工艺过程、物料储存、物料运输、厂区道路等无组织排放管控与治理。推进“长流程钢铁企业” 超低排放改造，石灰和石膏行业高效脱硫、脱硝工艺安装，工业窑炉SO</w:t>
                  </w:r>
                  <w:r>
                    <w:rPr>
                      <w:rFonts w:hint="default" w:ascii="Times New Roman" w:hAnsi="Times New Roman" w:eastAsia="宋体" w:cs="Times New Roman"/>
                      <w:b w:val="0"/>
                      <w:bCs w:val="0"/>
                      <w:color w:val="auto"/>
                      <w:kern w:val="0"/>
                      <w:sz w:val="21"/>
                      <w:szCs w:val="21"/>
                      <w:highlight w:val="none"/>
                      <w:u w:val="none"/>
                      <w:vertAlign w:val="subscript"/>
                      <w:lang w:val="en-US" w:eastAsia="zh-CN" w:bidi="ar-SA"/>
                    </w:rPr>
                    <w:t>2</w:t>
                  </w:r>
                  <w:r>
                    <w:rPr>
                      <w:rFonts w:hint="default" w:ascii="Times New Roman" w:hAnsi="Times New Roman" w:eastAsia="宋体" w:cs="Times New Roman"/>
                      <w:b w:val="0"/>
                      <w:bCs w:val="0"/>
                      <w:color w:val="auto"/>
                      <w:kern w:val="0"/>
                      <w:sz w:val="21"/>
                      <w:szCs w:val="21"/>
                      <w:highlight w:val="none"/>
                      <w:u w:val="none"/>
                      <w:lang w:val="en-US" w:eastAsia="zh-CN" w:bidi="ar-SA"/>
                    </w:rPr>
                    <w:t>、NO</w:t>
                  </w:r>
                  <w:r>
                    <w:rPr>
                      <w:rFonts w:hint="default" w:ascii="Times New Roman" w:hAnsi="Times New Roman" w:eastAsia="宋体" w:cs="Times New Roman"/>
                      <w:b w:val="0"/>
                      <w:bCs w:val="0"/>
                      <w:color w:val="auto"/>
                      <w:kern w:val="0"/>
                      <w:sz w:val="21"/>
                      <w:szCs w:val="21"/>
                      <w:highlight w:val="none"/>
                      <w:u w:val="none"/>
                      <w:vertAlign w:val="subscript"/>
                      <w:lang w:val="en-US" w:eastAsia="zh-CN" w:bidi="ar-SA"/>
                    </w:rPr>
                    <w:t>2</w:t>
                  </w:r>
                  <w:r>
                    <w:rPr>
                      <w:rFonts w:hint="default" w:ascii="Times New Roman" w:hAnsi="Times New Roman" w:eastAsia="宋体" w:cs="Times New Roman"/>
                      <w:b w:val="0"/>
                      <w:bCs w:val="0"/>
                      <w:color w:val="auto"/>
                      <w:kern w:val="0"/>
                      <w:sz w:val="21"/>
                      <w:szCs w:val="21"/>
                      <w:highlight w:val="none"/>
                      <w:u w:val="none"/>
                      <w:lang w:val="en-US" w:eastAsia="zh-CN" w:bidi="ar-SA"/>
                    </w:rPr>
                    <w:t>和颗粒物深度治理。</w:t>
                  </w:r>
                </w:p>
                <w:p w14:paraId="0FD1CE5E">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eastAsia" w:ascii="Times New Roman" w:hAnsi="Times New Roman" w:eastAsia="宋体" w:cs="Times New Roman"/>
                      <w:b w:val="0"/>
                      <w:bCs w:val="0"/>
                      <w:color w:val="auto"/>
                      <w:kern w:val="0"/>
                      <w:sz w:val="21"/>
                      <w:szCs w:val="21"/>
                      <w:highlight w:val="none"/>
                      <w:u w:val="none"/>
                      <w:lang w:val="en-US" w:eastAsia="zh-CN" w:bidi="ar-SA"/>
                    </w:rPr>
                    <w:t>2</w:t>
                  </w:r>
                  <w:r>
                    <w:rPr>
                      <w:rFonts w:hint="default" w:ascii="Times New Roman" w:hAnsi="Times New Roman" w:eastAsia="宋体" w:cs="Times New Roman"/>
                      <w:b w:val="0"/>
                      <w:bCs w:val="0"/>
                      <w:color w:val="auto"/>
                      <w:kern w:val="0"/>
                      <w:sz w:val="21"/>
                      <w:szCs w:val="21"/>
                      <w:highlight w:val="none"/>
                      <w:u w:val="none"/>
                      <w:lang w:val="en-US" w:eastAsia="zh-CN" w:bidi="ar-SA"/>
                    </w:rPr>
                    <w:t>、开展城镇污水处理厂升级改造和配套管网建设，排查主城区老旧小区雨污管网，优化排水管网及调蓄设施建设，增强道路绿化带对雨水的消纳功能，加快城镇污水处理设施建设和改造，提高集中式污水处理厂处理能力和排放标准，缓解现有污水处理设施的压力。</w:t>
                  </w:r>
                </w:p>
              </w:tc>
              <w:tc>
                <w:tcPr>
                  <w:tcW w:w="951" w:type="pct"/>
                  <w:tcBorders>
                    <w:top w:val="single" w:color="auto" w:sz="4" w:space="0"/>
                    <w:left w:val="single" w:color="auto" w:sz="4" w:space="0"/>
                    <w:bottom w:val="single" w:color="auto" w:sz="4" w:space="0"/>
                    <w:right w:val="single" w:color="auto" w:sz="4" w:space="0"/>
                  </w:tcBorders>
                  <w:noWrap w:val="0"/>
                  <w:vAlign w:val="center"/>
                </w:tcPr>
                <w:p w14:paraId="33AC46CD">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b w:val="0"/>
                      <w:bCs w:val="0"/>
                      <w:color w:val="auto"/>
                      <w:kern w:val="0"/>
                      <w:sz w:val="21"/>
                      <w:szCs w:val="21"/>
                      <w:highlight w:val="none"/>
                      <w:lang w:val="en-US" w:eastAsia="zh-CN" w:bidi="ar-SA"/>
                    </w:rPr>
                    <w:t>本</w:t>
                  </w:r>
                  <w:r>
                    <w:rPr>
                      <w:rFonts w:hint="default" w:ascii="Times New Roman" w:hAnsi="Times New Roman" w:eastAsia="宋体" w:cs="Times New Roman"/>
                      <w:b w:val="0"/>
                      <w:bCs w:val="0"/>
                      <w:color w:val="auto"/>
                      <w:kern w:val="0"/>
                      <w:sz w:val="21"/>
                      <w:szCs w:val="21"/>
                      <w:highlight w:val="none"/>
                      <w:lang w:val="en-US" w:eastAsia="zh-CN" w:bidi="ar-SA"/>
                    </w:rPr>
                    <w:t>项目行业类别为C3831电线、电缆制造，</w:t>
                  </w:r>
                  <w:r>
                    <w:rPr>
                      <w:rFonts w:hint="eastAsia" w:cs="Times New Roman"/>
                      <w:b w:val="0"/>
                      <w:bCs w:val="0"/>
                      <w:color w:val="auto"/>
                      <w:kern w:val="0"/>
                      <w:sz w:val="21"/>
                      <w:szCs w:val="21"/>
                      <w:highlight w:val="none"/>
                      <w:lang w:val="en-US" w:eastAsia="zh-CN" w:bidi="ar-SA"/>
                    </w:rPr>
                    <w:t>项目</w:t>
                  </w:r>
                  <w:r>
                    <w:rPr>
                      <w:rFonts w:hint="default" w:ascii="Times New Roman" w:hAnsi="Times New Roman" w:eastAsia="宋体" w:cs="Times New Roman"/>
                      <w:b w:val="0"/>
                      <w:bCs w:val="0"/>
                      <w:color w:val="auto"/>
                      <w:kern w:val="0"/>
                      <w:sz w:val="21"/>
                      <w:szCs w:val="21"/>
                      <w:highlight w:val="none"/>
                      <w:lang w:val="en-US" w:eastAsia="zh-CN" w:bidi="ar-SA"/>
                    </w:rPr>
                    <w:t>挤出废气</w:t>
                  </w:r>
                  <w:r>
                    <w:rPr>
                      <w:rFonts w:hint="eastAsia" w:cs="Times New Roman"/>
                      <w:b w:val="0"/>
                      <w:bCs w:val="0"/>
                      <w:color w:val="auto"/>
                      <w:kern w:val="0"/>
                      <w:sz w:val="21"/>
                      <w:szCs w:val="21"/>
                      <w:highlight w:val="none"/>
                      <w:lang w:val="en-US" w:eastAsia="zh-CN" w:bidi="ar-SA"/>
                    </w:rPr>
                    <w:t>、喷码废气和注塑废气</w:t>
                  </w:r>
                  <w:r>
                    <w:rPr>
                      <w:rFonts w:hint="default" w:ascii="Times New Roman" w:hAnsi="Times New Roman" w:eastAsia="宋体" w:cs="Times New Roman"/>
                      <w:b w:val="0"/>
                      <w:bCs w:val="0"/>
                      <w:color w:val="auto"/>
                      <w:kern w:val="0"/>
                      <w:sz w:val="21"/>
                      <w:szCs w:val="21"/>
                      <w:highlight w:val="none"/>
                      <w:lang w:val="en-US" w:eastAsia="zh-CN" w:bidi="ar-SA"/>
                    </w:rPr>
                    <w:t>经两级活性炭吸附处理装置处理后排放</w:t>
                  </w:r>
                  <w:r>
                    <w:rPr>
                      <w:rFonts w:hint="eastAsia" w:cs="Times New Roman"/>
                      <w:b w:val="0"/>
                      <w:bCs w:val="0"/>
                      <w:color w:val="auto"/>
                      <w:kern w:val="0"/>
                      <w:sz w:val="21"/>
                      <w:szCs w:val="21"/>
                      <w:highlight w:val="none"/>
                      <w:lang w:val="en-US" w:eastAsia="zh-CN" w:bidi="ar-SA"/>
                    </w:rPr>
                    <w:t>；</w:t>
                  </w:r>
                  <w:r>
                    <w:rPr>
                      <w:rFonts w:hint="default" w:ascii="Times New Roman" w:hAnsi="Times New Roman" w:eastAsia="宋体" w:cs="Times New Roman"/>
                      <w:b w:val="0"/>
                      <w:bCs w:val="0"/>
                      <w:color w:val="auto"/>
                      <w:kern w:val="0"/>
                      <w:sz w:val="21"/>
                      <w:szCs w:val="21"/>
                      <w:highlight w:val="none"/>
                      <w:lang w:val="en-US" w:eastAsia="zh-CN" w:bidi="ar-SA"/>
                    </w:rPr>
                    <w:t>熔融</w:t>
                  </w:r>
                  <w:r>
                    <w:rPr>
                      <w:rFonts w:hint="eastAsia" w:cs="Times New Roman"/>
                      <w:b w:val="0"/>
                      <w:bCs w:val="0"/>
                      <w:color w:val="auto"/>
                      <w:kern w:val="0"/>
                      <w:sz w:val="21"/>
                      <w:szCs w:val="21"/>
                      <w:highlight w:val="none"/>
                      <w:lang w:val="en-US" w:eastAsia="zh-CN" w:bidi="ar-SA"/>
                    </w:rPr>
                    <w:t>造粒</w:t>
                  </w:r>
                  <w:r>
                    <w:rPr>
                      <w:rFonts w:hint="default" w:ascii="Times New Roman" w:hAnsi="Times New Roman" w:eastAsia="宋体" w:cs="Times New Roman"/>
                      <w:b w:val="0"/>
                      <w:bCs w:val="0"/>
                      <w:color w:val="auto"/>
                      <w:kern w:val="0"/>
                      <w:sz w:val="21"/>
                      <w:szCs w:val="21"/>
                      <w:highlight w:val="none"/>
                      <w:lang w:val="en-US" w:eastAsia="zh-CN" w:bidi="ar-SA"/>
                    </w:rPr>
                    <w:t>废气</w:t>
                  </w:r>
                  <w:r>
                    <w:rPr>
                      <w:rFonts w:hint="eastAsia" w:cs="Times New Roman"/>
                      <w:b w:val="0"/>
                      <w:bCs w:val="0"/>
                      <w:color w:val="auto"/>
                      <w:kern w:val="0"/>
                      <w:sz w:val="21"/>
                      <w:szCs w:val="21"/>
                      <w:highlight w:val="none"/>
                      <w:lang w:val="en-US" w:eastAsia="zh-CN" w:bidi="ar-SA"/>
                    </w:rPr>
                    <w:t>经油烟净化器+布袋除尘器+两级活性炭吸附处理装置处理后排放；</w:t>
                  </w:r>
                  <w:r>
                    <w:rPr>
                      <w:rFonts w:hint="default" w:ascii="Times New Roman" w:hAnsi="Times New Roman" w:eastAsia="宋体" w:cs="Times New Roman"/>
                      <w:b w:val="0"/>
                      <w:bCs w:val="0"/>
                      <w:color w:val="auto"/>
                      <w:kern w:val="0"/>
                      <w:sz w:val="21"/>
                      <w:szCs w:val="21"/>
                      <w:highlight w:val="none"/>
                      <w:lang w:val="en-US" w:eastAsia="zh-CN" w:bidi="ar-SA"/>
                    </w:rPr>
                    <w:t>投料粉尘</w:t>
                  </w:r>
                  <w:r>
                    <w:rPr>
                      <w:rFonts w:hint="eastAsia" w:cs="Times New Roman"/>
                      <w:b w:val="0"/>
                      <w:bCs w:val="0"/>
                      <w:color w:val="auto"/>
                      <w:kern w:val="0"/>
                      <w:sz w:val="21"/>
                      <w:szCs w:val="21"/>
                      <w:highlight w:val="none"/>
                      <w:lang w:val="en-US" w:eastAsia="zh-CN" w:bidi="ar-SA"/>
                    </w:rPr>
                    <w:t>和冷却废气</w:t>
                  </w:r>
                  <w:r>
                    <w:rPr>
                      <w:rFonts w:hint="default" w:ascii="Times New Roman" w:hAnsi="Times New Roman" w:eastAsia="宋体" w:cs="Times New Roman"/>
                      <w:b w:val="0"/>
                      <w:bCs w:val="0"/>
                      <w:color w:val="auto"/>
                      <w:kern w:val="0"/>
                      <w:sz w:val="21"/>
                      <w:szCs w:val="21"/>
                      <w:highlight w:val="none"/>
                      <w:lang w:val="en-US" w:eastAsia="zh-CN" w:bidi="ar-SA"/>
                    </w:rPr>
                    <w:t>经布袋除尘器处理后排放，食堂油烟经油烟净化器处理后排放</w:t>
                  </w:r>
                  <w:r>
                    <w:rPr>
                      <w:rFonts w:hint="eastAsia" w:cs="Times New Roman"/>
                      <w:b w:val="0"/>
                      <w:bCs w:val="0"/>
                      <w:color w:val="auto"/>
                      <w:kern w:val="0"/>
                      <w:sz w:val="21"/>
                      <w:szCs w:val="21"/>
                      <w:highlight w:val="none"/>
                      <w:lang w:val="en-US" w:eastAsia="zh-CN" w:bidi="ar-SA"/>
                    </w:rPr>
                    <w:t>。</w:t>
                  </w:r>
                  <w:r>
                    <w:rPr>
                      <w:rFonts w:hint="eastAsia" w:ascii="Times New Roman" w:cs="Times New Roman"/>
                      <w:bCs/>
                      <w:color w:val="auto"/>
                      <w:sz w:val="21"/>
                      <w:szCs w:val="21"/>
                      <w:highlight w:val="none"/>
                      <w:lang w:val="en-US" w:eastAsia="zh-CN"/>
                    </w:rPr>
                    <w:t>项目生活污水经化粪池处理后汇同经隔油池处理后的餐饮废水一同与冷却水定期排水一起通过园区污水管网送往青阳县污水处理厂，处理达标后排放。</w:t>
                  </w:r>
                </w:p>
              </w:tc>
              <w:tc>
                <w:tcPr>
                  <w:tcW w:w="261" w:type="pct"/>
                  <w:tcBorders>
                    <w:top w:val="single" w:color="auto" w:sz="4" w:space="0"/>
                    <w:left w:val="single" w:color="auto" w:sz="4" w:space="0"/>
                    <w:bottom w:val="single" w:color="auto" w:sz="4" w:space="0"/>
                    <w:right w:val="single" w:color="auto" w:sz="4" w:space="0"/>
                  </w:tcBorders>
                  <w:noWrap w:val="0"/>
                  <w:vAlign w:val="center"/>
                </w:tcPr>
                <w:p w14:paraId="1444A8CA">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符合</w:t>
                  </w:r>
                </w:p>
              </w:tc>
            </w:tr>
            <w:tr w14:paraId="318345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7" w:type="pct"/>
                  <w:vMerge w:val="continue"/>
                  <w:tcBorders>
                    <w:left w:val="single" w:color="auto" w:sz="4" w:space="0"/>
                    <w:right w:val="single" w:color="auto" w:sz="4" w:space="0"/>
                  </w:tcBorders>
                  <w:noWrap w:val="0"/>
                  <w:vAlign w:val="center"/>
                </w:tcPr>
                <w:p w14:paraId="67CABCC3">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17" w:type="pct"/>
                  <w:vMerge w:val="continue"/>
                  <w:tcBorders>
                    <w:left w:val="single" w:color="auto" w:sz="4" w:space="0"/>
                    <w:right w:val="single" w:color="auto" w:sz="4" w:space="0"/>
                  </w:tcBorders>
                  <w:noWrap w:val="0"/>
                  <w:vAlign w:val="center"/>
                </w:tcPr>
                <w:p w14:paraId="0EABEB10">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291" w:type="pct"/>
                  <w:vMerge w:val="continue"/>
                  <w:tcBorders>
                    <w:left w:val="single" w:color="auto" w:sz="4" w:space="0"/>
                    <w:right w:val="single" w:color="auto" w:sz="4" w:space="0"/>
                  </w:tcBorders>
                  <w:noWrap w:val="0"/>
                  <w:vAlign w:val="center"/>
                </w:tcPr>
                <w:p w14:paraId="415D3514">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62" w:type="pct"/>
                  <w:tcBorders>
                    <w:tl2br w:val="nil"/>
                    <w:tr2bl w:val="nil"/>
                  </w:tcBorders>
                  <w:noWrap w:val="0"/>
                  <w:vAlign w:val="center"/>
                </w:tcPr>
                <w:p w14:paraId="7D6BD644">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2</w:t>
                  </w:r>
                </w:p>
              </w:tc>
              <w:tc>
                <w:tcPr>
                  <w:tcW w:w="3109" w:type="pct"/>
                  <w:tcBorders>
                    <w:top w:val="single" w:color="auto" w:sz="4" w:space="0"/>
                    <w:left w:val="single" w:color="auto" w:sz="4" w:space="0"/>
                    <w:bottom w:val="single" w:color="auto" w:sz="4" w:space="0"/>
                    <w:right w:val="single" w:color="auto" w:sz="4" w:space="0"/>
                  </w:tcBorders>
                  <w:noWrap w:val="0"/>
                  <w:vAlign w:val="center"/>
                </w:tcPr>
                <w:p w14:paraId="2722E797">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鼓励支持使用涂料、油墨、胶粘剂、涂层剂（树脂）、清洗剂等原辅材料的企业，进行低VOCs含量原辅材料的源头替代。各地应结合本地产业特点和源头替代参考目录（附件5），重点在工业涂装、包装印刷、鞋革箱包制造、竹木制品胶合等重点领域，推广VOCs含量低于10%原辅材料的源头替代，并纳入年度源头削减项目管理，实现“可替尽替、应代尽代”，源头削减年度完成项目占40%以上。持续推进含VOCs产品源头替代工程，确保到2025年，溶剂型工业涂料、溶剂型油墨使用比例分别降低20%、15%，溶剂型胶粘剂使用量下降20%。</w:t>
                  </w:r>
                </w:p>
              </w:tc>
              <w:tc>
                <w:tcPr>
                  <w:tcW w:w="951" w:type="pct"/>
                  <w:vMerge w:val="restart"/>
                  <w:tcBorders>
                    <w:top w:val="single" w:color="auto" w:sz="4" w:space="0"/>
                    <w:left w:val="single" w:color="auto" w:sz="4" w:space="0"/>
                    <w:right w:val="single" w:color="auto" w:sz="4" w:space="0"/>
                  </w:tcBorders>
                  <w:noWrap w:val="0"/>
                  <w:vAlign w:val="center"/>
                </w:tcPr>
                <w:p w14:paraId="1EAB482A">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b w:val="0"/>
                      <w:bCs w:val="0"/>
                      <w:color w:val="auto"/>
                      <w:kern w:val="0"/>
                      <w:sz w:val="21"/>
                      <w:szCs w:val="21"/>
                      <w:highlight w:val="none"/>
                      <w:lang w:val="en-US" w:eastAsia="zh-CN" w:bidi="ar-SA"/>
                    </w:rPr>
                    <w:t>本</w:t>
                  </w:r>
                  <w:r>
                    <w:rPr>
                      <w:rFonts w:hint="default" w:ascii="Times New Roman" w:hAnsi="Times New Roman" w:eastAsia="宋体" w:cs="Times New Roman"/>
                      <w:b w:val="0"/>
                      <w:bCs w:val="0"/>
                      <w:color w:val="auto"/>
                      <w:kern w:val="0"/>
                      <w:sz w:val="21"/>
                      <w:szCs w:val="21"/>
                      <w:highlight w:val="none"/>
                      <w:lang w:val="en-US" w:eastAsia="zh-CN" w:bidi="ar-SA"/>
                    </w:rPr>
                    <w:t>项目行业类别为C3831电线、电缆制造</w:t>
                  </w:r>
                  <w:r>
                    <w:rPr>
                      <w:rFonts w:hint="eastAsia" w:ascii="Times New Roman" w:hAnsi="Times New Roman" w:eastAsia="宋体" w:cs="Times New Roman"/>
                      <w:b w:val="0"/>
                      <w:bCs w:val="0"/>
                      <w:color w:val="auto"/>
                      <w:kern w:val="0"/>
                      <w:sz w:val="21"/>
                      <w:szCs w:val="21"/>
                      <w:highlight w:val="none"/>
                      <w:lang w:val="en-US" w:eastAsia="zh-CN" w:bidi="ar-SA"/>
                    </w:rPr>
                    <w:t>，</w:t>
                  </w:r>
                  <w:r>
                    <w:rPr>
                      <w:rFonts w:hint="eastAsia" w:cs="Times New Roman"/>
                      <w:b w:val="0"/>
                      <w:bCs w:val="0"/>
                      <w:color w:val="auto"/>
                      <w:kern w:val="0"/>
                      <w:sz w:val="21"/>
                      <w:szCs w:val="21"/>
                      <w:highlight w:val="none"/>
                      <w:lang w:val="en-US" w:eastAsia="zh-CN" w:bidi="ar-SA"/>
                    </w:rPr>
                    <w:t>项目使用的油墨为水性油墨，其MSDS报告显示挥发性有机化合物占比为5%—10%，满足《油墨中可挥发性有机化合物VOCs含量的限值》（GB38507-2020）表1的要求。</w:t>
                  </w:r>
                  <w:r>
                    <w:rPr>
                      <w:rFonts w:hint="eastAsia" w:ascii="Times New Roman" w:hAnsi="Times New Roman" w:eastAsia="宋体" w:cs="Times New Roman"/>
                      <w:b w:val="0"/>
                      <w:bCs w:val="0"/>
                      <w:color w:val="auto"/>
                      <w:kern w:val="0"/>
                      <w:sz w:val="21"/>
                      <w:szCs w:val="21"/>
                      <w:highlight w:val="none"/>
                      <w:lang w:val="en-US" w:eastAsia="zh-CN" w:bidi="ar-SA"/>
                    </w:rPr>
                    <w:t>项目</w:t>
                  </w:r>
                  <w:r>
                    <w:rPr>
                      <w:rFonts w:hint="eastAsia" w:ascii="Times New Roman" w:hAnsi="Times New Roman" w:eastAsia="宋体" w:cs="Times New Roman"/>
                      <w:color w:val="auto"/>
                      <w:kern w:val="0"/>
                      <w:sz w:val="21"/>
                      <w:szCs w:val="21"/>
                      <w:highlight w:val="none"/>
                      <w:lang w:val="en-US" w:eastAsia="zh-CN"/>
                    </w:rPr>
                    <w:t>不</w:t>
                  </w:r>
                  <w:r>
                    <w:rPr>
                      <w:rFonts w:hint="default" w:ascii="Times New Roman" w:hAnsi="Times New Roman" w:eastAsia="宋体" w:cs="Times New Roman"/>
                      <w:b w:val="0"/>
                      <w:bCs w:val="0"/>
                      <w:color w:val="auto"/>
                      <w:kern w:val="0"/>
                      <w:sz w:val="21"/>
                      <w:szCs w:val="21"/>
                      <w:highlight w:val="none"/>
                      <w:u w:val="none"/>
                      <w:lang w:val="en-US" w:eastAsia="zh-CN" w:bidi="ar-SA"/>
                    </w:rPr>
                    <w:t>使用</w:t>
                  </w:r>
                  <w:r>
                    <w:rPr>
                      <w:rFonts w:hint="eastAsia" w:cs="Times New Roman"/>
                      <w:b w:val="0"/>
                      <w:bCs w:val="0"/>
                      <w:color w:val="auto"/>
                      <w:kern w:val="0"/>
                      <w:sz w:val="21"/>
                      <w:szCs w:val="21"/>
                      <w:highlight w:val="none"/>
                      <w:u w:val="none"/>
                      <w:lang w:val="en-US" w:eastAsia="zh-CN" w:bidi="ar-SA"/>
                    </w:rPr>
                    <w:t>其他</w:t>
                  </w:r>
                  <w:r>
                    <w:rPr>
                      <w:rFonts w:hint="default" w:ascii="Times New Roman" w:hAnsi="Times New Roman" w:eastAsia="宋体" w:cs="Times New Roman"/>
                      <w:b w:val="0"/>
                      <w:bCs w:val="0"/>
                      <w:color w:val="auto"/>
                      <w:kern w:val="0"/>
                      <w:sz w:val="21"/>
                      <w:szCs w:val="21"/>
                      <w:highlight w:val="none"/>
                      <w:u w:val="none"/>
                      <w:lang w:val="en-US" w:eastAsia="zh-CN" w:bidi="ar-SA"/>
                    </w:rPr>
                    <w:t>涂料、胶粘剂、涂层剂（树脂）、清洗剂等原辅材料</w:t>
                  </w:r>
                  <w:r>
                    <w:rPr>
                      <w:rFonts w:hint="eastAsia" w:ascii="Times New Roman" w:hAnsi="Times New Roman" w:eastAsia="宋体" w:cs="Times New Roman"/>
                      <w:b w:val="0"/>
                      <w:bCs w:val="0"/>
                      <w:color w:val="auto"/>
                      <w:kern w:val="0"/>
                      <w:sz w:val="21"/>
                      <w:szCs w:val="21"/>
                      <w:highlight w:val="none"/>
                      <w:u w:val="none"/>
                      <w:lang w:val="en-US" w:eastAsia="zh-CN" w:bidi="ar-SA"/>
                    </w:rPr>
                    <w:t>。</w:t>
                  </w:r>
                </w:p>
              </w:tc>
              <w:tc>
                <w:tcPr>
                  <w:tcW w:w="261" w:type="pct"/>
                  <w:vMerge w:val="restart"/>
                  <w:tcBorders>
                    <w:top w:val="single" w:color="auto" w:sz="4" w:space="0"/>
                    <w:left w:val="single" w:color="auto" w:sz="4" w:space="0"/>
                    <w:right w:val="single" w:color="auto" w:sz="4" w:space="0"/>
                  </w:tcBorders>
                  <w:noWrap w:val="0"/>
                  <w:vAlign w:val="center"/>
                </w:tcPr>
                <w:p w14:paraId="6A835805">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符合</w:t>
                  </w:r>
                </w:p>
              </w:tc>
            </w:tr>
            <w:tr w14:paraId="63E04C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7" w:type="pct"/>
                  <w:vMerge w:val="continue"/>
                  <w:tcBorders>
                    <w:left w:val="single" w:color="auto" w:sz="4" w:space="0"/>
                    <w:right w:val="single" w:color="auto" w:sz="4" w:space="0"/>
                  </w:tcBorders>
                  <w:noWrap w:val="0"/>
                  <w:vAlign w:val="center"/>
                </w:tcPr>
                <w:p w14:paraId="6D3BE025">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17" w:type="pct"/>
                  <w:vMerge w:val="continue"/>
                  <w:tcBorders>
                    <w:left w:val="single" w:color="auto" w:sz="4" w:space="0"/>
                    <w:right w:val="single" w:color="auto" w:sz="4" w:space="0"/>
                  </w:tcBorders>
                  <w:noWrap w:val="0"/>
                  <w:vAlign w:val="center"/>
                </w:tcPr>
                <w:p w14:paraId="2F1CE677">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291" w:type="pct"/>
                  <w:vMerge w:val="continue"/>
                  <w:tcBorders>
                    <w:left w:val="single" w:color="auto" w:sz="4" w:space="0"/>
                    <w:right w:val="single" w:color="auto" w:sz="4" w:space="0"/>
                  </w:tcBorders>
                  <w:noWrap w:val="0"/>
                  <w:vAlign w:val="center"/>
                </w:tcPr>
                <w:p w14:paraId="3E5C4C77">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62" w:type="pct"/>
                  <w:tcBorders>
                    <w:tl2br w:val="nil"/>
                    <w:tr2bl w:val="nil"/>
                  </w:tcBorders>
                  <w:noWrap w:val="0"/>
                  <w:vAlign w:val="center"/>
                </w:tcPr>
                <w:p w14:paraId="5F97835F">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3</w:t>
                  </w:r>
                </w:p>
              </w:tc>
              <w:tc>
                <w:tcPr>
                  <w:tcW w:w="3109" w:type="pct"/>
                  <w:tcBorders>
                    <w:top w:val="single" w:color="auto" w:sz="4" w:space="0"/>
                    <w:left w:val="single" w:color="auto" w:sz="4" w:space="0"/>
                    <w:bottom w:val="single" w:color="auto" w:sz="4" w:space="0"/>
                    <w:right w:val="single" w:color="auto" w:sz="4" w:space="0"/>
                  </w:tcBorders>
                  <w:noWrap w:val="0"/>
                  <w:vAlign w:val="center"/>
                </w:tcPr>
                <w:p w14:paraId="09D8C0FE">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建立以排污许可管理中</w:t>
                  </w:r>
                  <w:r>
                    <w:rPr>
                      <w:rFonts w:hint="eastAsia" w:cs="Times New Roman"/>
                      <w:b w:val="0"/>
                      <w:bCs w:val="0"/>
                      <w:color w:val="auto"/>
                      <w:kern w:val="0"/>
                      <w:sz w:val="21"/>
                      <w:szCs w:val="21"/>
                      <w:highlight w:val="none"/>
                      <w:u w:val="none"/>
                      <w:lang w:val="en-US" w:eastAsia="zh-CN" w:bidi="ar-SA"/>
                    </w:rPr>
                    <w:t>涉及</w:t>
                  </w:r>
                  <w:r>
                    <w:rPr>
                      <w:rFonts w:hint="default" w:ascii="Times New Roman" w:hAnsi="Times New Roman" w:eastAsia="宋体" w:cs="Times New Roman"/>
                      <w:b w:val="0"/>
                      <w:bCs w:val="0"/>
                      <w:color w:val="auto"/>
                      <w:kern w:val="0"/>
                      <w:sz w:val="21"/>
                      <w:szCs w:val="21"/>
                      <w:highlight w:val="none"/>
                      <w:u w:val="none"/>
                      <w:lang w:val="en-US" w:eastAsia="zh-CN" w:bidi="ar-SA"/>
                    </w:rPr>
                    <w:t>VOCs的14个重点领域清单（含量限值29家，源头替代1129家，工业涂装1081家，重点行业1464家，汽修业2家，餐饮业9家，具体企业数量由各地核实后为准），分类确定VOCs治理项目，实施差异化减排，2023年前全部完成整治。全面梳理工业园区涉群众异味投诉等VOCs治理突出问题，加强大气环境监测及监控能力建设。对VOCs治理有突出问题的园区，应制定综合治理“一园一案”。</w:t>
                  </w:r>
                </w:p>
              </w:tc>
              <w:tc>
                <w:tcPr>
                  <w:tcW w:w="951" w:type="pct"/>
                  <w:vMerge w:val="continue"/>
                  <w:tcBorders>
                    <w:left w:val="single" w:color="auto" w:sz="4" w:space="0"/>
                    <w:right w:val="single" w:color="auto" w:sz="4" w:space="0"/>
                  </w:tcBorders>
                  <w:noWrap w:val="0"/>
                  <w:vAlign w:val="center"/>
                </w:tcPr>
                <w:p w14:paraId="686E225D">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lang w:val="en-US" w:eastAsia="zh-CN" w:bidi="ar-SA"/>
                    </w:rPr>
                  </w:pPr>
                </w:p>
              </w:tc>
              <w:tc>
                <w:tcPr>
                  <w:tcW w:w="261" w:type="pct"/>
                  <w:vMerge w:val="continue"/>
                  <w:tcBorders>
                    <w:left w:val="single" w:color="auto" w:sz="4" w:space="0"/>
                    <w:right w:val="single" w:color="auto" w:sz="4" w:space="0"/>
                  </w:tcBorders>
                  <w:noWrap w:val="0"/>
                  <w:vAlign w:val="center"/>
                </w:tcPr>
                <w:p w14:paraId="00E18091">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SA"/>
                    </w:rPr>
                  </w:pPr>
                </w:p>
              </w:tc>
            </w:tr>
            <w:tr w14:paraId="5BEC3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7" w:type="pct"/>
                  <w:vMerge w:val="continue"/>
                  <w:tcBorders>
                    <w:left w:val="single" w:color="auto" w:sz="4" w:space="0"/>
                    <w:right w:val="single" w:color="auto" w:sz="4" w:space="0"/>
                  </w:tcBorders>
                  <w:noWrap w:val="0"/>
                  <w:vAlign w:val="center"/>
                </w:tcPr>
                <w:p w14:paraId="624999DD">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17" w:type="pct"/>
                  <w:vMerge w:val="continue"/>
                  <w:tcBorders>
                    <w:left w:val="single" w:color="auto" w:sz="4" w:space="0"/>
                    <w:right w:val="single" w:color="auto" w:sz="4" w:space="0"/>
                  </w:tcBorders>
                  <w:noWrap w:val="0"/>
                  <w:vAlign w:val="center"/>
                </w:tcPr>
                <w:p w14:paraId="57DBABA1">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291" w:type="pct"/>
                  <w:vMerge w:val="continue"/>
                  <w:tcBorders>
                    <w:left w:val="single" w:color="auto" w:sz="4" w:space="0"/>
                    <w:right w:val="single" w:color="auto" w:sz="4" w:space="0"/>
                  </w:tcBorders>
                  <w:noWrap w:val="0"/>
                  <w:vAlign w:val="center"/>
                </w:tcPr>
                <w:p w14:paraId="17639211">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62" w:type="pct"/>
                  <w:tcBorders>
                    <w:tl2br w:val="nil"/>
                    <w:tr2bl w:val="nil"/>
                  </w:tcBorders>
                  <w:noWrap w:val="0"/>
                  <w:vAlign w:val="center"/>
                </w:tcPr>
                <w:p w14:paraId="6B03F4A0">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4</w:t>
                  </w:r>
                </w:p>
              </w:tc>
              <w:tc>
                <w:tcPr>
                  <w:tcW w:w="3109" w:type="pct"/>
                  <w:tcBorders>
                    <w:top w:val="single" w:color="auto" w:sz="4" w:space="0"/>
                    <w:left w:val="single" w:color="auto" w:sz="4" w:space="0"/>
                    <w:bottom w:val="single" w:color="auto" w:sz="4" w:space="0"/>
                    <w:right w:val="single" w:color="auto" w:sz="4" w:space="0"/>
                  </w:tcBorders>
                  <w:noWrap w:val="0"/>
                  <w:vAlign w:val="center"/>
                </w:tcPr>
                <w:p w14:paraId="7D7FECD7">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sz w:val="21"/>
                      <w:szCs w:val="21"/>
                      <w:highlight w:val="none"/>
                      <w:u w:val="none"/>
                    </w:rPr>
                  </w:pPr>
                  <w:r>
                    <w:rPr>
                      <w:rFonts w:hint="default" w:ascii="Times New Roman" w:hAnsi="Times New Roman" w:eastAsia="宋体" w:cs="Times New Roman"/>
                      <w:b w:val="0"/>
                      <w:bCs w:val="0"/>
                      <w:color w:val="auto"/>
                      <w:sz w:val="21"/>
                      <w:szCs w:val="21"/>
                      <w:highlight w:val="none"/>
                      <w:u w:val="none"/>
                      <w:lang w:val="en-US" w:eastAsia="zh-CN"/>
                    </w:rPr>
                    <w:t>1、</w:t>
                  </w:r>
                  <w:r>
                    <w:rPr>
                      <w:rFonts w:hint="default" w:ascii="Times New Roman" w:hAnsi="Times New Roman" w:eastAsia="宋体" w:cs="Times New Roman"/>
                      <w:b w:val="0"/>
                      <w:bCs w:val="0"/>
                      <w:color w:val="auto"/>
                      <w:sz w:val="21"/>
                      <w:szCs w:val="21"/>
                      <w:highlight w:val="none"/>
                      <w:u w:val="none"/>
                    </w:rPr>
                    <w:t>全面排查汽修、造船行业喷烤漆房建设使用及VOCs废气收集处理情况，对于喷漆、流平和烘干等工艺操作不在喷烤漆房内进行</w:t>
                  </w:r>
                  <w:r>
                    <w:rPr>
                      <w:rFonts w:hint="default" w:ascii="Times New Roman" w:hAnsi="Times New Roman" w:eastAsia="宋体" w:cs="Times New Roman"/>
                      <w:b w:val="0"/>
                      <w:bCs w:val="0"/>
                      <w:color w:val="auto"/>
                      <w:sz w:val="21"/>
                      <w:szCs w:val="21"/>
                      <w:highlight w:val="none"/>
                      <w:u w:val="none"/>
                      <w:lang w:eastAsia="zh-CN"/>
                    </w:rPr>
                    <w:t>，</w:t>
                  </w:r>
                  <w:r>
                    <w:rPr>
                      <w:rFonts w:hint="default" w:ascii="Times New Roman" w:hAnsi="Times New Roman" w:eastAsia="宋体" w:cs="Times New Roman"/>
                      <w:b w:val="0"/>
                      <w:bCs w:val="0"/>
                      <w:color w:val="auto"/>
                      <w:sz w:val="21"/>
                      <w:szCs w:val="21"/>
                      <w:highlight w:val="none"/>
                      <w:u w:val="none"/>
                    </w:rPr>
                    <w:t>调漆和使用溶剂型涂料的喷枪清洗未密闭作业</w:t>
                  </w:r>
                  <w:r>
                    <w:rPr>
                      <w:rFonts w:hint="default" w:ascii="Times New Roman" w:hAnsi="Times New Roman" w:eastAsia="宋体" w:cs="Times New Roman"/>
                      <w:b w:val="0"/>
                      <w:bCs w:val="0"/>
                      <w:color w:val="auto"/>
                      <w:sz w:val="21"/>
                      <w:szCs w:val="21"/>
                      <w:highlight w:val="none"/>
                      <w:u w:val="none"/>
                      <w:lang w:eastAsia="zh-CN"/>
                    </w:rPr>
                    <w:t>，</w:t>
                  </w:r>
                  <w:r>
                    <w:rPr>
                      <w:rFonts w:hint="default" w:ascii="Times New Roman" w:hAnsi="Times New Roman" w:eastAsia="宋体" w:cs="Times New Roman"/>
                      <w:b w:val="0"/>
                      <w:bCs w:val="0"/>
                      <w:color w:val="auto"/>
                      <w:sz w:val="21"/>
                      <w:szCs w:val="21"/>
                      <w:highlight w:val="none"/>
                      <w:u w:val="none"/>
                    </w:rPr>
                    <w:t>产生的VOCs废气未集中收集并导入治理设施实现达标排放</w:t>
                  </w:r>
                  <w:r>
                    <w:rPr>
                      <w:rFonts w:hint="default" w:ascii="Times New Roman" w:hAnsi="Times New Roman" w:eastAsia="宋体" w:cs="Times New Roman"/>
                      <w:b w:val="0"/>
                      <w:bCs w:val="0"/>
                      <w:color w:val="auto"/>
                      <w:sz w:val="21"/>
                      <w:szCs w:val="21"/>
                      <w:highlight w:val="none"/>
                      <w:u w:val="none"/>
                      <w:lang w:eastAsia="zh-CN"/>
                    </w:rPr>
                    <w:t>，</w:t>
                  </w:r>
                  <w:r>
                    <w:rPr>
                      <w:rFonts w:hint="default" w:ascii="Times New Roman" w:hAnsi="Times New Roman" w:eastAsia="宋体" w:cs="Times New Roman"/>
                      <w:b w:val="0"/>
                      <w:bCs w:val="0"/>
                      <w:color w:val="auto"/>
                      <w:sz w:val="21"/>
                      <w:szCs w:val="21"/>
                      <w:highlight w:val="none"/>
                      <w:u w:val="none"/>
                    </w:rPr>
                    <w:t>更换的活性炭等吸附材料未建立相应台账等问题，建立整治清单，严格整改到位，涉嫌违法的，依法查处。</w:t>
                  </w:r>
                </w:p>
                <w:p w14:paraId="3D56EE8F">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2、推进治污设施升级改造，通过采用全密闭、连续化、自动化等生产技术，以及高效工艺与设备等，减少工艺过程无组织排放。提高废气收集率，遵循“应收尽收、分质收集”的原则，科学设计废气收集系统，将无组织排放转变为有组织排放进行控制，采用密闭空间作业的，除行业有特殊要求外，应保持微负压状态，并根据相关规范合理设置通风量。</w:t>
                  </w:r>
                </w:p>
                <w:p w14:paraId="3AF5F568">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3、严格控制工业企业生产过程及相关物料储存、输送等无组织排放，在保障生产安全的前提下，采取密闭、封闭等有效措施，有效提高废气收集率，产尘点及车间不得有可见烟粉尘</w:t>
                  </w:r>
                  <w:r>
                    <w:rPr>
                      <w:rFonts w:hint="eastAsia" w:cs="Times New Roman"/>
                      <w:b w:val="0"/>
                      <w:bCs w:val="0"/>
                      <w:color w:val="auto"/>
                      <w:kern w:val="0"/>
                      <w:sz w:val="21"/>
                      <w:szCs w:val="21"/>
                      <w:highlight w:val="none"/>
                      <w:u w:val="none"/>
                      <w:lang w:val="en-US" w:eastAsia="zh-CN" w:bidi="ar-SA"/>
                    </w:rPr>
                    <w:t>外溢</w:t>
                  </w:r>
                  <w:r>
                    <w:rPr>
                      <w:rFonts w:hint="default" w:ascii="Times New Roman" w:hAnsi="Times New Roman" w:eastAsia="宋体" w:cs="Times New Roman"/>
                      <w:b w:val="0"/>
                      <w:bCs w:val="0"/>
                      <w:color w:val="auto"/>
                      <w:kern w:val="0"/>
                      <w:sz w:val="21"/>
                      <w:szCs w:val="21"/>
                      <w:highlight w:val="none"/>
                      <w:u w:val="none"/>
                      <w:lang w:val="en-US" w:eastAsia="zh-CN" w:bidi="ar-SA"/>
                    </w:rPr>
                    <w:t>。物料采用密闭皮带、封闭通廊、管状带式输送机或密闭车厢、真空罐车、气力输送等方式输送，原料库外及车间外禁止采用铲车、推土机等设备进行物料转运。</w:t>
                  </w:r>
                  <w:r>
                    <w:rPr>
                      <w:rFonts w:hint="eastAsia" w:cs="Times New Roman"/>
                      <w:b w:val="0"/>
                      <w:bCs w:val="0"/>
                      <w:color w:val="auto"/>
                      <w:kern w:val="0"/>
                      <w:sz w:val="21"/>
                      <w:szCs w:val="21"/>
                      <w:highlight w:val="none"/>
                      <w:u w:val="none"/>
                      <w:lang w:val="en-US" w:eastAsia="zh-CN" w:bidi="ar-SA"/>
                    </w:rPr>
                    <w:t>散装</w:t>
                  </w:r>
                  <w:r>
                    <w:rPr>
                      <w:rFonts w:hint="default" w:ascii="Times New Roman" w:hAnsi="Times New Roman" w:eastAsia="宋体" w:cs="Times New Roman"/>
                      <w:b w:val="0"/>
                      <w:bCs w:val="0"/>
                      <w:color w:val="auto"/>
                      <w:kern w:val="0"/>
                      <w:sz w:val="21"/>
                      <w:szCs w:val="21"/>
                      <w:highlight w:val="none"/>
                      <w:u w:val="none"/>
                      <w:lang w:val="en-US" w:eastAsia="zh-CN" w:bidi="ar-SA"/>
                    </w:rPr>
                    <w:t>物料应采用原料库、料仓等方式进行储存，采用密闭、封闭等方式输送。</w:t>
                  </w:r>
                </w:p>
              </w:tc>
              <w:tc>
                <w:tcPr>
                  <w:tcW w:w="951" w:type="pct"/>
                  <w:vMerge w:val="continue"/>
                  <w:tcBorders>
                    <w:left w:val="single" w:color="auto" w:sz="4" w:space="0"/>
                    <w:right w:val="single" w:color="auto" w:sz="4" w:space="0"/>
                  </w:tcBorders>
                  <w:noWrap w:val="0"/>
                  <w:vAlign w:val="center"/>
                </w:tcPr>
                <w:p w14:paraId="43F356D3">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lang w:val="en-US" w:eastAsia="zh-CN" w:bidi="ar-SA"/>
                    </w:rPr>
                  </w:pPr>
                </w:p>
              </w:tc>
              <w:tc>
                <w:tcPr>
                  <w:tcW w:w="261" w:type="pct"/>
                  <w:vMerge w:val="continue"/>
                  <w:tcBorders>
                    <w:left w:val="single" w:color="auto" w:sz="4" w:space="0"/>
                    <w:right w:val="single" w:color="auto" w:sz="4" w:space="0"/>
                  </w:tcBorders>
                  <w:noWrap w:val="0"/>
                  <w:vAlign w:val="center"/>
                </w:tcPr>
                <w:p w14:paraId="49E63DDF">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SA"/>
                    </w:rPr>
                  </w:pPr>
                </w:p>
              </w:tc>
            </w:tr>
            <w:tr w14:paraId="4E7526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7" w:type="pct"/>
                  <w:vMerge w:val="continue"/>
                  <w:tcBorders>
                    <w:left w:val="single" w:color="auto" w:sz="4" w:space="0"/>
                    <w:right w:val="single" w:color="auto" w:sz="4" w:space="0"/>
                  </w:tcBorders>
                  <w:noWrap w:val="0"/>
                  <w:vAlign w:val="center"/>
                </w:tcPr>
                <w:p w14:paraId="1A3856B6">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17" w:type="pct"/>
                  <w:vMerge w:val="continue"/>
                  <w:tcBorders>
                    <w:left w:val="single" w:color="auto" w:sz="4" w:space="0"/>
                    <w:right w:val="single" w:color="auto" w:sz="4" w:space="0"/>
                  </w:tcBorders>
                  <w:noWrap w:val="0"/>
                  <w:vAlign w:val="center"/>
                </w:tcPr>
                <w:p w14:paraId="66A65675">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291" w:type="pct"/>
                  <w:vMerge w:val="continue"/>
                  <w:tcBorders>
                    <w:left w:val="single" w:color="auto" w:sz="4" w:space="0"/>
                    <w:right w:val="single" w:color="auto" w:sz="4" w:space="0"/>
                  </w:tcBorders>
                  <w:noWrap w:val="0"/>
                  <w:vAlign w:val="center"/>
                </w:tcPr>
                <w:p w14:paraId="7D850B0A">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62" w:type="pct"/>
                  <w:tcBorders>
                    <w:tl2br w:val="nil"/>
                    <w:tr2bl w:val="nil"/>
                  </w:tcBorders>
                  <w:noWrap w:val="0"/>
                  <w:vAlign w:val="center"/>
                </w:tcPr>
                <w:p w14:paraId="7A897BBF">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u w:val="none"/>
                      <w:lang w:eastAsia="zh-CN"/>
                    </w:rPr>
                  </w:pPr>
                  <w:r>
                    <w:rPr>
                      <w:rFonts w:hint="default" w:ascii="Times New Roman" w:hAnsi="Times New Roman" w:eastAsia="宋体" w:cs="Times New Roman"/>
                      <w:b w:val="0"/>
                      <w:bCs w:val="0"/>
                      <w:color w:val="auto"/>
                      <w:sz w:val="21"/>
                      <w:szCs w:val="21"/>
                      <w:highlight w:val="none"/>
                      <w:u w:val="none"/>
                      <w:lang w:val="en-US" w:eastAsia="zh-CN"/>
                    </w:rPr>
                    <w:t>5</w:t>
                  </w:r>
                </w:p>
              </w:tc>
              <w:tc>
                <w:tcPr>
                  <w:tcW w:w="3109" w:type="pct"/>
                  <w:tcBorders>
                    <w:top w:val="single" w:color="auto" w:sz="4" w:space="0"/>
                    <w:left w:val="single" w:color="auto" w:sz="4" w:space="0"/>
                    <w:bottom w:val="single" w:color="auto" w:sz="4" w:space="0"/>
                    <w:right w:val="single" w:color="auto" w:sz="4" w:space="0"/>
                  </w:tcBorders>
                  <w:noWrap w:val="0"/>
                  <w:vAlign w:val="center"/>
                </w:tcPr>
                <w:p w14:paraId="21EA6E83">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1、各类施工工地、重点工程项目，严格落实在建工地扬尘管控措施，降低扬尘污染。</w:t>
                  </w:r>
                </w:p>
              </w:tc>
              <w:tc>
                <w:tcPr>
                  <w:tcW w:w="951" w:type="pct"/>
                  <w:tcBorders>
                    <w:left w:val="single" w:color="auto" w:sz="4" w:space="0"/>
                    <w:bottom w:val="single" w:color="auto" w:sz="4" w:space="0"/>
                    <w:right w:val="single" w:color="auto" w:sz="4" w:space="0"/>
                  </w:tcBorders>
                  <w:noWrap w:val="0"/>
                  <w:vAlign w:val="center"/>
                </w:tcPr>
                <w:p w14:paraId="3EEDE9CA">
                  <w:pPr>
                    <w:keepNext w:val="0"/>
                    <w:keepLines w:val="0"/>
                    <w:pageBreakBefore w:val="0"/>
                    <w:widowControl w:val="0"/>
                    <w:numPr>
                      <w:ilvl w:val="0"/>
                      <w:numId w:val="0"/>
                    </w:numPr>
                    <w:kinsoku/>
                    <w:wordWrap/>
                    <w:overflowPunct/>
                    <w:topLinePunct w:val="0"/>
                    <w:autoSpaceDE/>
                    <w:autoSpaceDN/>
                    <w:bidi w:val="0"/>
                    <w:adjustRightInd w:val="0"/>
                    <w:snapToGrid w:val="0"/>
                    <w:spacing w:beforeLines="0" w:afterLines="0" w:line="240" w:lineRule="auto"/>
                    <w:ind w:left="0" w:leftChars="0" w:firstLine="0" w:firstLineChars="0"/>
                    <w:jc w:val="both"/>
                    <w:textAlignment w:val="auto"/>
                    <w:rPr>
                      <w:rFonts w:hint="default" w:ascii="Times New Roman" w:hAnsi="Times New Roman" w:eastAsia="宋体" w:cs="Times New Roman"/>
                      <w:b w:val="0"/>
                      <w:bCs w:val="0"/>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SA"/>
                    </w:rPr>
                    <w:t>本项目</w:t>
                  </w:r>
                  <w:r>
                    <w:rPr>
                      <w:rFonts w:hint="eastAsia" w:cs="Times New Roman"/>
                      <w:color w:val="auto"/>
                      <w:kern w:val="0"/>
                      <w:sz w:val="21"/>
                      <w:szCs w:val="21"/>
                      <w:highlight w:val="none"/>
                      <w:lang w:val="en-US" w:eastAsia="zh-CN" w:bidi="ar-SA"/>
                    </w:rPr>
                    <w:t>施工期仅涉及设备安装，不涉及土建工程。</w:t>
                  </w:r>
                </w:p>
              </w:tc>
              <w:tc>
                <w:tcPr>
                  <w:tcW w:w="261" w:type="pct"/>
                  <w:tcBorders>
                    <w:left w:val="single" w:color="auto" w:sz="4" w:space="0"/>
                    <w:bottom w:val="single" w:color="auto" w:sz="4" w:space="0"/>
                    <w:right w:val="single" w:color="auto" w:sz="4" w:space="0"/>
                  </w:tcBorders>
                  <w:noWrap w:val="0"/>
                  <w:vAlign w:val="center"/>
                </w:tcPr>
                <w:p w14:paraId="7276623D">
                  <w:pPr>
                    <w:keepNext w:val="0"/>
                    <w:keepLines w:val="0"/>
                    <w:pageBreakBefore w:val="0"/>
                    <w:widowControl w:val="0"/>
                    <w:numPr>
                      <w:ilvl w:val="0"/>
                      <w:numId w:val="0"/>
                    </w:numPr>
                    <w:kinsoku/>
                    <w:wordWrap/>
                    <w:overflowPunct/>
                    <w:topLinePunct w:val="0"/>
                    <w:autoSpaceDE/>
                    <w:autoSpaceDN/>
                    <w:bidi w:val="0"/>
                    <w:adjustRightInd w:val="0"/>
                    <w:snapToGrid w:val="0"/>
                    <w:spacing w:beforeLines="0" w:afterLines="0" w:line="240" w:lineRule="auto"/>
                    <w:ind w:left="0" w:leftChars="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rPr>
                  </w:pPr>
                  <w:r>
                    <w:rPr>
                      <w:rFonts w:hint="default" w:ascii="Times New Roman" w:hAnsi="Times New Roman" w:eastAsia="宋体" w:cs="Times New Roman"/>
                      <w:b w:val="0"/>
                      <w:bCs w:val="0"/>
                      <w:color w:val="auto"/>
                      <w:kern w:val="0"/>
                      <w:sz w:val="21"/>
                      <w:szCs w:val="21"/>
                      <w:highlight w:val="none"/>
                      <w:lang w:val="en-US" w:eastAsia="zh-CN"/>
                    </w:rPr>
                    <w:t>符合</w:t>
                  </w:r>
                </w:p>
              </w:tc>
            </w:tr>
            <w:tr w14:paraId="168236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 w:hRule="atLeast"/>
                <w:jc w:val="center"/>
              </w:trPr>
              <w:tc>
                <w:tcPr>
                  <w:tcW w:w="107" w:type="pct"/>
                  <w:vMerge w:val="continue"/>
                  <w:tcBorders>
                    <w:left w:val="single" w:color="auto" w:sz="4" w:space="0"/>
                    <w:right w:val="single" w:color="auto" w:sz="4" w:space="0"/>
                  </w:tcBorders>
                  <w:noWrap w:val="0"/>
                  <w:vAlign w:val="center"/>
                </w:tcPr>
                <w:p w14:paraId="2892C50D">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17" w:type="pct"/>
                  <w:vMerge w:val="continue"/>
                  <w:tcBorders>
                    <w:left w:val="single" w:color="auto" w:sz="4" w:space="0"/>
                    <w:right w:val="single" w:color="auto" w:sz="4" w:space="0"/>
                  </w:tcBorders>
                  <w:noWrap w:val="0"/>
                  <w:vAlign w:val="center"/>
                </w:tcPr>
                <w:p w14:paraId="17F5F678">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291" w:type="pct"/>
                  <w:vMerge w:val="continue"/>
                  <w:tcBorders>
                    <w:left w:val="single" w:color="auto" w:sz="4" w:space="0"/>
                    <w:right w:val="single" w:color="auto" w:sz="4" w:space="0"/>
                  </w:tcBorders>
                  <w:noWrap w:val="0"/>
                  <w:vAlign w:val="center"/>
                </w:tcPr>
                <w:p w14:paraId="39229DBD">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62" w:type="pct"/>
                  <w:tcBorders>
                    <w:tl2br w:val="nil"/>
                    <w:tr2bl w:val="nil"/>
                  </w:tcBorders>
                  <w:noWrap w:val="0"/>
                  <w:vAlign w:val="center"/>
                </w:tcPr>
                <w:p w14:paraId="0949AFB2">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u w:val="none"/>
                      <w:lang w:eastAsia="zh-CN"/>
                    </w:rPr>
                  </w:pPr>
                  <w:r>
                    <w:rPr>
                      <w:rFonts w:hint="default" w:ascii="Times New Roman" w:hAnsi="Times New Roman" w:eastAsia="宋体" w:cs="Times New Roman"/>
                      <w:b w:val="0"/>
                      <w:bCs w:val="0"/>
                      <w:color w:val="auto"/>
                      <w:sz w:val="21"/>
                      <w:szCs w:val="21"/>
                      <w:highlight w:val="none"/>
                      <w:u w:val="none"/>
                      <w:lang w:val="en-US" w:eastAsia="zh-CN"/>
                    </w:rPr>
                    <w:t>6</w:t>
                  </w:r>
                </w:p>
              </w:tc>
              <w:tc>
                <w:tcPr>
                  <w:tcW w:w="3109" w:type="pct"/>
                  <w:tcBorders>
                    <w:top w:val="single" w:color="auto" w:sz="4" w:space="0"/>
                    <w:left w:val="single" w:color="auto" w:sz="4" w:space="0"/>
                    <w:bottom w:val="single" w:color="auto" w:sz="4" w:space="0"/>
                    <w:right w:val="single" w:color="auto" w:sz="4" w:space="0"/>
                  </w:tcBorders>
                  <w:noWrap w:val="0"/>
                  <w:vAlign w:val="center"/>
                </w:tcPr>
                <w:p w14:paraId="7C374055">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1、推进干支流水生态修复，构建长江（池州段）生态廊道。实施长江沿线水生态环境保护和修复。推进沿江河湖缓冲带建设，突破城镇面源和农业面源污染防治，完善民生水厂断面上游生态隔离带建设和水生植被恢复，构建沿江绿色生态廊道。加强滨江区域生态护岸和人工湿地建设，重塑滨江区域水生态环境，增强物种的丰富度，为鸟类、鱼类提供良好的栖息地。开展园区水生态综合治理，推动沉积物内源污染削减，恢复河道水生植被群落。</w:t>
                  </w:r>
                </w:p>
                <w:p w14:paraId="7E0CFE30">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2、增强沿江河湖生态用水，保障水环境安全。强化汇水范围内水系联通，提高水系的流动性和联通性。构建秋浦河-宝赛湖水流连接通道，维系水力联系和物质循环，实现水资源可持续利用，改善水生态环境状况，统筹水资源调配能力。以增强沿江河湖水体更新能力和水环境质量改善为目的，实施“三河三湖”水系连通和水生态综合治理，扩大河湖水环境容量，保障枯水期生态水量，改善枯水期区域水环境质量。</w:t>
                  </w:r>
                </w:p>
              </w:tc>
              <w:tc>
                <w:tcPr>
                  <w:tcW w:w="951" w:type="pct"/>
                  <w:tcBorders>
                    <w:top w:val="single" w:color="auto" w:sz="4" w:space="0"/>
                    <w:left w:val="single" w:color="auto" w:sz="4" w:space="0"/>
                    <w:bottom w:val="single" w:color="auto" w:sz="4" w:space="0"/>
                    <w:right w:val="single" w:color="auto" w:sz="4" w:space="0"/>
                  </w:tcBorders>
                  <w:noWrap w:val="0"/>
                  <w:vAlign w:val="center"/>
                </w:tcPr>
                <w:p w14:paraId="3A9FB058">
                  <w:pPr>
                    <w:keepNext w:val="0"/>
                    <w:keepLines w:val="0"/>
                    <w:pageBreakBefore w:val="0"/>
                    <w:widowControl w:val="0"/>
                    <w:numPr>
                      <w:ilvl w:val="0"/>
                      <w:numId w:val="0"/>
                    </w:numPr>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本项目属于C3831电线、电缆制造，距离长江岸线约</w:t>
                  </w:r>
                  <w:r>
                    <w:rPr>
                      <w:rFonts w:hint="default" w:ascii="Times New Roman" w:hAnsi="Times New Roman" w:eastAsia="宋体" w:cs="Times New Roman"/>
                      <w:color w:val="auto"/>
                      <w:kern w:val="0"/>
                      <w:sz w:val="21"/>
                      <w:szCs w:val="21"/>
                      <w:highlight w:val="none"/>
                      <w:lang w:val="en-US" w:eastAsia="zh-CN"/>
                    </w:rPr>
                    <w:t>2</w:t>
                  </w:r>
                  <w:r>
                    <w:rPr>
                      <w:rFonts w:hint="eastAsia" w:cs="Times New Roman"/>
                      <w:color w:val="auto"/>
                      <w:kern w:val="0"/>
                      <w:sz w:val="21"/>
                      <w:szCs w:val="21"/>
                      <w:highlight w:val="none"/>
                      <w:lang w:val="en-US" w:eastAsia="zh-CN"/>
                    </w:rPr>
                    <w:t>4</w:t>
                  </w:r>
                  <w:r>
                    <w:rPr>
                      <w:rFonts w:hint="default" w:ascii="Times New Roman" w:hAnsi="Times New Roman" w:eastAsia="宋体" w:cs="Times New Roman"/>
                      <w:b w:val="0"/>
                      <w:bCs w:val="0"/>
                      <w:color w:val="auto"/>
                      <w:kern w:val="0"/>
                      <w:sz w:val="21"/>
                      <w:szCs w:val="21"/>
                      <w:highlight w:val="none"/>
                      <w:lang w:val="en-US" w:eastAsia="zh-CN" w:bidi="ar-SA"/>
                    </w:rPr>
                    <w:t>km，</w:t>
                  </w:r>
                  <w:r>
                    <w:rPr>
                      <w:rFonts w:hint="eastAsia" w:cs="Times New Roman"/>
                      <w:b w:val="0"/>
                      <w:bCs w:val="0"/>
                      <w:color w:val="auto"/>
                      <w:kern w:val="0"/>
                      <w:sz w:val="21"/>
                      <w:szCs w:val="21"/>
                      <w:highlight w:val="none"/>
                      <w:lang w:val="en-US" w:eastAsia="zh-CN" w:bidi="ar-SA"/>
                    </w:rPr>
                    <w:t>距离长江二级支流</w:t>
                  </w:r>
                  <w:r>
                    <w:rPr>
                      <w:rFonts w:hint="default" w:ascii="Times New Roman" w:hAnsi="Times New Roman" w:eastAsia="宋体" w:cs="Times New Roman"/>
                      <w:color w:val="auto"/>
                      <w:sz w:val="21"/>
                      <w:szCs w:val="21"/>
                      <w:highlight w:val="none"/>
                      <w:lang w:val="en-US" w:eastAsia="zh-CN"/>
                    </w:rPr>
                    <w:t>青通河</w:t>
                  </w:r>
                  <w:r>
                    <w:rPr>
                      <w:rFonts w:hint="default" w:ascii="Times New Roman" w:hAnsi="Times New Roman" w:eastAsia="宋体" w:cs="Times New Roman"/>
                      <w:color w:val="auto"/>
                      <w:sz w:val="21"/>
                      <w:szCs w:val="21"/>
                      <w:highlight w:val="none"/>
                    </w:rPr>
                    <w:t>最近约</w:t>
                  </w:r>
                  <w:r>
                    <w:rPr>
                      <w:rFonts w:hint="eastAsia" w:cs="Times New Roman"/>
                      <w:color w:val="auto"/>
                      <w:sz w:val="21"/>
                      <w:szCs w:val="21"/>
                      <w:highlight w:val="none"/>
                      <w:lang w:val="en-US" w:eastAsia="zh-CN"/>
                    </w:rPr>
                    <w:t>2.7</w:t>
                  </w:r>
                  <w:r>
                    <w:rPr>
                      <w:rFonts w:hint="default" w:ascii="Times New Roman" w:hAnsi="Times New Roman" w:eastAsia="宋体" w:cs="Times New Roman"/>
                      <w:color w:val="auto"/>
                      <w:sz w:val="21"/>
                      <w:szCs w:val="21"/>
                      <w:highlight w:val="none"/>
                      <w:lang w:val="en-US" w:eastAsia="zh-CN"/>
                    </w:rPr>
                    <w:t>k</w:t>
                  </w:r>
                  <w:r>
                    <w:rPr>
                      <w:rFonts w:hint="default" w:ascii="Times New Roman" w:hAnsi="Times New Roman" w:eastAsia="宋体" w:cs="Times New Roman"/>
                      <w:color w:val="auto"/>
                      <w:sz w:val="21"/>
                      <w:szCs w:val="21"/>
                      <w:highlight w:val="none"/>
                    </w:rPr>
                    <w:t>m</w:t>
                  </w:r>
                  <w:r>
                    <w:rPr>
                      <w:rFonts w:hint="eastAsia" w:cs="Times New Roman"/>
                      <w:color w:val="auto"/>
                      <w:sz w:val="21"/>
                      <w:szCs w:val="21"/>
                      <w:highlight w:val="none"/>
                      <w:lang w:eastAsia="zh-CN"/>
                    </w:rPr>
                    <w:t>，</w:t>
                  </w:r>
                  <w:r>
                    <w:rPr>
                      <w:rFonts w:hint="default" w:ascii="Times New Roman" w:hAnsi="Times New Roman" w:eastAsia="宋体" w:cs="Times New Roman"/>
                      <w:b w:val="0"/>
                      <w:bCs w:val="0"/>
                      <w:color w:val="auto"/>
                      <w:kern w:val="0"/>
                      <w:sz w:val="21"/>
                      <w:szCs w:val="21"/>
                      <w:highlight w:val="none"/>
                      <w:lang w:val="en-US" w:eastAsia="zh-CN" w:bidi="ar-SA"/>
                    </w:rPr>
                    <w:t>不属于长江岸线管控范围内，不涉及岸线、河段开发</w:t>
                  </w:r>
                  <w:r>
                    <w:rPr>
                      <w:rFonts w:hint="eastAsia" w:ascii="Times New Roman" w:hAnsi="Times New Roman" w:eastAsia="宋体" w:cs="Times New Roman"/>
                      <w:b w:val="0"/>
                      <w:bCs w:val="0"/>
                      <w:color w:val="auto"/>
                      <w:kern w:val="0"/>
                      <w:sz w:val="21"/>
                      <w:szCs w:val="21"/>
                      <w:highlight w:val="none"/>
                      <w:lang w:val="en-US" w:eastAsia="zh-CN" w:bidi="ar-SA"/>
                    </w:rPr>
                    <w:t>。</w:t>
                  </w:r>
                </w:p>
              </w:tc>
              <w:tc>
                <w:tcPr>
                  <w:tcW w:w="261" w:type="pct"/>
                  <w:tcBorders>
                    <w:top w:val="single" w:color="auto" w:sz="4" w:space="0"/>
                    <w:left w:val="single" w:color="auto" w:sz="4" w:space="0"/>
                    <w:bottom w:val="single" w:color="auto" w:sz="4" w:space="0"/>
                    <w:right w:val="single" w:color="auto" w:sz="4" w:space="0"/>
                  </w:tcBorders>
                  <w:noWrap w:val="0"/>
                  <w:vAlign w:val="center"/>
                </w:tcPr>
                <w:p w14:paraId="26BB1111">
                  <w:pPr>
                    <w:keepNext w:val="0"/>
                    <w:keepLines w:val="0"/>
                    <w:pageBreakBefore w:val="0"/>
                    <w:widowControl w:val="0"/>
                    <w:numPr>
                      <w:ilvl w:val="0"/>
                      <w:numId w:val="0"/>
                    </w:numPr>
                    <w:kinsoku/>
                    <w:wordWrap/>
                    <w:overflowPunct/>
                    <w:topLinePunct w:val="0"/>
                    <w:autoSpaceDE/>
                    <w:autoSpaceDN/>
                    <w:bidi w:val="0"/>
                    <w:adjustRightInd w:val="0"/>
                    <w:snapToGrid w:val="0"/>
                    <w:spacing w:beforeLines="0" w:afterLines="0" w:line="240" w:lineRule="auto"/>
                    <w:ind w:left="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符合</w:t>
                  </w:r>
                </w:p>
              </w:tc>
            </w:tr>
            <w:tr w14:paraId="731F0E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7" w:type="pct"/>
                  <w:vMerge w:val="continue"/>
                  <w:tcBorders>
                    <w:left w:val="single" w:color="auto" w:sz="4" w:space="0"/>
                    <w:right w:val="single" w:color="auto" w:sz="4" w:space="0"/>
                  </w:tcBorders>
                  <w:noWrap w:val="0"/>
                  <w:vAlign w:val="center"/>
                </w:tcPr>
                <w:p w14:paraId="7E0963A1">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17" w:type="pct"/>
                  <w:vMerge w:val="continue"/>
                  <w:tcBorders>
                    <w:left w:val="single" w:color="auto" w:sz="4" w:space="0"/>
                    <w:right w:val="single" w:color="auto" w:sz="4" w:space="0"/>
                  </w:tcBorders>
                  <w:noWrap w:val="0"/>
                  <w:vAlign w:val="center"/>
                </w:tcPr>
                <w:p w14:paraId="756C3DC2">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291" w:type="pct"/>
                  <w:tcBorders>
                    <w:left w:val="single" w:color="auto" w:sz="4" w:space="0"/>
                    <w:right w:val="single" w:color="auto" w:sz="4" w:space="0"/>
                  </w:tcBorders>
                  <w:noWrap w:val="0"/>
                  <w:vAlign w:val="center"/>
                </w:tcPr>
                <w:p w14:paraId="2B04309E">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其他污染物排放管控</w:t>
                  </w:r>
                </w:p>
              </w:tc>
              <w:tc>
                <w:tcPr>
                  <w:tcW w:w="162" w:type="pct"/>
                  <w:tcBorders>
                    <w:tl2br w:val="nil"/>
                    <w:tr2bl w:val="nil"/>
                  </w:tcBorders>
                  <w:noWrap w:val="0"/>
                  <w:vAlign w:val="center"/>
                </w:tcPr>
                <w:p w14:paraId="208FD32B">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u w:val="none"/>
                    </w:rPr>
                  </w:pPr>
                  <w:r>
                    <w:rPr>
                      <w:rFonts w:hint="default" w:ascii="Times New Roman" w:hAnsi="Times New Roman" w:eastAsia="宋体" w:cs="Times New Roman"/>
                      <w:b w:val="0"/>
                      <w:bCs w:val="0"/>
                      <w:color w:val="auto"/>
                      <w:sz w:val="21"/>
                      <w:szCs w:val="21"/>
                      <w:highlight w:val="none"/>
                      <w:u w:val="none"/>
                    </w:rPr>
                    <w:t>1</w:t>
                  </w:r>
                </w:p>
              </w:tc>
              <w:tc>
                <w:tcPr>
                  <w:tcW w:w="3109" w:type="pct"/>
                  <w:tcBorders>
                    <w:top w:val="single" w:color="auto" w:sz="4" w:space="0"/>
                    <w:left w:val="single" w:color="auto" w:sz="4" w:space="0"/>
                    <w:bottom w:val="single" w:color="auto" w:sz="4" w:space="0"/>
                    <w:right w:val="single" w:color="auto" w:sz="4" w:space="0"/>
                  </w:tcBorders>
                  <w:noWrap w:val="0"/>
                  <w:vAlign w:val="center"/>
                </w:tcPr>
                <w:p w14:paraId="4C1713DA">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1、一是要严格落实建筑施工扬尘污染防治“六个百分百”措施。施工现场要进行封闭作业，围挡高度不得低于2.5米；渣土运输车辆涉水池长度不得短于15米，自动喷淋装置长度不短于6米，冲洗时间不短于3分钟，确保驶出工地的车辆车身、车轮干净不带泥；要根据实际情况对施工现场内路面实施硬化，施工现场每天清扫洒水次数不少于3次（雨天或特殊天气除外），确保硬化路面不见尘土；确保工地所有车辆进出口左右两侧30米以内路面上不能有明显的泥印，或者散落沙石、灰土等易扬尘建材；搅拌机等设备晴天作业时旁边5米内必须配备雾炮车降尘；工地围挡外5米路面要由建筑工地负责保洁，配备专门保洁工作人员。长距离的市政、城市道路等工程，要合理降低土方作业范围，实施分段施工。二是加强房屋拆迁扬尘控制。房屋拆迁过程中设置规范化围挡，拆迁作业应全程持续加压洒水抑尘，暂不开工建设的拆迁工地现场裸露地面，必须采取抑尘网覆盖、洒水、绿化、硬化等措施抑尘，遇四级或四级以上大风天气，必须停止土方作业，同时在作业处覆盖抑尘网。三是加强混凝土搅拌站扬尘控制。严格按照《安徽省混凝土搅拌站环境综合整治工作方案》和《安徽省建筑工程施工和预拌混凝土生产扬尘污染防治标准</w:t>
                  </w:r>
                  <w:r>
                    <w:rPr>
                      <w:rFonts w:hint="eastAsia" w:cs="Times New Roman"/>
                      <w:b w:val="0"/>
                      <w:bCs w:val="0"/>
                      <w:color w:val="auto"/>
                      <w:kern w:val="0"/>
                      <w:sz w:val="21"/>
                      <w:szCs w:val="21"/>
                      <w:highlight w:val="none"/>
                      <w:u w:val="none"/>
                      <w:lang w:val="en-US" w:eastAsia="zh-CN" w:bidi="ar-SA"/>
                    </w:rPr>
                    <w:t>（</w:t>
                  </w:r>
                  <w:r>
                    <w:rPr>
                      <w:rFonts w:hint="default" w:ascii="Times New Roman" w:hAnsi="Times New Roman" w:eastAsia="宋体" w:cs="Times New Roman"/>
                      <w:b w:val="0"/>
                      <w:bCs w:val="0"/>
                      <w:color w:val="auto"/>
                      <w:kern w:val="0"/>
                      <w:sz w:val="21"/>
                      <w:szCs w:val="21"/>
                      <w:highlight w:val="none"/>
                      <w:u w:val="none"/>
                      <w:lang w:val="en-US" w:eastAsia="zh-CN" w:bidi="ar-SA"/>
                    </w:rPr>
                    <w:t>试行</w:t>
                  </w:r>
                  <w:r>
                    <w:rPr>
                      <w:rFonts w:hint="eastAsia" w:cs="Times New Roman"/>
                      <w:b w:val="0"/>
                      <w:bCs w:val="0"/>
                      <w:color w:val="auto"/>
                      <w:kern w:val="0"/>
                      <w:sz w:val="21"/>
                      <w:szCs w:val="21"/>
                      <w:highlight w:val="none"/>
                      <w:u w:val="none"/>
                      <w:lang w:val="en-US" w:eastAsia="zh-CN" w:bidi="ar-SA"/>
                    </w:rPr>
                    <w:t>）</w:t>
                  </w:r>
                  <w:r>
                    <w:rPr>
                      <w:rFonts w:hint="default" w:ascii="Times New Roman" w:hAnsi="Times New Roman" w:eastAsia="宋体" w:cs="Times New Roman"/>
                      <w:b w:val="0"/>
                      <w:bCs w:val="0"/>
                      <w:color w:val="auto"/>
                      <w:kern w:val="0"/>
                      <w:sz w:val="21"/>
                      <w:szCs w:val="21"/>
                      <w:highlight w:val="none"/>
                      <w:u w:val="none"/>
                      <w:lang w:val="en-US" w:eastAsia="zh-CN" w:bidi="ar-SA"/>
                    </w:rPr>
                    <w:t>》要求，做好建料场、铲车作业区、筒仓和搅拌主机防尘除尘措施，加强废水废渣管控。四是加强智慧工地平台应用。全市城市规划区范围内的所有房屋建筑工程、工程造价5000万元及以上的市政基础设施工程、混凝土搅拌站和5000平方米及以上土石方建筑工地应安装扬尘在线监测和视频监控，并接入智慧工地监管平台。</w:t>
                  </w:r>
                </w:p>
                <w:p w14:paraId="1D6CB15D">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2、加强渣土堆场扬尘控制。所有涉及建筑垃圾（工程渣土）运输的项目，除确有特殊原因外，必须在白天进行运输，实行建筑垃圾（工程渣土）运输全面接受社会监督。安排日夜班次对施工工地、渣土运输企业开展执法检查，加大对渣土运输车辆抛撒滴漏、不密闭运输、无证运输、带泥上路、车体不洁、随意倾倒等违法违规行为的查处和打击力度，严禁渣土运输企业使用尾气不达标的农用车运输渣土及其它建材，对不符合要求上路行驶的渣土运输车辆按上限处罚并取消渣土运输资格。常态化巡查建筑施工工地和老旧小区改造项目，督促施工单位工程渣土处置期间产生的各类裸露场地、土堆等采用扬尘防治网覆盖等防尘措施，按规定及时处置，落实扬尘防治责任。</w:t>
                  </w:r>
                </w:p>
                <w:p w14:paraId="5EB0BB45">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3、加强道路扬尘控制。一是按照主城区主次干道达到深度保洁标准要求，全面实行“6+1”机械化作业新模式，将一级道路机械清扫频次由2次/天提升到4次/天，洒水冲洗频次由5次/天提升到7次/天，严守18小时保洁工作制度，细化道路保洁标准和作业流程。对污染较重路段、建筑工地出入口加大洒水降尘频次，对积尘、积沙、积油路面实施循环冲洗，达到“七无”“七净”标准，全力营造干净整洁、文明有序的城市环境。二是加强国省干线道路养护保洁，加大重点路段、重点时段路面巡查和保洁频次，采取“机械+人工清扫”方式，科学调配清扫、洒水等机械设备。及时保养整修路面破损，及时清洁中央分隔带、桥梁护栏和标志标牌、示警桩等沿线设施，有效减少国省干线道路积尘，确保道路路域清洁。</w:t>
                  </w:r>
                </w:p>
              </w:tc>
              <w:tc>
                <w:tcPr>
                  <w:tcW w:w="951" w:type="pct"/>
                  <w:tcBorders>
                    <w:top w:val="single" w:color="auto" w:sz="4" w:space="0"/>
                    <w:left w:val="single" w:color="auto" w:sz="4" w:space="0"/>
                    <w:bottom w:val="single" w:color="auto" w:sz="4" w:space="0"/>
                    <w:right w:val="single" w:color="auto" w:sz="4" w:space="0"/>
                  </w:tcBorders>
                  <w:noWrap w:val="0"/>
                  <w:vAlign w:val="center"/>
                </w:tcPr>
                <w:p w14:paraId="0DA00D20">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left"/>
                    <w:textAlignment w:val="auto"/>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本项目</w:t>
                  </w:r>
                  <w:r>
                    <w:rPr>
                      <w:rFonts w:hint="eastAsia" w:cs="Times New Roman"/>
                      <w:color w:val="auto"/>
                      <w:kern w:val="0"/>
                      <w:sz w:val="21"/>
                      <w:szCs w:val="21"/>
                      <w:highlight w:val="none"/>
                      <w:lang w:val="en-US" w:eastAsia="zh-CN" w:bidi="ar-SA"/>
                    </w:rPr>
                    <w:t>施工期仅涉及设备安装，不涉及土建工程</w:t>
                  </w:r>
                </w:p>
              </w:tc>
              <w:tc>
                <w:tcPr>
                  <w:tcW w:w="261" w:type="pct"/>
                  <w:tcBorders>
                    <w:top w:val="single" w:color="auto" w:sz="4" w:space="0"/>
                    <w:left w:val="single" w:color="auto" w:sz="4" w:space="0"/>
                    <w:bottom w:val="single" w:color="auto" w:sz="4" w:space="0"/>
                    <w:right w:val="single" w:color="auto" w:sz="4" w:space="0"/>
                  </w:tcBorders>
                  <w:noWrap w:val="0"/>
                  <w:vAlign w:val="center"/>
                </w:tcPr>
                <w:p w14:paraId="6D3C912D">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符合</w:t>
                  </w:r>
                </w:p>
              </w:tc>
            </w:tr>
            <w:tr w14:paraId="71C7EF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7" w:type="pct"/>
                  <w:vMerge w:val="continue"/>
                  <w:tcBorders>
                    <w:left w:val="single" w:color="auto" w:sz="4" w:space="0"/>
                    <w:right w:val="single" w:color="auto" w:sz="4" w:space="0"/>
                  </w:tcBorders>
                  <w:noWrap w:val="0"/>
                  <w:vAlign w:val="center"/>
                </w:tcPr>
                <w:p w14:paraId="135EAF6E">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17" w:type="pct"/>
                  <w:vMerge w:val="restart"/>
                  <w:tcBorders>
                    <w:left w:val="single" w:color="auto" w:sz="4" w:space="0"/>
                    <w:right w:val="single" w:color="auto" w:sz="4" w:space="0"/>
                  </w:tcBorders>
                  <w:noWrap w:val="0"/>
                  <w:vAlign w:val="center"/>
                </w:tcPr>
                <w:p w14:paraId="6AA5B66A">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环</w:t>
                  </w:r>
                </w:p>
                <w:p w14:paraId="21D21732">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境</w:t>
                  </w:r>
                </w:p>
                <w:p w14:paraId="0D87A595">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风</w:t>
                  </w:r>
                </w:p>
                <w:p w14:paraId="4444FD14">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险</w:t>
                  </w:r>
                </w:p>
                <w:p w14:paraId="6244BDDC">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防</w:t>
                  </w:r>
                </w:p>
                <w:p w14:paraId="5825ECA9">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控</w:t>
                  </w:r>
                </w:p>
              </w:tc>
              <w:tc>
                <w:tcPr>
                  <w:tcW w:w="291" w:type="pct"/>
                  <w:vMerge w:val="restart"/>
                  <w:noWrap w:val="0"/>
                  <w:vAlign w:val="center"/>
                </w:tcPr>
                <w:p w14:paraId="04F776D2">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联防联控要求</w:t>
                  </w:r>
                </w:p>
              </w:tc>
              <w:tc>
                <w:tcPr>
                  <w:tcW w:w="162" w:type="pct"/>
                  <w:tcBorders>
                    <w:tl2br w:val="nil"/>
                    <w:tr2bl w:val="nil"/>
                  </w:tcBorders>
                  <w:noWrap w:val="0"/>
                  <w:vAlign w:val="center"/>
                </w:tcPr>
                <w:p w14:paraId="5CBB0444">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u w:val="none"/>
                    </w:rPr>
                  </w:pPr>
                  <w:r>
                    <w:rPr>
                      <w:rFonts w:hint="default" w:ascii="Times New Roman" w:hAnsi="Times New Roman" w:eastAsia="宋体" w:cs="Times New Roman"/>
                      <w:b w:val="0"/>
                      <w:bCs w:val="0"/>
                      <w:color w:val="auto"/>
                      <w:sz w:val="21"/>
                      <w:szCs w:val="21"/>
                      <w:highlight w:val="none"/>
                      <w:u w:val="none"/>
                    </w:rPr>
                    <w:t>1</w:t>
                  </w:r>
                </w:p>
              </w:tc>
              <w:tc>
                <w:tcPr>
                  <w:tcW w:w="3109" w:type="pct"/>
                  <w:noWrap w:val="0"/>
                  <w:vAlign w:val="center"/>
                </w:tcPr>
                <w:p w14:paraId="2F83D76E">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1.积极参与长三角区域城市群大气污染联防联控和综合治理，统筹实施大气污染防治行动，加强重污染天气应急联动，统一区域重污染天气应急启动标准，合作探索臭氧有效应对措施。深化大气环境信息共享机制，探索实施主要大气污染物排放指标有偿使用和排污权交易工作，协同推进交通运输结构优化调整。</w:t>
                  </w:r>
                </w:p>
                <w:p w14:paraId="42567113">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2.全面加强长三角区域水污染治理协作，建立长江上下游、左右岸、干支流联动机制，统筹开展水环境治理，协调解决跨省流域重大环境问题。深化青通河、陵阳河、龙泉河等跨界河流的污染综合治理力度，改善龙泉河、陵阳河等河流的环境流量。构建流域水环境信息共享平台，健全跨界水污染监测预警体系，提高跨界突发水污染事件处置能力与应急管理工作水平。</w:t>
                  </w:r>
                </w:p>
                <w:p w14:paraId="21767ED6">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3.加强突发水污染事件风险防控能力建设，建立从水污染物产生到排放的全过程监管体系。强化园区内生活区、工业区周边地表水体的保护，建立园区水环境预警及应急系统。健全风险管理及应急处置体系。重点加强河湖生态安全调查、饮用水保护区监测能力建设，形成完备的监测、预警、调度、应急、处置和控制体系。</w:t>
                  </w:r>
                </w:p>
              </w:tc>
              <w:tc>
                <w:tcPr>
                  <w:tcW w:w="951" w:type="pct"/>
                  <w:vMerge w:val="restart"/>
                  <w:noWrap w:val="0"/>
                  <w:vAlign w:val="center"/>
                </w:tcPr>
                <w:p w14:paraId="67734EE5">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left"/>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项目风险源位于</w:t>
                  </w:r>
                  <w:r>
                    <w:rPr>
                      <w:rFonts w:hint="eastAsia" w:cs="Times New Roman"/>
                      <w:b w:val="0"/>
                      <w:bCs w:val="0"/>
                      <w:color w:val="auto"/>
                      <w:kern w:val="0"/>
                      <w:sz w:val="21"/>
                      <w:szCs w:val="21"/>
                      <w:highlight w:val="none"/>
                      <w:u w:val="none"/>
                      <w:lang w:val="en-US" w:eastAsia="zh-CN" w:bidi="ar-SA"/>
                    </w:rPr>
                    <w:t>辅料库</w:t>
                  </w:r>
                  <w:r>
                    <w:rPr>
                      <w:rFonts w:hint="default" w:ascii="Times New Roman" w:hAnsi="Times New Roman" w:eastAsia="宋体" w:cs="Times New Roman"/>
                      <w:b w:val="0"/>
                      <w:bCs w:val="0"/>
                      <w:color w:val="auto"/>
                      <w:kern w:val="0"/>
                      <w:sz w:val="21"/>
                      <w:szCs w:val="21"/>
                      <w:highlight w:val="none"/>
                      <w:u w:val="none"/>
                      <w:lang w:val="en-US" w:eastAsia="zh-CN" w:bidi="ar-SA"/>
                    </w:rPr>
                    <w:t>、</w:t>
                  </w:r>
                  <w:r>
                    <w:rPr>
                      <w:rFonts w:hint="eastAsia" w:cs="Times New Roman"/>
                      <w:b w:val="0"/>
                      <w:bCs w:val="0"/>
                      <w:color w:val="auto"/>
                      <w:kern w:val="0"/>
                      <w:sz w:val="21"/>
                      <w:szCs w:val="21"/>
                      <w:highlight w:val="none"/>
                      <w:u w:val="none"/>
                      <w:lang w:val="en-US" w:eastAsia="zh-CN" w:bidi="ar-SA"/>
                    </w:rPr>
                    <w:t>危废库等</w:t>
                  </w:r>
                  <w:r>
                    <w:rPr>
                      <w:rFonts w:hint="default" w:ascii="Times New Roman" w:hAnsi="Times New Roman" w:eastAsia="宋体" w:cs="Times New Roman"/>
                      <w:b w:val="0"/>
                      <w:bCs w:val="0"/>
                      <w:color w:val="auto"/>
                      <w:kern w:val="0"/>
                      <w:sz w:val="21"/>
                      <w:szCs w:val="21"/>
                      <w:highlight w:val="none"/>
                      <w:u w:val="none"/>
                      <w:lang w:val="en-US" w:eastAsia="zh-CN" w:bidi="ar-SA"/>
                    </w:rPr>
                    <w:t>，</w:t>
                  </w:r>
                  <w:r>
                    <w:rPr>
                      <w:rFonts w:hint="eastAsia" w:cs="Times New Roman"/>
                      <w:b w:val="0"/>
                      <w:bCs w:val="0"/>
                      <w:color w:val="auto"/>
                      <w:kern w:val="0"/>
                      <w:sz w:val="21"/>
                      <w:szCs w:val="21"/>
                      <w:highlight w:val="none"/>
                      <w:u w:val="none"/>
                      <w:lang w:val="en-US" w:eastAsia="zh-CN" w:bidi="ar-SA"/>
                    </w:rPr>
                    <w:t>本次评价要求企业</w:t>
                  </w:r>
                  <w:r>
                    <w:rPr>
                      <w:rFonts w:hint="default" w:ascii="Times New Roman" w:hAnsi="Times New Roman" w:eastAsia="宋体" w:cs="Times New Roman"/>
                      <w:b w:val="0"/>
                      <w:bCs w:val="0"/>
                      <w:color w:val="auto"/>
                      <w:kern w:val="0"/>
                      <w:sz w:val="21"/>
                      <w:szCs w:val="21"/>
                      <w:highlight w:val="none"/>
                      <w:u w:val="none"/>
                      <w:lang w:val="en-US" w:eastAsia="zh-CN" w:bidi="ar-SA"/>
                    </w:rPr>
                    <w:t>做好防火防渗</w:t>
                  </w:r>
                  <w:r>
                    <w:rPr>
                      <w:rFonts w:hint="eastAsia" w:cs="Times New Roman"/>
                      <w:b w:val="0"/>
                      <w:bCs w:val="0"/>
                      <w:color w:val="auto"/>
                      <w:kern w:val="0"/>
                      <w:sz w:val="21"/>
                      <w:szCs w:val="21"/>
                      <w:highlight w:val="none"/>
                      <w:u w:val="none"/>
                      <w:lang w:val="en-US" w:eastAsia="zh-CN" w:bidi="ar-SA"/>
                    </w:rPr>
                    <w:t>措施</w:t>
                  </w:r>
                  <w:r>
                    <w:rPr>
                      <w:rFonts w:hint="eastAsia" w:ascii="Times New Roman" w:hAnsi="Times New Roman" w:eastAsia="宋体" w:cs="Times New Roman"/>
                      <w:b w:val="0"/>
                      <w:bCs w:val="0"/>
                      <w:color w:val="auto"/>
                      <w:kern w:val="0"/>
                      <w:sz w:val="21"/>
                      <w:szCs w:val="21"/>
                      <w:highlight w:val="none"/>
                      <w:u w:val="none"/>
                      <w:lang w:val="en-US" w:eastAsia="zh-CN" w:bidi="ar-SA"/>
                    </w:rPr>
                    <w:t>。</w:t>
                  </w:r>
                </w:p>
              </w:tc>
              <w:tc>
                <w:tcPr>
                  <w:tcW w:w="261" w:type="pct"/>
                  <w:vMerge w:val="restart"/>
                  <w:noWrap w:val="0"/>
                  <w:vAlign w:val="center"/>
                </w:tcPr>
                <w:p w14:paraId="5BF56974">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center"/>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符合</w:t>
                  </w:r>
                </w:p>
              </w:tc>
            </w:tr>
            <w:tr w14:paraId="439D4A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7" w:type="pct"/>
                  <w:vMerge w:val="continue"/>
                  <w:tcBorders>
                    <w:left w:val="single" w:color="auto" w:sz="4" w:space="0"/>
                    <w:right w:val="single" w:color="auto" w:sz="4" w:space="0"/>
                  </w:tcBorders>
                  <w:noWrap w:val="0"/>
                  <w:vAlign w:val="center"/>
                </w:tcPr>
                <w:p w14:paraId="3222A626">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17" w:type="pct"/>
                  <w:vMerge w:val="continue"/>
                  <w:tcBorders>
                    <w:left w:val="single" w:color="auto" w:sz="4" w:space="0"/>
                    <w:right w:val="single" w:color="auto" w:sz="4" w:space="0"/>
                  </w:tcBorders>
                  <w:noWrap w:val="0"/>
                  <w:vAlign w:val="center"/>
                </w:tcPr>
                <w:p w14:paraId="6097BF25">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291" w:type="pct"/>
                  <w:vMerge w:val="continue"/>
                  <w:noWrap w:val="0"/>
                  <w:vAlign w:val="center"/>
                </w:tcPr>
                <w:p w14:paraId="5DD01518">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62" w:type="pct"/>
                  <w:tcBorders>
                    <w:tl2br w:val="nil"/>
                    <w:tr2bl w:val="nil"/>
                  </w:tcBorders>
                  <w:noWrap w:val="0"/>
                  <w:vAlign w:val="center"/>
                </w:tcPr>
                <w:p w14:paraId="33AEC326">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u w:val="none"/>
                    </w:rPr>
                  </w:pPr>
                  <w:r>
                    <w:rPr>
                      <w:rFonts w:hint="default" w:ascii="Times New Roman" w:hAnsi="Times New Roman" w:eastAsia="宋体" w:cs="Times New Roman"/>
                      <w:b w:val="0"/>
                      <w:bCs w:val="0"/>
                      <w:color w:val="auto"/>
                      <w:sz w:val="21"/>
                      <w:szCs w:val="21"/>
                      <w:highlight w:val="none"/>
                      <w:u w:val="none"/>
                    </w:rPr>
                    <w:t>2</w:t>
                  </w:r>
                </w:p>
              </w:tc>
              <w:tc>
                <w:tcPr>
                  <w:tcW w:w="3109" w:type="pct"/>
                  <w:noWrap w:val="0"/>
                  <w:vAlign w:val="center"/>
                </w:tcPr>
                <w:p w14:paraId="4B5C11B6">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加快融入长三角区域土壤环境应急协同响应能力建设体系，协同建设区域集成共享的物资信息管理系统，推动区域土壤环境应急物资储备统筹共享。</w:t>
                  </w:r>
                </w:p>
              </w:tc>
              <w:tc>
                <w:tcPr>
                  <w:tcW w:w="951" w:type="pct"/>
                  <w:vMerge w:val="continue"/>
                  <w:noWrap w:val="0"/>
                  <w:vAlign w:val="center"/>
                </w:tcPr>
                <w:p w14:paraId="7BBBE538">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SA"/>
                    </w:rPr>
                  </w:pPr>
                </w:p>
              </w:tc>
              <w:tc>
                <w:tcPr>
                  <w:tcW w:w="261" w:type="pct"/>
                  <w:vMerge w:val="continue"/>
                  <w:noWrap w:val="0"/>
                  <w:vAlign w:val="center"/>
                </w:tcPr>
                <w:p w14:paraId="31DEAF0D">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SA"/>
                    </w:rPr>
                  </w:pPr>
                </w:p>
              </w:tc>
            </w:tr>
            <w:tr w14:paraId="24EEBF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7" w:type="pct"/>
                  <w:vMerge w:val="continue"/>
                  <w:tcBorders>
                    <w:left w:val="single" w:color="auto" w:sz="4" w:space="0"/>
                    <w:right w:val="single" w:color="auto" w:sz="4" w:space="0"/>
                  </w:tcBorders>
                  <w:noWrap w:val="0"/>
                  <w:vAlign w:val="center"/>
                </w:tcPr>
                <w:p w14:paraId="271C9223">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17" w:type="pct"/>
                  <w:vMerge w:val="restart"/>
                  <w:tcBorders>
                    <w:left w:val="single" w:color="auto" w:sz="4" w:space="0"/>
                    <w:right w:val="single" w:color="auto" w:sz="4" w:space="0"/>
                  </w:tcBorders>
                  <w:noWrap w:val="0"/>
                  <w:vAlign w:val="center"/>
                </w:tcPr>
                <w:p w14:paraId="3A34A60D">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资源利用效率要求</w:t>
                  </w:r>
                </w:p>
              </w:tc>
              <w:tc>
                <w:tcPr>
                  <w:tcW w:w="291" w:type="pct"/>
                  <w:noWrap w:val="0"/>
                  <w:vAlign w:val="center"/>
                </w:tcPr>
                <w:p w14:paraId="785C83A3">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水资源</w:t>
                  </w:r>
                </w:p>
                <w:p w14:paraId="33475592">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利用效</w:t>
                  </w:r>
                </w:p>
                <w:p w14:paraId="4DC0237E">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率要求</w:t>
                  </w:r>
                </w:p>
              </w:tc>
              <w:tc>
                <w:tcPr>
                  <w:tcW w:w="162" w:type="pct"/>
                  <w:tcBorders>
                    <w:tl2br w:val="nil"/>
                    <w:tr2bl w:val="nil"/>
                  </w:tcBorders>
                  <w:noWrap w:val="0"/>
                  <w:vAlign w:val="center"/>
                </w:tcPr>
                <w:p w14:paraId="67EAD5D7">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u w:val="none"/>
                    </w:rPr>
                  </w:pPr>
                  <w:r>
                    <w:rPr>
                      <w:rFonts w:hint="default" w:ascii="Times New Roman" w:hAnsi="Times New Roman" w:eastAsia="宋体" w:cs="Times New Roman"/>
                      <w:b w:val="0"/>
                      <w:bCs w:val="0"/>
                      <w:color w:val="auto"/>
                      <w:sz w:val="21"/>
                      <w:szCs w:val="21"/>
                      <w:highlight w:val="none"/>
                      <w:u w:val="none"/>
                    </w:rPr>
                    <w:t>1</w:t>
                  </w:r>
                </w:p>
              </w:tc>
              <w:tc>
                <w:tcPr>
                  <w:tcW w:w="3109" w:type="pct"/>
                  <w:noWrap w:val="0"/>
                  <w:vAlign w:val="center"/>
                </w:tcPr>
                <w:p w14:paraId="546BCF77">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1.全面开展县域节水型社会达标建设，到2023年，全市4个县（区）达到节水型社会标准，达标率100%。</w:t>
                  </w:r>
                </w:p>
                <w:p w14:paraId="04CAE80B">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2.至2025年：用水总量控制（亿m</w:t>
                  </w:r>
                  <w:r>
                    <w:rPr>
                      <w:rFonts w:hint="default" w:ascii="Times New Roman" w:hAnsi="Times New Roman" w:eastAsia="宋体" w:cs="Times New Roman"/>
                      <w:b w:val="0"/>
                      <w:bCs w:val="0"/>
                      <w:color w:val="auto"/>
                      <w:kern w:val="0"/>
                      <w:sz w:val="21"/>
                      <w:szCs w:val="21"/>
                      <w:highlight w:val="none"/>
                      <w:u w:val="none"/>
                      <w:vertAlign w:val="superscript"/>
                      <w:lang w:val="en-US" w:eastAsia="zh-CN" w:bidi="ar-SA"/>
                    </w:rPr>
                    <w:t>3</w:t>
                  </w:r>
                  <w:r>
                    <w:rPr>
                      <w:rFonts w:hint="default" w:ascii="Times New Roman" w:hAnsi="Times New Roman" w:eastAsia="宋体" w:cs="Times New Roman"/>
                      <w:b w:val="0"/>
                      <w:bCs w:val="0"/>
                      <w:color w:val="auto"/>
                      <w:kern w:val="0"/>
                      <w:sz w:val="21"/>
                      <w:szCs w:val="21"/>
                      <w:highlight w:val="none"/>
                      <w:u w:val="none"/>
                      <w:lang w:val="en-US" w:eastAsia="zh-CN" w:bidi="ar-SA"/>
                    </w:rPr>
                    <w:t>）9.12（约束性）；万元 GDP 用水量下降较2020年下降16.5%；农田灌溉水有效利用系数：0.57（约束性）；新增高效节水灌溉面积（万亩）：〔0.05〕（预期性）；万元工业增加值用水量下降（%）：较2020年下降16.5%（约束性）；城镇供水管网漏损率（%）：10（预期性）；中型灌区渠首计量率（%）：100（预期性）；非农业用水计量率（%）：98（预期性）；</w:t>
                  </w:r>
                </w:p>
              </w:tc>
              <w:tc>
                <w:tcPr>
                  <w:tcW w:w="951" w:type="pct"/>
                  <w:vMerge w:val="restart"/>
                  <w:noWrap w:val="0"/>
                  <w:vAlign w:val="center"/>
                </w:tcPr>
                <w:p w14:paraId="566682E9">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left"/>
                    <w:textAlignment w:val="auto"/>
                    <w:rPr>
                      <w:rFonts w:hint="default" w:ascii="Times New Roman" w:hAnsi="Times New Roman" w:eastAsia="宋体" w:cs="Times New Roman"/>
                      <w:b w:val="0"/>
                      <w:bCs w:val="0"/>
                      <w:color w:val="auto"/>
                      <w:kern w:val="0"/>
                      <w:sz w:val="21"/>
                      <w:szCs w:val="21"/>
                      <w:highlight w:val="none"/>
                      <w:u w:val="singl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本项目为新建项目，用水、用电及土地资源利用情况均未突破资源利用上线要求</w:t>
                  </w:r>
                  <w:r>
                    <w:rPr>
                      <w:rFonts w:hint="eastAsia" w:ascii="Times New Roman" w:hAnsi="Times New Roman" w:eastAsia="宋体" w:cs="Times New Roman"/>
                      <w:b w:val="0"/>
                      <w:bCs w:val="0"/>
                      <w:color w:val="auto"/>
                      <w:kern w:val="0"/>
                      <w:sz w:val="21"/>
                      <w:szCs w:val="21"/>
                      <w:highlight w:val="none"/>
                      <w:u w:val="none"/>
                      <w:lang w:val="en-US" w:eastAsia="zh-CN" w:bidi="ar-SA"/>
                    </w:rPr>
                    <w:t>。</w:t>
                  </w:r>
                </w:p>
              </w:tc>
              <w:tc>
                <w:tcPr>
                  <w:tcW w:w="261" w:type="pct"/>
                  <w:vMerge w:val="restart"/>
                  <w:noWrap w:val="0"/>
                  <w:vAlign w:val="center"/>
                </w:tcPr>
                <w:p w14:paraId="43945611">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center"/>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符合</w:t>
                  </w:r>
                </w:p>
              </w:tc>
            </w:tr>
            <w:tr w14:paraId="08DC8E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7" w:type="pct"/>
                  <w:vMerge w:val="continue"/>
                  <w:tcBorders>
                    <w:left w:val="single" w:color="auto" w:sz="4" w:space="0"/>
                    <w:right w:val="single" w:color="auto" w:sz="4" w:space="0"/>
                  </w:tcBorders>
                  <w:noWrap w:val="0"/>
                  <w:vAlign w:val="center"/>
                </w:tcPr>
                <w:p w14:paraId="4316A8C7">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17" w:type="pct"/>
                  <w:vMerge w:val="continue"/>
                  <w:tcBorders>
                    <w:left w:val="single" w:color="auto" w:sz="4" w:space="0"/>
                    <w:right w:val="single" w:color="auto" w:sz="4" w:space="0"/>
                  </w:tcBorders>
                  <w:noWrap w:val="0"/>
                  <w:vAlign w:val="center"/>
                </w:tcPr>
                <w:p w14:paraId="0A676E54">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291" w:type="pct"/>
                  <w:noWrap w:val="0"/>
                  <w:vAlign w:val="center"/>
                </w:tcPr>
                <w:p w14:paraId="715C6651">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土地资源利用效率要求</w:t>
                  </w:r>
                </w:p>
              </w:tc>
              <w:tc>
                <w:tcPr>
                  <w:tcW w:w="162" w:type="pct"/>
                  <w:tcBorders>
                    <w:tl2br w:val="nil"/>
                    <w:tr2bl w:val="nil"/>
                  </w:tcBorders>
                  <w:noWrap w:val="0"/>
                  <w:vAlign w:val="center"/>
                </w:tcPr>
                <w:p w14:paraId="22829E3C">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u w:val="none"/>
                    </w:rPr>
                  </w:pPr>
                  <w:r>
                    <w:rPr>
                      <w:rFonts w:hint="default" w:ascii="Times New Roman" w:hAnsi="Times New Roman" w:eastAsia="宋体" w:cs="Times New Roman"/>
                      <w:b w:val="0"/>
                      <w:bCs w:val="0"/>
                      <w:color w:val="auto"/>
                      <w:sz w:val="21"/>
                      <w:szCs w:val="21"/>
                      <w:highlight w:val="none"/>
                      <w:u w:val="none"/>
                    </w:rPr>
                    <w:t>2</w:t>
                  </w:r>
                </w:p>
              </w:tc>
              <w:tc>
                <w:tcPr>
                  <w:tcW w:w="3109" w:type="pct"/>
                  <w:noWrap w:val="0"/>
                  <w:vAlign w:val="center"/>
                </w:tcPr>
                <w:p w14:paraId="40FE8C0A">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国家级开发区、市管省级开发区、县管省级开发区新建项目土地投资强度一般分别不低于300万元/亩、200万元/亩、150万元/亩，或预期亩均税收（不含土地使用税）不少于30万元/年、20万元/年、10万元/年。新建工业项目建筑容积率不低于1.2</w:t>
                  </w:r>
                </w:p>
              </w:tc>
              <w:tc>
                <w:tcPr>
                  <w:tcW w:w="951" w:type="pct"/>
                  <w:vMerge w:val="continue"/>
                  <w:noWrap w:val="0"/>
                  <w:vAlign w:val="center"/>
                </w:tcPr>
                <w:p w14:paraId="6D9EF2AA">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SA"/>
                    </w:rPr>
                  </w:pPr>
                </w:p>
              </w:tc>
              <w:tc>
                <w:tcPr>
                  <w:tcW w:w="261" w:type="pct"/>
                  <w:vMerge w:val="continue"/>
                  <w:noWrap w:val="0"/>
                  <w:vAlign w:val="center"/>
                </w:tcPr>
                <w:p w14:paraId="7F32F69C">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SA"/>
                    </w:rPr>
                  </w:pPr>
                </w:p>
              </w:tc>
            </w:tr>
            <w:tr w14:paraId="75994D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7" w:type="pct"/>
                  <w:vMerge w:val="continue"/>
                  <w:tcBorders>
                    <w:left w:val="single" w:color="auto" w:sz="4" w:space="0"/>
                    <w:right w:val="single" w:color="auto" w:sz="4" w:space="0"/>
                  </w:tcBorders>
                  <w:noWrap w:val="0"/>
                  <w:vAlign w:val="center"/>
                </w:tcPr>
                <w:p w14:paraId="6FCC3833">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17" w:type="pct"/>
                  <w:vMerge w:val="continue"/>
                  <w:tcBorders>
                    <w:left w:val="single" w:color="auto" w:sz="4" w:space="0"/>
                    <w:right w:val="single" w:color="auto" w:sz="4" w:space="0"/>
                  </w:tcBorders>
                  <w:noWrap w:val="0"/>
                  <w:vAlign w:val="center"/>
                </w:tcPr>
                <w:p w14:paraId="072672BC">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291" w:type="pct"/>
                  <w:vMerge w:val="restart"/>
                  <w:noWrap w:val="0"/>
                  <w:vAlign w:val="center"/>
                </w:tcPr>
                <w:p w14:paraId="7DF38E25">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岸线管控要求</w:t>
                  </w:r>
                </w:p>
              </w:tc>
              <w:tc>
                <w:tcPr>
                  <w:tcW w:w="162" w:type="pct"/>
                  <w:tcBorders>
                    <w:tl2br w:val="nil"/>
                    <w:tr2bl w:val="nil"/>
                  </w:tcBorders>
                  <w:noWrap w:val="0"/>
                  <w:vAlign w:val="center"/>
                </w:tcPr>
                <w:p w14:paraId="1052A419">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u w:val="none"/>
                      <w:lang w:eastAsia="zh-CN"/>
                    </w:rPr>
                  </w:pPr>
                  <w:r>
                    <w:rPr>
                      <w:rFonts w:hint="default" w:ascii="Times New Roman" w:hAnsi="Times New Roman" w:eastAsia="宋体" w:cs="Times New Roman"/>
                      <w:b w:val="0"/>
                      <w:bCs w:val="0"/>
                      <w:color w:val="auto"/>
                      <w:sz w:val="21"/>
                      <w:szCs w:val="21"/>
                      <w:highlight w:val="none"/>
                      <w:u w:val="none"/>
                      <w:lang w:val="en-US" w:eastAsia="zh-CN"/>
                    </w:rPr>
                    <w:t>1</w:t>
                  </w:r>
                </w:p>
              </w:tc>
              <w:tc>
                <w:tcPr>
                  <w:tcW w:w="3109" w:type="pct"/>
                  <w:noWrap w:val="0"/>
                  <w:vAlign w:val="center"/>
                </w:tcPr>
                <w:p w14:paraId="7447A189">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细化区域长江岸线功能分区，严格边界线和临水线的管控。合理划分岸线保护区、岸线保留区、岸线控制利用区和岸线开发利用区，严格按照不同分区要求开展岸线保护和开发工作。明确岸线使用的准入门槛，严格审查岸线资源使用的申报条件。调整岸线功能区不合理的项目，开展涉岸工程整治、岸线资源利用及陆域整治，东至县香口港区、大渡口港区不得建设排污口、围湖造田、围垦造地等项目</w:t>
                  </w:r>
                </w:p>
              </w:tc>
              <w:tc>
                <w:tcPr>
                  <w:tcW w:w="951" w:type="pct"/>
                  <w:vMerge w:val="restart"/>
                  <w:noWrap w:val="0"/>
                  <w:vAlign w:val="center"/>
                </w:tcPr>
                <w:p w14:paraId="3D1F64C3">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本项目属于</w:t>
                  </w:r>
                  <w:r>
                    <w:rPr>
                      <w:rFonts w:hint="default" w:ascii="Times New Roman" w:hAnsi="Times New Roman" w:eastAsia="宋体" w:cs="Times New Roman"/>
                      <w:kern w:val="2"/>
                      <w:sz w:val="21"/>
                      <w:szCs w:val="21"/>
                    </w:rPr>
                    <w:t>C3831</w:t>
                  </w:r>
                  <w:r>
                    <w:rPr>
                      <w:rFonts w:hint="eastAsia" w:ascii="宋体" w:hAnsi="宋体" w:eastAsia="宋体" w:cs="宋体"/>
                      <w:kern w:val="2"/>
                      <w:sz w:val="21"/>
                      <w:szCs w:val="21"/>
                    </w:rPr>
                    <w:t>电线、电缆制造</w:t>
                  </w:r>
                  <w:r>
                    <w:rPr>
                      <w:rFonts w:hint="default" w:ascii="Times New Roman" w:hAnsi="Times New Roman" w:eastAsia="宋体" w:cs="Times New Roman"/>
                      <w:b w:val="0"/>
                      <w:bCs w:val="0"/>
                      <w:color w:val="auto"/>
                      <w:kern w:val="0"/>
                      <w:sz w:val="21"/>
                      <w:szCs w:val="21"/>
                      <w:highlight w:val="none"/>
                      <w:lang w:val="en-US" w:eastAsia="zh-CN" w:bidi="ar-SA"/>
                    </w:rPr>
                    <w:t>，距离长江岸线约</w:t>
                  </w:r>
                  <w:r>
                    <w:rPr>
                      <w:rFonts w:hint="default" w:ascii="Times New Roman" w:hAnsi="Times New Roman" w:eastAsia="宋体" w:cs="Times New Roman"/>
                      <w:color w:val="auto"/>
                      <w:kern w:val="0"/>
                      <w:sz w:val="21"/>
                      <w:szCs w:val="21"/>
                      <w:highlight w:val="none"/>
                      <w:lang w:val="en-US" w:eastAsia="zh-CN"/>
                    </w:rPr>
                    <w:t>2</w:t>
                  </w:r>
                  <w:r>
                    <w:rPr>
                      <w:rFonts w:hint="eastAsia" w:cs="Times New Roman"/>
                      <w:color w:val="auto"/>
                      <w:kern w:val="0"/>
                      <w:sz w:val="21"/>
                      <w:szCs w:val="21"/>
                      <w:highlight w:val="none"/>
                      <w:lang w:val="en-US" w:eastAsia="zh-CN"/>
                    </w:rPr>
                    <w:t>2</w:t>
                  </w:r>
                  <w:r>
                    <w:rPr>
                      <w:rFonts w:hint="default" w:ascii="Times New Roman" w:hAnsi="Times New Roman" w:eastAsia="宋体" w:cs="Times New Roman"/>
                      <w:color w:val="auto"/>
                      <w:kern w:val="0"/>
                      <w:sz w:val="21"/>
                      <w:szCs w:val="21"/>
                      <w:highlight w:val="none"/>
                    </w:rPr>
                    <w:t>km</w:t>
                  </w:r>
                  <w:r>
                    <w:rPr>
                      <w:rFonts w:hint="default" w:ascii="Times New Roman" w:hAnsi="Times New Roman" w:eastAsia="宋体" w:cs="Times New Roman"/>
                      <w:b w:val="0"/>
                      <w:bCs w:val="0"/>
                      <w:color w:val="auto"/>
                      <w:kern w:val="0"/>
                      <w:sz w:val="21"/>
                      <w:szCs w:val="21"/>
                      <w:highlight w:val="none"/>
                      <w:lang w:val="en-US" w:eastAsia="zh-CN" w:bidi="ar-SA"/>
                    </w:rPr>
                    <w:t>，不属于长江岸线管控范围内。</w:t>
                  </w:r>
                </w:p>
              </w:tc>
              <w:tc>
                <w:tcPr>
                  <w:tcW w:w="261" w:type="pct"/>
                  <w:vMerge w:val="restart"/>
                  <w:noWrap w:val="0"/>
                  <w:vAlign w:val="center"/>
                </w:tcPr>
                <w:p w14:paraId="02C3BF72">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符合</w:t>
                  </w:r>
                </w:p>
              </w:tc>
            </w:tr>
            <w:tr w14:paraId="1208FE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7" w:type="pct"/>
                  <w:vMerge w:val="continue"/>
                  <w:tcBorders>
                    <w:left w:val="single" w:color="auto" w:sz="4" w:space="0"/>
                    <w:right w:val="single" w:color="auto" w:sz="4" w:space="0"/>
                  </w:tcBorders>
                  <w:noWrap w:val="0"/>
                  <w:vAlign w:val="center"/>
                </w:tcPr>
                <w:p w14:paraId="7052742B">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17" w:type="pct"/>
                  <w:vMerge w:val="continue"/>
                  <w:tcBorders>
                    <w:left w:val="single" w:color="auto" w:sz="4" w:space="0"/>
                    <w:right w:val="single" w:color="auto" w:sz="4" w:space="0"/>
                  </w:tcBorders>
                  <w:noWrap w:val="0"/>
                  <w:vAlign w:val="center"/>
                </w:tcPr>
                <w:p w14:paraId="23C3C15A">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291" w:type="pct"/>
                  <w:vMerge w:val="continue"/>
                  <w:noWrap w:val="0"/>
                  <w:vAlign w:val="center"/>
                </w:tcPr>
                <w:p w14:paraId="341A8F97">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rPr>
                  </w:pPr>
                </w:p>
              </w:tc>
              <w:tc>
                <w:tcPr>
                  <w:tcW w:w="162" w:type="pct"/>
                  <w:tcBorders>
                    <w:tl2br w:val="nil"/>
                    <w:tr2bl w:val="nil"/>
                  </w:tcBorders>
                  <w:noWrap w:val="0"/>
                  <w:vAlign w:val="center"/>
                </w:tcPr>
                <w:p w14:paraId="78AB73C7">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1"/>
                      <w:szCs w:val="21"/>
                      <w:highlight w:val="none"/>
                      <w:u w:val="none"/>
                      <w:lang w:eastAsia="zh-CN"/>
                    </w:rPr>
                  </w:pPr>
                  <w:r>
                    <w:rPr>
                      <w:rFonts w:hint="default" w:ascii="Times New Roman" w:hAnsi="Times New Roman" w:eastAsia="宋体" w:cs="Times New Roman"/>
                      <w:b w:val="0"/>
                      <w:bCs w:val="0"/>
                      <w:color w:val="auto"/>
                      <w:sz w:val="21"/>
                      <w:szCs w:val="21"/>
                      <w:highlight w:val="none"/>
                      <w:u w:val="none"/>
                      <w:lang w:val="en-US" w:eastAsia="zh-CN"/>
                    </w:rPr>
                    <w:t>2</w:t>
                  </w:r>
                </w:p>
              </w:tc>
              <w:tc>
                <w:tcPr>
                  <w:tcW w:w="3109" w:type="pct"/>
                  <w:noWrap w:val="0"/>
                  <w:vAlign w:val="center"/>
                </w:tcPr>
                <w:p w14:paraId="3018F648">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1.加强对长江岸线保护利用，恢复长江绿色生态廊道。针对岸线保护区、岸线保留区、岸线控制利用区和岸线开发利用区中已建和在建项目，实施严格的环境管控。东至县香口港区、大渡口港区不得建设排污口、围湖造田、围垦造地等项目。</w:t>
                  </w:r>
                </w:p>
                <w:p w14:paraId="4B0C00A5">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both"/>
                    <w:textAlignment w:val="auto"/>
                    <w:rPr>
                      <w:rFonts w:hint="default" w:ascii="Times New Roman" w:hAnsi="Times New Roman" w:eastAsia="宋体" w:cs="Times New Roman"/>
                      <w:b w:val="0"/>
                      <w:bCs w:val="0"/>
                      <w:color w:val="auto"/>
                      <w:kern w:val="0"/>
                      <w:sz w:val="21"/>
                      <w:szCs w:val="21"/>
                      <w:highlight w:val="none"/>
                      <w:u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2.强化岸线环境监管，提高准入门槛，推动涉岸工程和资源整治，保障岸线持续利用。加强岸线保护区、岸线保留区和岸线控制利用区的分类管理，满足长江经济带保护和建设要求。岸线保护区应根据保护目标有针对性进行管理，规划期内禁止建设可能影响保护目标实现的建设项目；岸线保留区内项目的开发利用应考虑岸线的稳定性，岸线控制利用区管理重点是严格控制建设项目类型或控制其开发利用强度。</w:t>
                  </w:r>
                </w:p>
              </w:tc>
              <w:tc>
                <w:tcPr>
                  <w:tcW w:w="951" w:type="pct"/>
                  <w:vMerge w:val="continue"/>
                  <w:noWrap w:val="0"/>
                  <w:vAlign w:val="center"/>
                </w:tcPr>
                <w:p w14:paraId="42E0F556">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SA"/>
                    </w:rPr>
                  </w:pPr>
                </w:p>
              </w:tc>
              <w:tc>
                <w:tcPr>
                  <w:tcW w:w="261" w:type="pct"/>
                  <w:vMerge w:val="continue"/>
                  <w:noWrap w:val="0"/>
                  <w:vAlign w:val="center"/>
                </w:tcPr>
                <w:p w14:paraId="69513BB1">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firstLine="0" w:firstLineChars="0"/>
                    <w:jc w:val="center"/>
                    <w:textAlignment w:val="auto"/>
                    <w:rPr>
                      <w:rFonts w:hint="default" w:ascii="Times New Roman" w:hAnsi="Times New Roman" w:eastAsia="宋体" w:cs="Times New Roman"/>
                      <w:b w:val="0"/>
                      <w:bCs w:val="0"/>
                      <w:color w:val="auto"/>
                      <w:kern w:val="0"/>
                      <w:sz w:val="21"/>
                      <w:szCs w:val="21"/>
                      <w:highlight w:val="none"/>
                      <w:lang w:val="en-US" w:eastAsia="zh-CN" w:bidi="ar-SA"/>
                    </w:rPr>
                  </w:pPr>
                </w:p>
              </w:tc>
            </w:tr>
          </w:tbl>
          <w:p w14:paraId="5B487774">
            <w:pPr>
              <w:ind w:left="0" w:leftChars="0" w:firstLine="0" w:firstLineChars="0"/>
              <w:rPr>
                <w:rFonts w:hint="default" w:ascii="Times New Roman" w:hAnsi="Times New Roman" w:cs="Times New Roman"/>
                <w:color w:val="auto"/>
                <w:highlight w:val="none"/>
                <w:lang w:val="en-US" w:eastAsia="zh-CN"/>
              </w:rPr>
            </w:pPr>
          </w:p>
        </w:tc>
      </w:tr>
    </w:tbl>
    <w:p w14:paraId="540C1464">
      <w:pPr>
        <w:pageBreakBefore w:val="0"/>
        <w:kinsoku/>
        <w:wordWrap/>
        <w:topLinePunct w:val="0"/>
        <w:bidi w:val="0"/>
        <w:snapToGrid/>
        <w:spacing w:line="360" w:lineRule="auto"/>
        <w:ind w:firstLine="0" w:firstLineChars="0"/>
        <w:outlineLvl w:val="0"/>
        <w:rPr>
          <w:rFonts w:eastAsia="黑体"/>
          <w:color w:val="auto"/>
          <w:sz w:val="30"/>
          <w:highlight w:val="none"/>
        </w:rPr>
        <w:sectPr>
          <w:pgSz w:w="16838" w:h="11906" w:orient="landscape"/>
          <w:pgMar w:top="1531" w:right="1701" w:bottom="1531" w:left="1701" w:header="851" w:footer="1077" w:gutter="0"/>
          <w:pgBorders>
            <w:top w:val="none" w:sz="0" w:space="0"/>
            <w:left w:val="none" w:sz="0" w:space="0"/>
            <w:bottom w:val="none" w:sz="0" w:space="0"/>
            <w:right w:val="none" w:sz="0" w:space="0"/>
          </w:pgBorders>
          <w:pgNumType w:fmt="decimal"/>
          <w:cols w:space="720" w:num="1"/>
          <w:rtlGutter w:val="0"/>
          <w:docGrid w:type="lines" w:linePitch="312" w:charSpace="0"/>
        </w:sectPr>
      </w:pPr>
    </w:p>
    <w:tbl>
      <w:tblPr>
        <w:tblStyle w:val="27"/>
        <w:tblW w:w="5000" w:type="pct"/>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1352"/>
        <w:gridCol w:w="7708"/>
      </w:tblGrid>
      <w:tr w14:paraId="4333E04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8724" w:hRule="atLeast"/>
          <w:jc w:val="center"/>
        </w:trPr>
        <w:tc>
          <w:tcPr>
            <w:tcW w:w="746" w:type="pct"/>
            <w:tcBorders>
              <w:tl2br w:val="nil"/>
              <w:tr2bl w:val="nil"/>
            </w:tcBorders>
            <w:noWrap w:val="0"/>
            <w:vAlign w:val="center"/>
          </w:tcPr>
          <w:p w14:paraId="76E4C1D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其他符合性分析</w:t>
            </w:r>
          </w:p>
        </w:tc>
        <w:tc>
          <w:tcPr>
            <w:tcW w:w="4253" w:type="pct"/>
            <w:tcBorders>
              <w:tl2br w:val="nil"/>
              <w:tr2bl w:val="nil"/>
            </w:tcBorders>
            <w:noWrap w:val="0"/>
            <w:vAlign w:val="center"/>
          </w:tcPr>
          <w:p w14:paraId="38CC43CE">
            <w:pPr>
              <w:pStyle w:val="73"/>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5、</w:t>
            </w:r>
            <w:r>
              <w:rPr>
                <w:rFonts w:hint="default" w:ascii="Times New Roman" w:hAnsi="Times New Roman" w:eastAsia="宋体" w:cs="Times New Roman"/>
                <w:b/>
                <w:bCs/>
                <w:color w:val="auto"/>
                <w:sz w:val="24"/>
                <w:szCs w:val="24"/>
                <w:highlight w:val="none"/>
                <w:lang w:val="en-US" w:eastAsia="zh-CN"/>
              </w:rPr>
              <w:t>项目与其他相关法规政策符合性分析</w:t>
            </w:r>
          </w:p>
          <w:p w14:paraId="45864865">
            <w:pPr>
              <w:keepNext w:val="0"/>
              <w:keepLines w:val="0"/>
              <w:widowControl w:val="0"/>
              <w:suppressLineNumbers w:val="0"/>
              <w:spacing w:before="0" w:beforeAutospacing="0" w:after="0" w:afterAutospacing="0" w:line="360" w:lineRule="auto"/>
              <w:ind w:left="0" w:right="0" w:firstLine="480"/>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本项目与</w:t>
            </w:r>
            <w:r>
              <w:rPr>
                <w:rFonts w:hint="eastAsia" w:cs="Times New Roman"/>
                <w:color w:val="auto"/>
                <w:highlight w:val="none"/>
                <w:lang w:val="en-US" w:eastAsia="zh-CN"/>
              </w:rPr>
              <w:t>其他</w:t>
            </w:r>
            <w:r>
              <w:rPr>
                <w:rFonts w:hint="default" w:ascii="Times New Roman" w:hAnsi="Times New Roman" w:eastAsia="宋体" w:cs="Times New Roman"/>
                <w:color w:val="auto"/>
                <w:highlight w:val="none"/>
                <w:lang w:val="en-US" w:eastAsia="zh-CN"/>
              </w:rPr>
              <w:t>相关法规政策符合性分析</w:t>
            </w:r>
            <w:r>
              <w:rPr>
                <w:rFonts w:hint="eastAsia" w:ascii="Times New Roman" w:hAnsi="Times New Roman" w:eastAsia="宋体" w:cs="Times New Roman"/>
                <w:color w:val="auto"/>
                <w:highlight w:val="none"/>
                <w:lang w:val="en-US" w:eastAsia="zh-CN"/>
              </w:rPr>
              <w:t>见下表。</w:t>
            </w:r>
          </w:p>
          <w:p w14:paraId="207EDB0C">
            <w:pPr>
              <w:ind w:firstLine="422" w:firstLineChars="20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i w:val="0"/>
                <w:iCs w:val="0"/>
                <w:color w:val="auto"/>
                <w:sz w:val="21"/>
                <w:szCs w:val="21"/>
                <w:highlight w:val="none"/>
              </w:rPr>
              <w:t>表1</w:t>
            </w:r>
            <w:r>
              <w:rPr>
                <w:rFonts w:hint="default" w:ascii="Times New Roman" w:hAnsi="Times New Roman" w:eastAsia="宋体" w:cs="Times New Roman"/>
                <w:b/>
                <w:bCs/>
                <w:i w:val="0"/>
                <w:iCs w:val="0"/>
                <w:color w:val="auto"/>
                <w:sz w:val="21"/>
                <w:szCs w:val="21"/>
                <w:highlight w:val="none"/>
                <w:lang w:val="en-US" w:eastAsia="zh-CN"/>
              </w:rPr>
              <w:t>-</w:t>
            </w:r>
            <w:r>
              <w:rPr>
                <w:rFonts w:hint="eastAsia" w:cs="Times New Roman"/>
                <w:b/>
                <w:bCs/>
                <w:i w:val="0"/>
                <w:iCs w:val="0"/>
                <w:color w:val="auto"/>
                <w:sz w:val="21"/>
                <w:szCs w:val="21"/>
                <w:highlight w:val="none"/>
                <w:lang w:val="en-US" w:eastAsia="zh-CN"/>
              </w:rPr>
              <w:t>8</w:t>
            </w:r>
            <w:r>
              <w:rPr>
                <w:rFonts w:hint="default" w:ascii="Times New Roman" w:hAnsi="Times New Roman" w:eastAsia="宋体" w:cs="Times New Roman"/>
                <w:b/>
                <w:bCs/>
                <w:i w:val="0"/>
                <w:iCs w:val="0"/>
                <w:color w:val="auto"/>
                <w:sz w:val="21"/>
                <w:szCs w:val="21"/>
                <w:highlight w:val="none"/>
                <w:lang w:val="en-US" w:eastAsia="zh-CN"/>
              </w:rPr>
              <w:t>本项目与其他相关法规政策符合性</w:t>
            </w:r>
            <w:r>
              <w:rPr>
                <w:rFonts w:hint="default" w:ascii="Times New Roman" w:hAnsi="Times New Roman" w:eastAsia="宋体" w:cs="Times New Roman"/>
                <w:b/>
                <w:bCs/>
                <w:color w:val="auto"/>
                <w:sz w:val="21"/>
                <w:szCs w:val="21"/>
                <w:highlight w:val="none"/>
                <w:lang w:val="en-US" w:eastAsia="zh-CN"/>
              </w:rPr>
              <w:t>分析</w:t>
            </w:r>
          </w:p>
          <w:tbl>
            <w:tblPr>
              <w:tblStyle w:val="2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5"/>
              <w:gridCol w:w="2850"/>
              <w:gridCol w:w="2578"/>
              <w:gridCol w:w="905"/>
            </w:tblGrid>
            <w:tr w14:paraId="48805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pct"/>
                  <w:noWrap w:val="0"/>
                  <w:vAlign w:val="center"/>
                </w:tcPr>
                <w:p w14:paraId="61BE7041">
                  <w:pPr>
                    <w:pStyle w:val="10"/>
                    <w:bidi w:val="0"/>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名称</w:t>
                  </w:r>
                </w:p>
              </w:tc>
              <w:tc>
                <w:tcPr>
                  <w:tcW w:w="1905" w:type="pct"/>
                  <w:noWrap w:val="0"/>
                  <w:vAlign w:val="center"/>
                </w:tcPr>
                <w:p w14:paraId="0AEF4C74">
                  <w:pPr>
                    <w:pStyle w:val="10"/>
                    <w:bidi w:val="0"/>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rPr>
                    <w:t>政策规定</w:t>
                  </w:r>
                </w:p>
              </w:tc>
              <w:tc>
                <w:tcPr>
                  <w:tcW w:w="1723" w:type="pct"/>
                  <w:noWrap w:val="0"/>
                  <w:vAlign w:val="center"/>
                </w:tcPr>
                <w:p w14:paraId="27B2B67D">
                  <w:pPr>
                    <w:pStyle w:val="10"/>
                    <w:bidi w:val="0"/>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rPr>
                    <w:t>项目情况</w:t>
                  </w:r>
                </w:p>
              </w:tc>
              <w:tc>
                <w:tcPr>
                  <w:tcW w:w="605" w:type="pct"/>
                  <w:noWrap w:val="0"/>
                  <w:vAlign w:val="center"/>
                </w:tcPr>
                <w:p w14:paraId="23084B4F">
                  <w:pPr>
                    <w:pStyle w:val="10"/>
                    <w:bidi w:val="0"/>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rPr>
                    <w:t>符合性分析</w:t>
                  </w:r>
                </w:p>
              </w:tc>
            </w:tr>
            <w:tr w14:paraId="4090A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pct"/>
                  <w:vMerge w:val="restart"/>
                  <w:noWrap w:val="0"/>
                  <w:vAlign w:val="center"/>
                </w:tcPr>
                <w:p w14:paraId="75A9F193">
                  <w:pPr>
                    <w:pStyle w:val="10"/>
                    <w:bidi w:val="0"/>
                    <w:ind w:right="0" w:rightChars="0"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中华人民共和国长江保护法</w:t>
                  </w:r>
                  <w:r>
                    <w:rPr>
                      <w:rFonts w:hint="default" w:ascii="Times New Roman" w:hAnsi="Times New Roman" w:eastAsia="宋体" w:cs="Times New Roman"/>
                      <w:color w:val="auto"/>
                      <w:sz w:val="21"/>
                      <w:szCs w:val="21"/>
                      <w:highlight w:val="none"/>
                    </w:rPr>
                    <w:t>》</w:t>
                  </w:r>
                </w:p>
              </w:tc>
              <w:tc>
                <w:tcPr>
                  <w:tcW w:w="1905" w:type="pct"/>
                  <w:noWrap w:val="0"/>
                  <w:vAlign w:val="center"/>
                </w:tcPr>
                <w:p w14:paraId="2F070B7E">
                  <w:pPr>
                    <w:spacing w:before="0" w:after="0"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禁止在长江干支流岸线一公里范围内新建、扩建化工园区和化工项目。禁止在长江干流岸线三公里范围内和重要支流岸线一公里范围内新建、改建、扩建尾矿库；但是以提升安全、生态环境保护水平为目的的改建除外。</w:t>
                  </w:r>
                </w:p>
              </w:tc>
              <w:tc>
                <w:tcPr>
                  <w:tcW w:w="1723" w:type="pct"/>
                  <w:noWrap w:val="0"/>
                  <w:vAlign w:val="center"/>
                </w:tcPr>
                <w:p w14:paraId="651F40B4">
                  <w:pPr>
                    <w:spacing w:before="0" w:after="0"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u w:val="none"/>
                      <w:lang w:val="en-US" w:eastAsia="zh-CN" w:bidi="ar-SA"/>
                    </w:rPr>
                    <w:t>本项目属于C3831电线、电缆制造</w:t>
                  </w:r>
                  <w:r>
                    <w:rPr>
                      <w:rFonts w:hint="eastAsia" w:ascii="Times New Roman" w:hAnsi="Times New Roman" w:eastAsia="宋体" w:cs="Times New Roman"/>
                      <w:b w:val="0"/>
                      <w:bCs w:val="0"/>
                      <w:color w:val="auto"/>
                      <w:kern w:val="0"/>
                      <w:sz w:val="21"/>
                      <w:szCs w:val="21"/>
                      <w:highlight w:val="none"/>
                      <w:u w:val="none"/>
                      <w:lang w:val="en-US" w:eastAsia="zh-CN" w:bidi="ar-SA"/>
                    </w:rPr>
                    <w:t>，不属于化工项目和尾矿库，</w:t>
                  </w:r>
                  <w:r>
                    <w:rPr>
                      <w:rFonts w:hint="eastAsia" w:ascii="Times New Roman" w:hAnsi="Times New Roman" w:eastAsia="宋体" w:cs="Times New Roman"/>
                      <w:color w:val="auto"/>
                      <w:kern w:val="0"/>
                      <w:sz w:val="21"/>
                      <w:szCs w:val="21"/>
                      <w:highlight w:val="none"/>
                      <w:lang w:val="en-US" w:eastAsia="zh-CN"/>
                    </w:rPr>
                    <w:t>项目</w:t>
                  </w:r>
                  <w:r>
                    <w:rPr>
                      <w:rFonts w:hint="default" w:ascii="Times New Roman" w:hAnsi="Times New Roman" w:eastAsia="宋体" w:cs="Times New Roman"/>
                      <w:color w:val="auto"/>
                      <w:sz w:val="21"/>
                      <w:szCs w:val="21"/>
                      <w:highlight w:val="none"/>
                      <w:lang w:val="en-US" w:eastAsia="zh-CN"/>
                    </w:rPr>
                    <w:t>距离青通河</w:t>
                  </w:r>
                  <w:r>
                    <w:rPr>
                      <w:rFonts w:hint="default" w:ascii="Times New Roman" w:hAnsi="Times New Roman" w:eastAsia="宋体" w:cs="Times New Roman"/>
                      <w:color w:val="auto"/>
                      <w:sz w:val="21"/>
                      <w:szCs w:val="21"/>
                      <w:highlight w:val="none"/>
                    </w:rPr>
                    <w:t>最近约</w:t>
                  </w:r>
                  <w:r>
                    <w:rPr>
                      <w:rFonts w:hint="eastAsia" w:cs="Times New Roman"/>
                      <w:color w:val="auto"/>
                      <w:sz w:val="21"/>
                      <w:szCs w:val="21"/>
                      <w:highlight w:val="none"/>
                      <w:lang w:val="en-US" w:eastAsia="zh-CN"/>
                    </w:rPr>
                    <w:t>2.7</w:t>
                  </w:r>
                  <w:r>
                    <w:rPr>
                      <w:rFonts w:hint="default" w:ascii="Times New Roman" w:hAnsi="Times New Roman" w:eastAsia="宋体" w:cs="Times New Roman"/>
                      <w:color w:val="auto"/>
                      <w:sz w:val="21"/>
                      <w:szCs w:val="21"/>
                      <w:highlight w:val="none"/>
                      <w:lang w:val="en-US" w:eastAsia="zh-CN"/>
                    </w:rPr>
                    <w:t>k</w:t>
                  </w:r>
                  <w:r>
                    <w:rPr>
                      <w:rFonts w:hint="default" w:ascii="Times New Roman" w:hAnsi="Times New Roman" w:eastAsia="宋体" w:cs="Times New Roman"/>
                      <w:color w:val="auto"/>
                      <w:sz w:val="21"/>
                      <w:szCs w:val="21"/>
                      <w:highlight w:val="none"/>
                    </w:rPr>
                    <w:t>m，距离长江岸线最近约</w:t>
                  </w:r>
                  <w:r>
                    <w:rPr>
                      <w:rFonts w:hint="default" w:ascii="Times New Roman" w:hAnsi="Times New Roman" w:eastAsia="宋体" w:cs="Times New Roman"/>
                      <w:color w:val="auto"/>
                      <w:sz w:val="21"/>
                      <w:szCs w:val="21"/>
                      <w:highlight w:val="none"/>
                      <w:lang w:val="en-US" w:eastAsia="zh-CN"/>
                    </w:rPr>
                    <w:t>2</w:t>
                  </w:r>
                  <w:r>
                    <w:rPr>
                      <w:rFonts w:hint="eastAsia"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km，不属于长江干支流岸线</w:t>
                  </w:r>
                  <w:r>
                    <w:rPr>
                      <w:rFonts w:hint="default" w:ascii="Times New Roman" w:hAnsi="Times New Roman" w:eastAsia="宋体" w:cs="Times New Roman"/>
                      <w:color w:val="auto"/>
                      <w:sz w:val="21"/>
                      <w:szCs w:val="21"/>
                      <w:highlight w:val="none"/>
                      <w:lang w:val="en-US" w:eastAsia="zh-CN"/>
                    </w:rPr>
                    <w:t>一</w:t>
                  </w:r>
                  <w:r>
                    <w:rPr>
                      <w:rFonts w:hint="default" w:ascii="Times New Roman" w:hAnsi="Times New Roman" w:eastAsia="宋体" w:cs="Times New Roman"/>
                      <w:color w:val="auto"/>
                      <w:sz w:val="21"/>
                      <w:szCs w:val="21"/>
                      <w:highlight w:val="none"/>
                    </w:rPr>
                    <w:t>公里</w:t>
                  </w:r>
                  <w:r>
                    <w:rPr>
                      <w:rFonts w:hint="eastAsia" w:ascii="Times New Roman" w:hAnsi="Times New Roman" w:eastAsia="宋体" w:cs="Times New Roman"/>
                      <w:color w:val="auto"/>
                      <w:sz w:val="21"/>
                      <w:szCs w:val="21"/>
                      <w:highlight w:val="none"/>
                      <w:lang w:val="en-US" w:eastAsia="zh-CN"/>
                    </w:rPr>
                    <w:t>管控范围内和长江干流三公里</w:t>
                  </w:r>
                  <w:r>
                    <w:rPr>
                      <w:rFonts w:hint="default" w:ascii="Times New Roman" w:hAnsi="Times New Roman" w:eastAsia="宋体" w:cs="Times New Roman"/>
                      <w:color w:val="auto"/>
                      <w:sz w:val="21"/>
                      <w:szCs w:val="21"/>
                      <w:highlight w:val="none"/>
                    </w:rPr>
                    <w:t>管控范围内</w:t>
                  </w:r>
                  <w:r>
                    <w:rPr>
                      <w:rFonts w:hint="default" w:ascii="Times New Roman" w:hAnsi="Times New Roman" w:eastAsia="宋体" w:cs="Times New Roman"/>
                      <w:color w:val="auto"/>
                      <w:sz w:val="21"/>
                      <w:szCs w:val="21"/>
                      <w:highlight w:val="none"/>
                      <w:lang w:eastAsia="zh-CN"/>
                    </w:rPr>
                    <w:t>。</w:t>
                  </w:r>
                </w:p>
              </w:tc>
              <w:tc>
                <w:tcPr>
                  <w:tcW w:w="605" w:type="pct"/>
                  <w:noWrap w:val="0"/>
                  <w:vAlign w:val="center"/>
                </w:tcPr>
                <w:p w14:paraId="7E270ACB">
                  <w:pPr>
                    <w:pStyle w:val="10"/>
                    <w:bidi w:val="0"/>
                    <w:ind w:right="0" w:rightChars="0"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符合</w:t>
                  </w:r>
                </w:p>
              </w:tc>
            </w:tr>
            <w:tr w14:paraId="12809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pct"/>
                  <w:vMerge w:val="continue"/>
                  <w:noWrap w:val="0"/>
                  <w:vAlign w:val="center"/>
                </w:tcPr>
                <w:p w14:paraId="41EB9730">
                  <w:pPr>
                    <w:pStyle w:val="10"/>
                    <w:bidi w:val="0"/>
                    <w:ind w:right="0" w:rightChars="0" w:firstLine="0" w:firstLineChars="0"/>
                    <w:jc w:val="center"/>
                    <w:rPr>
                      <w:rFonts w:hint="default" w:ascii="Times New Roman" w:hAnsi="Times New Roman" w:cs="Times New Roman"/>
                      <w:color w:val="auto"/>
                      <w:szCs w:val="21"/>
                      <w:highlight w:val="none"/>
                    </w:rPr>
                  </w:pPr>
                </w:p>
              </w:tc>
              <w:tc>
                <w:tcPr>
                  <w:tcW w:w="1905" w:type="pct"/>
                  <w:noWrap w:val="0"/>
                  <w:vAlign w:val="center"/>
                </w:tcPr>
                <w:p w14:paraId="7D9837EC">
                  <w:pPr>
                    <w:pStyle w:val="10"/>
                    <w:bidi w:val="0"/>
                    <w:ind w:right="0" w:rightChars="0" w:firstLine="0" w:firstLineChars="0"/>
                    <w:jc w:val="center"/>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产业发展方面：长江流域县级以上地方人民政府应当推动钢铁、石油、化工、有色金属、建材、船舶等产业升级改造，提升技术装备水平；推动造纸、制革、电镀、印染、有色金属、农药、氮肥、焦化、原料药制造等企业实施清洁化改造。企业应当通过技术创新减少资源消耗和污染物排放。</w:t>
                  </w:r>
                </w:p>
              </w:tc>
              <w:tc>
                <w:tcPr>
                  <w:tcW w:w="1723" w:type="pct"/>
                  <w:noWrap w:val="0"/>
                  <w:vAlign w:val="center"/>
                </w:tcPr>
                <w:p w14:paraId="18343509">
                  <w:pPr>
                    <w:spacing w:before="0" w:after="0"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本项目不属于</w:t>
                  </w:r>
                  <w:r>
                    <w:rPr>
                      <w:rFonts w:hint="default" w:ascii="Times New Roman" w:hAnsi="Times New Roman" w:eastAsia="宋体" w:cs="Times New Roman"/>
                      <w:color w:val="auto"/>
                      <w:kern w:val="2"/>
                      <w:sz w:val="21"/>
                      <w:szCs w:val="21"/>
                      <w:highlight w:val="none"/>
                    </w:rPr>
                    <w:t>钢铁、石油、化工、有色金属、建材、船舶</w:t>
                  </w:r>
                  <w:r>
                    <w:rPr>
                      <w:rFonts w:hint="default" w:ascii="Times New Roman" w:hAnsi="Times New Roman" w:eastAsia="宋体" w:cs="Times New Roman"/>
                      <w:color w:val="auto"/>
                      <w:kern w:val="2"/>
                      <w:sz w:val="21"/>
                      <w:szCs w:val="21"/>
                      <w:highlight w:val="none"/>
                      <w:lang w:eastAsia="zh-CN"/>
                    </w:rPr>
                    <w:t>、</w:t>
                  </w:r>
                  <w:r>
                    <w:rPr>
                      <w:rFonts w:hint="default" w:ascii="Times New Roman" w:hAnsi="Times New Roman" w:eastAsia="宋体" w:cs="Times New Roman"/>
                      <w:color w:val="auto"/>
                      <w:kern w:val="2"/>
                      <w:sz w:val="21"/>
                      <w:szCs w:val="21"/>
                      <w:highlight w:val="none"/>
                    </w:rPr>
                    <w:t>造纸、制革、电镀、印染、农药、氮肥、焦化、原料药制造</w:t>
                  </w:r>
                  <w:r>
                    <w:rPr>
                      <w:rFonts w:hint="eastAsia" w:ascii="Times New Roman" w:hAnsi="Times New Roman" w:eastAsia="宋体" w:cs="Times New Roman"/>
                      <w:color w:val="auto"/>
                      <w:kern w:val="2"/>
                      <w:sz w:val="21"/>
                      <w:szCs w:val="21"/>
                      <w:highlight w:val="none"/>
                      <w:lang w:val="en-US" w:eastAsia="zh-CN"/>
                    </w:rPr>
                    <w:t>行业，</w:t>
                  </w:r>
                  <w:r>
                    <w:rPr>
                      <w:rFonts w:hint="default" w:ascii="Times New Roman" w:hAnsi="Times New Roman" w:eastAsia="宋体" w:cs="Times New Roman"/>
                      <w:color w:val="auto"/>
                      <w:sz w:val="21"/>
                      <w:szCs w:val="21"/>
                      <w:highlight w:val="none"/>
                    </w:rPr>
                    <w:t>项目满足开发区资源开发利用效率、污染物管控指标</w:t>
                  </w:r>
                  <w:r>
                    <w:rPr>
                      <w:rFonts w:hint="eastAsia" w:ascii="Times New Roman" w:hAnsi="Times New Roman" w:eastAsia="宋体" w:cs="Times New Roman"/>
                      <w:color w:val="auto"/>
                      <w:sz w:val="21"/>
                      <w:szCs w:val="21"/>
                      <w:highlight w:val="none"/>
                      <w:lang w:eastAsia="zh-CN"/>
                    </w:rPr>
                    <w:t>。</w:t>
                  </w:r>
                </w:p>
              </w:tc>
              <w:tc>
                <w:tcPr>
                  <w:tcW w:w="605" w:type="pct"/>
                  <w:noWrap w:val="0"/>
                  <w:vAlign w:val="center"/>
                </w:tcPr>
                <w:p w14:paraId="24EDA385">
                  <w:pPr>
                    <w:pStyle w:val="10"/>
                    <w:bidi w:val="0"/>
                    <w:ind w:right="0" w:rightChars="0" w:firstLine="0" w:firstLineChars="0"/>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符合</w:t>
                  </w:r>
                </w:p>
              </w:tc>
            </w:tr>
            <w:tr w14:paraId="1AFA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pct"/>
                  <w:vMerge w:val="restart"/>
                  <w:noWrap w:val="0"/>
                  <w:vAlign w:val="center"/>
                </w:tcPr>
                <w:p w14:paraId="3B57625B">
                  <w:pPr>
                    <w:pStyle w:val="10"/>
                    <w:bidi w:val="0"/>
                    <w:ind w:right="0" w:rightChars="0"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《中共安徽省委安徽省人民政府关于全面打造水清岸绿产业优美丽长江（安徽）经济带的实施意见（升级版）》</w:t>
                  </w:r>
                </w:p>
              </w:tc>
              <w:tc>
                <w:tcPr>
                  <w:tcW w:w="1905" w:type="pct"/>
                  <w:noWrap w:val="0"/>
                  <w:vAlign w:val="center"/>
                </w:tcPr>
                <w:p w14:paraId="157B74E0">
                  <w:pPr>
                    <w:spacing w:before="0" w:after="0"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筑牢1公里、5公里、15公里三道防线</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1）严禁1公里范围内新建化工项目。长江干支流岸线1公里范围内，严禁新建、扩建化工园区和化工项目。已批未开工的项目，依法停止建设，支持重新选址。已经开工建设的项目，严格进行检查评估，不符合岸线规划和环保、安全要求的，全部依法依规停建搬迁。</w:t>
                  </w:r>
                </w:p>
              </w:tc>
              <w:tc>
                <w:tcPr>
                  <w:tcW w:w="1723" w:type="pct"/>
                  <w:noWrap w:val="0"/>
                  <w:vAlign w:val="center"/>
                </w:tcPr>
                <w:p w14:paraId="79113AB8">
                  <w:pPr>
                    <w:spacing w:before="0" w:after="0"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rPr>
                    <w:t>本项目</w:t>
                  </w:r>
                  <w:r>
                    <w:rPr>
                      <w:rFonts w:hint="default" w:ascii="Times New Roman" w:hAnsi="Times New Roman" w:eastAsia="宋体" w:cs="Times New Roman"/>
                      <w:color w:val="auto"/>
                      <w:sz w:val="21"/>
                      <w:szCs w:val="21"/>
                      <w:highlight w:val="none"/>
                      <w:lang w:val="en-US" w:eastAsia="zh-CN"/>
                    </w:rPr>
                    <w:t>距离青通河</w:t>
                  </w:r>
                  <w:r>
                    <w:rPr>
                      <w:rFonts w:hint="default" w:ascii="Times New Roman" w:hAnsi="Times New Roman" w:eastAsia="宋体" w:cs="Times New Roman"/>
                      <w:color w:val="auto"/>
                      <w:sz w:val="21"/>
                      <w:szCs w:val="21"/>
                      <w:highlight w:val="none"/>
                    </w:rPr>
                    <w:t>最近约</w:t>
                  </w:r>
                  <w:r>
                    <w:rPr>
                      <w:rFonts w:hint="eastAsia" w:cs="Times New Roman"/>
                      <w:color w:val="auto"/>
                      <w:sz w:val="21"/>
                      <w:szCs w:val="21"/>
                      <w:highlight w:val="none"/>
                      <w:lang w:val="en-US" w:eastAsia="zh-CN"/>
                    </w:rPr>
                    <w:t>2.7</w:t>
                  </w:r>
                  <w:r>
                    <w:rPr>
                      <w:rFonts w:hint="default" w:ascii="Times New Roman" w:hAnsi="Times New Roman" w:eastAsia="宋体" w:cs="Times New Roman"/>
                      <w:color w:val="auto"/>
                      <w:sz w:val="21"/>
                      <w:szCs w:val="21"/>
                      <w:highlight w:val="none"/>
                      <w:lang w:val="en-US" w:eastAsia="zh-CN"/>
                    </w:rPr>
                    <w:t>k</w:t>
                  </w:r>
                  <w:r>
                    <w:rPr>
                      <w:rFonts w:hint="default" w:ascii="Times New Roman" w:hAnsi="Times New Roman" w:eastAsia="宋体" w:cs="Times New Roman"/>
                      <w:color w:val="auto"/>
                      <w:sz w:val="21"/>
                      <w:szCs w:val="21"/>
                      <w:highlight w:val="none"/>
                    </w:rPr>
                    <w:t>m，距离长江岸线最近约</w:t>
                  </w:r>
                  <w:r>
                    <w:rPr>
                      <w:rFonts w:hint="default" w:ascii="Times New Roman" w:hAnsi="Times New Roman" w:eastAsia="宋体" w:cs="Times New Roman"/>
                      <w:color w:val="auto"/>
                      <w:sz w:val="21"/>
                      <w:szCs w:val="21"/>
                      <w:highlight w:val="none"/>
                      <w:lang w:val="en-US" w:eastAsia="zh-CN"/>
                    </w:rPr>
                    <w:t>2</w:t>
                  </w:r>
                  <w:r>
                    <w:rPr>
                      <w:rFonts w:hint="eastAsia"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km，不属于长江干支流岸线1公里管控范围内</w:t>
                  </w:r>
                  <w:r>
                    <w:rPr>
                      <w:rFonts w:hint="default" w:ascii="Times New Roman" w:hAnsi="Times New Roman" w:eastAsia="宋体" w:cs="Times New Roman"/>
                      <w:color w:val="auto"/>
                      <w:sz w:val="21"/>
                      <w:szCs w:val="21"/>
                      <w:highlight w:val="none"/>
                      <w:lang w:eastAsia="zh-CN"/>
                    </w:rPr>
                    <w:t>。</w:t>
                  </w:r>
                </w:p>
              </w:tc>
              <w:tc>
                <w:tcPr>
                  <w:tcW w:w="605" w:type="pct"/>
                  <w:noWrap w:val="0"/>
                  <w:vAlign w:val="center"/>
                </w:tcPr>
                <w:p w14:paraId="19069228">
                  <w:pPr>
                    <w:spacing w:before="0" w:after="0" w:line="240" w:lineRule="auto"/>
                    <w:ind w:firstLine="0" w:firstLineChars="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1"/>
                      <w:szCs w:val="21"/>
                      <w:highlight w:val="none"/>
                      <w:lang w:val="en-US" w:eastAsia="zh-CN"/>
                    </w:rPr>
                    <w:t>符合</w:t>
                  </w:r>
                </w:p>
              </w:tc>
            </w:tr>
            <w:tr w14:paraId="5EC03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5" w:type="pct"/>
                  <w:vMerge w:val="continue"/>
                  <w:noWrap w:val="0"/>
                  <w:vAlign w:val="center"/>
                </w:tcPr>
                <w:p w14:paraId="6DA9D1B0">
                  <w:pPr>
                    <w:pStyle w:val="10"/>
                    <w:bidi w:val="0"/>
                    <w:rPr>
                      <w:rFonts w:hint="default"/>
                      <w:color w:val="auto"/>
                      <w:highlight w:val="none"/>
                    </w:rPr>
                  </w:pPr>
                </w:p>
              </w:tc>
              <w:tc>
                <w:tcPr>
                  <w:tcW w:w="1905" w:type="pct"/>
                  <w:noWrap w:val="0"/>
                  <w:vAlign w:val="center"/>
                </w:tcPr>
                <w:p w14:paraId="0D806728">
                  <w:pPr>
                    <w:spacing w:before="0" w:after="0"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2）严控5公里范围内新建重化工重污染项目。长江干流岸线5公里范围内，全面落实长江岸线功能定位要求，实施严格的化工项目市场准入制度，除提升安全、环保、节能水平，以及质量升级、结构调整的改扩建项目外，严控新建石油化工和煤化工等重化工、重污染项目。严禁新建布局重化工园区。合规化工园区内，严禁新批环境基础设施不完善或长期不能稳定运行的企业新建和扩建化工项目。</w:t>
                  </w:r>
                </w:p>
              </w:tc>
              <w:tc>
                <w:tcPr>
                  <w:tcW w:w="1723" w:type="pct"/>
                  <w:noWrap w:val="0"/>
                  <w:vAlign w:val="center"/>
                </w:tcPr>
                <w:p w14:paraId="69C388D2">
                  <w:pPr>
                    <w:spacing w:before="0" w:after="0"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rPr>
                    <w:t>本项目</w:t>
                  </w:r>
                  <w:r>
                    <w:rPr>
                      <w:rFonts w:hint="default" w:ascii="Times New Roman" w:hAnsi="Times New Roman" w:eastAsia="宋体" w:cs="Times New Roman"/>
                      <w:color w:val="auto"/>
                      <w:sz w:val="21"/>
                      <w:szCs w:val="21"/>
                      <w:highlight w:val="none"/>
                    </w:rPr>
                    <w:t>距离长江岸线最近约</w:t>
                  </w:r>
                  <w:r>
                    <w:rPr>
                      <w:rFonts w:hint="default" w:ascii="Times New Roman" w:hAnsi="Times New Roman" w:eastAsia="宋体" w:cs="Times New Roman"/>
                      <w:color w:val="auto"/>
                      <w:sz w:val="21"/>
                      <w:szCs w:val="21"/>
                      <w:highlight w:val="none"/>
                      <w:lang w:val="en-US" w:eastAsia="zh-CN"/>
                    </w:rPr>
                    <w:t>2</w:t>
                  </w:r>
                  <w:r>
                    <w:rPr>
                      <w:rFonts w:hint="eastAsia"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km，不属于长江干流岸线5公里管控范围内</w:t>
                  </w:r>
                  <w:r>
                    <w:rPr>
                      <w:rFonts w:hint="default" w:ascii="Times New Roman" w:hAnsi="Times New Roman" w:eastAsia="宋体" w:cs="Times New Roman"/>
                      <w:color w:val="auto"/>
                      <w:sz w:val="21"/>
                      <w:szCs w:val="21"/>
                      <w:highlight w:val="none"/>
                      <w:lang w:eastAsia="zh-CN"/>
                    </w:rPr>
                    <w:t>。</w:t>
                  </w:r>
                </w:p>
              </w:tc>
              <w:tc>
                <w:tcPr>
                  <w:tcW w:w="605" w:type="pct"/>
                  <w:noWrap w:val="0"/>
                  <w:vAlign w:val="center"/>
                </w:tcPr>
                <w:p w14:paraId="449ED2AF">
                  <w:pPr>
                    <w:pStyle w:val="10"/>
                    <w:bidi w:val="0"/>
                    <w:ind w:right="0" w:rightChars="0"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符合</w:t>
                  </w:r>
                </w:p>
              </w:tc>
            </w:tr>
            <w:tr w14:paraId="5B848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6" w:hRule="atLeast"/>
              </w:trPr>
              <w:tc>
                <w:tcPr>
                  <w:tcW w:w="765" w:type="pct"/>
                  <w:vMerge w:val="continue"/>
                  <w:noWrap w:val="0"/>
                  <w:vAlign w:val="center"/>
                </w:tcPr>
                <w:p w14:paraId="5927DB77">
                  <w:pPr>
                    <w:pStyle w:val="10"/>
                    <w:bidi w:val="0"/>
                    <w:rPr>
                      <w:rFonts w:hint="default"/>
                      <w:color w:val="auto"/>
                      <w:highlight w:val="none"/>
                    </w:rPr>
                  </w:pPr>
                </w:p>
              </w:tc>
              <w:tc>
                <w:tcPr>
                  <w:tcW w:w="1905" w:type="pct"/>
                  <w:noWrap w:val="0"/>
                  <w:vAlign w:val="center"/>
                </w:tcPr>
                <w:p w14:paraId="2A1A2BE5">
                  <w:pPr>
                    <w:spacing w:before="0" w:after="0"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3）严管15公里范围内新建项目。长江干流岸线15公里范围内，严把各类项目准入门槛，严格执行环境保护标准，把主要污染物和重点重金属排放总量控制目标作为新（改、扩）建项目环评审批的前置条件，禁止建设没有环境容量和减排总量项目。</w:t>
                  </w:r>
                </w:p>
              </w:tc>
              <w:tc>
                <w:tcPr>
                  <w:tcW w:w="1723" w:type="pct"/>
                  <w:noWrap w:val="0"/>
                  <w:vAlign w:val="center"/>
                </w:tcPr>
                <w:p w14:paraId="72ED4D02">
                  <w:pPr>
                    <w:spacing w:before="0" w:after="0"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rPr>
                    <w:t>本项目</w:t>
                  </w:r>
                  <w:r>
                    <w:rPr>
                      <w:rFonts w:hint="default" w:ascii="Times New Roman" w:hAnsi="Times New Roman" w:eastAsia="宋体" w:cs="Times New Roman"/>
                      <w:color w:val="auto"/>
                      <w:sz w:val="21"/>
                      <w:szCs w:val="21"/>
                      <w:highlight w:val="none"/>
                    </w:rPr>
                    <w:t>距离长江岸线最近约</w:t>
                  </w:r>
                  <w:r>
                    <w:rPr>
                      <w:rFonts w:hint="default" w:ascii="Times New Roman" w:hAnsi="Times New Roman" w:eastAsia="宋体" w:cs="Times New Roman"/>
                      <w:color w:val="auto"/>
                      <w:sz w:val="21"/>
                      <w:szCs w:val="21"/>
                      <w:highlight w:val="none"/>
                      <w:lang w:val="en-US" w:eastAsia="zh-CN"/>
                    </w:rPr>
                    <w:t>2</w:t>
                  </w:r>
                  <w:r>
                    <w:rPr>
                      <w:rFonts w:hint="eastAsia"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km，不属于长江干流岸线15公里管控范围内。</w:t>
                  </w:r>
                </w:p>
              </w:tc>
              <w:tc>
                <w:tcPr>
                  <w:tcW w:w="605" w:type="pct"/>
                  <w:noWrap w:val="0"/>
                  <w:vAlign w:val="center"/>
                </w:tcPr>
                <w:p w14:paraId="21F6D99D">
                  <w:pPr>
                    <w:spacing w:before="0" w:after="0" w:line="240" w:lineRule="auto"/>
                    <w:ind w:firstLine="0" w:firstLineChars="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1"/>
                      <w:szCs w:val="21"/>
                      <w:highlight w:val="none"/>
                      <w:lang w:val="en-US" w:eastAsia="zh-CN"/>
                    </w:rPr>
                    <w:t>符合</w:t>
                  </w:r>
                </w:p>
              </w:tc>
            </w:tr>
            <w:tr w14:paraId="04964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765" w:type="pct"/>
                  <w:vMerge w:val="continue"/>
                  <w:noWrap w:val="0"/>
                  <w:vAlign w:val="center"/>
                </w:tcPr>
                <w:p w14:paraId="71CF60DA">
                  <w:pPr>
                    <w:keepNext w:val="0"/>
                    <w:keepLines w:val="0"/>
                    <w:pageBreakBefore w:val="0"/>
                    <w:widowControl/>
                    <w:kinsoku/>
                    <w:wordWrap/>
                    <w:overflowPunct/>
                    <w:topLinePunct w:val="0"/>
                    <w:autoSpaceDE/>
                    <w:autoSpaceDN/>
                    <w:bidi w:val="0"/>
                    <w:adjustRightInd/>
                    <w:snapToGrid/>
                    <w:spacing w:line="240" w:lineRule="auto"/>
                    <w:ind w:left="67" w:leftChars="28" w:right="67" w:rightChars="28" w:firstLine="480" w:firstLineChars="200"/>
                    <w:jc w:val="both"/>
                    <w:textAlignment w:val="auto"/>
                    <w:rPr>
                      <w:rFonts w:hint="default"/>
                      <w:color w:val="auto"/>
                      <w:highlight w:val="none"/>
                    </w:rPr>
                  </w:pPr>
                </w:p>
              </w:tc>
              <w:tc>
                <w:tcPr>
                  <w:tcW w:w="1905" w:type="pct"/>
                  <w:noWrap w:val="0"/>
                  <w:vAlign w:val="center"/>
                </w:tcPr>
                <w:p w14:paraId="5E99271E">
                  <w:pPr>
                    <w:keepNext w:val="0"/>
                    <w:keepLines w:val="0"/>
                    <w:pageBreakBefore w:val="0"/>
                    <w:widowControl/>
                    <w:numPr>
                      <w:ilvl w:val="0"/>
                      <w:numId w:val="0"/>
                    </w:numPr>
                    <w:kinsoku/>
                    <w:wordWrap/>
                    <w:overflowPunct/>
                    <w:topLinePunct w:val="0"/>
                    <w:autoSpaceDE/>
                    <w:autoSpaceDN/>
                    <w:bidi w:val="0"/>
                    <w:adjustRightInd/>
                    <w:snapToGrid/>
                    <w:spacing w:line="240" w:lineRule="auto"/>
                    <w:ind w:left="67" w:leftChars="28" w:right="67" w:rightChars="28" w:firstLine="0" w:firstLineChars="0"/>
                    <w:jc w:val="both"/>
                    <w:textAlignment w:val="auto"/>
                    <w:rPr>
                      <w:rFonts w:hint="default"/>
                      <w:color w:val="auto"/>
                      <w:highlight w:val="none"/>
                    </w:rPr>
                  </w:pPr>
                  <w:r>
                    <w:rPr>
                      <w:rFonts w:hint="default" w:ascii="Times New Roman" w:hAnsi="Times New Roman" w:eastAsia="宋体" w:cs="Times New Roman"/>
                      <w:color w:val="auto"/>
                      <w:spacing w:val="0"/>
                      <w:kern w:val="2"/>
                      <w:sz w:val="21"/>
                      <w:szCs w:val="21"/>
                      <w:highlight w:val="none"/>
                      <w:vertAlign w:val="baseline"/>
                      <w:lang w:val="en-US" w:eastAsia="zh-CN" w:bidi="ar"/>
                    </w:rPr>
                    <w:t>加强施工扬尘监管，全部施工工地和建成区务必做到“六个百分百”，切实降低各类施工场地扬尘污染。开展各类搅拌站污染专项整治，推进标准化建设全覆盖。提高城市建成区和园区道路机械化清扫率，推进道路清扫保洁机械化作业向镇街道延伸，切实提高环卫精细化管理水平。全区降尘量不高于4吨/月·平方公里。</w:t>
                  </w:r>
                </w:p>
              </w:tc>
              <w:tc>
                <w:tcPr>
                  <w:tcW w:w="1723" w:type="pct"/>
                  <w:noWrap w:val="0"/>
                  <w:vAlign w:val="center"/>
                </w:tcPr>
                <w:p w14:paraId="17D03EB7">
                  <w:pPr>
                    <w:keepNext w:val="0"/>
                    <w:keepLines w:val="0"/>
                    <w:pageBreakBefore w:val="0"/>
                    <w:widowControl/>
                    <w:numPr>
                      <w:ilvl w:val="0"/>
                      <w:numId w:val="0"/>
                    </w:numPr>
                    <w:kinsoku/>
                    <w:wordWrap/>
                    <w:overflowPunct/>
                    <w:topLinePunct w:val="0"/>
                    <w:autoSpaceDE/>
                    <w:autoSpaceDN/>
                    <w:bidi w:val="0"/>
                    <w:adjustRightInd/>
                    <w:snapToGrid/>
                    <w:spacing w:line="240" w:lineRule="auto"/>
                    <w:ind w:left="67" w:leftChars="28" w:right="67" w:rightChars="28" w:firstLine="0" w:firstLineChars="0"/>
                    <w:jc w:val="both"/>
                    <w:textAlignment w:val="auto"/>
                    <w:rPr>
                      <w:rFonts w:hint="default"/>
                      <w:color w:val="auto"/>
                      <w:highlight w:val="none"/>
                      <w:lang w:val="en-US"/>
                    </w:rPr>
                  </w:pPr>
                  <w:r>
                    <w:rPr>
                      <w:rFonts w:hint="eastAsia" w:cs="Times New Roman"/>
                      <w:color w:val="auto"/>
                      <w:kern w:val="0"/>
                      <w:sz w:val="21"/>
                      <w:szCs w:val="21"/>
                      <w:highlight w:val="none"/>
                      <w:u w:val="none"/>
                      <w:lang w:val="en-US" w:eastAsia="zh-CN" w:bidi="ar-SA"/>
                    </w:rPr>
                    <w:t>本项目租用现有厂房，施工期仅涉及设备安装调试等，不涉及土建工程。</w:t>
                  </w:r>
                </w:p>
              </w:tc>
              <w:tc>
                <w:tcPr>
                  <w:tcW w:w="605" w:type="pct"/>
                  <w:noWrap w:val="0"/>
                  <w:vAlign w:val="center"/>
                </w:tcPr>
                <w:p w14:paraId="42BB722C">
                  <w:pPr>
                    <w:pStyle w:val="10"/>
                    <w:bidi w:val="0"/>
                    <w:rPr>
                      <w:rFonts w:hint="default"/>
                      <w:color w:val="auto"/>
                      <w:highlight w:val="none"/>
                    </w:rPr>
                  </w:pPr>
                  <w:r>
                    <w:rPr>
                      <w:rFonts w:hint="eastAsia" w:ascii="Times New Roman" w:hAnsi="Times New Roman" w:eastAsia="宋体" w:cs="Times New Roman"/>
                      <w:color w:val="auto"/>
                      <w:sz w:val="21"/>
                      <w:szCs w:val="21"/>
                      <w:highlight w:val="none"/>
                      <w:lang w:val="en-US" w:eastAsia="zh-CN"/>
                    </w:rPr>
                    <w:t>符合</w:t>
                  </w:r>
                </w:p>
              </w:tc>
            </w:tr>
            <w:tr w14:paraId="6B050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6" w:hRule="atLeast"/>
              </w:trPr>
              <w:tc>
                <w:tcPr>
                  <w:tcW w:w="765" w:type="pct"/>
                  <w:vMerge w:val="restart"/>
                  <w:noWrap w:val="0"/>
                  <w:vAlign w:val="center"/>
                </w:tcPr>
                <w:p w14:paraId="553693A7">
                  <w:pPr>
                    <w:pStyle w:val="10"/>
                    <w:bidi w:val="0"/>
                    <w:rPr>
                      <w:rFonts w:hint="default"/>
                      <w:color w:val="auto"/>
                      <w:highlight w:val="none"/>
                    </w:rPr>
                  </w:pPr>
                  <w:r>
                    <w:rPr>
                      <w:rFonts w:hint="eastAsia" w:ascii="宋体" w:hAnsi="宋体" w:cs="宋体"/>
                      <w:b w:val="0"/>
                      <w:bCs w:val="0"/>
                      <w:sz w:val="21"/>
                      <w:szCs w:val="21"/>
                      <w:lang w:eastAsia="zh-CN"/>
                    </w:rPr>
                    <w:t>《</w:t>
                  </w:r>
                  <w:r>
                    <w:rPr>
                      <w:rFonts w:hint="eastAsia" w:ascii="宋体" w:hAnsi="宋体" w:cs="宋体"/>
                      <w:b w:val="0"/>
                      <w:bCs w:val="0"/>
                      <w:sz w:val="21"/>
                      <w:szCs w:val="21"/>
                      <w:lang w:val="en-US" w:eastAsia="zh-CN"/>
                    </w:rPr>
                    <w:t>安徽省空气质量持续改善行动方案》（皖政</w:t>
                  </w:r>
                  <w:r>
                    <w:rPr>
                      <w:rFonts w:hint="eastAsia" w:ascii="宋体" w:hAnsi="宋体" w:eastAsia="宋体" w:cs="宋体"/>
                      <w:b w:val="0"/>
                      <w:bCs w:val="0"/>
                      <w:sz w:val="21"/>
                      <w:szCs w:val="21"/>
                    </w:rPr>
                    <w:t>〔202</w:t>
                  </w:r>
                  <w:r>
                    <w:rPr>
                      <w:rFonts w:hint="eastAsia" w:ascii="宋体" w:hAnsi="宋体" w:cs="宋体"/>
                      <w:b w:val="0"/>
                      <w:bCs w:val="0"/>
                      <w:sz w:val="21"/>
                      <w:szCs w:val="21"/>
                      <w:lang w:val="en-US" w:eastAsia="zh-CN"/>
                    </w:rPr>
                    <w:t>4</w:t>
                  </w:r>
                  <w:r>
                    <w:rPr>
                      <w:rFonts w:hint="eastAsia" w:ascii="宋体" w:hAnsi="宋体" w:eastAsia="宋体" w:cs="宋体"/>
                      <w:b w:val="0"/>
                      <w:bCs w:val="0"/>
                      <w:sz w:val="21"/>
                      <w:szCs w:val="21"/>
                    </w:rPr>
                    <w:t>〕</w:t>
                  </w:r>
                  <w:r>
                    <w:rPr>
                      <w:rFonts w:hint="eastAsia" w:ascii="宋体" w:hAnsi="宋体" w:cs="宋体"/>
                      <w:b w:val="0"/>
                      <w:bCs w:val="0"/>
                      <w:sz w:val="21"/>
                      <w:szCs w:val="21"/>
                      <w:lang w:val="en-US" w:eastAsia="zh-CN"/>
                    </w:rPr>
                    <w:t>36号）</w:t>
                  </w:r>
                </w:p>
              </w:tc>
              <w:tc>
                <w:tcPr>
                  <w:tcW w:w="1905" w:type="pct"/>
                  <w:noWrap w:val="0"/>
                  <w:vAlign w:val="center"/>
                </w:tcPr>
                <w:p w14:paraId="0433F127">
                  <w:pPr>
                    <w:pStyle w:val="10"/>
                    <w:bidi w:val="0"/>
                    <w:rPr>
                      <w:rFonts w:hint="default"/>
                      <w:color w:val="auto"/>
                      <w:highlight w:val="none"/>
                    </w:rPr>
                  </w:pPr>
                  <w:r>
                    <w:rPr>
                      <w:rFonts w:hint="default"/>
                      <w:color w:val="auto"/>
                      <w:highlight w:val="none"/>
                    </w:rPr>
                    <w:t>坚决遏制高耗能、高排放、低水平项目盲目上马。新改扩建项目严格落实国家产业规划、产业政策、生态环境分区管控方案、规划环评、项目环评、节能审查、产能置换、重点污染物总量控制、污染物排放区域削减、碳排放达峰目标等相关要求，原则上采用清洁运输方式。实施“高污染、高耗能”项目部门联审，源头管控低水平项目上马。制定实施安徽省加强生态环境分区管控方案。严格落实产能置换要求，不以任何名义、任何方式核准、备案产能严重过剩行业新增产能项目，被置换产能及其配套设施关停后，新建项目方可投产。</w:t>
                  </w:r>
                </w:p>
              </w:tc>
              <w:tc>
                <w:tcPr>
                  <w:tcW w:w="1723" w:type="pct"/>
                  <w:noWrap w:val="0"/>
                  <w:vAlign w:val="center"/>
                </w:tcPr>
                <w:p w14:paraId="6D80E7E3">
                  <w:pPr>
                    <w:pStyle w:val="10"/>
                    <w:bidi w:val="0"/>
                    <w:rPr>
                      <w:rFonts w:hint="default"/>
                      <w:color w:val="auto"/>
                      <w:highlight w:val="none"/>
                      <w:lang w:val="en-US"/>
                    </w:rPr>
                  </w:pPr>
                  <w:r>
                    <w:rPr>
                      <w:rFonts w:hint="default"/>
                      <w:color w:val="auto"/>
                      <w:sz w:val="21"/>
                      <w:szCs w:val="21"/>
                      <w:highlight w:val="none"/>
                      <w:lang w:val="en-US" w:eastAsia="zh-CN"/>
                    </w:rPr>
                    <w:t>本项目为C3831电线、电缆制造，</w:t>
                  </w:r>
                  <w:r>
                    <w:rPr>
                      <w:rFonts w:hint="eastAsia"/>
                      <w:color w:val="auto"/>
                      <w:sz w:val="21"/>
                      <w:szCs w:val="21"/>
                      <w:highlight w:val="none"/>
                      <w:lang w:val="en-US" w:eastAsia="zh-CN"/>
                    </w:rPr>
                    <w:t>不属于高耗能、高排放和低水平项目</w:t>
                  </w:r>
                </w:p>
              </w:tc>
              <w:tc>
                <w:tcPr>
                  <w:tcW w:w="605" w:type="pct"/>
                  <w:noWrap w:val="0"/>
                  <w:vAlign w:val="center"/>
                </w:tcPr>
                <w:p w14:paraId="45D802DB">
                  <w:pPr>
                    <w:pStyle w:val="10"/>
                    <w:bidi w:val="0"/>
                    <w:rPr>
                      <w:rFonts w:hint="eastAsia" w:eastAsia="宋体"/>
                      <w:color w:val="auto"/>
                      <w:highlight w:val="none"/>
                      <w:lang w:val="en-US" w:eastAsia="zh-CN"/>
                    </w:rPr>
                  </w:pPr>
                  <w:r>
                    <w:rPr>
                      <w:rFonts w:hint="eastAsia"/>
                      <w:color w:val="auto"/>
                      <w:highlight w:val="none"/>
                      <w:lang w:val="en-US" w:eastAsia="zh-CN"/>
                    </w:rPr>
                    <w:t>符合</w:t>
                  </w:r>
                </w:p>
              </w:tc>
            </w:tr>
            <w:tr w14:paraId="6F3C9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6" w:hRule="atLeast"/>
              </w:trPr>
              <w:tc>
                <w:tcPr>
                  <w:tcW w:w="765" w:type="pct"/>
                  <w:vMerge w:val="continue"/>
                  <w:noWrap w:val="0"/>
                  <w:vAlign w:val="center"/>
                </w:tcPr>
                <w:p w14:paraId="49ED06A9">
                  <w:pPr>
                    <w:pStyle w:val="10"/>
                    <w:bidi w:val="0"/>
                    <w:rPr>
                      <w:rFonts w:hint="eastAsia" w:ascii="宋体" w:hAnsi="宋体" w:cs="宋体"/>
                      <w:b w:val="0"/>
                      <w:bCs w:val="0"/>
                      <w:sz w:val="21"/>
                      <w:szCs w:val="21"/>
                      <w:lang w:eastAsia="zh-CN"/>
                    </w:rPr>
                  </w:pPr>
                </w:p>
              </w:tc>
              <w:tc>
                <w:tcPr>
                  <w:tcW w:w="1905" w:type="pct"/>
                  <w:noWrap w:val="0"/>
                  <w:vAlign w:val="center"/>
                </w:tcPr>
                <w:p w14:paraId="00E568DB">
                  <w:pPr>
                    <w:pStyle w:val="10"/>
                    <w:bidi w:val="0"/>
                    <w:rPr>
                      <w:rFonts w:hint="default"/>
                      <w:color w:val="auto"/>
                      <w:highlight w:val="none"/>
                    </w:rPr>
                  </w:pPr>
                  <w:r>
                    <w:rPr>
                      <w:rFonts w:hint="eastAsia" w:ascii="宋体" w:hAnsi="宋体" w:eastAsia="宋体" w:cs="宋体"/>
                      <w:b w:val="0"/>
                      <w:bCs w:val="0"/>
                      <w:sz w:val="21"/>
                      <w:szCs w:val="21"/>
                    </w:rPr>
                    <w:t>加快低（无）VOCs原辅材料替代。严格控制生产和使用高VOCs含量涂料、油墨、胶粘剂、清洗剂等建设项目。推动现有高VOCs含量产品生产企业加快产品升级转型，提高低（无）VOCs含量产品比重。加大工业涂装行业、包装印刷行业及电子行业低（无）VOCs含量原辅材料替代力度。室外构筑物防护和城市道路交通标志推广使用低（无）VOCs含量涂料。严格执行VOCs含量限值标准，确保生产、销售、进口、使用符合标准的产品。</w:t>
                  </w:r>
                </w:p>
              </w:tc>
              <w:tc>
                <w:tcPr>
                  <w:tcW w:w="1723" w:type="pct"/>
                  <w:noWrap w:val="0"/>
                  <w:vAlign w:val="center"/>
                </w:tcPr>
                <w:p w14:paraId="13915195">
                  <w:pPr>
                    <w:pStyle w:val="10"/>
                    <w:bidi w:val="0"/>
                    <w:rPr>
                      <w:rFonts w:hint="default" w:eastAsia="宋体"/>
                      <w:color w:val="auto"/>
                      <w:highlight w:val="none"/>
                      <w:lang w:val="en-US" w:eastAsia="zh-CN"/>
                    </w:rPr>
                  </w:pPr>
                  <w:r>
                    <w:rPr>
                      <w:rFonts w:hint="eastAsia"/>
                      <w:color w:val="auto"/>
                      <w:highlight w:val="none"/>
                      <w:lang w:val="en-US" w:eastAsia="zh-CN"/>
                    </w:rPr>
                    <w:t>本项目喷码使用水性油墨，根据MSDS报告中数据分析，本项目使用的水性油墨（VOCs）含量满足《油墨中可挥发性有机化合物VOCs含量的限值》（GB38507-2020）中表1的要求。</w:t>
                  </w:r>
                </w:p>
              </w:tc>
              <w:tc>
                <w:tcPr>
                  <w:tcW w:w="605" w:type="pct"/>
                  <w:noWrap w:val="0"/>
                  <w:vAlign w:val="center"/>
                </w:tcPr>
                <w:p w14:paraId="344B9B4D">
                  <w:pPr>
                    <w:pStyle w:val="10"/>
                    <w:bidi w:val="0"/>
                    <w:rPr>
                      <w:rFonts w:hint="eastAsia" w:eastAsia="宋体"/>
                      <w:color w:val="auto"/>
                      <w:highlight w:val="none"/>
                      <w:lang w:val="en-US" w:eastAsia="zh-CN"/>
                    </w:rPr>
                  </w:pPr>
                  <w:r>
                    <w:rPr>
                      <w:rFonts w:hint="eastAsia"/>
                      <w:color w:val="auto"/>
                      <w:highlight w:val="none"/>
                      <w:lang w:val="en-US" w:eastAsia="zh-CN"/>
                    </w:rPr>
                    <w:t>符合</w:t>
                  </w:r>
                </w:p>
              </w:tc>
            </w:tr>
            <w:tr w14:paraId="59F7A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6" w:hRule="atLeast"/>
              </w:trPr>
              <w:tc>
                <w:tcPr>
                  <w:tcW w:w="1145" w:type="dxa"/>
                  <w:noWrap w:val="0"/>
                  <w:vAlign w:val="center"/>
                </w:tcPr>
                <w:p w14:paraId="556F8C1E">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textAlignment w:val="auto"/>
                    <w:rPr>
                      <w:rFonts w:hint="default" w:ascii="Times New Roman" w:hAnsi="Times New Roman" w:eastAsia="宋体" w:cs="Times New Roman"/>
                      <w:b w:val="0"/>
                      <w:bCs w:val="0"/>
                      <w:sz w:val="21"/>
                      <w:szCs w:val="21"/>
                      <w:lang w:eastAsia="zh-CN"/>
                    </w:rPr>
                  </w:pPr>
                  <w:r>
                    <w:rPr>
                      <w:rFonts w:hint="default" w:ascii="Times New Roman" w:hAnsi="Times New Roman" w:eastAsia="宋体" w:cs="Times New Roman"/>
                      <w:sz w:val="21"/>
                      <w:szCs w:val="21"/>
                    </w:rPr>
                    <w:t>《安徽省低挥发性有机物含量原辅材料替代工作方案》（皖环发〔2024〕1号）</w:t>
                  </w:r>
                </w:p>
              </w:tc>
              <w:tc>
                <w:tcPr>
                  <w:tcW w:w="2850" w:type="dxa"/>
                  <w:noWrap w:val="0"/>
                  <w:vAlign w:val="center"/>
                </w:tcPr>
                <w:p w14:paraId="17737847">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到2025年底前，推进汽车整车制造、木质家具、汽车零部件、工程机械、钢结构、船舶制造等领域3100余家重点企业（附件1）实施低VOCs含量涂料源头替代及工艺改造，原则上实现“应替尽替”。</w:t>
                  </w:r>
                </w:p>
                <w:p w14:paraId="28583A57">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sz w:val="21"/>
                      <w:szCs w:val="21"/>
                    </w:rPr>
                    <w:t>全面排查使用溶剂型涂料、油墨、胶粘剂、清洗剂以及涉及有机化工生产的产业集群，2025年底前基本实现溶剂型工业涂料、油墨、胶粘剂“能替则替”。在房屋建筑和市政工程领域，全面推广使用低VOCs含量涂料和胶粘剂，除特殊功能要求外的室内地坪施工、室外构筑物防护和城市道路交通标志基本使用低VOCs含量涂料。</w:t>
                  </w:r>
                </w:p>
              </w:tc>
              <w:tc>
                <w:tcPr>
                  <w:tcW w:w="2578" w:type="dxa"/>
                  <w:noWrap w:val="0"/>
                  <w:vAlign w:val="center"/>
                </w:tcPr>
                <w:p w14:paraId="7F102AC3">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rPr>
                    <w:t>本项目</w:t>
                  </w:r>
                  <w:r>
                    <w:rPr>
                      <w:rFonts w:hint="eastAsia" w:ascii="Times New Roman" w:cs="Times New Roman"/>
                      <w:color w:val="auto"/>
                      <w:sz w:val="21"/>
                      <w:szCs w:val="21"/>
                      <w:lang w:val="en-US" w:eastAsia="zh-CN"/>
                    </w:rPr>
                    <w:t>喷码油墨为</w:t>
                  </w:r>
                  <w:r>
                    <w:rPr>
                      <w:rFonts w:hint="default" w:ascii="Times New Roman" w:hAnsi="Times New Roman" w:eastAsia="宋体" w:cs="Times New Roman"/>
                      <w:color w:val="auto"/>
                      <w:sz w:val="21"/>
                      <w:szCs w:val="21"/>
                    </w:rPr>
                    <w:t>水性油墨，</w:t>
                  </w:r>
                  <w:r>
                    <w:rPr>
                      <w:rFonts w:hint="eastAsia" w:ascii="Times New Roman" w:cs="Times New Roman"/>
                      <w:color w:val="auto"/>
                      <w:sz w:val="21"/>
                      <w:szCs w:val="21"/>
                      <w:lang w:val="en-US" w:eastAsia="zh-CN"/>
                    </w:rPr>
                    <w:t>且其（VOCs）含量可以</w:t>
                  </w:r>
                  <w:r>
                    <w:rPr>
                      <w:rFonts w:hint="default" w:ascii="Times New Roman" w:hAnsi="Times New Roman" w:eastAsia="宋体" w:cs="Times New Roman"/>
                      <w:color w:val="auto"/>
                      <w:sz w:val="21"/>
                      <w:szCs w:val="21"/>
                    </w:rPr>
                    <w:t>满足《油墨中可挥发性有机化合物VOCs含量的限值》（GB38507-2020）表1的要求。</w:t>
                  </w:r>
                </w:p>
              </w:tc>
              <w:tc>
                <w:tcPr>
                  <w:tcW w:w="905" w:type="dxa"/>
                  <w:noWrap w:val="0"/>
                  <w:vAlign w:val="center"/>
                </w:tcPr>
                <w:p w14:paraId="0562315A">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sz w:val="21"/>
                      <w:szCs w:val="21"/>
                      <w:lang w:val="en-US" w:eastAsia="zh-CN"/>
                    </w:rPr>
                    <w:t>符合</w:t>
                  </w:r>
                </w:p>
              </w:tc>
            </w:tr>
          </w:tbl>
          <w:p w14:paraId="291147FB">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firstLine="0" w:firstLineChars="0"/>
              <w:textAlignment w:val="auto"/>
              <w:rPr>
                <w:rFonts w:hint="eastAsia" w:ascii="宋体" w:hAnsi="宋体" w:eastAsia="宋体" w:cs="宋体"/>
                <w:color w:val="auto"/>
                <w:kern w:val="0"/>
                <w:sz w:val="24"/>
                <w:szCs w:val="24"/>
                <w:highlight w:val="none"/>
                <w:lang w:eastAsia="zh-CN"/>
              </w:rPr>
            </w:pPr>
          </w:p>
        </w:tc>
      </w:tr>
    </w:tbl>
    <w:p w14:paraId="26066C6C">
      <w:pPr>
        <w:pageBreakBefore w:val="0"/>
        <w:kinsoku/>
        <w:wordWrap/>
        <w:topLinePunct w:val="0"/>
        <w:bidi w:val="0"/>
        <w:snapToGrid/>
        <w:spacing w:line="360" w:lineRule="auto"/>
        <w:outlineLvl w:val="0"/>
        <w:rPr>
          <w:rFonts w:eastAsia="黑体"/>
          <w:color w:val="auto"/>
          <w:sz w:val="30"/>
          <w:highlight w:val="none"/>
        </w:rPr>
        <w:sectPr>
          <w:footerReference r:id="rId8" w:type="default"/>
          <w:pgSz w:w="11906" w:h="16838"/>
          <w:pgMar w:top="1701" w:right="1531" w:bottom="1701" w:left="1531" w:header="1020" w:footer="1304" w:gutter="0"/>
          <w:pgBorders>
            <w:top w:val="none" w:sz="0" w:space="0"/>
            <w:left w:val="none" w:sz="0" w:space="0"/>
            <w:bottom w:val="none" w:sz="0" w:space="0"/>
            <w:right w:val="none" w:sz="0" w:space="0"/>
          </w:pgBorders>
          <w:pgNumType w:fmt="decimal"/>
          <w:cols w:space="720" w:num="1"/>
          <w:rtlGutter w:val="0"/>
          <w:docGrid w:type="lines" w:linePitch="312" w:charSpace="0"/>
        </w:sectPr>
      </w:pPr>
    </w:p>
    <w:p w14:paraId="6B2C17C5">
      <w:pPr>
        <w:pStyle w:val="24"/>
        <w:pageBreakBefore w:val="0"/>
        <w:kinsoku/>
        <w:wordWrap/>
        <w:topLinePunct w:val="0"/>
        <w:bidi w:val="0"/>
        <w:snapToGrid/>
        <w:jc w:val="center"/>
        <w:outlineLvl w:val="0"/>
        <w:rPr>
          <w:rFonts w:ascii="黑体" w:hAnsi="黑体" w:eastAsia="黑体"/>
          <w:snapToGrid w:val="0"/>
          <w:color w:val="auto"/>
          <w:sz w:val="30"/>
          <w:szCs w:val="30"/>
          <w:highlight w:val="none"/>
        </w:rPr>
      </w:pPr>
      <w:bookmarkStart w:id="5" w:name="_Toc1759"/>
      <w:r>
        <w:rPr>
          <w:rFonts w:hint="eastAsia" w:ascii="黑体" w:hAnsi="黑体" w:eastAsia="黑体"/>
          <w:snapToGrid w:val="0"/>
          <w:color w:val="auto"/>
          <w:sz w:val="30"/>
          <w:szCs w:val="30"/>
          <w:highlight w:val="none"/>
        </w:rPr>
        <w:t>二、建设项目工程分析</w:t>
      </w:r>
      <w:bookmarkEnd w:id="5"/>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autofit"/>
        <w:tblCellMar>
          <w:top w:w="0" w:type="dxa"/>
          <w:left w:w="108" w:type="dxa"/>
          <w:bottom w:w="0" w:type="dxa"/>
          <w:right w:w="108" w:type="dxa"/>
        </w:tblCellMar>
      </w:tblPr>
      <w:tblGrid>
        <w:gridCol w:w="454"/>
        <w:gridCol w:w="8606"/>
      </w:tblGrid>
      <w:tr w14:paraId="014B7A7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755" w:type="dxa"/>
            <w:tcBorders>
              <w:tl2br w:val="nil"/>
              <w:tr2bl w:val="nil"/>
            </w:tcBorders>
            <w:noWrap w:val="0"/>
            <w:vAlign w:val="center"/>
          </w:tcPr>
          <w:p w14:paraId="59D931A5">
            <w:pPr>
              <w:pStyle w:val="10"/>
              <w:bidi w:val="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建设内容</w:t>
            </w:r>
          </w:p>
        </w:tc>
        <w:tc>
          <w:tcPr>
            <w:tcW w:w="8305" w:type="dxa"/>
            <w:tcBorders>
              <w:tl2br w:val="nil"/>
              <w:tr2bl w:val="nil"/>
            </w:tcBorders>
            <w:noWrap w:val="0"/>
            <w:vAlign w:val="top"/>
          </w:tcPr>
          <w:p w14:paraId="47117FAD">
            <w:pPr>
              <w:keepNext w:val="0"/>
              <w:keepLines w:val="0"/>
              <w:pageBreakBefore w:val="0"/>
              <w:widowControl w:val="0"/>
              <w:numPr>
                <w:ilvl w:val="0"/>
                <w:numId w:val="0"/>
              </w:numPr>
              <w:kinsoku/>
              <w:wordWrap/>
              <w:overflowPunct/>
              <w:topLinePunct w:val="0"/>
              <w:autoSpaceDE/>
              <w:autoSpaceDN/>
              <w:bidi w:val="0"/>
              <w:adjustRightInd/>
              <w:snapToGrid/>
              <w:spacing w:before="95" w:beforeLines="30" w:line="360" w:lineRule="auto"/>
              <w:ind w:firstLine="482" w:firstLineChars="200"/>
              <w:jc w:val="both"/>
              <w:textAlignment w:val="auto"/>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1、项目背景</w:t>
            </w:r>
          </w:p>
          <w:p w14:paraId="5C742BD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 w:val="0"/>
                <w:bCs w:val="0"/>
                <w:color w:val="auto"/>
                <w:sz w:val="24"/>
                <w:highlight w:val="none"/>
                <w:lang w:val="en-US" w:eastAsia="zh-CN"/>
              </w:rPr>
              <w:t>安徽顺信线缆有限公司拟投资7500万元于安徽省青阳县经济开发区东河园建设</w:t>
            </w:r>
            <w:r>
              <w:rPr>
                <w:rFonts w:hint="default" w:ascii="Times New Roman" w:hAnsi="Times New Roman" w:eastAsia="宋体" w:cs="Times New Roman"/>
                <w:color w:val="auto"/>
                <w:sz w:val="24"/>
                <w:szCs w:val="24"/>
                <w:highlight w:val="none"/>
                <w:u w:val="none"/>
                <w:lang w:val="en-US" w:eastAsia="zh-CN"/>
              </w:rPr>
              <w:t>年产2万千米超柔工业机器人电缆项目</w:t>
            </w:r>
            <w:r>
              <w:rPr>
                <w:rFonts w:hint="default" w:ascii="Times New Roman" w:hAnsi="Times New Roman" w:eastAsia="宋体" w:cs="Times New Roman"/>
                <w:b w:val="0"/>
                <w:bCs w:val="0"/>
                <w:color w:val="auto"/>
                <w:sz w:val="24"/>
                <w:highlight w:val="none"/>
                <w:lang w:val="en-US" w:eastAsia="zh-CN"/>
              </w:rPr>
              <w:t>。</w:t>
            </w:r>
            <w:r>
              <w:rPr>
                <w:rFonts w:hint="default" w:ascii="Times New Roman" w:hAnsi="Times New Roman" w:eastAsia="宋体" w:cs="Times New Roman"/>
                <w:color w:val="auto"/>
                <w:sz w:val="24"/>
                <w:szCs w:val="24"/>
                <w:highlight w:val="none"/>
                <w:lang w:val="en-US" w:eastAsia="zh-CN"/>
              </w:rPr>
              <w:t>项目于2025年9月9日取得青阳县发展和改革委员会出具的建设项目备案表，项目代码为2509-341723-04-01-234174。</w:t>
            </w:r>
          </w:p>
          <w:p w14:paraId="2882D4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sz w:val="24"/>
                <w:szCs w:val="24"/>
                <w:highlight w:val="none"/>
                <w:lang w:val="en-US" w:eastAsia="zh-CN"/>
              </w:rPr>
              <w:t>安徽顺信线缆有限公司拟租赁青阳县国有工业资产经营有限公司4#标准厂房，厂房面积约6</w:t>
            </w:r>
            <w:r>
              <w:rPr>
                <w:rFonts w:hint="eastAsia" w:cs="Times New Roman"/>
                <w:color w:val="auto"/>
                <w:sz w:val="24"/>
                <w:szCs w:val="24"/>
                <w:highlight w:val="none"/>
                <w:lang w:val="en-US" w:eastAsia="zh-CN"/>
              </w:rPr>
              <w:t>038</w:t>
            </w:r>
            <w:r>
              <w:rPr>
                <w:rFonts w:hint="default" w:ascii="Times New Roman" w:hAnsi="Times New Roman" w:eastAsia="宋体" w:cs="Times New Roman"/>
                <w:color w:val="auto"/>
                <w:sz w:val="24"/>
                <w:szCs w:val="24"/>
                <w:highlight w:val="none"/>
                <w:lang w:val="en-US" w:eastAsia="zh-CN"/>
              </w:rPr>
              <w:t>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szCs w:val="24"/>
                <w:highlight w:val="none"/>
                <w:vertAlign w:val="baseline"/>
                <w:lang w:val="en-US" w:eastAsia="zh-CN"/>
              </w:rPr>
              <w:t>，项目购置注塑机、超五类网线高速芯线押出机、高速</w:t>
            </w:r>
            <w:r>
              <w:rPr>
                <w:rFonts w:hint="eastAsia" w:cs="Times New Roman"/>
                <w:color w:val="auto"/>
                <w:sz w:val="24"/>
                <w:szCs w:val="24"/>
                <w:highlight w:val="none"/>
                <w:vertAlign w:val="baseline"/>
                <w:lang w:val="en-US" w:eastAsia="zh-CN"/>
              </w:rPr>
              <w:t>绞对</w:t>
            </w:r>
            <w:r>
              <w:rPr>
                <w:rFonts w:hint="default" w:ascii="Times New Roman" w:hAnsi="Times New Roman" w:eastAsia="宋体" w:cs="Times New Roman"/>
                <w:color w:val="auto"/>
                <w:sz w:val="24"/>
                <w:szCs w:val="24"/>
                <w:highlight w:val="none"/>
                <w:vertAlign w:val="baseline"/>
                <w:lang w:val="en-US" w:eastAsia="zh-CN"/>
              </w:rPr>
              <w:t>及退扭机等生产设备共约67台（套）。</w:t>
            </w:r>
            <w:r>
              <w:rPr>
                <w:rFonts w:hint="default" w:ascii="Times New Roman" w:hAnsi="Times New Roman" w:eastAsia="宋体" w:cs="Times New Roman"/>
                <w:color w:val="auto"/>
                <w:sz w:val="24"/>
                <w:szCs w:val="24"/>
                <w:highlight w:val="none"/>
                <w:lang w:val="en-US" w:eastAsia="zh-CN"/>
              </w:rPr>
              <w:t>项目建成后，将形成年产2万千米超柔工业机器人电缆规模的生产能力，增加周边群众就业，带动周边产业发展，促进地方经济的发展</w:t>
            </w:r>
            <w:r>
              <w:rPr>
                <w:rFonts w:hint="default" w:ascii="Times New Roman" w:hAnsi="Times New Roman" w:eastAsia="宋体" w:cs="Times New Roman"/>
                <w:color w:val="auto"/>
                <w:highlight w:val="none"/>
                <w:lang w:val="en-US" w:eastAsia="zh-CN"/>
              </w:rPr>
              <w:t>。</w:t>
            </w:r>
          </w:p>
          <w:p w14:paraId="6822B9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b w:val="0"/>
                <w:bCs w:val="0"/>
                <w:color w:val="auto"/>
                <w:sz w:val="24"/>
                <w:highlight w:val="none"/>
                <w:vertAlign w:val="baseline"/>
                <w:lang w:val="en-US" w:eastAsia="zh-CN"/>
              </w:rPr>
            </w:pPr>
            <w:r>
              <w:rPr>
                <w:rFonts w:hint="default" w:ascii="Times New Roman" w:hAnsi="Times New Roman" w:eastAsia="宋体" w:cs="Times New Roman"/>
                <w:b w:val="0"/>
                <w:bCs w:val="0"/>
                <w:color w:val="auto"/>
                <w:sz w:val="24"/>
                <w:highlight w:val="none"/>
                <w:vertAlign w:val="baseline"/>
                <w:lang w:val="en-US" w:eastAsia="zh-CN"/>
              </w:rPr>
              <w:t>按照《中华人民共和国环境保护法</w:t>
            </w:r>
            <w:r>
              <w:rPr>
                <w:rFonts w:hint="eastAsia" w:cs="Times New Roman"/>
                <w:b w:val="0"/>
                <w:bCs w:val="0"/>
                <w:color w:val="auto"/>
                <w:sz w:val="24"/>
                <w:highlight w:val="none"/>
                <w:vertAlign w:val="baseline"/>
                <w:lang w:val="en-US" w:eastAsia="zh-CN"/>
              </w:rPr>
              <w:t>》《</w:t>
            </w:r>
            <w:r>
              <w:rPr>
                <w:rFonts w:hint="default" w:ascii="Times New Roman" w:hAnsi="Times New Roman" w:eastAsia="宋体" w:cs="Times New Roman"/>
                <w:b w:val="0"/>
                <w:bCs w:val="0"/>
                <w:color w:val="auto"/>
                <w:sz w:val="24"/>
                <w:highlight w:val="none"/>
                <w:vertAlign w:val="baseline"/>
                <w:lang w:val="en-US" w:eastAsia="zh-CN"/>
              </w:rPr>
              <w:t>中华人民共和国环境影响评价法》以及《国务院关于修改</w:t>
            </w:r>
            <w:r>
              <w:rPr>
                <w:rFonts w:hint="eastAsia" w:cs="Times New Roman"/>
                <w:b w:val="0"/>
                <w:bCs w:val="0"/>
                <w:color w:val="auto"/>
                <w:sz w:val="24"/>
                <w:highlight w:val="none"/>
                <w:vertAlign w:val="baseline"/>
                <w:lang w:val="en-US" w:eastAsia="zh-CN"/>
              </w:rPr>
              <w:t>〈</w:t>
            </w:r>
            <w:r>
              <w:rPr>
                <w:rFonts w:hint="default" w:ascii="Times New Roman" w:hAnsi="Times New Roman" w:eastAsia="宋体" w:cs="Times New Roman"/>
                <w:b w:val="0"/>
                <w:bCs w:val="0"/>
                <w:color w:val="auto"/>
                <w:sz w:val="24"/>
                <w:highlight w:val="none"/>
                <w:vertAlign w:val="baseline"/>
                <w:lang w:val="en-US" w:eastAsia="zh-CN"/>
              </w:rPr>
              <w:t>建设项目环境保护管理条例</w:t>
            </w:r>
            <w:r>
              <w:rPr>
                <w:rFonts w:hint="eastAsia" w:cs="Times New Roman"/>
                <w:b w:val="0"/>
                <w:bCs w:val="0"/>
                <w:color w:val="auto"/>
                <w:sz w:val="24"/>
                <w:highlight w:val="none"/>
                <w:vertAlign w:val="baseline"/>
                <w:lang w:val="en-US" w:eastAsia="zh-CN"/>
              </w:rPr>
              <w:t>〉</w:t>
            </w:r>
            <w:r>
              <w:rPr>
                <w:rFonts w:hint="default" w:ascii="Times New Roman" w:hAnsi="Times New Roman" w:eastAsia="宋体" w:cs="Times New Roman"/>
                <w:b w:val="0"/>
                <w:bCs w:val="0"/>
                <w:color w:val="auto"/>
                <w:sz w:val="24"/>
                <w:highlight w:val="none"/>
                <w:vertAlign w:val="baseline"/>
                <w:lang w:val="en-US" w:eastAsia="zh-CN"/>
              </w:rPr>
              <w:t>的决定》（国令第682号）的要求，该项目应进行环境影响评价。</w:t>
            </w:r>
          </w:p>
          <w:p w14:paraId="6E66F1A2">
            <w:pPr>
              <w:numPr>
                <w:ilvl w:val="0"/>
                <w:numId w:val="0"/>
              </w:numPr>
              <w:adjustRightInd/>
              <w:snapToGrid/>
              <w:spacing w:line="360" w:lineRule="auto"/>
              <w:ind w:firstLine="480"/>
              <w:jc w:val="both"/>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spacing w:val="0"/>
                <w:highlight w:val="none"/>
              </w:rPr>
              <w:t>本项目的</w:t>
            </w:r>
            <w:r>
              <w:rPr>
                <w:rFonts w:hint="default" w:ascii="Times New Roman" w:hAnsi="Times New Roman" w:eastAsia="宋体" w:cs="Times New Roman"/>
                <w:color w:val="auto"/>
                <w:spacing w:val="0"/>
                <w:highlight w:val="none"/>
                <w:lang w:val="en-US" w:eastAsia="zh-CN"/>
              </w:rPr>
              <w:t>主要</w:t>
            </w:r>
            <w:r>
              <w:rPr>
                <w:rFonts w:hint="default" w:ascii="Times New Roman" w:hAnsi="Times New Roman" w:eastAsia="宋体" w:cs="Times New Roman"/>
                <w:color w:val="auto"/>
                <w:spacing w:val="0"/>
                <w:highlight w:val="none"/>
              </w:rPr>
              <w:t>产品</w:t>
            </w:r>
            <w:r>
              <w:rPr>
                <w:rFonts w:hint="default" w:ascii="Times New Roman" w:hAnsi="Times New Roman" w:eastAsia="宋体" w:cs="Times New Roman"/>
                <w:color w:val="auto"/>
                <w:spacing w:val="0"/>
                <w:highlight w:val="none"/>
                <w:lang w:val="en-US" w:eastAsia="zh-CN"/>
              </w:rPr>
              <w:t>为</w:t>
            </w:r>
            <w:r>
              <w:rPr>
                <w:rFonts w:hint="default" w:ascii="Times New Roman" w:hAnsi="Times New Roman" w:eastAsia="宋体" w:cs="Times New Roman"/>
                <w:color w:val="auto"/>
                <w:sz w:val="24"/>
                <w:szCs w:val="24"/>
                <w:highlight w:val="none"/>
                <w:lang w:val="en-US" w:eastAsia="zh-CN"/>
              </w:rPr>
              <w:t>超柔工业机器人电缆</w:t>
            </w:r>
            <w:r>
              <w:rPr>
                <w:rFonts w:hint="default" w:ascii="Times New Roman" w:hAnsi="Times New Roman" w:eastAsia="宋体" w:cs="Times New Roman"/>
                <w:color w:val="auto"/>
                <w:spacing w:val="0"/>
                <w:highlight w:val="none"/>
              </w:rPr>
              <w:t>，对照</w:t>
            </w:r>
            <w:r>
              <w:rPr>
                <w:rFonts w:hint="default" w:ascii="Times New Roman" w:hAnsi="Times New Roman" w:eastAsia="宋体" w:cs="Times New Roman"/>
                <w:b w:val="0"/>
                <w:bCs w:val="0"/>
                <w:color w:val="auto"/>
                <w:sz w:val="24"/>
                <w:highlight w:val="none"/>
                <w:vertAlign w:val="baseline"/>
                <w:lang w:val="en-US" w:eastAsia="zh-CN"/>
              </w:rPr>
              <w:t>GB-T4754-2017《2017年国民经济行业分类》（按第1号修订单修订）、国统字</w:t>
            </w:r>
            <w:r>
              <w:rPr>
                <w:rFonts w:hint="eastAsia" w:cs="Times New Roman"/>
                <w:b w:val="0"/>
                <w:bCs w:val="0"/>
                <w:color w:val="auto"/>
                <w:sz w:val="24"/>
                <w:highlight w:val="none"/>
                <w:vertAlign w:val="baseline"/>
                <w:lang w:val="en-US" w:eastAsia="zh-CN"/>
              </w:rPr>
              <w:t>〔2019〕66号</w:t>
            </w:r>
            <w:r>
              <w:rPr>
                <w:rFonts w:hint="default" w:ascii="Times New Roman" w:hAnsi="Times New Roman" w:eastAsia="宋体" w:cs="Times New Roman"/>
                <w:b w:val="0"/>
                <w:bCs w:val="0"/>
                <w:color w:val="auto"/>
                <w:sz w:val="24"/>
                <w:highlight w:val="none"/>
                <w:vertAlign w:val="baseline"/>
                <w:lang w:val="en-US" w:eastAsia="zh-CN"/>
              </w:rPr>
              <w:t>《2017国民经济行业分类注释》（按1号修改单修订）</w:t>
            </w:r>
            <w:r>
              <w:rPr>
                <w:rFonts w:hint="default" w:ascii="Times New Roman" w:hAnsi="Times New Roman" w:eastAsia="宋体" w:cs="Times New Roman"/>
                <w:color w:val="auto"/>
                <w:spacing w:val="0"/>
                <w:highlight w:val="none"/>
              </w:rPr>
              <w:t>，项目</w:t>
            </w:r>
            <w:r>
              <w:rPr>
                <w:rFonts w:hint="default" w:ascii="Times New Roman" w:hAnsi="Times New Roman" w:eastAsia="宋体" w:cs="Times New Roman"/>
                <w:color w:val="auto"/>
                <w:sz w:val="24"/>
                <w:szCs w:val="24"/>
                <w:highlight w:val="none"/>
                <w:lang w:val="en-US" w:eastAsia="zh-CN"/>
              </w:rPr>
              <w:t>超柔工业机器人电缆</w:t>
            </w:r>
            <w:r>
              <w:rPr>
                <w:rFonts w:hint="default" w:ascii="Times New Roman" w:hAnsi="Times New Roman" w:eastAsia="宋体" w:cs="Times New Roman"/>
                <w:color w:val="auto"/>
                <w:spacing w:val="0"/>
                <w:highlight w:val="none"/>
              </w:rPr>
              <w:t>生产属于 C</w:t>
            </w:r>
            <w:r>
              <w:rPr>
                <w:rFonts w:hint="default" w:ascii="Times New Roman" w:hAnsi="Times New Roman" w:eastAsia="宋体" w:cs="Times New Roman"/>
                <w:color w:val="auto"/>
                <w:spacing w:val="0"/>
                <w:highlight w:val="none"/>
                <w:lang w:val="en-US" w:eastAsia="zh-CN"/>
              </w:rPr>
              <w:t>3831电线、电缆制造</w:t>
            </w:r>
            <w:r>
              <w:rPr>
                <w:rFonts w:hint="default" w:ascii="Times New Roman" w:hAnsi="Times New Roman" w:eastAsia="宋体" w:cs="Times New Roman"/>
                <w:color w:val="auto"/>
                <w:spacing w:val="0"/>
                <w:highlight w:val="none"/>
              </w:rPr>
              <w:t>。</w:t>
            </w:r>
            <w:r>
              <w:rPr>
                <w:rFonts w:hint="default" w:ascii="Times New Roman" w:hAnsi="Times New Roman" w:eastAsia="宋体" w:cs="Times New Roman"/>
                <w:color w:val="auto"/>
                <w:spacing w:val="0"/>
                <w:highlight w:val="none"/>
                <w:lang w:val="en-US" w:eastAsia="zh-CN"/>
              </w:rPr>
              <w:t>项目国民经济行业类别判断表如下：</w:t>
            </w:r>
          </w:p>
          <w:p w14:paraId="11D2B41F">
            <w:pPr>
              <w:pStyle w:val="57"/>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eastAsia="宋体" w:cs="Times New Roman"/>
                <w:b/>
                <w:bCs w:val="0"/>
                <w:color w:val="auto"/>
                <w:spacing w:val="0"/>
                <w:w w:val="100"/>
                <w:position w:val="0"/>
                <w:highlight w:val="none"/>
                <w:lang w:val="en-US" w:eastAsia="zh-CN"/>
              </w:rPr>
            </w:pPr>
            <w:r>
              <w:rPr>
                <w:rFonts w:hint="default" w:ascii="Times New Roman" w:hAnsi="Times New Roman" w:eastAsia="宋体" w:cs="Times New Roman"/>
                <w:b/>
                <w:bCs w:val="0"/>
                <w:color w:val="auto"/>
                <w:spacing w:val="0"/>
                <w:w w:val="100"/>
                <w:position w:val="0"/>
                <w:highlight w:val="none"/>
                <w:lang w:val="en-US" w:eastAsia="zh-CN"/>
              </w:rPr>
              <w:t>表2-1 项目</w:t>
            </w:r>
            <w:r>
              <w:rPr>
                <w:rFonts w:hint="default" w:ascii="Times New Roman" w:hAnsi="Times New Roman" w:eastAsia="宋体" w:cs="Times New Roman"/>
                <w:b/>
                <w:bCs w:val="0"/>
                <w:color w:val="auto"/>
                <w:sz w:val="21"/>
                <w:highlight w:val="none"/>
                <w:vertAlign w:val="baseline"/>
                <w:lang w:val="en-US" w:eastAsia="zh-CN"/>
              </w:rPr>
              <w:t>国民经济行业类别判定表</w:t>
            </w:r>
          </w:p>
          <w:tbl>
            <w:tblPr>
              <w:tblStyle w:val="28"/>
              <w:tblW w:w="4998"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695"/>
              <w:gridCol w:w="1132"/>
              <w:gridCol w:w="1177"/>
              <w:gridCol w:w="1827"/>
              <w:gridCol w:w="1631"/>
              <w:gridCol w:w="1905"/>
            </w:tblGrid>
            <w:tr w14:paraId="088B27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15" w:type="pct"/>
                  <w:tcBorders>
                    <w:tl2br w:val="nil"/>
                    <w:tr2bl w:val="nil"/>
                  </w:tcBorders>
                  <w:noWrap w:val="0"/>
                  <w:vAlign w:val="center"/>
                </w:tcPr>
                <w:p w14:paraId="2CDE87B4">
                  <w:pPr>
                    <w:pStyle w:val="10"/>
                    <w:bidi w:val="0"/>
                    <w:rPr>
                      <w:rFonts w:hint="default" w:ascii="Times New Roman" w:hAnsi="Times New Roman" w:eastAsia="宋体" w:cs="Times New Roman"/>
                      <w:b/>
                      <w:bCs w:val="0"/>
                      <w:color w:val="auto"/>
                      <w:highlight w:val="none"/>
                      <w:lang w:val="en-US" w:eastAsia="zh-CN"/>
                    </w:rPr>
                  </w:pPr>
                  <w:r>
                    <w:rPr>
                      <w:rFonts w:hint="default" w:ascii="Times New Roman" w:hAnsi="Times New Roman" w:eastAsia="宋体" w:cs="Times New Roman"/>
                      <w:b/>
                      <w:bCs w:val="0"/>
                      <w:color w:val="auto"/>
                      <w:highlight w:val="none"/>
                      <w:lang w:val="en-US" w:eastAsia="zh-CN"/>
                    </w:rPr>
                    <w:t>序号</w:t>
                  </w:r>
                </w:p>
              </w:tc>
              <w:tc>
                <w:tcPr>
                  <w:tcW w:w="676" w:type="pct"/>
                  <w:tcBorders>
                    <w:tl2br w:val="nil"/>
                    <w:tr2bl w:val="nil"/>
                  </w:tcBorders>
                  <w:noWrap w:val="0"/>
                  <w:vAlign w:val="center"/>
                </w:tcPr>
                <w:p w14:paraId="1C4FF116">
                  <w:pPr>
                    <w:pStyle w:val="10"/>
                    <w:bidi w:val="0"/>
                    <w:rPr>
                      <w:rFonts w:hint="default" w:ascii="Times New Roman" w:hAnsi="Times New Roman" w:eastAsia="宋体" w:cs="Times New Roman"/>
                      <w:b/>
                      <w:bCs w:val="0"/>
                      <w:color w:val="auto"/>
                      <w:highlight w:val="none"/>
                      <w:lang w:val="en-US" w:eastAsia="zh-CN"/>
                    </w:rPr>
                  </w:pPr>
                  <w:r>
                    <w:rPr>
                      <w:rFonts w:hint="default" w:ascii="Times New Roman" w:hAnsi="Times New Roman" w:eastAsia="宋体" w:cs="Times New Roman"/>
                      <w:b/>
                      <w:bCs w:val="0"/>
                      <w:color w:val="auto"/>
                      <w:highlight w:val="none"/>
                      <w:lang w:val="en-US" w:eastAsia="zh-CN"/>
                    </w:rPr>
                    <w:t>产品名称</w:t>
                  </w:r>
                </w:p>
              </w:tc>
              <w:tc>
                <w:tcPr>
                  <w:tcW w:w="703" w:type="pct"/>
                  <w:tcBorders>
                    <w:tl2br w:val="nil"/>
                    <w:tr2bl w:val="nil"/>
                  </w:tcBorders>
                  <w:noWrap w:val="0"/>
                  <w:vAlign w:val="center"/>
                </w:tcPr>
                <w:p w14:paraId="536F324F">
                  <w:pPr>
                    <w:pStyle w:val="10"/>
                    <w:rPr>
                      <w:rFonts w:hint="default" w:ascii="Times New Roman" w:hAnsi="Times New Roman" w:eastAsia="宋体" w:cs="Times New Roman"/>
                      <w:b/>
                      <w:bCs w:val="0"/>
                      <w:color w:val="auto"/>
                      <w:highlight w:val="none"/>
                      <w:lang w:val="en-US" w:eastAsia="zh-CN"/>
                    </w:rPr>
                  </w:pPr>
                  <w:r>
                    <w:rPr>
                      <w:rFonts w:hint="default" w:ascii="Times New Roman" w:hAnsi="Times New Roman" w:eastAsia="宋体" w:cs="Times New Roman"/>
                      <w:b/>
                      <w:bCs w:val="0"/>
                      <w:color w:val="auto"/>
                      <w:spacing w:val="0"/>
                      <w:highlight w:val="none"/>
                    </w:rPr>
                    <w:t>总类</w:t>
                  </w:r>
                </w:p>
              </w:tc>
              <w:tc>
                <w:tcPr>
                  <w:tcW w:w="1091" w:type="pct"/>
                  <w:tcBorders>
                    <w:tl2br w:val="nil"/>
                    <w:tr2bl w:val="nil"/>
                  </w:tcBorders>
                  <w:noWrap w:val="0"/>
                  <w:vAlign w:val="center"/>
                </w:tcPr>
                <w:p w14:paraId="0CE5A973">
                  <w:pPr>
                    <w:pStyle w:val="10"/>
                    <w:rPr>
                      <w:rFonts w:hint="default" w:ascii="Times New Roman" w:hAnsi="Times New Roman" w:eastAsia="宋体" w:cs="Times New Roman"/>
                      <w:b/>
                      <w:bCs w:val="0"/>
                      <w:color w:val="auto"/>
                      <w:highlight w:val="none"/>
                      <w:lang w:val="en-US" w:eastAsia="zh-CN"/>
                    </w:rPr>
                  </w:pPr>
                  <w:r>
                    <w:rPr>
                      <w:rFonts w:hint="default" w:ascii="Times New Roman" w:hAnsi="Times New Roman" w:eastAsia="宋体" w:cs="Times New Roman"/>
                      <w:b/>
                      <w:bCs w:val="0"/>
                      <w:color w:val="auto"/>
                      <w:spacing w:val="0"/>
                      <w:highlight w:val="none"/>
                    </w:rPr>
                    <w:t>大类</w:t>
                  </w:r>
                </w:p>
              </w:tc>
              <w:tc>
                <w:tcPr>
                  <w:tcW w:w="974" w:type="pct"/>
                  <w:tcBorders>
                    <w:tl2br w:val="nil"/>
                    <w:tr2bl w:val="nil"/>
                  </w:tcBorders>
                  <w:noWrap w:val="0"/>
                  <w:vAlign w:val="center"/>
                </w:tcPr>
                <w:p w14:paraId="4E8A7210">
                  <w:pPr>
                    <w:pStyle w:val="10"/>
                    <w:rPr>
                      <w:rFonts w:hint="default" w:ascii="Times New Roman" w:hAnsi="Times New Roman" w:eastAsia="宋体" w:cs="Times New Roman"/>
                      <w:b/>
                      <w:bCs w:val="0"/>
                      <w:color w:val="auto"/>
                      <w:highlight w:val="none"/>
                      <w:lang w:val="en-US" w:eastAsia="zh-CN"/>
                    </w:rPr>
                  </w:pPr>
                  <w:r>
                    <w:rPr>
                      <w:rFonts w:hint="default" w:ascii="Times New Roman" w:hAnsi="Times New Roman" w:eastAsia="宋体" w:cs="Times New Roman"/>
                      <w:b/>
                      <w:bCs w:val="0"/>
                      <w:color w:val="auto"/>
                      <w:spacing w:val="0"/>
                      <w:highlight w:val="none"/>
                    </w:rPr>
                    <w:t>中类</w:t>
                  </w:r>
                </w:p>
              </w:tc>
              <w:tc>
                <w:tcPr>
                  <w:tcW w:w="1138" w:type="pct"/>
                  <w:tcBorders>
                    <w:tl2br w:val="nil"/>
                    <w:tr2bl w:val="nil"/>
                  </w:tcBorders>
                  <w:noWrap w:val="0"/>
                  <w:vAlign w:val="center"/>
                </w:tcPr>
                <w:p w14:paraId="2CF847BD">
                  <w:pPr>
                    <w:pStyle w:val="10"/>
                    <w:rPr>
                      <w:rFonts w:hint="default" w:ascii="Times New Roman" w:hAnsi="Times New Roman" w:eastAsia="宋体" w:cs="Times New Roman"/>
                      <w:b/>
                      <w:bCs w:val="0"/>
                      <w:color w:val="auto"/>
                      <w:highlight w:val="none"/>
                      <w:lang w:val="en-US" w:eastAsia="zh-CN"/>
                    </w:rPr>
                  </w:pPr>
                  <w:r>
                    <w:rPr>
                      <w:rFonts w:hint="default" w:ascii="Times New Roman" w:hAnsi="Times New Roman" w:eastAsia="宋体" w:cs="Times New Roman"/>
                      <w:b/>
                      <w:bCs w:val="0"/>
                      <w:color w:val="auto"/>
                      <w:spacing w:val="0"/>
                      <w:highlight w:val="none"/>
                    </w:rPr>
                    <w:t>小类</w:t>
                  </w:r>
                </w:p>
              </w:tc>
            </w:tr>
            <w:tr w14:paraId="2EA85E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15" w:type="pct"/>
                  <w:tcBorders>
                    <w:tl2br w:val="nil"/>
                    <w:tr2bl w:val="nil"/>
                  </w:tcBorders>
                  <w:noWrap w:val="0"/>
                  <w:vAlign w:val="center"/>
                </w:tcPr>
                <w:p w14:paraId="67A2A9F0">
                  <w:pPr>
                    <w:pStyle w:val="10"/>
                    <w:bidi w:val="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1</w:t>
                  </w:r>
                </w:p>
              </w:tc>
              <w:tc>
                <w:tcPr>
                  <w:tcW w:w="676" w:type="pct"/>
                  <w:tcBorders>
                    <w:tl2br w:val="nil"/>
                    <w:tr2bl w:val="nil"/>
                  </w:tcBorders>
                  <w:noWrap w:val="0"/>
                  <w:vAlign w:val="center"/>
                </w:tcPr>
                <w:p w14:paraId="5388CB71">
                  <w:pPr>
                    <w:pStyle w:val="10"/>
                    <w:bidi w:val="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超柔工业机器人电缆</w:t>
                  </w:r>
                </w:p>
              </w:tc>
              <w:tc>
                <w:tcPr>
                  <w:tcW w:w="703" w:type="pct"/>
                  <w:tcBorders>
                    <w:tl2br w:val="nil"/>
                    <w:tr2bl w:val="nil"/>
                  </w:tcBorders>
                  <w:noWrap w:val="0"/>
                  <w:vAlign w:val="center"/>
                </w:tcPr>
                <w:p w14:paraId="7CD7D9CF">
                  <w:pPr>
                    <w:pStyle w:val="10"/>
                    <w:bidi w:val="0"/>
                    <w:ind w:right="0" w:rightChars="0" w:firstLine="0" w:firstLineChars="0"/>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pacing w:val="0"/>
                      <w:highlight w:val="none"/>
                    </w:rPr>
                    <w:t>C 制造业</w:t>
                  </w:r>
                </w:p>
              </w:tc>
              <w:tc>
                <w:tcPr>
                  <w:tcW w:w="1091" w:type="pct"/>
                  <w:tcBorders>
                    <w:tl2br w:val="nil"/>
                    <w:tr2bl w:val="nil"/>
                  </w:tcBorders>
                  <w:noWrap w:val="0"/>
                  <w:vAlign w:val="center"/>
                </w:tcPr>
                <w:p w14:paraId="55531AB3">
                  <w:pPr>
                    <w:pStyle w:val="10"/>
                    <w:bidi w:val="0"/>
                    <w:ind w:right="0" w:rightChars="0" w:firstLine="0" w:firstLineChars="0"/>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 xml:space="preserve">38 </w:t>
                  </w:r>
                  <w:r>
                    <w:rPr>
                      <w:rFonts w:hint="default" w:ascii="Times New Roman" w:hAnsi="Times New Roman" w:eastAsia="宋体" w:cs="Times New Roman"/>
                      <w:b w:val="0"/>
                      <w:bCs w:val="0"/>
                      <w:color w:val="auto"/>
                      <w:kern w:val="0"/>
                      <w:sz w:val="21"/>
                      <w:szCs w:val="21"/>
                      <w:highlight w:val="none"/>
                      <w:lang w:val="en-US" w:eastAsia="zh-CN" w:bidi="ar"/>
                    </w:rPr>
                    <w:t>电器机械和器材制造业</w:t>
                  </w:r>
                </w:p>
              </w:tc>
              <w:tc>
                <w:tcPr>
                  <w:tcW w:w="974" w:type="pct"/>
                  <w:tcBorders>
                    <w:tl2br w:val="nil"/>
                    <w:tr2bl w:val="nil"/>
                  </w:tcBorders>
                  <w:noWrap w:val="0"/>
                  <w:vAlign w:val="center"/>
                </w:tcPr>
                <w:p w14:paraId="464ACF29">
                  <w:pPr>
                    <w:pStyle w:val="10"/>
                    <w:bidi w:val="0"/>
                    <w:ind w:right="0" w:rightChars="0" w:firstLine="0" w:firstLineChars="0"/>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383 电线、电缆、光缆及电工器材制造</w:t>
                  </w:r>
                </w:p>
              </w:tc>
              <w:tc>
                <w:tcPr>
                  <w:tcW w:w="1138" w:type="pct"/>
                  <w:tcBorders>
                    <w:tl2br w:val="nil"/>
                    <w:tr2bl w:val="nil"/>
                  </w:tcBorders>
                  <w:noWrap w:val="0"/>
                  <w:vAlign w:val="center"/>
                </w:tcPr>
                <w:p w14:paraId="20746775">
                  <w:pPr>
                    <w:pStyle w:val="10"/>
                    <w:bidi w:val="0"/>
                    <w:ind w:right="0" w:rightChars="0" w:firstLine="0" w:firstLineChars="0"/>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 xml:space="preserve">3831 </w:t>
                  </w:r>
                  <w:r>
                    <w:rPr>
                      <w:rFonts w:hint="default" w:ascii="Times New Roman" w:hAnsi="Times New Roman" w:eastAsia="宋体" w:cs="Times New Roman"/>
                      <w:color w:val="auto"/>
                      <w:spacing w:val="0"/>
                      <w:highlight w:val="none"/>
                      <w:lang w:val="en-US" w:eastAsia="zh-CN"/>
                    </w:rPr>
                    <w:t>电线、电缆制造</w:t>
                  </w:r>
                </w:p>
              </w:tc>
            </w:tr>
          </w:tbl>
          <w:p w14:paraId="3B1380B6">
            <w:pPr>
              <w:numPr>
                <w:ilvl w:val="0"/>
                <w:numId w:val="0"/>
              </w:numPr>
              <w:kinsoku/>
              <w:overflowPunct/>
              <w:bidi w:val="0"/>
              <w:adjustRightInd/>
              <w:snapToGrid/>
              <w:spacing w:line="360" w:lineRule="auto"/>
              <w:ind w:left="0" w:leftChars="0" w:firstLine="480" w:firstLineChars="0"/>
              <w:jc w:val="both"/>
              <w:rPr>
                <w:rFonts w:hint="default" w:ascii="Times New Roman" w:hAnsi="Times New Roman" w:eastAsia="宋体" w:cs="Times New Roman"/>
                <w:color w:val="auto"/>
                <w:spacing w:val="0"/>
                <w:w w:val="100"/>
                <w:highlight w:val="none"/>
                <w:lang w:val="en-US"/>
              </w:rPr>
            </w:pPr>
            <w:r>
              <w:rPr>
                <w:rFonts w:hint="default" w:ascii="Times New Roman" w:hAnsi="Times New Roman" w:eastAsia="宋体" w:cs="Times New Roman"/>
                <w:color w:val="auto"/>
                <w:spacing w:val="0"/>
                <w:w w:val="100"/>
                <w:highlight w:val="none"/>
                <w:lang w:val="en-US" w:eastAsia="zh-CN"/>
              </w:rPr>
              <w:t>对照《建设项目环境影响评价分类管理名录》</w:t>
            </w:r>
            <w:r>
              <w:rPr>
                <w:rFonts w:hint="eastAsia" w:cs="Times New Roman"/>
                <w:color w:val="auto"/>
                <w:spacing w:val="0"/>
                <w:w w:val="100"/>
                <w:highlight w:val="none"/>
                <w:lang w:val="en-US" w:eastAsia="zh-CN"/>
              </w:rPr>
              <w:t>（</w:t>
            </w:r>
            <w:r>
              <w:rPr>
                <w:rFonts w:hint="default" w:ascii="Times New Roman" w:hAnsi="Times New Roman" w:eastAsia="宋体" w:cs="Times New Roman"/>
                <w:color w:val="auto"/>
                <w:spacing w:val="0"/>
                <w:w w:val="100"/>
                <w:highlight w:val="none"/>
                <w:lang w:val="en-US" w:eastAsia="zh-CN"/>
              </w:rPr>
              <w:t>2021年版</w:t>
            </w:r>
            <w:r>
              <w:rPr>
                <w:rFonts w:hint="eastAsia" w:cs="Times New Roman"/>
                <w:color w:val="auto"/>
                <w:spacing w:val="0"/>
                <w:w w:val="100"/>
                <w:highlight w:val="none"/>
                <w:lang w:val="en-US" w:eastAsia="zh-CN"/>
              </w:rPr>
              <w:t>）</w:t>
            </w:r>
            <w:r>
              <w:rPr>
                <w:rFonts w:hint="default" w:ascii="Times New Roman" w:hAnsi="Times New Roman" w:eastAsia="宋体" w:cs="Times New Roman"/>
                <w:color w:val="auto"/>
                <w:spacing w:val="0"/>
                <w:w w:val="100"/>
                <w:highlight w:val="none"/>
                <w:lang w:val="en-US" w:eastAsia="zh-CN"/>
              </w:rPr>
              <w:t>，拟建项目属于：“三十五、电气机械和器材制造业 38”</w:t>
            </w:r>
            <w:r>
              <w:rPr>
                <w:rFonts w:hint="eastAsia" w:cs="Times New Roman"/>
                <w:color w:val="auto"/>
                <w:spacing w:val="0"/>
                <w:w w:val="100"/>
                <w:highlight w:val="none"/>
                <w:lang w:val="en-US" w:eastAsia="zh-CN"/>
              </w:rPr>
              <w:t>－</w:t>
            </w:r>
            <w:r>
              <w:rPr>
                <w:rFonts w:hint="default" w:ascii="Times New Roman" w:hAnsi="Times New Roman" w:eastAsia="宋体" w:cs="Times New Roman"/>
                <w:color w:val="auto"/>
                <w:spacing w:val="0"/>
                <w:w w:val="100"/>
                <w:highlight w:val="none"/>
                <w:lang w:val="en-US" w:eastAsia="zh-CN"/>
              </w:rPr>
              <w:t>“77.电线、电缆、光缆及电工器材制造 383”</w:t>
            </w:r>
            <w:r>
              <w:rPr>
                <w:rFonts w:hint="eastAsia" w:cs="Times New Roman"/>
                <w:color w:val="auto"/>
                <w:spacing w:val="0"/>
                <w:w w:val="100"/>
                <w:highlight w:val="none"/>
                <w:lang w:val="en-US" w:eastAsia="zh-CN"/>
              </w:rPr>
              <w:t>－</w:t>
            </w:r>
            <w:r>
              <w:rPr>
                <w:rFonts w:hint="default" w:ascii="Times New Roman" w:hAnsi="Times New Roman" w:eastAsia="宋体" w:cs="Times New Roman"/>
                <w:color w:val="auto"/>
                <w:spacing w:val="0"/>
                <w:w w:val="100"/>
                <w:highlight w:val="none"/>
                <w:lang w:val="en-US" w:eastAsia="zh-CN"/>
              </w:rPr>
              <w:t>“其他（仅分割、焊接、组装的除外；年用非溶剂型低VOCs含量涂料10吨以下的除外）”，故本项目需要编制报告表。</w:t>
            </w:r>
          </w:p>
          <w:p w14:paraId="60A2245F">
            <w:pPr>
              <w:pStyle w:val="57"/>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eastAsia="宋体" w:cs="Times New Roman"/>
                <w:b/>
                <w:bCs w:val="0"/>
                <w:color w:val="auto"/>
                <w:spacing w:val="0"/>
                <w:w w:val="100"/>
                <w:position w:val="0"/>
                <w:highlight w:val="none"/>
                <w:lang w:val="en-US" w:eastAsia="zh-CN"/>
              </w:rPr>
            </w:pPr>
          </w:p>
          <w:p w14:paraId="51195063">
            <w:pPr>
              <w:pStyle w:val="57"/>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eastAsia="宋体" w:cs="Times New Roman"/>
                <w:b/>
                <w:bCs w:val="0"/>
                <w:color w:val="auto"/>
                <w:spacing w:val="0"/>
                <w:w w:val="100"/>
                <w:position w:val="0"/>
                <w:highlight w:val="none"/>
                <w:lang w:val="en-US" w:eastAsia="zh-CN"/>
              </w:rPr>
            </w:pPr>
            <w:r>
              <w:rPr>
                <w:rFonts w:hint="default" w:ascii="Times New Roman" w:hAnsi="Times New Roman" w:eastAsia="宋体" w:cs="Times New Roman"/>
                <w:b/>
                <w:bCs w:val="0"/>
                <w:color w:val="auto"/>
                <w:spacing w:val="0"/>
                <w:w w:val="100"/>
                <w:position w:val="0"/>
                <w:highlight w:val="none"/>
                <w:lang w:val="en-US" w:eastAsia="zh-CN"/>
              </w:rPr>
              <w:t>表2-2 《建设项目环境影响评价分类管理名录》（2021年版）（摘录）</w:t>
            </w:r>
          </w:p>
          <w:tbl>
            <w:tblPr>
              <w:tblStyle w:val="28"/>
              <w:tblW w:w="8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
              <w:gridCol w:w="2561"/>
              <w:gridCol w:w="1980"/>
              <w:gridCol w:w="2230"/>
              <w:gridCol w:w="891"/>
            </w:tblGrid>
            <w:tr w14:paraId="0B0AD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3037" w:type="dxa"/>
                  <w:gridSpan w:val="2"/>
                  <w:tcBorders>
                    <w:tl2br w:val="nil"/>
                    <w:tr2bl w:val="nil"/>
                  </w:tcBorders>
                  <w:noWrap w:val="0"/>
                  <w:vAlign w:val="center"/>
                </w:tcPr>
                <w:p w14:paraId="68D0A0FD">
                  <w:pPr>
                    <w:pStyle w:val="57"/>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eastAsia="宋体" w:cs="Times New Roman"/>
                      <w:b/>
                      <w:bCs w:val="0"/>
                      <w:color w:val="auto"/>
                      <w:spacing w:val="0"/>
                      <w:w w:val="100"/>
                      <w:position w:val="0"/>
                      <w:highlight w:val="none"/>
                      <w:lang w:val="en-US" w:eastAsia="zh-CN"/>
                    </w:rPr>
                  </w:pPr>
                  <w:r>
                    <w:rPr>
                      <w:rFonts w:hint="default" w:ascii="Times New Roman" w:hAnsi="Times New Roman" w:eastAsia="宋体" w:cs="Times New Roman"/>
                      <w:b/>
                      <w:bCs w:val="0"/>
                      <w:color w:val="auto"/>
                      <w:spacing w:val="0"/>
                      <w:w w:val="100"/>
                      <w:position w:val="0"/>
                      <w:highlight w:val="none"/>
                      <w:lang w:val="en-US" w:eastAsia="zh-CN"/>
                    </w:rPr>
                    <mc:AlternateContent>
                      <mc:Choice Requires="wps">
                        <w:drawing>
                          <wp:anchor distT="0" distB="0" distL="114300" distR="114300" simplePos="0" relativeHeight="251659264" behindDoc="0" locked="0" layoutInCell="1" allowOverlap="1">
                            <wp:simplePos x="0" y="0"/>
                            <wp:positionH relativeFrom="column">
                              <wp:posOffset>-51435</wp:posOffset>
                            </wp:positionH>
                            <wp:positionV relativeFrom="paragraph">
                              <wp:posOffset>4445</wp:posOffset>
                            </wp:positionV>
                            <wp:extent cx="1930400" cy="508000"/>
                            <wp:effectExtent l="1270" t="4445" r="11430" b="8255"/>
                            <wp:wrapNone/>
                            <wp:docPr id="1" name="直线 9"/>
                            <wp:cNvGraphicFramePr/>
                            <a:graphic xmlns:a="http://schemas.openxmlformats.org/drawingml/2006/main">
                              <a:graphicData uri="http://schemas.microsoft.com/office/word/2010/wordprocessingShape">
                                <wps:wsp>
                                  <wps:cNvCnPr/>
                                  <wps:spPr>
                                    <a:xfrm>
                                      <a:off x="0" y="0"/>
                                      <a:ext cx="1930400" cy="508000"/>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直线 9" o:spid="_x0000_s1026" o:spt="32" type="#_x0000_t32" style="position:absolute;left:0pt;margin-left:-4.05pt;margin-top:0.35pt;height:40pt;width:152pt;z-index:251659264;mso-width-relative:page;mso-height-relative:page;" filled="f" stroked="t" coordsize="21600,21600" o:gfxdata="UEsDBAoAAAAAAIdO4kAAAAAAAAAAAAAAAAAEAAAAZHJzL1BLAwQUAAAACACHTuJA9tT819UAAAAG&#10;AQAADwAAAGRycy9kb3ducmV2LnhtbE2OwU7DMBBE70j8g7VIXFBrJ1JpkmZTISQOHGkr9erG2yQQ&#10;r6PYaUq/HnOC42hGb165vdpeXGj0nWOEZKlAENfOdNwgHPZviwyED5qN7h0Twjd52Fb3d6UujJv5&#10;gy670IgIYV9ohDaEoZDS1y1Z7ZduII7d2Y1WhxjHRppRzxFue5kq9Syt7jg+tHqg15bqr91kEchP&#10;q0S95LY5vN/mp2N6+5yHPeLjQ6I2IAJdw98YfvWjOlTR6eQmNl70CIssiUuENYjYpvkqB3FCyNQa&#10;ZFXK//rVD1BLAwQUAAAACACHTuJADd6wiO8BAADsAwAADgAAAGRycy9lMm9Eb2MueG1srVNLjhMx&#10;EN0jcQfLe9KdQNCklc4sEoYNgkjAARzb3W3JP1U5v7NwDVZsOM5cg7I7ZGDYZEEv3GVX1at6z+Xl&#10;/clZdtCAJviWTyc1Z9rLoIzvW/71y8OrO84wCa+EDV63/KyR369evlgeY6NnYQhWaWAE4rE5xpYP&#10;KcWmqlAO2gmchKg9ObsATiTaQl8pEEdCd7aa1fXb6hhARQhSI9LpZnTyCyLcAhi6zki9CXLvtE8j&#10;KmgrElHCwUTkq9Jt12mZPnUd6sRsy4lpKisVIXuX12q1FE0PIg5GXloQt7TwjJMTxlPRK9RGJMH2&#10;YP6BckZCwNCliQyuGokURYjFtH6mzedBRF24kNQYr6Lj/4OVHw9bYEbRJHDmhaMLf/z2/fHHT7bI&#10;2hwjNhSy9lu47DBuIRM9deDynyiwU9HzfNVTnxKTdDhdvK7f1CS1JN+8vqvJJpjqKTsCpvc6OJaN&#10;lmMCYfohrYP3dHUBpkVUcfiAaUz8nZBLW8+OLV/MZ3OqIGgUOxoBMl0kOuj7kovBGvVgrM0ZCP1u&#10;bYEdRB6H8l0a+issF9kIHMa44sphooGw96pYgxbqnVcsnSNJ5uml8NyM04ozq+lhZatEJmHsLZGk&#10;ivUkTpZ8FDlbu6DORftyTkNQ5LsMbJ6yP/cl++mRrn4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9tT819UAAAAGAQAADwAAAAAAAAABACAAAAAiAAAAZHJzL2Rvd25yZXYueG1sUEsBAhQAFAAAAAgA&#10;h07iQA3esIjvAQAA7AMAAA4AAAAAAAAAAQAgAAAAJAEAAGRycy9lMm9Eb2MueG1sUEsFBgAAAAAG&#10;AAYAWQEAAIUFAAAAAA==&#10;">
                            <v:fill on="f" focussize="0,0"/>
                            <v:stroke color="#000000" joinstyle="round"/>
                            <v:imagedata o:title=""/>
                            <o:lock v:ext="edit" aspectratio="f"/>
                          </v:shape>
                        </w:pict>
                      </mc:Fallback>
                    </mc:AlternateContent>
                  </w:r>
                  <w:r>
                    <w:rPr>
                      <w:rFonts w:hint="default" w:ascii="Times New Roman" w:hAnsi="Times New Roman" w:eastAsia="宋体" w:cs="Times New Roman"/>
                      <w:b/>
                      <w:bCs w:val="0"/>
                      <w:color w:val="auto"/>
                      <w:spacing w:val="0"/>
                      <w:w w:val="100"/>
                      <w:position w:val="0"/>
                      <w:highlight w:val="none"/>
                      <w:lang w:val="en-US" w:eastAsia="zh-CN"/>
                    </w:rPr>
                    <w:t xml:space="preserve">     环评类别</w:t>
                  </w:r>
                </w:p>
                <w:p w14:paraId="2E004F0A">
                  <w:pPr>
                    <w:pStyle w:val="57"/>
                    <w:keepNext w:val="0"/>
                    <w:keepLines w:val="0"/>
                    <w:pageBreakBefore w:val="0"/>
                    <w:widowControl w:val="0"/>
                    <w:kinsoku/>
                    <w:wordWrap/>
                    <w:overflowPunct/>
                    <w:topLinePunct w:val="0"/>
                    <w:autoSpaceDE/>
                    <w:autoSpaceDN/>
                    <w:bidi w:val="0"/>
                    <w:adjustRightInd w:val="0"/>
                    <w:snapToGrid w:val="0"/>
                    <w:ind w:left="0" w:leftChars="0" w:firstLine="0" w:firstLineChars="0"/>
                    <w:jc w:val="both"/>
                    <w:textAlignment w:val="auto"/>
                    <w:rPr>
                      <w:rFonts w:hint="default" w:ascii="Times New Roman" w:hAnsi="Times New Roman" w:eastAsia="宋体" w:cs="Times New Roman"/>
                      <w:b/>
                      <w:bCs w:val="0"/>
                      <w:color w:val="auto"/>
                      <w:spacing w:val="0"/>
                      <w:w w:val="100"/>
                      <w:position w:val="0"/>
                      <w:highlight w:val="none"/>
                      <w:lang w:val="en-US" w:eastAsia="zh-CN"/>
                    </w:rPr>
                  </w:pPr>
                  <w:r>
                    <w:rPr>
                      <w:rFonts w:hint="default" w:ascii="Times New Roman" w:hAnsi="Times New Roman" w:eastAsia="宋体" w:cs="Times New Roman"/>
                      <w:b/>
                      <w:bCs w:val="0"/>
                      <w:color w:val="auto"/>
                      <w:spacing w:val="0"/>
                      <w:w w:val="100"/>
                      <w:position w:val="0"/>
                      <w:highlight w:val="none"/>
                      <w:lang w:val="en-US" w:eastAsia="zh-CN"/>
                    </w:rPr>
                    <w:t>项目类别</w:t>
                  </w:r>
                </w:p>
              </w:tc>
              <w:tc>
                <w:tcPr>
                  <w:tcW w:w="1980" w:type="dxa"/>
                  <w:tcBorders>
                    <w:tl2br w:val="nil"/>
                    <w:tr2bl w:val="nil"/>
                  </w:tcBorders>
                  <w:noWrap w:val="0"/>
                  <w:vAlign w:val="center"/>
                </w:tcPr>
                <w:p w14:paraId="36EDEC50">
                  <w:pPr>
                    <w:pStyle w:val="57"/>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eastAsia="宋体" w:cs="Times New Roman"/>
                      <w:b/>
                      <w:bCs w:val="0"/>
                      <w:color w:val="auto"/>
                      <w:spacing w:val="0"/>
                      <w:w w:val="100"/>
                      <w:position w:val="0"/>
                      <w:highlight w:val="none"/>
                      <w:lang w:val="en-US" w:eastAsia="zh-CN"/>
                    </w:rPr>
                  </w:pPr>
                  <w:r>
                    <w:rPr>
                      <w:rFonts w:hint="default" w:ascii="Times New Roman" w:hAnsi="Times New Roman" w:eastAsia="宋体" w:cs="Times New Roman"/>
                      <w:b/>
                      <w:bCs w:val="0"/>
                      <w:color w:val="auto"/>
                      <w:spacing w:val="0"/>
                      <w:w w:val="100"/>
                      <w:position w:val="0"/>
                      <w:highlight w:val="none"/>
                      <w:lang w:val="en-US" w:eastAsia="zh-CN"/>
                    </w:rPr>
                    <w:t>报告书</w:t>
                  </w:r>
                </w:p>
              </w:tc>
              <w:tc>
                <w:tcPr>
                  <w:tcW w:w="2230" w:type="dxa"/>
                  <w:tcBorders>
                    <w:tl2br w:val="nil"/>
                    <w:tr2bl w:val="nil"/>
                  </w:tcBorders>
                  <w:noWrap w:val="0"/>
                  <w:vAlign w:val="center"/>
                </w:tcPr>
                <w:p w14:paraId="607CFAE2">
                  <w:pPr>
                    <w:pStyle w:val="57"/>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eastAsia="宋体" w:cs="Times New Roman"/>
                      <w:b/>
                      <w:bCs w:val="0"/>
                      <w:color w:val="auto"/>
                      <w:spacing w:val="0"/>
                      <w:w w:val="100"/>
                      <w:position w:val="0"/>
                      <w:highlight w:val="none"/>
                      <w:lang w:val="en-US" w:eastAsia="zh-CN"/>
                    </w:rPr>
                  </w:pPr>
                  <w:r>
                    <w:rPr>
                      <w:rFonts w:hint="default" w:ascii="Times New Roman" w:hAnsi="Times New Roman" w:eastAsia="宋体" w:cs="Times New Roman"/>
                      <w:b/>
                      <w:bCs w:val="0"/>
                      <w:color w:val="auto"/>
                      <w:spacing w:val="0"/>
                      <w:w w:val="100"/>
                      <w:position w:val="0"/>
                      <w:highlight w:val="none"/>
                      <w:lang w:val="en-US" w:eastAsia="zh-CN"/>
                    </w:rPr>
                    <w:t>报告表</w:t>
                  </w:r>
                </w:p>
              </w:tc>
              <w:tc>
                <w:tcPr>
                  <w:tcW w:w="891" w:type="dxa"/>
                  <w:tcBorders>
                    <w:tl2br w:val="nil"/>
                    <w:tr2bl w:val="nil"/>
                  </w:tcBorders>
                  <w:noWrap w:val="0"/>
                  <w:vAlign w:val="center"/>
                </w:tcPr>
                <w:p w14:paraId="79FF973A">
                  <w:pPr>
                    <w:pStyle w:val="57"/>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eastAsia="宋体" w:cs="Times New Roman"/>
                      <w:b/>
                      <w:bCs w:val="0"/>
                      <w:color w:val="auto"/>
                      <w:spacing w:val="0"/>
                      <w:w w:val="100"/>
                      <w:position w:val="0"/>
                      <w:highlight w:val="none"/>
                      <w:lang w:val="en-US" w:eastAsia="zh-CN"/>
                    </w:rPr>
                  </w:pPr>
                  <w:r>
                    <w:rPr>
                      <w:rFonts w:hint="default" w:ascii="Times New Roman" w:hAnsi="Times New Roman" w:eastAsia="宋体" w:cs="Times New Roman"/>
                      <w:b/>
                      <w:bCs w:val="0"/>
                      <w:color w:val="auto"/>
                      <w:spacing w:val="0"/>
                      <w:w w:val="100"/>
                      <w:position w:val="0"/>
                      <w:highlight w:val="none"/>
                      <w:lang w:val="en-US" w:eastAsia="zh-CN"/>
                    </w:rPr>
                    <w:t>登记表</w:t>
                  </w:r>
                </w:p>
              </w:tc>
            </w:tr>
            <w:tr w14:paraId="77F4B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8138" w:type="dxa"/>
                  <w:gridSpan w:val="5"/>
                  <w:tcBorders>
                    <w:tl2br w:val="nil"/>
                    <w:tr2bl w:val="nil"/>
                  </w:tcBorders>
                  <w:noWrap w:val="0"/>
                  <w:vAlign w:val="center"/>
                </w:tcPr>
                <w:p w14:paraId="065BB08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宋体" w:cs="Times New Roman"/>
                      <w:color w:val="auto"/>
                      <w:spacing w:val="0"/>
                      <w:w w:val="100"/>
                      <w:position w:val="0"/>
                      <w:sz w:val="21"/>
                      <w:szCs w:val="21"/>
                      <w:highlight w:val="none"/>
                      <w:lang w:val="en-US" w:eastAsia="zh-CN"/>
                    </w:rPr>
                  </w:pPr>
                  <w:r>
                    <w:rPr>
                      <w:rFonts w:hint="default" w:ascii="Times New Roman" w:hAnsi="Times New Roman" w:eastAsia="宋体" w:cs="Times New Roman"/>
                      <w:color w:val="auto"/>
                      <w:spacing w:val="0"/>
                      <w:w w:val="100"/>
                      <w:position w:val="0"/>
                      <w:sz w:val="21"/>
                      <w:szCs w:val="21"/>
                      <w:highlight w:val="none"/>
                      <w:lang w:val="en-US" w:eastAsia="zh-CN"/>
                    </w:rPr>
                    <w:t>三十五、电气机械和器材制造业 38</w:t>
                  </w:r>
                </w:p>
              </w:tc>
            </w:tr>
            <w:tr w14:paraId="46A49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476" w:type="dxa"/>
                  <w:tcBorders>
                    <w:tl2br w:val="nil"/>
                    <w:tr2bl w:val="nil"/>
                  </w:tcBorders>
                  <w:shd w:val="clear" w:color="auto" w:fill="auto"/>
                  <w:noWrap w:val="0"/>
                  <w:vAlign w:val="center"/>
                </w:tcPr>
                <w:p w14:paraId="41E727C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spacing w:val="0"/>
                      <w:w w:val="100"/>
                      <w:position w:val="0"/>
                      <w:sz w:val="21"/>
                      <w:szCs w:val="21"/>
                      <w:highlight w:val="none"/>
                      <w:lang w:val="en-US" w:eastAsia="zh-CN"/>
                    </w:rPr>
                  </w:pPr>
                  <w:r>
                    <w:rPr>
                      <w:rFonts w:hint="default" w:ascii="Times New Roman" w:hAnsi="Times New Roman" w:eastAsia="宋体" w:cs="Times New Roman"/>
                      <w:color w:val="auto"/>
                      <w:spacing w:val="0"/>
                      <w:w w:val="100"/>
                      <w:position w:val="0"/>
                      <w:sz w:val="21"/>
                      <w:szCs w:val="21"/>
                      <w:highlight w:val="none"/>
                      <w:lang w:val="en-US" w:eastAsia="zh-CN"/>
                    </w:rPr>
                    <w:t>77</w:t>
                  </w:r>
                </w:p>
              </w:tc>
              <w:tc>
                <w:tcPr>
                  <w:tcW w:w="2561" w:type="dxa"/>
                  <w:tcBorders>
                    <w:tl2br w:val="nil"/>
                    <w:tr2bl w:val="nil"/>
                  </w:tcBorders>
                  <w:shd w:val="clear" w:color="auto" w:fill="auto"/>
                  <w:noWrap w:val="0"/>
                  <w:vAlign w:val="center"/>
                </w:tcPr>
                <w:p w14:paraId="6775E4D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color w:val="auto"/>
                      <w:spacing w:val="0"/>
                      <w:w w:val="100"/>
                      <w:position w:val="0"/>
                      <w:sz w:val="21"/>
                      <w:szCs w:val="21"/>
                      <w:highlight w:val="none"/>
                      <w:lang w:val="en-US" w:eastAsia="zh-CN"/>
                    </w:rPr>
                  </w:pPr>
                  <w:r>
                    <w:rPr>
                      <w:rFonts w:hint="default" w:ascii="Times New Roman" w:hAnsi="Times New Roman" w:eastAsia="宋体" w:cs="Times New Roman"/>
                      <w:color w:val="auto"/>
                      <w:spacing w:val="0"/>
                      <w:w w:val="100"/>
                      <w:position w:val="0"/>
                      <w:sz w:val="21"/>
                      <w:szCs w:val="21"/>
                      <w:highlight w:val="none"/>
                      <w:lang w:val="en-US" w:eastAsia="zh-CN"/>
                    </w:rPr>
                    <w:t>电机制造 381；输配电及控制设备制造 382；电线、电缆、光缆及电工器材制造 383；电池制造 384；家用电力器具制造 385；非电力家用器具制造 386；照明器具制造 387；其他电气机械及器材制造 389</w:t>
                  </w:r>
                </w:p>
                <w:p w14:paraId="0133E1B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spacing w:val="0"/>
                      <w:w w:val="100"/>
                      <w:position w:val="0"/>
                      <w:sz w:val="21"/>
                      <w:szCs w:val="21"/>
                      <w:highlight w:val="none"/>
                      <w:lang w:val="en-US" w:eastAsia="zh-CN"/>
                    </w:rPr>
                  </w:pPr>
                </w:p>
              </w:tc>
              <w:tc>
                <w:tcPr>
                  <w:tcW w:w="1980" w:type="dxa"/>
                  <w:tcBorders>
                    <w:tl2br w:val="nil"/>
                    <w:tr2bl w:val="nil"/>
                  </w:tcBorders>
                  <w:shd w:val="clear" w:color="auto" w:fill="auto"/>
                  <w:noWrap w:val="0"/>
                  <w:vAlign w:val="center"/>
                </w:tcPr>
                <w:p w14:paraId="12F5D66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color w:val="auto"/>
                      <w:spacing w:val="0"/>
                      <w:w w:val="100"/>
                      <w:position w:val="0"/>
                      <w:sz w:val="21"/>
                      <w:szCs w:val="21"/>
                      <w:highlight w:val="none"/>
                      <w:lang w:val="en-US" w:eastAsia="zh-CN"/>
                    </w:rPr>
                  </w:pPr>
                  <w:r>
                    <w:rPr>
                      <w:rFonts w:hint="default" w:ascii="Times New Roman" w:hAnsi="Times New Roman" w:eastAsia="宋体" w:cs="Times New Roman"/>
                      <w:color w:val="auto"/>
                      <w:spacing w:val="0"/>
                      <w:w w:val="100"/>
                      <w:position w:val="0"/>
                      <w:sz w:val="21"/>
                      <w:szCs w:val="21"/>
                      <w:highlight w:val="none"/>
                      <w:lang w:val="en-US" w:eastAsia="zh-CN"/>
                    </w:rPr>
                    <w:t xml:space="preserve">铅蓄电池制造；太阳能电池片生产；有电镀工艺的；年用溶剂型涂料（含稀释剂）10吨及以上的 </w:t>
                  </w:r>
                </w:p>
                <w:p w14:paraId="059BB2D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color w:val="auto"/>
                      <w:spacing w:val="0"/>
                      <w:w w:val="100"/>
                      <w:position w:val="0"/>
                      <w:sz w:val="21"/>
                      <w:szCs w:val="21"/>
                      <w:highlight w:val="none"/>
                      <w:lang w:val="en-US" w:eastAsia="zh-CN"/>
                    </w:rPr>
                  </w:pPr>
                </w:p>
              </w:tc>
              <w:tc>
                <w:tcPr>
                  <w:tcW w:w="2230" w:type="dxa"/>
                  <w:tcBorders>
                    <w:tl2br w:val="nil"/>
                    <w:tr2bl w:val="nil"/>
                  </w:tcBorders>
                  <w:shd w:val="clear" w:color="auto" w:fill="BEBEBE"/>
                  <w:noWrap w:val="0"/>
                  <w:vAlign w:val="center"/>
                </w:tcPr>
                <w:p w14:paraId="0E55C309">
                  <w:pPr>
                    <w:keepNext w:val="0"/>
                    <w:keepLines w:val="0"/>
                    <w:pageBreakBefore w:val="0"/>
                    <w:widowControl/>
                    <w:suppressLineNumbers w:val="0"/>
                    <w:kinsoku/>
                    <w:wordWrap/>
                    <w:overflowPunct/>
                    <w:topLinePunct w:val="0"/>
                    <w:autoSpaceDE/>
                    <w:autoSpaceDN/>
                    <w:bidi w:val="0"/>
                    <w:spacing w:line="240" w:lineRule="auto"/>
                    <w:ind w:left="0" w:leftChars="0" w:firstLine="0" w:firstLineChars="0"/>
                    <w:jc w:val="both"/>
                    <w:textAlignment w:val="auto"/>
                    <w:rPr>
                      <w:rFonts w:hint="default" w:ascii="Times New Roman" w:hAnsi="Times New Roman" w:eastAsia="宋体" w:cs="Times New Roman"/>
                    </w:rPr>
                  </w:pPr>
                  <w:r>
                    <w:rPr>
                      <w:rFonts w:hint="default" w:ascii="Times New Roman" w:hAnsi="Times New Roman" w:eastAsia="宋体" w:cs="Times New Roman"/>
                      <w:color w:val="000000"/>
                      <w:kern w:val="0"/>
                      <w:sz w:val="21"/>
                      <w:szCs w:val="21"/>
                      <w:lang w:val="en-US" w:eastAsia="zh-CN" w:bidi="ar"/>
                    </w:rPr>
                    <w:t>其他（仅分割、焊接、组装的除外；年用非溶剂型低VOCs含量涂料10吨以下的除外）</w:t>
                  </w:r>
                </w:p>
                <w:p w14:paraId="0679E0A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Times New Roman" w:hAnsi="Times New Roman" w:eastAsia="宋体" w:cs="Times New Roman"/>
                      <w:color w:val="auto"/>
                      <w:spacing w:val="0"/>
                      <w:w w:val="100"/>
                      <w:position w:val="0"/>
                      <w:sz w:val="21"/>
                      <w:szCs w:val="21"/>
                      <w:highlight w:val="none"/>
                      <w:lang w:val="en-US" w:eastAsia="zh-CN"/>
                    </w:rPr>
                  </w:pPr>
                </w:p>
              </w:tc>
              <w:tc>
                <w:tcPr>
                  <w:tcW w:w="891" w:type="dxa"/>
                  <w:tcBorders>
                    <w:tl2br w:val="nil"/>
                    <w:tr2bl w:val="nil"/>
                  </w:tcBorders>
                  <w:noWrap w:val="0"/>
                  <w:vAlign w:val="center"/>
                </w:tcPr>
                <w:p w14:paraId="75F9DF0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spacing w:val="0"/>
                      <w:w w:val="100"/>
                      <w:position w:val="0"/>
                      <w:sz w:val="21"/>
                      <w:szCs w:val="21"/>
                      <w:highlight w:val="none"/>
                      <w:lang w:val="en-US" w:eastAsia="zh-CN"/>
                    </w:rPr>
                  </w:pPr>
                  <w:r>
                    <w:rPr>
                      <w:rFonts w:hint="default" w:ascii="Times New Roman" w:hAnsi="Times New Roman" w:eastAsia="宋体" w:cs="Times New Roman"/>
                      <w:color w:val="auto"/>
                      <w:spacing w:val="0"/>
                      <w:w w:val="100"/>
                      <w:position w:val="0"/>
                      <w:sz w:val="21"/>
                      <w:szCs w:val="21"/>
                      <w:highlight w:val="none"/>
                      <w:lang w:val="en-US" w:eastAsia="zh-CN"/>
                    </w:rPr>
                    <w:t>/</w:t>
                  </w:r>
                </w:p>
              </w:tc>
            </w:tr>
          </w:tbl>
          <w:p w14:paraId="120953CC">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eastAsia="宋体" w:cs="Times New Roman"/>
                <w:color w:val="auto"/>
                <w:spacing w:val="0"/>
                <w:w w:val="100"/>
                <w:position w:val="0"/>
                <w:sz w:val="24"/>
                <w:szCs w:val="24"/>
                <w:highlight w:val="none"/>
                <w:lang w:val="en-US"/>
              </w:rPr>
            </w:pPr>
            <w:r>
              <w:rPr>
                <w:rFonts w:hint="default" w:ascii="Times New Roman" w:hAnsi="Times New Roman" w:eastAsia="宋体" w:cs="Times New Roman"/>
                <w:color w:val="auto"/>
                <w:spacing w:val="0"/>
                <w:w w:val="100"/>
                <w:position w:val="0"/>
                <w:highlight w:val="none"/>
                <w:lang w:val="en-US" w:eastAsia="zh-CN"/>
              </w:rPr>
              <w:t>对照《固定污染源排污许可分类管理名录》（2019年版），本项目属于：“三十三、电气机械和器材制造业38 ”</w:t>
            </w:r>
            <w:r>
              <w:rPr>
                <w:rFonts w:hint="eastAsia" w:cs="Times New Roman"/>
                <w:color w:val="auto"/>
                <w:spacing w:val="0"/>
                <w:w w:val="100"/>
                <w:position w:val="0"/>
                <w:highlight w:val="none"/>
                <w:lang w:val="en-US" w:eastAsia="zh-CN"/>
              </w:rPr>
              <w:t>－</w:t>
            </w:r>
            <w:r>
              <w:rPr>
                <w:rFonts w:hint="default" w:ascii="Times New Roman" w:hAnsi="Times New Roman" w:eastAsia="宋体" w:cs="Times New Roman"/>
                <w:color w:val="auto"/>
                <w:spacing w:val="0"/>
                <w:w w:val="100"/>
                <w:position w:val="0"/>
                <w:highlight w:val="none"/>
                <w:lang w:val="en-US" w:eastAsia="zh-CN"/>
              </w:rPr>
              <w:t>“87、电线、电缆、光缆及电工器材制造383”中的“其他”，排污许可应为登记管理。</w:t>
            </w:r>
            <w:r>
              <w:rPr>
                <w:rFonts w:hint="default" w:ascii="Times New Roman" w:hAnsi="Times New Roman" w:eastAsia="宋体" w:cs="Times New Roman"/>
                <w:color w:val="auto"/>
                <w:spacing w:val="0"/>
                <w:w w:val="100"/>
                <w:highlight w:val="none"/>
                <w:lang w:val="en-US" w:eastAsia="zh-CN"/>
              </w:rPr>
              <w:t>故综上分析，本项目</w:t>
            </w:r>
            <w:r>
              <w:rPr>
                <w:rFonts w:hint="default" w:ascii="Times New Roman" w:hAnsi="Times New Roman" w:eastAsia="宋体" w:cs="Times New Roman"/>
                <w:color w:val="auto"/>
                <w:spacing w:val="0"/>
                <w:w w:val="100"/>
                <w:position w:val="0"/>
                <w:highlight w:val="none"/>
                <w:lang w:val="en-US" w:eastAsia="zh-CN"/>
              </w:rPr>
              <w:t>排污许可应为登记管理</w:t>
            </w:r>
            <w:r>
              <w:rPr>
                <w:rFonts w:hint="default" w:ascii="Times New Roman" w:hAnsi="Times New Roman" w:eastAsia="宋体" w:cs="Times New Roman"/>
                <w:color w:val="auto"/>
                <w:spacing w:val="0"/>
                <w:w w:val="100"/>
                <w:highlight w:val="none"/>
                <w:lang w:val="en-US" w:eastAsia="zh-CN"/>
              </w:rPr>
              <w:t>。</w:t>
            </w:r>
          </w:p>
          <w:p w14:paraId="4EE6E156">
            <w:pPr>
              <w:pStyle w:val="10"/>
              <w:bidi w:val="0"/>
              <w:rPr>
                <w:rFonts w:hint="default" w:ascii="Times New Roman" w:hAnsi="Times New Roman" w:eastAsia="宋体" w:cs="Times New Roman"/>
                <w:b/>
                <w:bCs w:val="0"/>
                <w:color w:val="auto"/>
                <w:highlight w:val="none"/>
                <w:lang w:val="en-US" w:eastAsia="zh-CN"/>
              </w:rPr>
            </w:pPr>
            <w:r>
              <w:rPr>
                <w:rFonts w:hint="default" w:ascii="Times New Roman" w:hAnsi="Times New Roman" w:eastAsia="宋体" w:cs="Times New Roman"/>
                <w:b/>
                <w:bCs w:val="0"/>
                <w:color w:val="auto"/>
                <w:highlight w:val="none"/>
                <w:lang w:val="en-US" w:eastAsia="zh-CN"/>
              </w:rPr>
              <w:t>表2-3 《固定污染源排污许可分类管理名录》（2019年版）（摘录）</w:t>
            </w:r>
          </w:p>
          <w:tbl>
            <w:tblPr>
              <w:tblStyle w:val="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2"/>
              <w:gridCol w:w="2082"/>
              <w:gridCol w:w="1295"/>
              <w:gridCol w:w="2589"/>
              <w:gridCol w:w="1699"/>
            </w:tblGrid>
            <w:tr w14:paraId="4695B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702" w:type="dxa"/>
                  <w:tcBorders>
                    <w:tl2br w:val="nil"/>
                    <w:tr2bl w:val="nil"/>
                  </w:tcBorders>
                  <w:noWrap w:val="0"/>
                  <w:vAlign w:val="center"/>
                </w:tcPr>
                <w:p w14:paraId="0C5149F3">
                  <w:pPr>
                    <w:pStyle w:val="10"/>
                    <w:bidi w:val="0"/>
                    <w:rPr>
                      <w:rFonts w:hint="default" w:ascii="Times New Roman" w:hAnsi="Times New Roman" w:eastAsia="宋体" w:cs="Times New Roman"/>
                      <w:b/>
                      <w:bCs w:val="0"/>
                      <w:color w:val="auto"/>
                      <w:highlight w:val="none"/>
                      <w:lang w:val="en-US" w:eastAsia="zh-CN"/>
                    </w:rPr>
                  </w:pPr>
                  <w:r>
                    <w:rPr>
                      <w:rFonts w:hint="default" w:ascii="Times New Roman" w:hAnsi="Times New Roman" w:eastAsia="宋体" w:cs="Times New Roman"/>
                      <w:b/>
                      <w:bCs w:val="0"/>
                      <w:color w:val="auto"/>
                      <w:highlight w:val="none"/>
                      <w:lang w:val="en-US" w:eastAsia="zh-CN"/>
                    </w:rPr>
                    <w:t>序号</w:t>
                  </w:r>
                </w:p>
              </w:tc>
              <w:tc>
                <w:tcPr>
                  <w:tcW w:w="2054" w:type="dxa"/>
                  <w:tcBorders>
                    <w:tl2br w:val="nil"/>
                    <w:tr2bl w:val="nil"/>
                  </w:tcBorders>
                  <w:noWrap w:val="0"/>
                  <w:vAlign w:val="center"/>
                </w:tcPr>
                <w:p w14:paraId="6C50B3A1">
                  <w:pPr>
                    <w:pStyle w:val="10"/>
                    <w:bidi w:val="0"/>
                    <w:rPr>
                      <w:rFonts w:hint="default" w:ascii="Times New Roman" w:hAnsi="Times New Roman" w:eastAsia="宋体" w:cs="Times New Roman"/>
                      <w:b/>
                      <w:bCs w:val="0"/>
                      <w:color w:val="auto"/>
                      <w:highlight w:val="none"/>
                      <w:lang w:val="en-US" w:eastAsia="zh-CN"/>
                    </w:rPr>
                  </w:pPr>
                  <w:r>
                    <w:rPr>
                      <w:rFonts w:hint="default" w:ascii="Times New Roman" w:hAnsi="Times New Roman" w:eastAsia="宋体" w:cs="Times New Roman"/>
                      <w:b/>
                      <w:bCs w:val="0"/>
                      <w:color w:val="auto"/>
                      <w:highlight w:val="none"/>
                      <w:lang w:val="en-US" w:eastAsia="zh-CN"/>
                    </w:rPr>
                    <w:t>项目类别</w:t>
                  </w:r>
                </w:p>
              </w:tc>
              <w:tc>
                <w:tcPr>
                  <w:tcW w:w="1277" w:type="dxa"/>
                  <w:tcBorders>
                    <w:tl2br w:val="nil"/>
                    <w:tr2bl w:val="nil"/>
                  </w:tcBorders>
                  <w:noWrap w:val="0"/>
                  <w:vAlign w:val="center"/>
                </w:tcPr>
                <w:p w14:paraId="5F0144CD">
                  <w:pPr>
                    <w:pStyle w:val="10"/>
                    <w:bidi w:val="0"/>
                    <w:rPr>
                      <w:rFonts w:hint="default" w:ascii="Times New Roman" w:hAnsi="Times New Roman" w:eastAsia="宋体" w:cs="Times New Roman"/>
                      <w:b/>
                      <w:bCs w:val="0"/>
                      <w:color w:val="auto"/>
                      <w:highlight w:val="none"/>
                      <w:lang w:val="en-US" w:eastAsia="zh-CN"/>
                    </w:rPr>
                  </w:pPr>
                  <w:r>
                    <w:rPr>
                      <w:rFonts w:hint="default" w:ascii="Times New Roman" w:hAnsi="Times New Roman" w:eastAsia="宋体" w:cs="Times New Roman"/>
                      <w:b/>
                      <w:bCs w:val="0"/>
                      <w:color w:val="auto"/>
                      <w:highlight w:val="none"/>
                      <w:lang w:val="en-US" w:eastAsia="zh-CN"/>
                    </w:rPr>
                    <w:t>重点管理</w:t>
                  </w:r>
                </w:p>
              </w:tc>
              <w:tc>
                <w:tcPr>
                  <w:tcW w:w="2554" w:type="dxa"/>
                  <w:tcBorders>
                    <w:tl2br w:val="nil"/>
                    <w:tr2bl w:val="nil"/>
                  </w:tcBorders>
                  <w:noWrap w:val="0"/>
                  <w:vAlign w:val="center"/>
                </w:tcPr>
                <w:p w14:paraId="44C7936B">
                  <w:pPr>
                    <w:pStyle w:val="10"/>
                    <w:bidi w:val="0"/>
                    <w:rPr>
                      <w:rFonts w:hint="default" w:ascii="Times New Roman" w:hAnsi="Times New Roman" w:eastAsia="宋体" w:cs="Times New Roman"/>
                      <w:b/>
                      <w:bCs w:val="0"/>
                      <w:color w:val="auto"/>
                      <w:highlight w:val="none"/>
                      <w:lang w:val="en-US" w:eastAsia="zh-CN"/>
                    </w:rPr>
                  </w:pPr>
                  <w:r>
                    <w:rPr>
                      <w:rFonts w:hint="default" w:ascii="Times New Roman" w:hAnsi="Times New Roman" w:eastAsia="宋体" w:cs="Times New Roman"/>
                      <w:b/>
                      <w:bCs w:val="0"/>
                      <w:color w:val="auto"/>
                      <w:highlight w:val="none"/>
                      <w:lang w:val="en-US" w:eastAsia="zh-CN"/>
                    </w:rPr>
                    <w:t>简化管理</w:t>
                  </w:r>
                </w:p>
              </w:tc>
              <w:tc>
                <w:tcPr>
                  <w:tcW w:w="1676" w:type="dxa"/>
                  <w:tcBorders>
                    <w:tl2br w:val="nil"/>
                    <w:tr2bl w:val="nil"/>
                  </w:tcBorders>
                  <w:noWrap w:val="0"/>
                  <w:vAlign w:val="center"/>
                </w:tcPr>
                <w:p w14:paraId="2F9AC535">
                  <w:pPr>
                    <w:pStyle w:val="10"/>
                    <w:bidi w:val="0"/>
                    <w:rPr>
                      <w:rFonts w:hint="default" w:ascii="Times New Roman" w:hAnsi="Times New Roman" w:eastAsia="宋体" w:cs="Times New Roman"/>
                      <w:b/>
                      <w:bCs w:val="0"/>
                      <w:color w:val="auto"/>
                      <w:highlight w:val="none"/>
                      <w:lang w:val="en-US" w:eastAsia="zh-CN"/>
                    </w:rPr>
                  </w:pPr>
                  <w:r>
                    <w:rPr>
                      <w:rFonts w:hint="default" w:ascii="Times New Roman" w:hAnsi="Times New Roman" w:eastAsia="宋体" w:cs="Times New Roman"/>
                      <w:b/>
                      <w:bCs w:val="0"/>
                      <w:color w:val="auto"/>
                      <w:highlight w:val="none"/>
                      <w:lang w:val="en-US" w:eastAsia="zh-CN"/>
                    </w:rPr>
                    <w:t>登记管理</w:t>
                  </w:r>
                </w:p>
              </w:tc>
            </w:tr>
            <w:tr w14:paraId="5FA12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263" w:type="dxa"/>
                  <w:gridSpan w:val="5"/>
                  <w:tcBorders>
                    <w:tl2br w:val="nil"/>
                    <w:tr2bl w:val="nil"/>
                  </w:tcBorders>
                  <w:noWrap w:val="0"/>
                  <w:vAlign w:val="center"/>
                </w:tcPr>
                <w:p w14:paraId="0B9F5B6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spacing w:val="0"/>
                      <w:w w:val="100"/>
                      <w:position w:val="0"/>
                      <w:sz w:val="21"/>
                      <w:szCs w:val="21"/>
                      <w:highlight w:val="none"/>
                      <w:lang w:val="en-US" w:eastAsia="zh-CN"/>
                    </w:rPr>
                  </w:pPr>
                  <w:r>
                    <w:rPr>
                      <w:rFonts w:hint="default" w:ascii="Times New Roman" w:hAnsi="Times New Roman" w:eastAsia="宋体" w:cs="Times New Roman"/>
                      <w:color w:val="auto"/>
                      <w:spacing w:val="0"/>
                      <w:w w:val="100"/>
                      <w:position w:val="0"/>
                      <w:sz w:val="21"/>
                      <w:szCs w:val="21"/>
                      <w:highlight w:val="none"/>
                      <w:lang w:val="en-US" w:eastAsia="zh-CN"/>
                    </w:rPr>
                    <w:t>十三、电气机械和器材制造业38</w:t>
                  </w:r>
                </w:p>
              </w:tc>
            </w:tr>
            <w:tr w14:paraId="7C1D4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2" w:type="dxa"/>
                  <w:tcBorders>
                    <w:tl2br w:val="nil"/>
                    <w:tr2bl w:val="nil"/>
                  </w:tcBorders>
                  <w:shd w:val="clear" w:color="auto" w:fill="auto"/>
                  <w:noWrap w:val="0"/>
                  <w:vAlign w:val="center"/>
                </w:tcPr>
                <w:p w14:paraId="10A6BA8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spacing w:val="0"/>
                      <w:w w:val="100"/>
                      <w:position w:val="0"/>
                      <w:sz w:val="21"/>
                      <w:szCs w:val="21"/>
                      <w:highlight w:val="none"/>
                      <w:lang w:val="en-US" w:eastAsia="zh-CN"/>
                    </w:rPr>
                  </w:pPr>
                  <w:r>
                    <w:rPr>
                      <w:rFonts w:hint="default" w:ascii="Times New Roman" w:hAnsi="Times New Roman" w:eastAsia="宋体" w:cs="Times New Roman"/>
                      <w:color w:val="auto"/>
                      <w:spacing w:val="0"/>
                      <w:w w:val="100"/>
                      <w:position w:val="0"/>
                      <w:sz w:val="21"/>
                      <w:szCs w:val="21"/>
                      <w:highlight w:val="none"/>
                      <w:lang w:val="en-US" w:eastAsia="zh-CN"/>
                    </w:rPr>
                    <w:t>87</w:t>
                  </w:r>
                </w:p>
              </w:tc>
              <w:tc>
                <w:tcPr>
                  <w:tcW w:w="2054" w:type="dxa"/>
                  <w:tcBorders>
                    <w:tl2br w:val="nil"/>
                    <w:tr2bl w:val="nil"/>
                  </w:tcBorders>
                  <w:shd w:val="clear" w:color="auto" w:fill="auto"/>
                  <w:noWrap w:val="0"/>
                  <w:vAlign w:val="center"/>
                </w:tcPr>
                <w:p w14:paraId="4E0BA64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left="0" w:leftChars="0" w:right="0" w:rightChars="0" w:firstLine="0" w:firstLineChars="0"/>
                    <w:jc w:val="both"/>
                    <w:textAlignment w:val="auto"/>
                    <w:rPr>
                      <w:rFonts w:hint="default" w:ascii="Times New Roman" w:hAnsi="Times New Roman" w:eastAsia="宋体" w:cs="Times New Roman"/>
                      <w:color w:val="auto"/>
                      <w:spacing w:val="0"/>
                      <w:w w:val="100"/>
                      <w:position w:val="0"/>
                      <w:sz w:val="21"/>
                      <w:szCs w:val="21"/>
                      <w:highlight w:val="none"/>
                      <w:lang w:val="en-US" w:eastAsia="zh-CN"/>
                    </w:rPr>
                  </w:pPr>
                  <w:r>
                    <w:rPr>
                      <w:rFonts w:hint="default" w:ascii="Times New Roman" w:hAnsi="Times New Roman" w:eastAsia="宋体" w:cs="Times New Roman"/>
                      <w:i w:val="0"/>
                      <w:iCs w:val="0"/>
                      <w:caps w:val="0"/>
                      <w:color w:val="000000"/>
                      <w:spacing w:val="0"/>
                      <w:kern w:val="0"/>
                      <w:sz w:val="21"/>
                      <w:szCs w:val="21"/>
                      <w:lang w:val="en-US" w:eastAsia="zh-CN" w:bidi="ar"/>
                    </w:rPr>
                    <w:t>电机制造381，输配电及控制设备制造382，电线、电缆、光缆及电工器材制造383，家用电力器具制造385，非电力家用器具制造386，照明器具制造387，其他电气机械及器材制造389</w:t>
                  </w:r>
                </w:p>
              </w:tc>
              <w:tc>
                <w:tcPr>
                  <w:tcW w:w="1277" w:type="dxa"/>
                  <w:tcBorders>
                    <w:tl2br w:val="nil"/>
                    <w:tr2bl w:val="nil"/>
                  </w:tcBorders>
                  <w:shd w:val="clear" w:color="auto" w:fill="auto"/>
                  <w:noWrap w:val="0"/>
                  <w:vAlign w:val="center"/>
                </w:tcPr>
                <w:p w14:paraId="1BFF4C3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left="0" w:leftChars="0" w:right="0" w:rightChars="0" w:firstLine="0" w:firstLineChars="0"/>
                    <w:jc w:val="both"/>
                    <w:textAlignment w:val="auto"/>
                    <w:rPr>
                      <w:rFonts w:hint="default" w:ascii="Times New Roman" w:hAnsi="Times New Roman" w:eastAsia="宋体" w:cs="Times New Roman"/>
                      <w:color w:val="auto"/>
                      <w:spacing w:val="0"/>
                      <w:w w:val="100"/>
                      <w:position w:val="0"/>
                      <w:sz w:val="21"/>
                      <w:szCs w:val="21"/>
                      <w:highlight w:val="none"/>
                      <w:lang w:val="en-US" w:eastAsia="zh-CN"/>
                    </w:rPr>
                  </w:pPr>
                  <w:r>
                    <w:rPr>
                      <w:rFonts w:hint="default" w:ascii="Times New Roman" w:hAnsi="Times New Roman" w:eastAsia="宋体" w:cs="Times New Roman"/>
                      <w:i w:val="0"/>
                      <w:iCs w:val="0"/>
                      <w:caps w:val="0"/>
                      <w:color w:val="000000"/>
                      <w:spacing w:val="0"/>
                      <w:kern w:val="0"/>
                      <w:sz w:val="21"/>
                      <w:szCs w:val="21"/>
                      <w:lang w:val="en-US" w:eastAsia="zh-CN" w:bidi="ar"/>
                    </w:rPr>
                    <w:t>涉及通用工序重点管理的</w:t>
                  </w:r>
                </w:p>
              </w:tc>
              <w:tc>
                <w:tcPr>
                  <w:tcW w:w="2554" w:type="dxa"/>
                  <w:tcBorders>
                    <w:tl2br w:val="nil"/>
                    <w:tr2bl w:val="nil"/>
                  </w:tcBorders>
                  <w:shd w:val="clear" w:color="auto" w:fill="auto"/>
                  <w:noWrap w:val="0"/>
                  <w:vAlign w:val="center"/>
                </w:tcPr>
                <w:p w14:paraId="33AF523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left="0" w:leftChars="0" w:right="0" w:rightChars="0" w:firstLine="0" w:firstLineChars="0"/>
                    <w:jc w:val="both"/>
                    <w:textAlignment w:val="auto"/>
                    <w:rPr>
                      <w:rFonts w:hint="default" w:ascii="Times New Roman" w:hAnsi="Times New Roman" w:eastAsia="宋体" w:cs="Times New Roman"/>
                      <w:color w:val="auto"/>
                      <w:spacing w:val="0"/>
                      <w:w w:val="100"/>
                      <w:position w:val="0"/>
                      <w:sz w:val="21"/>
                      <w:szCs w:val="21"/>
                      <w:highlight w:val="none"/>
                      <w:lang w:val="en-US" w:eastAsia="zh-CN"/>
                    </w:rPr>
                  </w:pPr>
                  <w:r>
                    <w:rPr>
                      <w:rFonts w:hint="default" w:ascii="Times New Roman" w:hAnsi="Times New Roman" w:eastAsia="宋体" w:cs="Times New Roman"/>
                      <w:i w:val="0"/>
                      <w:iCs w:val="0"/>
                      <w:caps w:val="0"/>
                      <w:color w:val="000000"/>
                      <w:spacing w:val="0"/>
                      <w:kern w:val="0"/>
                      <w:sz w:val="21"/>
                      <w:szCs w:val="21"/>
                      <w:lang w:val="en-US" w:eastAsia="zh-CN" w:bidi="ar"/>
                    </w:rPr>
                    <w:t>涉及通用工序简化管理的</w:t>
                  </w:r>
                </w:p>
              </w:tc>
              <w:tc>
                <w:tcPr>
                  <w:tcW w:w="1676" w:type="dxa"/>
                  <w:tcBorders>
                    <w:tl2br w:val="nil"/>
                    <w:tr2bl w:val="nil"/>
                  </w:tcBorders>
                  <w:shd w:val="clear" w:color="auto" w:fill="BEBEBE"/>
                  <w:noWrap w:val="0"/>
                  <w:vAlign w:val="center"/>
                </w:tcPr>
                <w:p w14:paraId="091BCA8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pacing w:val="0"/>
                      <w:w w:val="100"/>
                      <w:position w:val="0"/>
                      <w:sz w:val="21"/>
                      <w:szCs w:val="21"/>
                      <w:highlight w:val="none"/>
                      <w:shd w:val="clear" w:color="auto" w:fill="auto"/>
                      <w:lang w:val="en-US" w:eastAsia="zh-CN"/>
                    </w:rPr>
                  </w:pPr>
                  <w:r>
                    <w:rPr>
                      <w:rFonts w:hint="default" w:ascii="Times New Roman" w:hAnsi="Times New Roman" w:eastAsia="宋体" w:cs="Times New Roman"/>
                      <w:i w:val="0"/>
                      <w:iCs w:val="0"/>
                      <w:caps w:val="0"/>
                      <w:color w:val="000000"/>
                      <w:spacing w:val="0"/>
                      <w:kern w:val="0"/>
                      <w:sz w:val="21"/>
                      <w:szCs w:val="21"/>
                      <w:lang w:val="en-US" w:eastAsia="zh-CN" w:bidi="ar"/>
                    </w:rPr>
                    <w:t>其他</w:t>
                  </w:r>
                </w:p>
              </w:tc>
            </w:tr>
          </w:tbl>
          <w:p w14:paraId="0DC7CE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b w:val="0"/>
                <w:bCs w:val="0"/>
                <w:color w:val="auto"/>
                <w:sz w:val="24"/>
                <w:highlight w:val="none"/>
                <w:vertAlign w:val="baseline"/>
                <w:lang w:val="en-US" w:eastAsia="zh-CN"/>
              </w:rPr>
            </w:pPr>
            <w:r>
              <w:rPr>
                <w:rFonts w:hint="default" w:ascii="Times New Roman" w:hAnsi="Times New Roman" w:eastAsia="宋体" w:cs="Times New Roman"/>
                <w:color w:val="auto"/>
                <w:sz w:val="24"/>
                <w:szCs w:val="24"/>
                <w:highlight w:val="none"/>
                <w:u w:val="none"/>
                <w:lang w:val="en-US" w:eastAsia="zh-CN"/>
              </w:rPr>
              <w:t>综上</w:t>
            </w:r>
            <w:r>
              <w:rPr>
                <w:rFonts w:hint="default" w:ascii="Times New Roman" w:hAnsi="Times New Roman" w:eastAsia="宋体" w:cs="Times New Roman"/>
                <w:color w:val="auto"/>
                <w:sz w:val="24"/>
                <w:szCs w:val="24"/>
                <w:highlight w:val="none"/>
                <w:u w:val="none"/>
              </w:rPr>
              <w:t>，</w:t>
            </w:r>
            <w:r>
              <w:rPr>
                <w:rFonts w:hint="default" w:ascii="Times New Roman" w:hAnsi="Times New Roman" w:eastAsia="宋体" w:cs="Times New Roman"/>
                <w:color w:val="auto"/>
                <w:sz w:val="24"/>
                <w:szCs w:val="24"/>
                <w:highlight w:val="none"/>
                <w:u w:val="none"/>
                <w:lang w:val="en-US" w:eastAsia="zh-CN"/>
              </w:rPr>
              <w:t>受安徽顺信线缆有限公司</w:t>
            </w:r>
            <w:r>
              <w:rPr>
                <w:rFonts w:hint="default" w:ascii="Times New Roman" w:hAnsi="Times New Roman" w:eastAsia="宋体" w:cs="Times New Roman"/>
                <w:color w:val="auto"/>
                <w:spacing w:val="10"/>
                <w:sz w:val="24"/>
                <w:szCs w:val="24"/>
                <w:highlight w:val="none"/>
                <w:u w:val="none"/>
                <w:lang w:val="en-US" w:eastAsia="zh-CN"/>
              </w:rPr>
              <w:t>委托，</w:t>
            </w:r>
            <w:r>
              <w:rPr>
                <w:rFonts w:hint="default" w:ascii="Times New Roman" w:hAnsi="Times New Roman" w:eastAsia="宋体" w:cs="Times New Roman"/>
                <w:color w:val="auto"/>
                <w:sz w:val="24"/>
                <w:szCs w:val="24"/>
                <w:highlight w:val="none"/>
                <w:u w:val="none"/>
                <w:lang w:val="en-US" w:eastAsia="zh-CN"/>
              </w:rPr>
              <w:t>我单位</w:t>
            </w:r>
            <w:r>
              <w:rPr>
                <w:rFonts w:hint="default" w:ascii="Times New Roman" w:hAnsi="Times New Roman" w:eastAsia="宋体" w:cs="Times New Roman"/>
                <w:color w:val="auto"/>
                <w:spacing w:val="10"/>
                <w:highlight w:val="none"/>
              </w:rPr>
              <w:t>承担了本项目环境影响评价工作</w:t>
            </w:r>
            <w:r>
              <w:rPr>
                <w:rFonts w:hint="default" w:ascii="Times New Roman" w:hAnsi="Times New Roman" w:eastAsia="宋体" w:cs="Times New Roman"/>
                <w:color w:val="auto"/>
                <w:spacing w:val="10"/>
                <w:highlight w:val="none"/>
                <w:lang w:eastAsia="zh-CN"/>
              </w:rPr>
              <w:t>，</w:t>
            </w:r>
            <w:r>
              <w:rPr>
                <w:rFonts w:hint="default" w:ascii="Times New Roman" w:hAnsi="Times New Roman" w:eastAsia="宋体" w:cs="Times New Roman"/>
                <w:color w:val="auto"/>
                <w:sz w:val="24"/>
                <w:szCs w:val="24"/>
                <w:highlight w:val="none"/>
                <w:u w:val="none"/>
              </w:rPr>
              <w:t>对项目所在地进行了现场踏勘，调查、收集了该项目的有关资料，在此基础上，根据国家环保法规和标准等规范编制了《</w:t>
            </w:r>
            <w:r>
              <w:rPr>
                <w:rFonts w:hint="default" w:ascii="Times New Roman" w:hAnsi="Times New Roman" w:eastAsia="宋体" w:cs="Times New Roman"/>
                <w:color w:val="auto"/>
                <w:sz w:val="24"/>
                <w:szCs w:val="24"/>
                <w:highlight w:val="none"/>
                <w:u w:val="none"/>
                <w:lang w:val="en-US" w:eastAsia="zh-CN"/>
              </w:rPr>
              <w:t>安徽顺信线缆有限公司年产2万千米超柔工业机器人电缆项目</w:t>
            </w:r>
            <w:r>
              <w:rPr>
                <w:rFonts w:hint="default" w:ascii="Times New Roman" w:hAnsi="Times New Roman" w:eastAsia="宋体" w:cs="Times New Roman"/>
                <w:color w:val="auto"/>
                <w:sz w:val="24"/>
                <w:szCs w:val="24"/>
                <w:highlight w:val="none"/>
                <w:u w:val="none"/>
              </w:rPr>
              <w:t>环境影响报告表》，现呈报</w:t>
            </w:r>
            <w:r>
              <w:rPr>
                <w:rFonts w:hint="default" w:ascii="Times New Roman" w:hAnsi="Times New Roman" w:eastAsia="宋体" w:cs="Times New Roman"/>
                <w:color w:val="auto"/>
                <w:sz w:val="24"/>
                <w:szCs w:val="24"/>
                <w:highlight w:val="none"/>
                <w:u w:val="none"/>
                <w:lang w:val="en-US" w:eastAsia="zh-CN"/>
              </w:rPr>
              <w:t>给</w:t>
            </w:r>
            <w:r>
              <w:rPr>
                <w:rFonts w:hint="default" w:ascii="Times New Roman" w:hAnsi="Times New Roman" w:eastAsia="宋体" w:cs="Times New Roman"/>
                <w:color w:val="auto"/>
                <w:sz w:val="24"/>
                <w:szCs w:val="24"/>
                <w:highlight w:val="none"/>
                <w:u w:val="none"/>
              </w:rPr>
              <w:t>生态环境主管部门，供管理参考。</w:t>
            </w:r>
          </w:p>
          <w:p w14:paraId="36C9C35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Times New Roman" w:hAnsi="Times New Roman" w:eastAsia="宋体" w:cs="Times New Roman"/>
                <w:b/>
                <w:bCs/>
                <w:color w:val="auto"/>
                <w:sz w:val="24"/>
                <w:szCs w:val="24"/>
                <w:highlight w:val="none"/>
                <w:lang w:val="en-US" w:eastAsia="zh-CN"/>
              </w:rPr>
            </w:pPr>
          </w:p>
          <w:p w14:paraId="6C3B1C4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Times New Roman" w:hAnsi="Times New Roman" w:eastAsia="宋体" w:cs="Times New Roman"/>
                <w:b/>
                <w:bCs/>
                <w:color w:val="auto"/>
                <w:sz w:val="24"/>
                <w:szCs w:val="24"/>
                <w:highlight w:val="none"/>
                <w:lang w:val="en-US" w:eastAsia="zh-CN"/>
              </w:rPr>
            </w:pPr>
          </w:p>
          <w:p w14:paraId="048A7CA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2、项目建设内容</w:t>
            </w:r>
          </w:p>
          <w:p w14:paraId="77F2958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76" w:firstLineChars="200"/>
              <w:jc w:val="both"/>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spacing w:val="-1"/>
                <w:sz w:val="24"/>
                <w:szCs w:val="24"/>
                <w:highlight w:val="none"/>
              </w:rPr>
              <w:t>建设项目主要建设内容详见下表。</w:t>
            </w:r>
          </w:p>
          <w:p w14:paraId="5DF47389">
            <w:pPr>
              <w:pStyle w:val="5"/>
              <w:bidi w:val="0"/>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表2-4 项目建设内容组成一览表</w:t>
            </w:r>
          </w:p>
          <w:tbl>
            <w:tblPr>
              <w:tblStyle w:val="28"/>
              <w:tblW w:w="4998" w:type="pct"/>
              <w:jc w:val="center"/>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6"/>
              <w:gridCol w:w="734"/>
              <w:gridCol w:w="888"/>
              <w:gridCol w:w="5949"/>
            </w:tblGrid>
            <w:tr w14:paraId="5E5336EE">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tcBorders>
                    <w:top w:val="single" w:color="000000" w:sz="4" w:space="0"/>
                    <w:left w:val="single" w:color="000000" w:sz="4" w:space="0"/>
                    <w:bottom w:val="single" w:color="000000" w:sz="4" w:space="0"/>
                    <w:right w:val="single" w:color="000000" w:sz="4" w:space="0"/>
                    <w:tl2br w:val="nil"/>
                  </w:tcBorders>
                  <w:shd w:val="clear" w:color="auto" w:fill="FFFFFF"/>
                  <w:noWrap w:val="0"/>
                  <w:vAlign w:val="center"/>
                </w:tcPr>
                <w:p w14:paraId="5BBB77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vertAlign w:val="baseline"/>
                      <w:lang w:val="en-US" w:eastAsia="zh-CN"/>
                    </w:rPr>
                  </w:pPr>
                  <w:r>
                    <w:rPr>
                      <w:rFonts w:hint="default" w:ascii="Times New Roman" w:hAnsi="Times New Roman" w:eastAsia="宋体" w:cs="Times New Roman"/>
                      <w:b w:val="0"/>
                      <w:bCs/>
                      <w:color w:val="000000"/>
                      <w:sz w:val="21"/>
                      <w:szCs w:val="21"/>
                      <w:vertAlign w:val="baseline"/>
                      <w:lang w:val="en-US" w:eastAsia="zh-CN"/>
                    </w:rPr>
                    <w:t>工程类别</w:t>
                  </w:r>
                </w:p>
              </w:tc>
              <w:tc>
                <w:tcPr>
                  <w:tcW w:w="9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81DE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vertAlign w:val="baseline"/>
                      <w:lang w:val="en-US" w:eastAsia="zh-CN"/>
                    </w:rPr>
                  </w:pPr>
                  <w:r>
                    <w:rPr>
                      <w:rFonts w:hint="default" w:ascii="Times New Roman" w:hAnsi="Times New Roman" w:eastAsia="宋体" w:cs="Times New Roman"/>
                      <w:b w:val="0"/>
                      <w:bCs/>
                      <w:color w:val="000000"/>
                      <w:sz w:val="21"/>
                      <w:szCs w:val="21"/>
                      <w:vertAlign w:val="baseline"/>
                      <w:lang w:val="en-US" w:eastAsia="zh-CN"/>
                    </w:rPr>
                    <w:t>工程名称</w:t>
                  </w:r>
                </w:p>
              </w:tc>
              <w:tc>
                <w:tcPr>
                  <w:tcW w:w="35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A923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vertAlign w:val="baseline"/>
                      <w:lang w:val="en-US" w:eastAsia="zh-CN"/>
                    </w:rPr>
                  </w:pPr>
                  <w:r>
                    <w:rPr>
                      <w:rFonts w:hint="default" w:ascii="Times New Roman" w:hAnsi="Times New Roman" w:eastAsia="宋体" w:cs="Times New Roman"/>
                      <w:b w:val="0"/>
                      <w:bCs/>
                      <w:color w:val="000000"/>
                      <w:sz w:val="21"/>
                      <w:szCs w:val="21"/>
                      <w:vertAlign w:val="baseline"/>
                      <w:lang w:val="en-US" w:eastAsia="zh-CN"/>
                    </w:rPr>
                    <w:t>工程内容及规模</w:t>
                  </w:r>
                </w:p>
              </w:tc>
            </w:tr>
            <w:tr w14:paraId="59585D17">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8CD8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r>
                    <w:rPr>
                      <w:rFonts w:hint="default" w:ascii="Times New Roman" w:hAnsi="Times New Roman" w:eastAsia="宋体" w:cs="Times New Roman"/>
                      <w:b w:val="0"/>
                      <w:bCs w:val="0"/>
                      <w:color w:val="000000"/>
                      <w:sz w:val="21"/>
                      <w:szCs w:val="21"/>
                      <w:vertAlign w:val="baseline"/>
                      <w:lang w:val="en-US" w:eastAsia="zh-CN"/>
                    </w:rPr>
                    <w:t>主体工程</w:t>
                  </w:r>
                </w:p>
              </w:tc>
              <w:tc>
                <w:tcPr>
                  <w:tcW w:w="438"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E30C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r>
                    <w:rPr>
                      <w:rFonts w:hint="default" w:ascii="Times New Roman" w:hAnsi="Times New Roman" w:eastAsia="宋体" w:cs="Times New Roman"/>
                      <w:b w:val="0"/>
                      <w:bCs w:val="0"/>
                      <w:color w:val="000000"/>
                      <w:sz w:val="21"/>
                      <w:szCs w:val="21"/>
                      <w:vertAlign w:val="baseline"/>
                      <w:lang w:val="en-US" w:eastAsia="zh-CN"/>
                    </w:rPr>
                    <w:t>生产车间</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66E0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1#车间</w:t>
                  </w:r>
                </w:p>
              </w:tc>
              <w:tc>
                <w:tcPr>
                  <w:tcW w:w="35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6E20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1F，面积约5</w:t>
                  </w:r>
                  <w:r>
                    <w:rPr>
                      <w:rFonts w:hint="eastAsia" w:cs="Times New Roman"/>
                      <w:b w:val="0"/>
                      <w:bCs w:val="0"/>
                      <w:color w:val="auto"/>
                      <w:sz w:val="21"/>
                      <w:szCs w:val="21"/>
                      <w:vertAlign w:val="baseline"/>
                      <w:lang w:val="en-US" w:eastAsia="zh-CN"/>
                    </w:rPr>
                    <w:t>038</w:t>
                  </w:r>
                  <w:r>
                    <w:rPr>
                      <w:rFonts w:hint="default" w:ascii="Times New Roman" w:hAnsi="Times New Roman" w:eastAsia="宋体" w:cs="Times New Roman"/>
                      <w:b w:val="0"/>
                      <w:bCs w:val="0"/>
                      <w:color w:val="auto"/>
                      <w:sz w:val="21"/>
                      <w:szCs w:val="21"/>
                      <w:vertAlign w:val="baseline"/>
                      <w:lang w:val="en-US" w:eastAsia="zh-CN"/>
                    </w:rPr>
                    <w:t>m</w:t>
                  </w:r>
                  <w:r>
                    <w:rPr>
                      <w:rFonts w:hint="default" w:ascii="Times New Roman" w:hAnsi="Times New Roman" w:eastAsia="宋体" w:cs="Times New Roman"/>
                      <w:b w:val="0"/>
                      <w:bCs w:val="0"/>
                      <w:color w:val="auto"/>
                      <w:sz w:val="21"/>
                      <w:szCs w:val="21"/>
                      <w:vertAlign w:val="superscript"/>
                      <w:lang w:val="en-US" w:eastAsia="zh-CN"/>
                    </w:rPr>
                    <w:t>2</w:t>
                  </w:r>
                  <w:r>
                    <w:rPr>
                      <w:rFonts w:hint="default" w:ascii="Times New Roman" w:hAnsi="Times New Roman" w:eastAsia="宋体" w:cs="Times New Roman"/>
                      <w:b w:val="0"/>
                      <w:bCs w:val="0"/>
                      <w:color w:val="auto"/>
                      <w:sz w:val="21"/>
                      <w:szCs w:val="21"/>
                      <w:vertAlign w:val="baseline"/>
                      <w:lang w:val="en-US" w:eastAsia="zh-CN"/>
                    </w:rPr>
                    <w:t>，主要</w:t>
                  </w:r>
                  <w:r>
                    <w:rPr>
                      <w:rFonts w:hint="eastAsia" w:cs="Times New Roman"/>
                      <w:b w:val="0"/>
                      <w:bCs w:val="0"/>
                      <w:color w:val="auto"/>
                      <w:sz w:val="21"/>
                      <w:szCs w:val="21"/>
                      <w:vertAlign w:val="baseline"/>
                      <w:lang w:val="en-US" w:eastAsia="zh-CN"/>
                    </w:rPr>
                    <w:t>布置</w:t>
                  </w:r>
                  <w:r>
                    <w:rPr>
                      <w:rFonts w:hint="default" w:ascii="Times New Roman" w:hAnsi="Times New Roman" w:eastAsia="宋体" w:cs="Times New Roman"/>
                      <w:b w:val="0"/>
                      <w:bCs w:val="0"/>
                      <w:color w:val="auto"/>
                      <w:sz w:val="21"/>
                      <w:szCs w:val="21"/>
                      <w:vertAlign w:val="baseline"/>
                      <w:lang w:val="en-US" w:eastAsia="zh-CN"/>
                    </w:rPr>
                    <w:t>押出机、绞对及退扭机、成缆机、编织机</w:t>
                  </w:r>
                  <w:r>
                    <w:rPr>
                      <w:rFonts w:hint="eastAsia" w:cs="Times New Roman"/>
                      <w:b w:val="0"/>
                      <w:bCs w:val="0"/>
                      <w:color w:val="auto"/>
                      <w:sz w:val="21"/>
                      <w:szCs w:val="21"/>
                      <w:vertAlign w:val="baseline"/>
                      <w:lang w:val="en-US" w:eastAsia="zh-CN"/>
                    </w:rPr>
                    <w:t>、注塑机</w:t>
                  </w:r>
                  <w:r>
                    <w:rPr>
                      <w:rFonts w:hint="default" w:ascii="Times New Roman" w:hAnsi="Times New Roman" w:eastAsia="宋体" w:cs="Times New Roman"/>
                      <w:b w:val="0"/>
                      <w:bCs w:val="0"/>
                      <w:color w:val="auto"/>
                      <w:sz w:val="21"/>
                      <w:szCs w:val="21"/>
                      <w:vertAlign w:val="baseline"/>
                      <w:lang w:val="en-US" w:eastAsia="zh-CN"/>
                    </w:rPr>
                    <w:t>等生产设备</w:t>
                  </w:r>
                  <w:r>
                    <w:rPr>
                      <w:rFonts w:hint="eastAsia" w:cs="Times New Roman"/>
                      <w:b w:val="0"/>
                      <w:bCs w:val="0"/>
                      <w:color w:val="auto"/>
                      <w:sz w:val="21"/>
                      <w:szCs w:val="21"/>
                      <w:vertAlign w:val="baseline"/>
                      <w:lang w:val="en-US" w:eastAsia="zh-CN"/>
                    </w:rPr>
                    <w:t>，达产后形成年产2万千米超柔工业机器人电缆规模的生产能力</w:t>
                  </w:r>
                  <w:r>
                    <w:rPr>
                      <w:rFonts w:hint="default" w:ascii="Times New Roman" w:hAnsi="Times New Roman" w:eastAsia="宋体" w:cs="Times New Roman"/>
                      <w:b w:val="0"/>
                      <w:bCs w:val="0"/>
                      <w:color w:val="auto"/>
                      <w:sz w:val="21"/>
                      <w:szCs w:val="21"/>
                      <w:vertAlign w:val="baseline"/>
                      <w:lang w:val="en-US" w:eastAsia="zh-CN"/>
                    </w:rPr>
                    <w:t>。</w:t>
                  </w:r>
                </w:p>
              </w:tc>
            </w:tr>
            <w:tr w14:paraId="0D985B77">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1"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EB77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p>
              </w:tc>
              <w:tc>
                <w:tcPr>
                  <w:tcW w:w="438"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4C30A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DCFF9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2#车间</w:t>
                  </w:r>
                </w:p>
              </w:tc>
              <w:tc>
                <w:tcPr>
                  <w:tcW w:w="35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558C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1F，面积约100m</w:t>
                  </w:r>
                  <w:r>
                    <w:rPr>
                      <w:rFonts w:hint="default" w:ascii="Times New Roman" w:hAnsi="Times New Roman" w:eastAsia="宋体" w:cs="Times New Roman"/>
                      <w:b w:val="0"/>
                      <w:bCs w:val="0"/>
                      <w:color w:val="auto"/>
                      <w:sz w:val="21"/>
                      <w:szCs w:val="21"/>
                      <w:vertAlign w:val="superscript"/>
                      <w:lang w:val="en-US" w:eastAsia="zh-CN"/>
                    </w:rPr>
                    <w:t>2</w:t>
                  </w:r>
                  <w:r>
                    <w:rPr>
                      <w:rFonts w:hint="default" w:ascii="Times New Roman" w:hAnsi="Times New Roman" w:eastAsia="宋体" w:cs="Times New Roman"/>
                      <w:b w:val="0"/>
                      <w:bCs w:val="0"/>
                      <w:color w:val="auto"/>
                      <w:sz w:val="21"/>
                      <w:szCs w:val="21"/>
                      <w:vertAlign w:val="baseline"/>
                      <w:lang w:val="en-US" w:eastAsia="zh-CN"/>
                    </w:rPr>
                    <w:t>，</w:t>
                  </w:r>
                  <w:r>
                    <w:rPr>
                      <w:rFonts w:hint="eastAsia" w:cs="Times New Roman"/>
                      <w:b w:val="0"/>
                      <w:bCs w:val="0"/>
                      <w:color w:val="auto"/>
                      <w:sz w:val="21"/>
                      <w:szCs w:val="21"/>
                      <w:vertAlign w:val="baseline"/>
                      <w:lang w:val="en-US" w:eastAsia="zh-CN"/>
                    </w:rPr>
                    <w:t>布置</w:t>
                  </w:r>
                  <w:r>
                    <w:rPr>
                      <w:rFonts w:hint="default" w:ascii="Times New Roman" w:hAnsi="Times New Roman" w:eastAsia="宋体" w:cs="Times New Roman"/>
                      <w:b w:val="0"/>
                      <w:bCs w:val="0"/>
                      <w:color w:val="auto"/>
                      <w:sz w:val="21"/>
                      <w:szCs w:val="21"/>
                      <w:vertAlign w:val="baseline"/>
                      <w:lang w:val="en-US" w:eastAsia="zh-CN"/>
                    </w:rPr>
                    <w:t>造粒机组</w:t>
                  </w:r>
                  <w:r>
                    <w:rPr>
                      <w:rFonts w:hint="eastAsia" w:cs="Times New Roman"/>
                      <w:b w:val="0"/>
                      <w:bCs w:val="0"/>
                      <w:color w:val="auto"/>
                      <w:sz w:val="21"/>
                      <w:szCs w:val="21"/>
                      <w:vertAlign w:val="baseline"/>
                      <w:lang w:val="en-US" w:eastAsia="zh-CN"/>
                    </w:rPr>
                    <w:t>，达产后形成年产700吨塑料电缆颗粒的生产能力</w:t>
                  </w:r>
                  <w:r>
                    <w:rPr>
                      <w:rFonts w:hint="default" w:ascii="Times New Roman" w:hAnsi="Times New Roman" w:eastAsia="宋体" w:cs="Times New Roman"/>
                      <w:b w:val="0"/>
                      <w:bCs w:val="0"/>
                      <w:color w:val="auto"/>
                      <w:sz w:val="21"/>
                      <w:szCs w:val="21"/>
                      <w:vertAlign w:val="baseline"/>
                      <w:lang w:val="en-US" w:eastAsia="zh-CN"/>
                    </w:rPr>
                    <w:t>。</w:t>
                  </w:r>
                </w:p>
              </w:tc>
            </w:tr>
            <w:tr w14:paraId="31105933">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B4F6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r>
                    <w:rPr>
                      <w:rFonts w:hint="default" w:ascii="Times New Roman" w:hAnsi="Times New Roman" w:eastAsia="宋体" w:cs="Times New Roman"/>
                      <w:b w:val="0"/>
                      <w:bCs w:val="0"/>
                      <w:color w:val="000000"/>
                      <w:sz w:val="21"/>
                      <w:szCs w:val="21"/>
                      <w:vertAlign w:val="baseline"/>
                      <w:lang w:val="en-US" w:eastAsia="zh-CN"/>
                    </w:rPr>
                    <w:t>辅助工程</w:t>
                  </w:r>
                </w:p>
              </w:tc>
              <w:tc>
                <w:tcPr>
                  <w:tcW w:w="9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4B59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办公区</w:t>
                  </w:r>
                </w:p>
              </w:tc>
              <w:tc>
                <w:tcPr>
                  <w:tcW w:w="35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139AA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2F，面积约200m</w:t>
                  </w:r>
                  <w:r>
                    <w:rPr>
                      <w:rFonts w:hint="default" w:ascii="Times New Roman" w:hAnsi="Times New Roman" w:eastAsia="宋体" w:cs="Times New Roman"/>
                      <w:b w:val="0"/>
                      <w:bCs w:val="0"/>
                      <w:color w:val="auto"/>
                      <w:sz w:val="21"/>
                      <w:szCs w:val="21"/>
                      <w:vertAlign w:val="superscript"/>
                      <w:lang w:val="en-US" w:eastAsia="zh-CN"/>
                    </w:rPr>
                    <w:t>2</w:t>
                  </w:r>
                  <w:r>
                    <w:rPr>
                      <w:rFonts w:hint="default" w:ascii="Times New Roman" w:hAnsi="Times New Roman" w:eastAsia="宋体" w:cs="Times New Roman"/>
                      <w:b w:val="0"/>
                      <w:bCs w:val="0"/>
                      <w:color w:val="auto"/>
                      <w:sz w:val="21"/>
                      <w:szCs w:val="21"/>
                      <w:vertAlign w:val="baseline"/>
                      <w:lang w:val="en-US" w:eastAsia="zh-CN"/>
                    </w:rPr>
                    <w:t>，位于1#车间北侧，主要为行政办公场所。</w:t>
                  </w:r>
                </w:p>
              </w:tc>
            </w:tr>
            <w:tr w14:paraId="00A0E66B">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0444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p>
              </w:tc>
              <w:tc>
                <w:tcPr>
                  <w:tcW w:w="9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3724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食堂</w:t>
                  </w:r>
                </w:p>
              </w:tc>
              <w:tc>
                <w:tcPr>
                  <w:tcW w:w="35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4C83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1F，面积约50m</w:t>
                  </w:r>
                  <w:r>
                    <w:rPr>
                      <w:rFonts w:hint="default" w:ascii="Times New Roman" w:hAnsi="Times New Roman" w:eastAsia="宋体" w:cs="Times New Roman"/>
                      <w:b w:val="0"/>
                      <w:bCs w:val="0"/>
                      <w:color w:val="auto"/>
                      <w:sz w:val="21"/>
                      <w:szCs w:val="21"/>
                      <w:vertAlign w:val="superscript"/>
                      <w:lang w:val="en-US" w:eastAsia="zh-CN"/>
                    </w:rPr>
                    <w:t>2</w:t>
                  </w:r>
                  <w:r>
                    <w:rPr>
                      <w:rFonts w:hint="default" w:ascii="Times New Roman" w:hAnsi="Times New Roman" w:eastAsia="宋体" w:cs="Times New Roman"/>
                      <w:b w:val="0"/>
                      <w:bCs w:val="0"/>
                      <w:color w:val="auto"/>
                      <w:sz w:val="21"/>
                      <w:szCs w:val="21"/>
                      <w:vertAlign w:val="baseline"/>
                      <w:lang w:val="en-US" w:eastAsia="zh-CN"/>
                    </w:rPr>
                    <w:t>，小型食堂，为员工提供</w:t>
                  </w:r>
                  <w:r>
                    <w:rPr>
                      <w:rFonts w:hint="eastAsia" w:cs="Times New Roman"/>
                      <w:b w:val="0"/>
                      <w:bCs w:val="0"/>
                      <w:color w:val="auto"/>
                      <w:sz w:val="21"/>
                      <w:szCs w:val="21"/>
                      <w:vertAlign w:val="baseline"/>
                      <w:lang w:val="en-US" w:eastAsia="zh-CN"/>
                    </w:rPr>
                    <w:t>就餐场所</w:t>
                  </w:r>
                  <w:r>
                    <w:rPr>
                      <w:rFonts w:hint="default" w:ascii="Times New Roman" w:hAnsi="Times New Roman" w:eastAsia="宋体" w:cs="Times New Roman"/>
                      <w:b w:val="0"/>
                      <w:bCs w:val="0"/>
                      <w:color w:val="auto"/>
                      <w:sz w:val="21"/>
                      <w:szCs w:val="21"/>
                      <w:vertAlign w:val="baseline"/>
                      <w:lang w:val="en-US" w:eastAsia="zh-CN"/>
                    </w:rPr>
                    <w:t>。</w:t>
                  </w:r>
                </w:p>
              </w:tc>
            </w:tr>
            <w:tr w14:paraId="3582B212">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1" w:type="pct"/>
                  <w:vMerge w:val="restart"/>
                  <w:tcBorders>
                    <w:top w:val="single" w:color="000000" w:sz="4" w:space="0"/>
                    <w:left w:val="single" w:color="000000" w:sz="4" w:space="0"/>
                    <w:right w:val="single" w:color="000000" w:sz="4" w:space="0"/>
                  </w:tcBorders>
                  <w:shd w:val="clear" w:color="auto" w:fill="FFFFFF"/>
                  <w:noWrap w:val="0"/>
                  <w:vAlign w:val="center"/>
                </w:tcPr>
                <w:p w14:paraId="41F99C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r>
                    <w:rPr>
                      <w:rFonts w:hint="default" w:ascii="Times New Roman" w:hAnsi="Times New Roman" w:eastAsia="宋体" w:cs="Times New Roman"/>
                      <w:b w:val="0"/>
                      <w:bCs w:val="0"/>
                      <w:color w:val="000000"/>
                      <w:sz w:val="21"/>
                      <w:szCs w:val="21"/>
                      <w:vertAlign w:val="baseline"/>
                      <w:lang w:val="en-US" w:eastAsia="zh-CN"/>
                    </w:rPr>
                    <w:t>贮运工程</w:t>
                  </w:r>
                </w:p>
              </w:tc>
              <w:tc>
                <w:tcPr>
                  <w:tcW w:w="9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CAE2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原料库</w:t>
                  </w:r>
                </w:p>
              </w:tc>
              <w:tc>
                <w:tcPr>
                  <w:tcW w:w="35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BAE2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1F，面积约</w:t>
                  </w:r>
                  <w:r>
                    <w:rPr>
                      <w:rFonts w:hint="eastAsia" w:cs="Times New Roman"/>
                      <w:b w:val="0"/>
                      <w:bCs w:val="0"/>
                      <w:color w:val="auto"/>
                      <w:sz w:val="21"/>
                      <w:szCs w:val="21"/>
                      <w:vertAlign w:val="baseline"/>
                      <w:lang w:val="en-US" w:eastAsia="zh-CN"/>
                    </w:rPr>
                    <w:t>4</w:t>
                  </w:r>
                  <w:r>
                    <w:rPr>
                      <w:rFonts w:hint="default" w:ascii="Times New Roman" w:hAnsi="Times New Roman" w:eastAsia="宋体" w:cs="Times New Roman"/>
                      <w:b w:val="0"/>
                      <w:bCs w:val="0"/>
                      <w:color w:val="auto"/>
                      <w:sz w:val="21"/>
                      <w:szCs w:val="21"/>
                      <w:vertAlign w:val="baseline"/>
                      <w:lang w:val="en-US" w:eastAsia="zh-CN"/>
                    </w:rPr>
                    <w:t>00m</w:t>
                  </w:r>
                  <w:r>
                    <w:rPr>
                      <w:rFonts w:hint="default" w:ascii="Times New Roman" w:hAnsi="Times New Roman" w:eastAsia="宋体" w:cs="Times New Roman"/>
                      <w:b w:val="0"/>
                      <w:bCs w:val="0"/>
                      <w:color w:val="auto"/>
                      <w:sz w:val="21"/>
                      <w:szCs w:val="21"/>
                      <w:vertAlign w:val="superscript"/>
                      <w:lang w:val="en-US" w:eastAsia="zh-CN"/>
                    </w:rPr>
                    <w:t>2</w:t>
                  </w:r>
                  <w:r>
                    <w:rPr>
                      <w:rFonts w:hint="default" w:ascii="Times New Roman" w:hAnsi="Times New Roman" w:eastAsia="宋体" w:cs="Times New Roman"/>
                      <w:b w:val="0"/>
                      <w:bCs w:val="0"/>
                      <w:color w:val="auto"/>
                      <w:sz w:val="21"/>
                      <w:szCs w:val="21"/>
                      <w:vertAlign w:val="baseline"/>
                      <w:lang w:val="en-US" w:eastAsia="zh-CN"/>
                    </w:rPr>
                    <w:t>，位于1#车间南侧，用于</w:t>
                  </w:r>
                  <w:r>
                    <w:rPr>
                      <w:rFonts w:hint="eastAsia" w:cs="Times New Roman"/>
                      <w:b w:val="0"/>
                      <w:bCs w:val="0"/>
                      <w:color w:val="auto"/>
                      <w:sz w:val="21"/>
                      <w:szCs w:val="21"/>
                      <w:vertAlign w:val="baseline"/>
                      <w:lang w:val="en-US" w:eastAsia="zh-CN"/>
                    </w:rPr>
                    <w:t>铜丝、塑料电缆颗粒等原料的暂存。</w:t>
                  </w:r>
                </w:p>
              </w:tc>
            </w:tr>
            <w:tr w14:paraId="1679D9CF">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1" w:type="pct"/>
                  <w:vMerge w:val="continue"/>
                  <w:tcBorders>
                    <w:left w:val="single" w:color="000000" w:sz="4" w:space="0"/>
                    <w:right w:val="single" w:color="000000" w:sz="4" w:space="0"/>
                  </w:tcBorders>
                  <w:shd w:val="clear" w:color="auto" w:fill="FFFFFF"/>
                  <w:noWrap w:val="0"/>
                  <w:vAlign w:val="center"/>
                </w:tcPr>
                <w:p w14:paraId="0359F1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p>
              </w:tc>
              <w:tc>
                <w:tcPr>
                  <w:tcW w:w="9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CBA4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olor w:val="auto"/>
                      <w:lang w:val="en-US" w:eastAsia="zh-CN"/>
                    </w:rPr>
                  </w:pPr>
                  <w:r>
                    <w:rPr>
                      <w:rFonts w:hint="eastAsia"/>
                      <w:color w:val="auto"/>
                      <w:sz w:val="21"/>
                      <w:szCs w:val="21"/>
                      <w:lang w:val="en-US" w:eastAsia="zh-CN"/>
                    </w:rPr>
                    <w:t>辅料库</w:t>
                  </w:r>
                </w:p>
              </w:tc>
              <w:tc>
                <w:tcPr>
                  <w:tcW w:w="35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C850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1F，面积约</w:t>
                  </w:r>
                  <w:r>
                    <w:rPr>
                      <w:rFonts w:hint="eastAsia" w:cs="Times New Roman"/>
                      <w:b w:val="0"/>
                      <w:bCs w:val="0"/>
                      <w:color w:val="auto"/>
                      <w:sz w:val="21"/>
                      <w:szCs w:val="21"/>
                      <w:vertAlign w:val="baseline"/>
                      <w:lang w:val="en-US" w:eastAsia="zh-CN"/>
                    </w:rPr>
                    <w:t>1</w:t>
                  </w:r>
                  <w:r>
                    <w:rPr>
                      <w:rFonts w:hint="default" w:ascii="Times New Roman" w:hAnsi="Times New Roman" w:eastAsia="宋体" w:cs="Times New Roman"/>
                      <w:b w:val="0"/>
                      <w:bCs w:val="0"/>
                      <w:color w:val="auto"/>
                      <w:sz w:val="21"/>
                      <w:szCs w:val="21"/>
                      <w:vertAlign w:val="baseline"/>
                      <w:lang w:val="en-US" w:eastAsia="zh-CN"/>
                    </w:rPr>
                    <w:t>00m</w:t>
                  </w:r>
                  <w:r>
                    <w:rPr>
                      <w:rFonts w:hint="default" w:ascii="Times New Roman" w:hAnsi="Times New Roman" w:eastAsia="宋体" w:cs="Times New Roman"/>
                      <w:b w:val="0"/>
                      <w:bCs w:val="0"/>
                      <w:color w:val="auto"/>
                      <w:sz w:val="21"/>
                      <w:szCs w:val="21"/>
                      <w:vertAlign w:val="superscript"/>
                      <w:lang w:val="en-US" w:eastAsia="zh-CN"/>
                    </w:rPr>
                    <w:t>2</w:t>
                  </w:r>
                  <w:r>
                    <w:rPr>
                      <w:rFonts w:hint="default" w:ascii="Times New Roman" w:hAnsi="Times New Roman" w:eastAsia="宋体" w:cs="Times New Roman"/>
                      <w:b w:val="0"/>
                      <w:bCs w:val="0"/>
                      <w:color w:val="auto"/>
                      <w:sz w:val="21"/>
                      <w:szCs w:val="21"/>
                      <w:vertAlign w:val="baseline"/>
                      <w:lang w:val="en-US" w:eastAsia="zh-CN"/>
                    </w:rPr>
                    <w:t>，位于1#车间南侧，用于</w:t>
                  </w:r>
                  <w:r>
                    <w:rPr>
                      <w:rFonts w:hint="eastAsia" w:cs="Times New Roman"/>
                      <w:b w:val="0"/>
                      <w:bCs w:val="0"/>
                      <w:color w:val="auto"/>
                      <w:sz w:val="21"/>
                      <w:szCs w:val="21"/>
                      <w:vertAlign w:val="baseline"/>
                      <w:lang w:val="en-US" w:eastAsia="zh-CN"/>
                    </w:rPr>
                    <w:t>机油、油墨等辅助材料的暂存。</w:t>
                  </w:r>
                </w:p>
              </w:tc>
            </w:tr>
            <w:tr w14:paraId="73FB6BA5">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vMerge w:val="continue"/>
                  <w:tcBorders>
                    <w:left w:val="single" w:color="000000" w:sz="4" w:space="0"/>
                    <w:bottom w:val="single" w:color="000000" w:sz="4" w:space="0"/>
                    <w:right w:val="single" w:color="000000" w:sz="4" w:space="0"/>
                  </w:tcBorders>
                  <w:shd w:val="clear" w:color="auto" w:fill="FFFFFF"/>
                  <w:noWrap w:val="0"/>
                  <w:vAlign w:val="center"/>
                </w:tcPr>
                <w:p w14:paraId="283AECA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p>
              </w:tc>
              <w:tc>
                <w:tcPr>
                  <w:tcW w:w="9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BB11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成品库</w:t>
                  </w:r>
                </w:p>
              </w:tc>
              <w:tc>
                <w:tcPr>
                  <w:tcW w:w="35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356C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1F，面积约</w:t>
                  </w:r>
                  <w:r>
                    <w:rPr>
                      <w:rFonts w:hint="eastAsia" w:cs="Times New Roman"/>
                      <w:b w:val="0"/>
                      <w:bCs w:val="0"/>
                      <w:color w:val="auto"/>
                      <w:sz w:val="21"/>
                      <w:szCs w:val="21"/>
                      <w:vertAlign w:val="baseline"/>
                      <w:lang w:val="en-US" w:eastAsia="zh-CN"/>
                    </w:rPr>
                    <w:t>2</w:t>
                  </w:r>
                  <w:r>
                    <w:rPr>
                      <w:rFonts w:hint="default" w:ascii="Times New Roman" w:hAnsi="Times New Roman" w:eastAsia="宋体" w:cs="Times New Roman"/>
                      <w:b w:val="0"/>
                      <w:bCs w:val="0"/>
                      <w:color w:val="auto"/>
                      <w:sz w:val="21"/>
                      <w:szCs w:val="21"/>
                      <w:vertAlign w:val="baseline"/>
                      <w:lang w:val="en-US" w:eastAsia="zh-CN"/>
                    </w:rPr>
                    <w:t>00m</w:t>
                  </w:r>
                  <w:r>
                    <w:rPr>
                      <w:rFonts w:hint="default" w:ascii="Times New Roman" w:hAnsi="Times New Roman" w:eastAsia="宋体" w:cs="Times New Roman"/>
                      <w:b w:val="0"/>
                      <w:bCs w:val="0"/>
                      <w:color w:val="auto"/>
                      <w:sz w:val="21"/>
                      <w:szCs w:val="21"/>
                      <w:vertAlign w:val="superscript"/>
                      <w:lang w:val="en-US" w:eastAsia="zh-CN"/>
                    </w:rPr>
                    <w:t>2</w:t>
                  </w:r>
                  <w:r>
                    <w:rPr>
                      <w:rFonts w:hint="default" w:ascii="Times New Roman" w:hAnsi="Times New Roman" w:eastAsia="宋体" w:cs="Times New Roman"/>
                      <w:b w:val="0"/>
                      <w:bCs w:val="0"/>
                      <w:color w:val="auto"/>
                      <w:sz w:val="21"/>
                      <w:szCs w:val="21"/>
                      <w:vertAlign w:val="baseline"/>
                      <w:lang w:val="en-US" w:eastAsia="zh-CN"/>
                    </w:rPr>
                    <w:t>，位于1#车间</w:t>
                  </w:r>
                  <w:r>
                    <w:rPr>
                      <w:rFonts w:hint="eastAsia" w:ascii="Times New Roman" w:hAnsi="Times New Roman" w:eastAsia="宋体" w:cs="Times New Roman"/>
                      <w:b w:val="0"/>
                      <w:bCs w:val="0"/>
                      <w:color w:val="auto"/>
                      <w:sz w:val="21"/>
                      <w:szCs w:val="21"/>
                      <w:vertAlign w:val="baseline"/>
                      <w:lang w:val="en-US" w:eastAsia="zh-CN"/>
                    </w:rPr>
                    <w:t>西</w:t>
                  </w:r>
                  <w:r>
                    <w:rPr>
                      <w:rFonts w:hint="default" w:ascii="Times New Roman" w:hAnsi="Times New Roman" w:eastAsia="宋体" w:cs="Times New Roman"/>
                      <w:b w:val="0"/>
                      <w:bCs w:val="0"/>
                      <w:color w:val="auto"/>
                      <w:sz w:val="21"/>
                      <w:szCs w:val="21"/>
                      <w:vertAlign w:val="baseline"/>
                      <w:lang w:val="en-US" w:eastAsia="zh-CN"/>
                    </w:rPr>
                    <w:t>南侧，用于</w:t>
                  </w:r>
                  <w:r>
                    <w:rPr>
                      <w:rFonts w:hint="eastAsia" w:ascii="Times New Roman" w:hAnsi="Times New Roman" w:eastAsia="宋体" w:cs="Times New Roman"/>
                      <w:b w:val="0"/>
                      <w:bCs w:val="0"/>
                      <w:color w:val="auto"/>
                      <w:sz w:val="21"/>
                      <w:szCs w:val="21"/>
                      <w:vertAlign w:val="baseline"/>
                      <w:lang w:val="en-US" w:eastAsia="zh-CN"/>
                    </w:rPr>
                    <w:t>成品的暂存</w:t>
                  </w:r>
                  <w:r>
                    <w:rPr>
                      <w:rFonts w:hint="default" w:ascii="Times New Roman" w:hAnsi="Times New Roman" w:eastAsia="宋体" w:cs="Times New Roman"/>
                      <w:b w:val="0"/>
                      <w:bCs w:val="0"/>
                      <w:color w:val="auto"/>
                      <w:sz w:val="21"/>
                      <w:szCs w:val="21"/>
                      <w:vertAlign w:val="baseline"/>
                      <w:lang w:val="en-US" w:eastAsia="zh-CN"/>
                    </w:rPr>
                    <w:t>。</w:t>
                  </w:r>
                </w:p>
              </w:tc>
            </w:tr>
            <w:tr w14:paraId="0077020C">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AD0A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r>
                    <w:rPr>
                      <w:rFonts w:hint="default" w:ascii="Times New Roman" w:hAnsi="Times New Roman" w:eastAsia="宋体" w:cs="Times New Roman"/>
                      <w:b w:val="0"/>
                      <w:bCs w:val="0"/>
                      <w:color w:val="000000"/>
                      <w:sz w:val="21"/>
                      <w:szCs w:val="21"/>
                      <w:vertAlign w:val="baseline"/>
                      <w:lang w:val="en-US" w:eastAsia="zh-CN"/>
                    </w:rPr>
                    <w:t>公用工程</w:t>
                  </w:r>
                </w:p>
              </w:tc>
              <w:tc>
                <w:tcPr>
                  <w:tcW w:w="9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93EF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供电</w:t>
                  </w:r>
                </w:p>
              </w:tc>
              <w:tc>
                <w:tcPr>
                  <w:tcW w:w="35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3E4F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厂区设置节能型变压器供电，年用电量205.65万kW·h/a。</w:t>
                  </w:r>
                </w:p>
              </w:tc>
            </w:tr>
            <w:tr w14:paraId="10DD0F74">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59A7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p>
              </w:tc>
              <w:tc>
                <w:tcPr>
                  <w:tcW w:w="9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ACF0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供水</w:t>
                  </w:r>
                </w:p>
              </w:tc>
              <w:tc>
                <w:tcPr>
                  <w:tcW w:w="35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010A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市政供水，年用水量</w:t>
                  </w:r>
                  <w:r>
                    <w:rPr>
                      <w:rFonts w:hint="eastAsia" w:cs="Times New Roman"/>
                      <w:b w:val="0"/>
                      <w:bCs w:val="0"/>
                      <w:color w:val="auto"/>
                      <w:sz w:val="21"/>
                      <w:szCs w:val="21"/>
                      <w:vertAlign w:val="baseline"/>
                      <w:lang w:val="en-US" w:eastAsia="zh-CN"/>
                    </w:rPr>
                    <w:t>1399.4</w:t>
                  </w:r>
                  <w:r>
                    <w:rPr>
                      <w:rFonts w:hint="default" w:ascii="Times New Roman" w:hAnsi="Times New Roman" w:eastAsia="宋体" w:cs="Times New Roman"/>
                      <w:b w:val="0"/>
                      <w:bCs w:val="0"/>
                      <w:color w:val="auto"/>
                      <w:sz w:val="21"/>
                      <w:szCs w:val="21"/>
                      <w:vertAlign w:val="baseline"/>
                      <w:lang w:val="en-US" w:eastAsia="zh-CN"/>
                    </w:rPr>
                    <w:t>t/a。</w:t>
                  </w:r>
                </w:p>
              </w:tc>
            </w:tr>
            <w:tr w14:paraId="3744FE98">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C61C0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p>
              </w:tc>
              <w:tc>
                <w:tcPr>
                  <w:tcW w:w="9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DE9E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排水</w:t>
                  </w:r>
                </w:p>
              </w:tc>
              <w:tc>
                <w:tcPr>
                  <w:tcW w:w="35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FCC4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color w:val="auto"/>
                      <w:sz w:val="21"/>
                      <w:szCs w:val="21"/>
                      <w:highlight w:val="none"/>
                    </w:rPr>
                    <w:t>采用雨污分流，雨水经收集后排入园区雨水管网；</w:t>
                  </w:r>
                  <w:r>
                    <w:rPr>
                      <w:rFonts w:hint="eastAsia" w:cs="Times New Roman"/>
                      <w:b w:val="0"/>
                      <w:color w:val="auto"/>
                      <w:sz w:val="21"/>
                      <w:szCs w:val="21"/>
                      <w:highlight w:val="none"/>
                      <w:lang w:val="en-US" w:eastAsia="zh-CN"/>
                    </w:rPr>
                    <w:t>生活污水经化粪池处理后汇同经隔油池处理后的餐饮废水一同与冷却水定期排水一起通过</w:t>
                  </w:r>
                  <w:r>
                    <w:rPr>
                      <w:rFonts w:hint="default" w:ascii="Times New Roman" w:hAnsi="Times New Roman" w:eastAsia="宋体" w:cs="Times New Roman"/>
                      <w:b w:val="0"/>
                      <w:bCs w:val="0"/>
                      <w:color w:val="auto"/>
                      <w:sz w:val="21"/>
                      <w:szCs w:val="21"/>
                      <w:vertAlign w:val="baseline"/>
                      <w:lang w:val="en-US" w:eastAsia="zh-CN"/>
                    </w:rPr>
                    <w:t>园区污水管网送往</w:t>
                  </w:r>
                  <w:r>
                    <w:rPr>
                      <w:rFonts w:hint="eastAsia" w:cs="Times New Roman"/>
                      <w:b w:val="0"/>
                      <w:bCs w:val="0"/>
                      <w:color w:val="auto"/>
                      <w:sz w:val="21"/>
                      <w:szCs w:val="21"/>
                      <w:vertAlign w:val="baseline"/>
                      <w:lang w:val="en-US" w:eastAsia="zh-CN"/>
                    </w:rPr>
                    <w:t>青阳县</w:t>
                  </w:r>
                  <w:r>
                    <w:rPr>
                      <w:rFonts w:hint="default" w:ascii="Times New Roman" w:hAnsi="Times New Roman" w:eastAsia="宋体" w:cs="Times New Roman"/>
                      <w:b w:val="0"/>
                      <w:bCs w:val="0"/>
                      <w:color w:val="auto"/>
                      <w:sz w:val="21"/>
                      <w:szCs w:val="21"/>
                      <w:vertAlign w:val="baseline"/>
                      <w:lang w:val="en-US" w:eastAsia="zh-CN"/>
                    </w:rPr>
                    <w:t>污水处理厂</w:t>
                  </w:r>
                  <w:r>
                    <w:rPr>
                      <w:rFonts w:hint="eastAsia"/>
                      <w:color w:val="auto"/>
                      <w:lang w:eastAsia="zh-CN"/>
                    </w:rPr>
                    <w:t>，</w:t>
                  </w:r>
                  <w:r>
                    <w:rPr>
                      <w:rFonts w:hint="default" w:ascii="Times New Roman" w:hAnsi="Times New Roman" w:eastAsia="宋体" w:cs="Times New Roman"/>
                      <w:b w:val="0"/>
                      <w:bCs w:val="0"/>
                      <w:color w:val="auto"/>
                      <w:sz w:val="21"/>
                      <w:szCs w:val="21"/>
                      <w:vertAlign w:val="baseline"/>
                      <w:lang w:val="en-US" w:eastAsia="zh-CN"/>
                    </w:rPr>
                    <w:t>处理达标后排放。</w:t>
                  </w:r>
                </w:p>
              </w:tc>
            </w:tr>
            <w:tr w14:paraId="6DA12D5D">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vMerge w:val="restart"/>
                  <w:tcBorders>
                    <w:top w:val="single" w:color="000000" w:sz="4" w:space="0"/>
                    <w:left w:val="single" w:color="000000" w:sz="4" w:space="0"/>
                    <w:right w:val="single" w:color="000000" w:sz="4" w:space="0"/>
                  </w:tcBorders>
                  <w:shd w:val="clear" w:color="auto" w:fill="FFFFFF"/>
                  <w:noWrap w:val="0"/>
                  <w:vAlign w:val="center"/>
                </w:tcPr>
                <w:p w14:paraId="7605899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r>
                    <w:rPr>
                      <w:rFonts w:hint="default" w:ascii="Times New Roman" w:hAnsi="Times New Roman" w:eastAsia="宋体" w:cs="Times New Roman"/>
                      <w:b w:val="0"/>
                      <w:bCs w:val="0"/>
                      <w:color w:val="000000"/>
                      <w:sz w:val="21"/>
                      <w:szCs w:val="21"/>
                      <w:vertAlign w:val="baseline"/>
                      <w:lang w:val="en-US" w:eastAsia="zh-CN"/>
                    </w:rPr>
                    <w:t>环保工程</w:t>
                  </w:r>
                </w:p>
              </w:tc>
              <w:tc>
                <w:tcPr>
                  <w:tcW w:w="968" w:type="pct"/>
                  <w:gridSpan w:val="2"/>
                  <w:vMerge w:val="restart"/>
                  <w:tcBorders>
                    <w:top w:val="single" w:color="000000" w:sz="4" w:space="0"/>
                    <w:left w:val="single" w:color="000000" w:sz="4" w:space="0"/>
                    <w:right w:val="single" w:color="000000" w:sz="4" w:space="0"/>
                  </w:tcBorders>
                  <w:shd w:val="clear" w:color="auto" w:fill="FFFFFF"/>
                  <w:noWrap w:val="0"/>
                  <w:vAlign w:val="center"/>
                </w:tcPr>
                <w:p w14:paraId="07A5F09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废气治理</w:t>
                  </w:r>
                </w:p>
              </w:tc>
              <w:tc>
                <w:tcPr>
                  <w:tcW w:w="35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C3F9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highlight w:val="yellow"/>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挤出包塑、挤护套工序产生的</w:t>
                  </w:r>
                  <w:r>
                    <w:rPr>
                      <w:rFonts w:hint="eastAsia" w:cs="Times New Roman"/>
                      <w:b w:val="0"/>
                      <w:bCs w:val="0"/>
                      <w:color w:val="auto"/>
                      <w:sz w:val="21"/>
                      <w:szCs w:val="21"/>
                      <w:highlight w:val="none"/>
                      <w:vertAlign w:val="baseline"/>
                      <w:lang w:val="en-US" w:eastAsia="zh-CN"/>
                    </w:rPr>
                    <w:t>挤出</w:t>
                  </w:r>
                  <w:r>
                    <w:rPr>
                      <w:rFonts w:hint="default" w:ascii="Times New Roman" w:hAnsi="Times New Roman" w:eastAsia="宋体" w:cs="Times New Roman"/>
                      <w:b w:val="0"/>
                      <w:bCs w:val="0"/>
                      <w:color w:val="auto"/>
                      <w:sz w:val="21"/>
                      <w:szCs w:val="21"/>
                      <w:highlight w:val="none"/>
                      <w:vertAlign w:val="baseline"/>
                      <w:lang w:val="en-US" w:eastAsia="zh-CN"/>
                    </w:rPr>
                    <w:t>废气</w:t>
                  </w:r>
                  <w:r>
                    <w:rPr>
                      <w:rFonts w:hint="eastAsia" w:cs="Times New Roman"/>
                      <w:b w:val="0"/>
                      <w:bCs w:val="0"/>
                      <w:color w:val="auto"/>
                      <w:sz w:val="21"/>
                      <w:szCs w:val="21"/>
                      <w:highlight w:val="none"/>
                      <w:vertAlign w:val="baseline"/>
                      <w:lang w:val="en-US" w:eastAsia="zh-CN"/>
                    </w:rPr>
                    <w:t>密闭收集后经</w:t>
                  </w:r>
                  <w:r>
                    <w:rPr>
                      <w:rFonts w:hint="default" w:ascii="Times New Roman" w:hAnsi="Times New Roman" w:eastAsia="宋体" w:cs="Times New Roman"/>
                      <w:b w:val="0"/>
                      <w:bCs w:val="0"/>
                      <w:color w:val="auto"/>
                      <w:sz w:val="21"/>
                      <w:szCs w:val="21"/>
                      <w:highlight w:val="none"/>
                      <w:vertAlign w:val="baseline"/>
                      <w:lang w:val="en-US" w:eastAsia="zh-CN"/>
                    </w:rPr>
                    <w:t>二级活性炭吸附装置</w:t>
                  </w:r>
                  <w:r>
                    <w:rPr>
                      <w:rFonts w:hint="eastAsia" w:cs="Times New Roman"/>
                      <w:b w:val="0"/>
                      <w:bCs w:val="0"/>
                      <w:color w:val="auto"/>
                      <w:sz w:val="21"/>
                      <w:szCs w:val="21"/>
                      <w:highlight w:val="none"/>
                      <w:vertAlign w:val="baseline"/>
                      <w:lang w:val="en-US" w:eastAsia="zh-CN"/>
                    </w:rPr>
                    <w:t>（TA001）</w:t>
                  </w:r>
                  <w:r>
                    <w:rPr>
                      <w:rFonts w:hint="default" w:ascii="Times New Roman" w:hAnsi="Times New Roman" w:eastAsia="宋体" w:cs="Times New Roman"/>
                      <w:b w:val="0"/>
                      <w:bCs w:val="0"/>
                      <w:color w:val="auto"/>
                      <w:sz w:val="21"/>
                      <w:szCs w:val="21"/>
                      <w:highlight w:val="none"/>
                      <w:vertAlign w:val="baseline"/>
                      <w:lang w:val="en-US" w:eastAsia="zh-CN"/>
                    </w:rPr>
                    <w:t>处理后通过15米高排气筒</w:t>
                  </w:r>
                  <w:r>
                    <w:rPr>
                      <w:rFonts w:hint="eastAsia" w:cs="Times New Roman"/>
                      <w:b w:val="0"/>
                      <w:bCs w:val="0"/>
                      <w:color w:val="auto"/>
                      <w:sz w:val="21"/>
                      <w:szCs w:val="21"/>
                      <w:highlight w:val="none"/>
                      <w:vertAlign w:val="baseline"/>
                      <w:lang w:val="en-US" w:eastAsia="zh-CN"/>
                    </w:rPr>
                    <w:t>（DA001）</w:t>
                  </w:r>
                  <w:r>
                    <w:rPr>
                      <w:rFonts w:hint="default" w:ascii="Times New Roman" w:hAnsi="Times New Roman" w:eastAsia="宋体" w:cs="Times New Roman"/>
                      <w:b w:val="0"/>
                      <w:bCs w:val="0"/>
                      <w:color w:val="auto"/>
                      <w:sz w:val="21"/>
                      <w:szCs w:val="21"/>
                      <w:highlight w:val="none"/>
                      <w:vertAlign w:val="baseline"/>
                      <w:lang w:val="en-US" w:eastAsia="zh-CN"/>
                    </w:rPr>
                    <w:t>排放。</w:t>
                  </w:r>
                </w:p>
              </w:tc>
            </w:tr>
            <w:tr w14:paraId="252AB39F">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vMerge w:val="continue"/>
                  <w:tcBorders>
                    <w:left w:val="single" w:color="000000" w:sz="4" w:space="0"/>
                    <w:right w:val="single" w:color="000000" w:sz="4" w:space="0"/>
                  </w:tcBorders>
                  <w:shd w:val="clear" w:color="auto" w:fill="FFFFFF"/>
                  <w:noWrap w:val="0"/>
                  <w:vAlign w:val="center"/>
                </w:tcPr>
                <w:p w14:paraId="22B5E95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p>
              </w:tc>
              <w:tc>
                <w:tcPr>
                  <w:tcW w:w="968" w:type="pct"/>
                  <w:gridSpan w:val="2"/>
                  <w:vMerge w:val="continue"/>
                  <w:tcBorders>
                    <w:left w:val="single" w:color="000000" w:sz="4" w:space="0"/>
                    <w:right w:val="single" w:color="000000" w:sz="4" w:space="0"/>
                  </w:tcBorders>
                  <w:shd w:val="clear" w:color="auto" w:fill="FFFFFF"/>
                  <w:noWrap w:val="0"/>
                  <w:vAlign w:val="center"/>
                </w:tcPr>
                <w:p w14:paraId="4AF446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p>
              </w:tc>
              <w:tc>
                <w:tcPr>
                  <w:tcW w:w="35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801C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注塑工序产生的注塑废气密闭收集后经二级活性炭吸附装置（TA001）处理后通过15米高排气筒（DA001）排放。</w:t>
                  </w:r>
                </w:p>
              </w:tc>
            </w:tr>
            <w:tr w14:paraId="59171B36">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vMerge w:val="continue"/>
                  <w:tcBorders>
                    <w:left w:val="single" w:color="000000" w:sz="4" w:space="0"/>
                    <w:right w:val="single" w:color="000000" w:sz="4" w:space="0"/>
                  </w:tcBorders>
                  <w:shd w:val="clear" w:color="auto" w:fill="FFFFFF"/>
                  <w:noWrap w:val="0"/>
                  <w:vAlign w:val="center"/>
                </w:tcPr>
                <w:p w14:paraId="59921C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p>
              </w:tc>
              <w:tc>
                <w:tcPr>
                  <w:tcW w:w="968" w:type="pct"/>
                  <w:gridSpan w:val="2"/>
                  <w:vMerge w:val="continue"/>
                  <w:tcBorders>
                    <w:left w:val="single" w:color="000000" w:sz="4" w:space="0"/>
                    <w:right w:val="single" w:color="000000" w:sz="4" w:space="0"/>
                  </w:tcBorders>
                  <w:shd w:val="clear" w:color="auto" w:fill="FFFFFF"/>
                  <w:noWrap w:val="0"/>
                  <w:vAlign w:val="center"/>
                </w:tcPr>
                <w:p w14:paraId="450519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p>
              </w:tc>
              <w:tc>
                <w:tcPr>
                  <w:tcW w:w="35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612B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喷码工序产生的喷码废气密闭收集后经二级活性炭吸附装置（TA001）处理后通过15米高排气筒（DA001）排放。</w:t>
                  </w:r>
                </w:p>
              </w:tc>
            </w:tr>
            <w:tr w14:paraId="65069D7D">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vMerge w:val="continue"/>
                  <w:tcBorders>
                    <w:left w:val="single" w:color="000000" w:sz="4" w:space="0"/>
                    <w:right w:val="single" w:color="000000" w:sz="4" w:space="0"/>
                  </w:tcBorders>
                  <w:shd w:val="clear" w:color="auto" w:fill="FFFFFF"/>
                  <w:noWrap w:val="0"/>
                  <w:vAlign w:val="center"/>
                </w:tcPr>
                <w:p w14:paraId="2D88F5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p>
              </w:tc>
              <w:tc>
                <w:tcPr>
                  <w:tcW w:w="968" w:type="pct"/>
                  <w:gridSpan w:val="2"/>
                  <w:vMerge w:val="continue"/>
                  <w:tcBorders>
                    <w:left w:val="single" w:color="000000" w:sz="4" w:space="0"/>
                    <w:right w:val="single" w:color="000000" w:sz="4" w:space="0"/>
                  </w:tcBorders>
                  <w:shd w:val="clear" w:color="auto" w:fill="FFFFFF"/>
                  <w:noWrap w:val="0"/>
                  <w:vAlign w:val="center"/>
                </w:tcPr>
                <w:p w14:paraId="3D1A62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p>
              </w:tc>
              <w:tc>
                <w:tcPr>
                  <w:tcW w:w="35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D626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highlight w:val="yellow"/>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投料工序产生的粉尘</w:t>
                  </w:r>
                  <w:r>
                    <w:rPr>
                      <w:rFonts w:hint="eastAsia" w:cs="Times New Roman"/>
                      <w:b w:val="0"/>
                      <w:bCs w:val="0"/>
                      <w:color w:val="auto"/>
                      <w:sz w:val="21"/>
                      <w:szCs w:val="21"/>
                      <w:highlight w:val="none"/>
                      <w:vertAlign w:val="baseline"/>
                      <w:lang w:val="en-US" w:eastAsia="zh-CN"/>
                    </w:rPr>
                    <w:t>，集气罩</w:t>
                  </w:r>
                  <w:r>
                    <w:rPr>
                      <w:rFonts w:hint="default" w:ascii="Times New Roman" w:hAnsi="Times New Roman" w:eastAsia="宋体" w:cs="Times New Roman"/>
                      <w:b w:val="0"/>
                      <w:bCs w:val="0"/>
                      <w:color w:val="auto"/>
                      <w:sz w:val="21"/>
                      <w:szCs w:val="21"/>
                      <w:highlight w:val="none"/>
                      <w:vertAlign w:val="baseline"/>
                      <w:lang w:val="en-US" w:eastAsia="zh-CN"/>
                    </w:rPr>
                    <w:t>收集后经布袋除尘器</w:t>
                  </w:r>
                  <w:r>
                    <w:rPr>
                      <w:rFonts w:hint="eastAsia" w:cs="Times New Roman"/>
                      <w:b w:val="0"/>
                      <w:bCs w:val="0"/>
                      <w:color w:val="auto"/>
                      <w:sz w:val="21"/>
                      <w:szCs w:val="21"/>
                      <w:highlight w:val="none"/>
                      <w:vertAlign w:val="baseline"/>
                      <w:lang w:val="en-US" w:eastAsia="zh-CN"/>
                    </w:rPr>
                    <w:t>（TA002）</w:t>
                  </w:r>
                  <w:r>
                    <w:rPr>
                      <w:rFonts w:hint="default" w:ascii="Times New Roman" w:hAnsi="Times New Roman" w:eastAsia="宋体" w:cs="Times New Roman"/>
                      <w:b w:val="0"/>
                      <w:bCs w:val="0"/>
                      <w:color w:val="auto"/>
                      <w:sz w:val="21"/>
                      <w:szCs w:val="21"/>
                      <w:highlight w:val="none"/>
                      <w:vertAlign w:val="baseline"/>
                      <w:lang w:val="en-US" w:eastAsia="zh-CN"/>
                    </w:rPr>
                    <w:t>处理后通过15米高排气筒</w:t>
                  </w:r>
                  <w:r>
                    <w:rPr>
                      <w:rFonts w:hint="eastAsia" w:cs="Times New Roman"/>
                      <w:b w:val="0"/>
                      <w:bCs w:val="0"/>
                      <w:color w:val="auto"/>
                      <w:sz w:val="21"/>
                      <w:szCs w:val="21"/>
                      <w:highlight w:val="none"/>
                      <w:vertAlign w:val="baseline"/>
                      <w:lang w:val="en-US" w:eastAsia="zh-CN"/>
                    </w:rPr>
                    <w:t>（DA002）</w:t>
                  </w:r>
                  <w:r>
                    <w:rPr>
                      <w:rFonts w:hint="default" w:ascii="Times New Roman" w:hAnsi="Times New Roman" w:eastAsia="宋体" w:cs="Times New Roman"/>
                      <w:b w:val="0"/>
                      <w:bCs w:val="0"/>
                      <w:color w:val="auto"/>
                      <w:sz w:val="21"/>
                      <w:szCs w:val="21"/>
                      <w:highlight w:val="none"/>
                      <w:vertAlign w:val="baseline"/>
                      <w:lang w:val="en-US" w:eastAsia="zh-CN"/>
                    </w:rPr>
                    <w:t>排放。</w:t>
                  </w:r>
                </w:p>
              </w:tc>
            </w:tr>
            <w:tr w14:paraId="65103323">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vMerge w:val="continue"/>
                  <w:tcBorders>
                    <w:left w:val="single" w:color="000000" w:sz="4" w:space="0"/>
                    <w:right w:val="single" w:color="000000" w:sz="4" w:space="0"/>
                  </w:tcBorders>
                  <w:shd w:val="clear" w:color="auto" w:fill="FFFFFF"/>
                  <w:noWrap w:val="0"/>
                  <w:vAlign w:val="center"/>
                </w:tcPr>
                <w:p w14:paraId="35CE307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p>
              </w:tc>
              <w:tc>
                <w:tcPr>
                  <w:tcW w:w="968" w:type="pct"/>
                  <w:gridSpan w:val="2"/>
                  <w:vMerge w:val="continue"/>
                  <w:tcBorders>
                    <w:left w:val="single" w:color="000000" w:sz="4" w:space="0"/>
                    <w:right w:val="single" w:color="000000" w:sz="4" w:space="0"/>
                  </w:tcBorders>
                  <w:shd w:val="clear" w:color="auto" w:fill="FFFFFF"/>
                  <w:noWrap w:val="0"/>
                  <w:vAlign w:val="center"/>
                </w:tcPr>
                <w:p w14:paraId="6D6C99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p>
              </w:tc>
              <w:tc>
                <w:tcPr>
                  <w:tcW w:w="35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C17F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二次冷却工序产生的旋风分离废气经管道密闭收集后通过布袋除尘器（TA002）处理后通过15m高的排气筒（DA002）排放</w:t>
                  </w:r>
                </w:p>
              </w:tc>
            </w:tr>
            <w:tr w14:paraId="19F0ED19">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vMerge w:val="continue"/>
                  <w:tcBorders>
                    <w:left w:val="single" w:color="000000" w:sz="4" w:space="0"/>
                    <w:right w:val="single" w:color="000000" w:sz="4" w:space="0"/>
                  </w:tcBorders>
                  <w:shd w:val="clear" w:color="auto" w:fill="FFFFFF"/>
                  <w:noWrap w:val="0"/>
                  <w:vAlign w:val="center"/>
                </w:tcPr>
                <w:p w14:paraId="61DA74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p>
              </w:tc>
              <w:tc>
                <w:tcPr>
                  <w:tcW w:w="968" w:type="pct"/>
                  <w:gridSpan w:val="2"/>
                  <w:vMerge w:val="continue"/>
                  <w:tcBorders>
                    <w:left w:val="single" w:color="000000" w:sz="4" w:space="0"/>
                    <w:right w:val="single" w:color="000000" w:sz="4" w:space="0"/>
                  </w:tcBorders>
                  <w:shd w:val="clear" w:color="auto" w:fill="FFFFFF"/>
                  <w:noWrap w:val="0"/>
                  <w:vAlign w:val="center"/>
                </w:tcPr>
                <w:p w14:paraId="09504E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p>
              </w:tc>
              <w:tc>
                <w:tcPr>
                  <w:tcW w:w="35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FBAE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highlight w:val="yellow"/>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熔融</w:t>
                  </w:r>
                  <w:r>
                    <w:rPr>
                      <w:rFonts w:hint="eastAsia" w:cs="Times New Roman"/>
                      <w:b w:val="0"/>
                      <w:bCs w:val="0"/>
                      <w:color w:val="auto"/>
                      <w:sz w:val="21"/>
                      <w:szCs w:val="21"/>
                      <w:highlight w:val="none"/>
                      <w:vertAlign w:val="baseline"/>
                      <w:lang w:val="en-US" w:eastAsia="zh-CN"/>
                    </w:rPr>
                    <w:t>、</w:t>
                  </w:r>
                  <w:r>
                    <w:rPr>
                      <w:rFonts w:hint="eastAsia" w:ascii="Times New Roman" w:hAnsi="Times New Roman" w:eastAsia="宋体" w:cs="Times New Roman"/>
                      <w:b w:val="0"/>
                      <w:bCs w:val="0"/>
                      <w:color w:val="auto"/>
                      <w:sz w:val="21"/>
                      <w:szCs w:val="21"/>
                      <w:highlight w:val="none"/>
                      <w:vertAlign w:val="baseline"/>
                      <w:lang w:val="en-US" w:eastAsia="zh-CN"/>
                    </w:rPr>
                    <w:t>造粒</w:t>
                  </w:r>
                  <w:r>
                    <w:rPr>
                      <w:rFonts w:hint="eastAsia" w:cs="Times New Roman"/>
                      <w:b w:val="0"/>
                      <w:bCs w:val="0"/>
                      <w:color w:val="auto"/>
                      <w:sz w:val="21"/>
                      <w:szCs w:val="21"/>
                      <w:highlight w:val="none"/>
                      <w:vertAlign w:val="baseline"/>
                      <w:lang w:val="en-US" w:eastAsia="zh-CN"/>
                    </w:rPr>
                    <w:t>和一次冷却</w:t>
                  </w:r>
                  <w:r>
                    <w:rPr>
                      <w:rFonts w:hint="default" w:ascii="Times New Roman" w:hAnsi="Times New Roman" w:eastAsia="宋体" w:cs="Times New Roman"/>
                      <w:b w:val="0"/>
                      <w:bCs w:val="0"/>
                      <w:color w:val="auto"/>
                      <w:sz w:val="21"/>
                      <w:szCs w:val="21"/>
                      <w:highlight w:val="none"/>
                      <w:vertAlign w:val="baseline"/>
                      <w:lang w:val="en-US" w:eastAsia="zh-CN"/>
                    </w:rPr>
                    <w:t>工序产生的</w:t>
                  </w:r>
                  <w:r>
                    <w:rPr>
                      <w:rFonts w:hint="eastAsia" w:cs="Times New Roman"/>
                      <w:b w:val="0"/>
                      <w:bCs w:val="0"/>
                      <w:color w:val="auto"/>
                      <w:sz w:val="21"/>
                      <w:szCs w:val="21"/>
                      <w:highlight w:val="none"/>
                      <w:vertAlign w:val="baseline"/>
                      <w:lang w:val="en-US" w:eastAsia="zh-CN"/>
                    </w:rPr>
                    <w:t>熔融造粒</w:t>
                  </w:r>
                  <w:r>
                    <w:rPr>
                      <w:rFonts w:hint="default" w:ascii="Times New Roman" w:hAnsi="Times New Roman" w:eastAsia="宋体" w:cs="Times New Roman"/>
                      <w:b w:val="0"/>
                      <w:bCs w:val="0"/>
                      <w:color w:val="auto"/>
                      <w:sz w:val="21"/>
                      <w:szCs w:val="21"/>
                      <w:highlight w:val="none"/>
                      <w:vertAlign w:val="baseline"/>
                      <w:lang w:val="en-US" w:eastAsia="zh-CN"/>
                    </w:rPr>
                    <w:t>废气</w:t>
                  </w:r>
                  <w:r>
                    <w:rPr>
                      <w:rFonts w:hint="eastAsia" w:cs="Times New Roman"/>
                      <w:b w:val="0"/>
                      <w:bCs w:val="0"/>
                      <w:color w:val="auto"/>
                      <w:sz w:val="21"/>
                      <w:szCs w:val="21"/>
                      <w:highlight w:val="none"/>
                      <w:vertAlign w:val="baseline"/>
                      <w:lang w:val="en-US" w:eastAsia="zh-CN"/>
                    </w:rPr>
                    <w:t>密闭收集后</w:t>
                  </w:r>
                  <w:r>
                    <w:rPr>
                      <w:rFonts w:hint="default" w:ascii="Times New Roman" w:hAnsi="Times New Roman" w:eastAsia="宋体" w:cs="Times New Roman"/>
                      <w:b w:val="0"/>
                      <w:bCs w:val="0"/>
                      <w:color w:val="auto"/>
                      <w:sz w:val="21"/>
                      <w:szCs w:val="21"/>
                      <w:highlight w:val="none"/>
                      <w:vertAlign w:val="baseline"/>
                      <w:lang w:val="en-US" w:eastAsia="zh-CN"/>
                    </w:rPr>
                    <w:t>经二级活性炭吸附装置</w:t>
                  </w:r>
                  <w:r>
                    <w:rPr>
                      <w:rFonts w:hint="eastAsia" w:cs="Times New Roman"/>
                      <w:b w:val="0"/>
                      <w:bCs w:val="0"/>
                      <w:color w:val="auto"/>
                      <w:sz w:val="21"/>
                      <w:szCs w:val="21"/>
                      <w:highlight w:val="none"/>
                      <w:vertAlign w:val="baseline"/>
                      <w:lang w:val="en-US" w:eastAsia="zh-CN"/>
                    </w:rPr>
                    <w:t>（TA003）</w:t>
                  </w:r>
                  <w:r>
                    <w:rPr>
                      <w:rFonts w:hint="default" w:ascii="Times New Roman" w:hAnsi="Times New Roman" w:eastAsia="宋体" w:cs="Times New Roman"/>
                      <w:b w:val="0"/>
                      <w:bCs w:val="0"/>
                      <w:color w:val="auto"/>
                      <w:sz w:val="21"/>
                      <w:szCs w:val="21"/>
                      <w:highlight w:val="none"/>
                      <w:vertAlign w:val="baseline"/>
                      <w:lang w:val="en-US" w:eastAsia="zh-CN"/>
                    </w:rPr>
                    <w:t>处理后通过15米高排气筒</w:t>
                  </w:r>
                  <w:r>
                    <w:rPr>
                      <w:rFonts w:hint="eastAsia" w:cs="Times New Roman"/>
                      <w:b w:val="0"/>
                      <w:bCs w:val="0"/>
                      <w:color w:val="auto"/>
                      <w:sz w:val="21"/>
                      <w:szCs w:val="21"/>
                      <w:highlight w:val="none"/>
                      <w:vertAlign w:val="baseline"/>
                      <w:lang w:val="en-US" w:eastAsia="zh-CN"/>
                    </w:rPr>
                    <w:t>（DA003）</w:t>
                  </w:r>
                  <w:r>
                    <w:rPr>
                      <w:rFonts w:hint="default" w:ascii="Times New Roman" w:hAnsi="Times New Roman" w:eastAsia="宋体" w:cs="Times New Roman"/>
                      <w:b w:val="0"/>
                      <w:bCs w:val="0"/>
                      <w:color w:val="auto"/>
                      <w:sz w:val="21"/>
                      <w:szCs w:val="21"/>
                      <w:highlight w:val="none"/>
                      <w:vertAlign w:val="baseline"/>
                      <w:lang w:val="en-US" w:eastAsia="zh-CN"/>
                    </w:rPr>
                    <w:t>排放。</w:t>
                  </w:r>
                </w:p>
              </w:tc>
            </w:tr>
            <w:tr w14:paraId="1A24EB80">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vMerge w:val="continue"/>
                  <w:tcBorders>
                    <w:left w:val="single" w:color="000000" w:sz="4" w:space="0"/>
                    <w:right w:val="single" w:color="000000" w:sz="4" w:space="0"/>
                  </w:tcBorders>
                  <w:shd w:val="clear" w:color="auto" w:fill="FFFFFF"/>
                  <w:noWrap w:val="0"/>
                  <w:vAlign w:val="center"/>
                </w:tcPr>
                <w:p w14:paraId="010D56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p>
              </w:tc>
              <w:tc>
                <w:tcPr>
                  <w:tcW w:w="9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1A920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废水治理</w:t>
                  </w:r>
                </w:p>
              </w:tc>
              <w:tc>
                <w:tcPr>
                  <w:tcW w:w="35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CA77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color w:val="auto"/>
                      <w:sz w:val="21"/>
                      <w:szCs w:val="21"/>
                      <w:highlight w:val="none"/>
                      <w:lang w:val="en-US" w:eastAsia="zh-CN"/>
                    </w:rPr>
                    <w:t>生活污水经化粪池处理后汇同经隔油池处理后的餐饮废水一同与冷却水定期排水一起通过</w:t>
                  </w:r>
                  <w:r>
                    <w:rPr>
                      <w:rFonts w:hint="default" w:ascii="Times New Roman" w:hAnsi="Times New Roman" w:eastAsia="宋体" w:cs="Times New Roman"/>
                      <w:b w:val="0"/>
                      <w:bCs w:val="0"/>
                      <w:color w:val="auto"/>
                      <w:sz w:val="21"/>
                      <w:szCs w:val="21"/>
                      <w:vertAlign w:val="baseline"/>
                      <w:lang w:val="en-US" w:eastAsia="zh-CN"/>
                    </w:rPr>
                    <w:t>园区污水管网送往</w:t>
                  </w:r>
                  <w:r>
                    <w:rPr>
                      <w:rFonts w:hint="eastAsia" w:cs="Times New Roman"/>
                      <w:b w:val="0"/>
                      <w:bCs w:val="0"/>
                      <w:color w:val="auto"/>
                      <w:sz w:val="21"/>
                      <w:szCs w:val="21"/>
                      <w:vertAlign w:val="baseline"/>
                      <w:lang w:val="en-US" w:eastAsia="zh-CN"/>
                    </w:rPr>
                    <w:t>青阳县</w:t>
                  </w:r>
                  <w:r>
                    <w:rPr>
                      <w:rFonts w:hint="default" w:ascii="Times New Roman" w:hAnsi="Times New Roman" w:eastAsia="宋体" w:cs="Times New Roman"/>
                      <w:b w:val="0"/>
                      <w:bCs w:val="0"/>
                      <w:color w:val="auto"/>
                      <w:sz w:val="21"/>
                      <w:szCs w:val="21"/>
                      <w:vertAlign w:val="baseline"/>
                      <w:lang w:val="en-US" w:eastAsia="zh-CN"/>
                    </w:rPr>
                    <w:t>污水处理厂</w:t>
                  </w:r>
                  <w:r>
                    <w:rPr>
                      <w:rFonts w:hint="eastAsia"/>
                      <w:color w:val="auto"/>
                      <w:lang w:eastAsia="zh-CN"/>
                    </w:rPr>
                    <w:t>，</w:t>
                  </w:r>
                  <w:r>
                    <w:rPr>
                      <w:rFonts w:hint="default" w:ascii="Times New Roman" w:hAnsi="Times New Roman" w:eastAsia="宋体" w:cs="Times New Roman"/>
                      <w:b w:val="0"/>
                      <w:bCs w:val="0"/>
                      <w:color w:val="auto"/>
                      <w:sz w:val="21"/>
                      <w:szCs w:val="21"/>
                      <w:vertAlign w:val="baseline"/>
                      <w:lang w:val="en-US" w:eastAsia="zh-CN"/>
                    </w:rPr>
                    <w:t>处理达标后排放。</w:t>
                  </w:r>
                </w:p>
              </w:tc>
            </w:tr>
            <w:tr w14:paraId="76AE73DA">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vMerge w:val="continue"/>
                  <w:tcBorders>
                    <w:left w:val="single" w:color="000000" w:sz="4" w:space="0"/>
                    <w:right w:val="single" w:color="000000" w:sz="4" w:space="0"/>
                  </w:tcBorders>
                  <w:shd w:val="clear" w:color="auto" w:fill="FFFFFF"/>
                  <w:noWrap w:val="0"/>
                  <w:vAlign w:val="center"/>
                </w:tcPr>
                <w:p w14:paraId="25C5857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p>
              </w:tc>
              <w:tc>
                <w:tcPr>
                  <w:tcW w:w="96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C2BB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r>
                    <w:rPr>
                      <w:rFonts w:hint="default" w:ascii="Times New Roman" w:hAnsi="Times New Roman" w:eastAsia="宋体" w:cs="Times New Roman"/>
                      <w:b w:val="0"/>
                      <w:bCs w:val="0"/>
                      <w:color w:val="000000"/>
                      <w:sz w:val="21"/>
                      <w:szCs w:val="21"/>
                      <w:vertAlign w:val="baseline"/>
                      <w:lang w:val="en-US" w:eastAsia="zh-CN"/>
                    </w:rPr>
                    <w:t>噪声治理</w:t>
                  </w:r>
                </w:p>
              </w:tc>
              <w:tc>
                <w:tcPr>
                  <w:tcW w:w="35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896C4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r>
                    <w:rPr>
                      <w:rFonts w:hint="default" w:ascii="Times New Roman" w:hAnsi="Times New Roman" w:eastAsia="宋体" w:cs="Times New Roman"/>
                      <w:b w:val="0"/>
                      <w:bCs w:val="0"/>
                      <w:color w:val="000000"/>
                      <w:sz w:val="21"/>
                      <w:szCs w:val="21"/>
                      <w:vertAlign w:val="baseline"/>
                      <w:lang w:val="en-US" w:eastAsia="zh-CN"/>
                    </w:rPr>
                    <w:t>选用低噪声设备、基础</w:t>
                  </w:r>
                  <w:r>
                    <w:rPr>
                      <w:rFonts w:hint="eastAsia" w:cs="Times New Roman"/>
                      <w:b w:val="0"/>
                      <w:bCs w:val="0"/>
                      <w:color w:val="000000"/>
                      <w:sz w:val="21"/>
                      <w:szCs w:val="21"/>
                      <w:vertAlign w:val="baseline"/>
                      <w:lang w:val="en-US" w:eastAsia="zh-CN"/>
                    </w:rPr>
                    <w:t>减振</w:t>
                  </w:r>
                  <w:r>
                    <w:rPr>
                      <w:rFonts w:hint="default" w:ascii="Times New Roman" w:hAnsi="Times New Roman" w:eastAsia="宋体" w:cs="Times New Roman"/>
                      <w:b w:val="0"/>
                      <w:bCs w:val="0"/>
                      <w:color w:val="000000"/>
                      <w:sz w:val="21"/>
                      <w:szCs w:val="21"/>
                      <w:vertAlign w:val="baseline"/>
                      <w:lang w:val="en-US" w:eastAsia="zh-CN"/>
                    </w:rPr>
                    <w:t>、厂房隔声等。</w:t>
                  </w:r>
                </w:p>
              </w:tc>
            </w:tr>
            <w:tr w14:paraId="15CF0833">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vMerge w:val="continue"/>
                  <w:tcBorders>
                    <w:left w:val="single" w:color="000000" w:sz="4" w:space="0"/>
                    <w:right w:val="single" w:color="000000" w:sz="4" w:space="0"/>
                  </w:tcBorders>
                  <w:shd w:val="clear" w:color="auto" w:fill="FFFFFF"/>
                  <w:noWrap w:val="0"/>
                  <w:vAlign w:val="center"/>
                </w:tcPr>
                <w:p w14:paraId="0F6622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p>
              </w:tc>
              <w:tc>
                <w:tcPr>
                  <w:tcW w:w="968"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C851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r>
                    <w:rPr>
                      <w:rFonts w:hint="default" w:ascii="Times New Roman" w:hAnsi="Times New Roman" w:eastAsia="宋体" w:cs="Times New Roman"/>
                      <w:b w:val="0"/>
                      <w:bCs w:val="0"/>
                      <w:color w:val="000000"/>
                      <w:sz w:val="21"/>
                      <w:szCs w:val="21"/>
                      <w:vertAlign w:val="baseline"/>
                      <w:lang w:val="en-US" w:eastAsia="zh-CN"/>
                    </w:rPr>
                    <w:t>固废处置</w:t>
                  </w:r>
                </w:p>
              </w:tc>
              <w:tc>
                <w:tcPr>
                  <w:tcW w:w="35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CDDB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r>
                    <w:rPr>
                      <w:rFonts w:hint="default" w:ascii="Times New Roman" w:hAnsi="Times New Roman" w:eastAsia="宋体" w:cs="Times New Roman"/>
                      <w:b w:val="0"/>
                      <w:bCs w:val="0"/>
                      <w:color w:val="000000"/>
                      <w:sz w:val="21"/>
                      <w:szCs w:val="21"/>
                      <w:vertAlign w:val="baseline"/>
                      <w:lang w:val="en-US" w:eastAsia="zh-CN"/>
                    </w:rPr>
                    <w:t>一般固废间面积约</w:t>
                  </w:r>
                  <w:r>
                    <w:rPr>
                      <w:rFonts w:hint="eastAsia" w:cs="Times New Roman"/>
                      <w:b w:val="0"/>
                      <w:bCs w:val="0"/>
                      <w:color w:val="000000"/>
                      <w:sz w:val="21"/>
                      <w:szCs w:val="21"/>
                      <w:vertAlign w:val="baseline"/>
                      <w:lang w:val="en-US" w:eastAsia="zh-CN"/>
                    </w:rPr>
                    <w:t>10</w:t>
                  </w:r>
                  <w:r>
                    <w:rPr>
                      <w:rFonts w:hint="default" w:ascii="Times New Roman" w:hAnsi="Times New Roman" w:eastAsia="宋体" w:cs="Times New Roman"/>
                      <w:b w:val="0"/>
                      <w:bCs w:val="0"/>
                      <w:color w:val="000000"/>
                      <w:sz w:val="21"/>
                      <w:szCs w:val="21"/>
                      <w:vertAlign w:val="baseline"/>
                      <w:lang w:val="en-US" w:eastAsia="zh-CN"/>
                    </w:rPr>
                    <w:t>m</w:t>
                  </w:r>
                  <w:r>
                    <w:rPr>
                      <w:rFonts w:hint="default" w:ascii="Times New Roman" w:hAnsi="Times New Roman" w:eastAsia="宋体" w:cs="Times New Roman"/>
                      <w:b w:val="0"/>
                      <w:bCs w:val="0"/>
                      <w:color w:val="000000"/>
                      <w:sz w:val="21"/>
                      <w:szCs w:val="21"/>
                      <w:vertAlign w:val="superscript"/>
                      <w:lang w:val="en-US" w:eastAsia="zh-CN"/>
                    </w:rPr>
                    <w:t>2</w:t>
                  </w:r>
                  <w:r>
                    <w:rPr>
                      <w:rFonts w:hint="default" w:ascii="Times New Roman" w:hAnsi="Times New Roman" w:eastAsia="宋体" w:cs="Times New Roman"/>
                      <w:b w:val="0"/>
                      <w:bCs w:val="0"/>
                      <w:color w:val="000000"/>
                      <w:sz w:val="21"/>
                      <w:szCs w:val="21"/>
                      <w:vertAlign w:val="baseline"/>
                      <w:lang w:val="en-US" w:eastAsia="zh-CN"/>
                    </w:rPr>
                    <w:t>；生活垃圾将由环卫部门定期进行收集、集中处理；生产过</w:t>
                  </w:r>
                  <w:r>
                    <w:rPr>
                      <w:rFonts w:hint="eastAsia" w:cs="Times New Roman"/>
                      <w:b w:val="0"/>
                      <w:bCs w:val="0"/>
                      <w:color w:val="000000"/>
                      <w:sz w:val="21"/>
                      <w:szCs w:val="21"/>
                      <w:vertAlign w:val="baseline"/>
                      <w:lang w:val="en-US" w:eastAsia="zh-CN"/>
                    </w:rPr>
                    <w:t>程中</w:t>
                  </w:r>
                  <w:r>
                    <w:rPr>
                      <w:rFonts w:hint="default" w:ascii="Times New Roman" w:hAnsi="Times New Roman" w:eastAsia="宋体" w:cs="Times New Roman"/>
                      <w:b w:val="0"/>
                      <w:bCs w:val="0"/>
                      <w:color w:val="000000"/>
                      <w:sz w:val="21"/>
                      <w:szCs w:val="21"/>
                      <w:vertAlign w:val="baseline"/>
                      <w:lang w:val="en-US" w:eastAsia="zh-CN"/>
                    </w:rPr>
                    <w:t>产生的不合格线缆、</w:t>
                  </w:r>
                  <w:r>
                    <w:rPr>
                      <w:rFonts w:hint="eastAsia" w:cs="Times New Roman"/>
                      <w:b w:val="0"/>
                      <w:bCs w:val="0"/>
                      <w:color w:val="000000"/>
                      <w:sz w:val="21"/>
                      <w:szCs w:val="21"/>
                      <w:vertAlign w:val="baseline"/>
                      <w:lang w:val="en-US" w:eastAsia="zh-CN"/>
                    </w:rPr>
                    <w:t>不合格电缆颗粒、</w:t>
                  </w:r>
                  <w:r>
                    <w:rPr>
                      <w:rFonts w:hint="default" w:ascii="Times New Roman" w:hAnsi="Times New Roman" w:eastAsia="宋体" w:cs="Times New Roman"/>
                      <w:b w:val="0"/>
                      <w:bCs w:val="0"/>
                      <w:color w:val="000000"/>
                      <w:sz w:val="21"/>
                      <w:szCs w:val="21"/>
                      <w:vertAlign w:val="baseline"/>
                      <w:lang w:val="en-US" w:eastAsia="zh-CN"/>
                    </w:rPr>
                    <w:t>布袋除尘器</w:t>
                  </w:r>
                  <w:r>
                    <w:rPr>
                      <w:rFonts w:hint="eastAsia" w:cs="Times New Roman"/>
                      <w:b w:val="0"/>
                      <w:bCs w:val="0"/>
                      <w:color w:val="000000"/>
                      <w:sz w:val="21"/>
                      <w:szCs w:val="21"/>
                      <w:vertAlign w:val="baseline"/>
                      <w:lang w:val="en-US" w:eastAsia="zh-CN"/>
                    </w:rPr>
                    <w:t>收尘和废布袋经收集后暂存于固废库，后外售综合利用</w:t>
                  </w:r>
                  <w:r>
                    <w:rPr>
                      <w:rFonts w:hint="default" w:ascii="Times New Roman" w:hAnsi="Times New Roman" w:eastAsia="宋体" w:cs="Times New Roman"/>
                      <w:b w:val="0"/>
                      <w:bCs w:val="0"/>
                      <w:color w:val="000000"/>
                      <w:sz w:val="21"/>
                      <w:szCs w:val="21"/>
                      <w:vertAlign w:val="baseline"/>
                      <w:lang w:val="en-US" w:eastAsia="zh-CN"/>
                    </w:rPr>
                    <w:t>。</w:t>
                  </w:r>
                </w:p>
              </w:tc>
            </w:tr>
            <w:tr w14:paraId="6B31CDF3">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vMerge w:val="continue"/>
                  <w:tcBorders>
                    <w:left w:val="single" w:color="000000" w:sz="4" w:space="0"/>
                    <w:right w:val="single" w:color="000000" w:sz="4" w:space="0"/>
                  </w:tcBorders>
                  <w:shd w:val="clear" w:color="auto" w:fill="FFFFFF"/>
                  <w:noWrap w:val="0"/>
                  <w:vAlign w:val="center"/>
                </w:tcPr>
                <w:p w14:paraId="22C49D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p>
              </w:tc>
              <w:tc>
                <w:tcPr>
                  <w:tcW w:w="968"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C895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p>
              </w:tc>
              <w:tc>
                <w:tcPr>
                  <w:tcW w:w="35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7C9A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危废间面积约</w:t>
                  </w:r>
                  <w:r>
                    <w:rPr>
                      <w:rFonts w:hint="eastAsia" w:cs="Times New Roman"/>
                      <w:b w:val="0"/>
                      <w:bCs w:val="0"/>
                      <w:color w:val="auto"/>
                      <w:sz w:val="21"/>
                      <w:szCs w:val="21"/>
                      <w:vertAlign w:val="baseline"/>
                      <w:lang w:val="en-US" w:eastAsia="zh-CN"/>
                    </w:rPr>
                    <w:t>5</w:t>
                  </w:r>
                  <w:r>
                    <w:rPr>
                      <w:rFonts w:hint="default" w:ascii="Times New Roman" w:hAnsi="Times New Roman" w:eastAsia="宋体" w:cs="Times New Roman"/>
                      <w:b w:val="0"/>
                      <w:bCs w:val="0"/>
                      <w:color w:val="auto"/>
                      <w:sz w:val="21"/>
                      <w:szCs w:val="21"/>
                      <w:vertAlign w:val="baseline"/>
                      <w:lang w:val="en-US" w:eastAsia="zh-CN"/>
                    </w:rPr>
                    <w:t>m</w:t>
                  </w:r>
                  <w:r>
                    <w:rPr>
                      <w:rFonts w:hint="default" w:ascii="Times New Roman" w:hAnsi="Times New Roman" w:eastAsia="宋体" w:cs="Times New Roman"/>
                      <w:b w:val="0"/>
                      <w:bCs w:val="0"/>
                      <w:color w:val="auto"/>
                      <w:sz w:val="21"/>
                      <w:szCs w:val="21"/>
                      <w:vertAlign w:val="superscript"/>
                      <w:lang w:val="en-US" w:eastAsia="zh-CN"/>
                    </w:rPr>
                    <w:t>2</w:t>
                  </w:r>
                  <w:r>
                    <w:rPr>
                      <w:rFonts w:hint="default" w:ascii="Times New Roman" w:hAnsi="Times New Roman" w:eastAsia="宋体" w:cs="Times New Roman"/>
                      <w:b w:val="0"/>
                      <w:bCs w:val="0"/>
                      <w:color w:val="auto"/>
                      <w:sz w:val="21"/>
                      <w:szCs w:val="21"/>
                      <w:vertAlign w:val="baseline"/>
                      <w:lang w:val="en-US" w:eastAsia="zh-CN"/>
                    </w:rPr>
                    <w:t>；废活性炭、废机油、废油墨</w:t>
                  </w:r>
                  <w:r>
                    <w:rPr>
                      <w:rFonts w:hint="eastAsia" w:cs="Times New Roman"/>
                      <w:b w:val="0"/>
                      <w:bCs w:val="0"/>
                      <w:color w:val="auto"/>
                      <w:sz w:val="21"/>
                      <w:szCs w:val="21"/>
                      <w:vertAlign w:val="baseline"/>
                      <w:lang w:val="en-US" w:eastAsia="zh-CN"/>
                    </w:rPr>
                    <w:t>包装桶、含油抹布和手套、</w:t>
                  </w:r>
                  <w:r>
                    <w:rPr>
                      <w:rFonts w:hint="default" w:ascii="Times New Roman" w:hAnsi="Times New Roman" w:eastAsia="宋体" w:cs="Times New Roman"/>
                      <w:b w:val="0"/>
                      <w:bCs w:val="0"/>
                      <w:color w:val="auto"/>
                      <w:sz w:val="21"/>
                      <w:szCs w:val="21"/>
                      <w:vertAlign w:val="baseline"/>
                      <w:lang w:val="en-US" w:eastAsia="zh-CN"/>
                    </w:rPr>
                    <w:t>废机油桶</w:t>
                  </w:r>
                  <w:r>
                    <w:rPr>
                      <w:rFonts w:hint="eastAsia" w:cs="Times New Roman"/>
                      <w:b w:val="0"/>
                      <w:bCs w:val="0"/>
                      <w:color w:val="auto"/>
                      <w:sz w:val="21"/>
                      <w:szCs w:val="21"/>
                      <w:vertAlign w:val="baseline"/>
                      <w:lang w:val="en-US" w:eastAsia="zh-CN"/>
                    </w:rPr>
                    <w:t>和油雾净化器收集废油</w:t>
                  </w:r>
                  <w:r>
                    <w:rPr>
                      <w:rFonts w:hint="default" w:ascii="Times New Roman" w:hAnsi="Times New Roman" w:eastAsia="宋体" w:cs="Times New Roman"/>
                      <w:b w:val="0"/>
                      <w:bCs w:val="0"/>
                      <w:color w:val="auto"/>
                      <w:sz w:val="21"/>
                      <w:szCs w:val="21"/>
                      <w:vertAlign w:val="baseline"/>
                      <w:lang w:val="en-US" w:eastAsia="zh-CN"/>
                    </w:rPr>
                    <w:t>等危险废物由有危废资质单位回收处置。</w:t>
                  </w:r>
                </w:p>
              </w:tc>
            </w:tr>
            <w:tr w14:paraId="5F30F315">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vMerge w:val="continue"/>
                  <w:tcBorders>
                    <w:left w:val="single" w:color="000000" w:sz="4" w:space="0"/>
                    <w:right w:val="single" w:color="000000" w:sz="4" w:space="0"/>
                  </w:tcBorders>
                  <w:shd w:val="clear" w:color="auto" w:fill="FFFFFF"/>
                  <w:noWrap w:val="0"/>
                  <w:vAlign w:val="center"/>
                </w:tcPr>
                <w:p w14:paraId="589D2D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p>
              </w:tc>
              <w:tc>
                <w:tcPr>
                  <w:tcW w:w="1622"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1FBEE4">
                  <w:pPr>
                    <w:pStyle w:val="74"/>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color w:val="auto"/>
                      <w:sz w:val="21"/>
                      <w:szCs w:val="21"/>
                    </w:rPr>
                    <w:t>环境风险</w:t>
                  </w:r>
                </w:p>
              </w:tc>
              <w:tc>
                <w:tcPr>
                  <w:tcW w:w="594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A7BEA7">
                  <w:pPr>
                    <w:pStyle w:val="74"/>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bCs/>
                      <w:color w:val="auto"/>
                      <w:sz w:val="21"/>
                      <w:szCs w:val="21"/>
                    </w:rPr>
                  </w:pPr>
                  <w:r>
                    <w:rPr>
                      <w:rFonts w:hint="eastAsia"/>
                      <w:bCs/>
                      <w:color w:val="auto"/>
                      <w:sz w:val="21"/>
                      <w:szCs w:val="21"/>
                    </w:rPr>
                    <w:t>（1）建设单位应在辅料库、危废暂存间设置防泄漏托盘，辅料库、危废库暂存的液态危废均采用小包装密闭保存。机油、</w:t>
                  </w:r>
                  <w:r>
                    <w:rPr>
                      <w:rFonts w:hint="eastAsia"/>
                      <w:bCs/>
                      <w:color w:val="auto"/>
                      <w:sz w:val="21"/>
                      <w:szCs w:val="21"/>
                      <w:lang w:val="en-US" w:eastAsia="zh-CN"/>
                    </w:rPr>
                    <w:t>油墨</w:t>
                  </w:r>
                  <w:r>
                    <w:rPr>
                      <w:rFonts w:hint="eastAsia"/>
                      <w:bCs/>
                      <w:color w:val="auto"/>
                      <w:sz w:val="21"/>
                      <w:szCs w:val="21"/>
                    </w:rPr>
                    <w:t>等存储于辅料库内，设置防泄漏托盘。一旦液态物料</w:t>
                  </w:r>
                  <w:r>
                    <w:rPr>
                      <w:rFonts w:hint="eastAsia"/>
                      <w:bCs/>
                      <w:color w:val="auto"/>
                      <w:sz w:val="21"/>
                      <w:szCs w:val="21"/>
                      <w:lang w:eastAsia="zh-CN"/>
                    </w:rPr>
                    <w:t>泄漏</w:t>
                  </w:r>
                  <w:r>
                    <w:rPr>
                      <w:rFonts w:hint="eastAsia"/>
                      <w:bCs/>
                      <w:color w:val="auto"/>
                      <w:sz w:val="21"/>
                      <w:szCs w:val="21"/>
                    </w:rPr>
                    <w:t>，可及时收集，泄漏收集的物料不可利用的全部交由有危险废物处理资质的单位统一清运处置。</w:t>
                  </w:r>
                </w:p>
                <w:p w14:paraId="3DDFDDA8">
                  <w:pPr>
                    <w:pStyle w:val="74"/>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bCs/>
                      <w:color w:val="auto"/>
                      <w:sz w:val="21"/>
                      <w:szCs w:val="21"/>
                    </w:rPr>
                  </w:pPr>
                  <w:r>
                    <w:rPr>
                      <w:rFonts w:hint="eastAsia"/>
                      <w:bCs/>
                      <w:color w:val="auto"/>
                      <w:sz w:val="21"/>
                      <w:szCs w:val="21"/>
                    </w:rPr>
                    <w:t>（</w:t>
                  </w:r>
                  <w:r>
                    <w:rPr>
                      <w:bCs/>
                      <w:color w:val="auto"/>
                      <w:sz w:val="21"/>
                      <w:szCs w:val="21"/>
                    </w:rPr>
                    <w:t>2</w:t>
                  </w:r>
                  <w:r>
                    <w:rPr>
                      <w:rFonts w:hint="eastAsia"/>
                      <w:bCs/>
                      <w:color w:val="auto"/>
                      <w:sz w:val="21"/>
                      <w:szCs w:val="21"/>
                    </w:rPr>
                    <w:t>）厂区内无易燃易爆物料使用，车间配备消防栓、干粉灭火器、沙土、化学干粉或二氧化碳灭火器等；同时严格管理。</w:t>
                  </w:r>
                </w:p>
                <w:p w14:paraId="6FCD9189">
                  <w:pPr>
                    <w:pStyle w:val="74"/>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bCs/>
                      <w:color w:val="auto"/>
                      <w:sz w:val="21"/>
                      <w:szCs w:val="21"/>
                    </w:rPr>
                  </w:pPr>
                  <w:r>
                    <w:rPr>
                      <w:rFonts w:hint="eastAsia"/>
                      <w:bCs/>
                      <w:color w:val="auto"/>
                      <w:sz w:val="21"/>
                      <w:szCs w:val="21"/>
                    </w:rPr>
                    <w:t>（</w:t>
                  </w:r>
                  <w:r>
                    <w:rPr>
                      <w:bCs/>
                      <w:color w:val="auto"/>
                      <w:sz w:val="21"/>
                      <w:szCs w:val="21"/>
                    </w:rPr>
                    <w:t>3</w:t>
                  </w:r>
                  <w:r>
                    <w:rPr>
                      <w:rFonts w:hint="eastAsia"/>
                      <w:bCs/>
                      <w:color w:val="auto"/>
                      <w:sz w:val="21"/>
                      <w:szCs w:val="21"/>
                    </w:rPr>
                    <w:t>）废气末端治理措施必须确保日常运行，如发现人为原因不开启废气治理设施，责任人应受行政和经济</w:t>
                  </w:r>
                  <w:r>
                    <w:rPr>
                      <w:rFonts w:hint="eastAsia"/>
                      <w:bCs/>
                      <w:color w:val="auto"/>
                      <w:sz w:val="21"/>
                      <w:szCs w:val="21"/>
                      <w:lang w:val="en-US" w:eastAsia="zh-CN"/>
                    </w:rPr>
                    <w:t>处罚</w:t>
                  </w:r>
                  <w:r>
                    <w:rPr>
                      <w:rFonts w:hint="eastAsia"/>
                      <w:bCs/>
                      <w:color w:val="auto"/>
                      <w:sz w:val="21"/>
                      <w:szCs w:val="21"/>
                    </w:rPr>
                    <w:t>，并承担事故排放责任。若末端治理措施因故不能运行，则生产必须停止。对废气治理设施进行定期检修。</w:t>
                  </w:r>
                  <w:r>
                    <w:rPr>
                      <w:rFonts w:hint="eastAsia"/>
                      <w:bCs/>
                      <w:color w:val="auto"/>
                      <w:sz w:val="21"/>
                      <w:szCs w:val="21"/>
                      <w:lang w:val="en-US" w:eastAsia="zh-CN"/>
                    </w:rPr>
                    <w:t>活性炭吸附装置、</w:t>
                  </w:r>
                  <w:r>
                    <w:rPr>
                      <w:rFonts w:hint="eastAsia"/>
                      <w:bCs/>
                      <w:color w:val="auto"/>
                      <w:sz w:val="21"/>
                      <w:szCs w:val="21"/>
                    </w:rPr>
                    <w:t>袋式除尘器定期维护，定期对产生的</w:t>
                  </w:r>
                  <w:r>
                    <w:rPr>
                      <w:rFonts w:hint="eastAsia"/>
                      <w:bCs/>
                      <w:color w:val="auto"/>
                      <w:sz w:val="21"/>
                      <w:szCs w:val="21"/>
                      <w:lang w:val="en-US" w:eastAsia="zh-CN"/>
                    </w:rPr>
                    <w:t>危废</w:t>
                  </w:r>
                  <w:r>
                    <w:rPr>
                      <w:rFonts w:hint="eastAsia"/>
                      <w:bCs/>
                      <w:color w:val="auto"/>
                      <w:sz w:val="21"/>
                      <w:szCs w:val="21"/>
                    </w:rPr>
                    <w:t>进行清理、收集和暂存。</w:t>
                  </w:r>
                </w:p>
                <w:p w14:paraId="010B9F12">
                  <w:pPr>
                    <w:pStyle w:val="74"/>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bCs/>
                      <w:color w:val="auto"/>
                      <w:sz w:val="21"/>
                      <w:szCs w:val="21"/>
                    </w:rPr>
                    <w:t>（4）编制突发环境事件应急预案，并定期进行演练。</w:t>
                  </w:r>
                </w:p>
              </w:tc>
            </w:tr>
            <w:tr w14:paraId="5A28C8F4">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vMerge w:val="continue"/>
                  <w:tcBorders>
                    <w:left w:val="single" w:color="000000" w:sz="4" w:space="0"/>
                    <w:bottom w:val="single" w:color="000000" w:sz="4" w:space="0"/>
                    <w:right w:val="single" w:color="000000" w:sz="4" w:space="0"/>
                  </w:tcBorders>
                  <w:shd w:val="clear" w:color="auto" w:fill="FFFFFF"/>
                  <w:noWrap w:val="0"/>
                  <w:vAlign w:val="center"/>
                </w:tcPr>
                <w:p w14:paraId="1E1F7D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p>
              </w:tc>
              <w:tc>
                <w:tcPr>
                  <w:tcW w:w="1622"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7BC7BB">
                  <w:pPr>
                    <w:pStyle w:val="74"/>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olor w:val="auto"/>
                      <w:sz w:val="21"/>
                      <w:szCs w:val="21"/>
                    </w:rPr>
                    <w:t>地下水污染防治措施</w:t>
                  </w:r>
                </w:p>
              </w:tc>
              <w:tc>
                <w:tcPr>
                  <w:tcW w:w="594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6C542C">
                  <w:pPr>
                    <w:pStyle w:val="74"/>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bCs/>
                      <w:color w:val="auto"/>
                      <w:sz w:val="21"/>
                      <w:szCs w:val="21"/>
                    </w:rPr>
                    <w:t>危废间、辅料库</w:t>
                  </w:r>
                  <w:r>
                    <w:rPr>
                      <w:rFonts w:hint="eastAsia"/>
                      <w:color w:val="auto"/>
                      <w:sz w:val="21"/>
                      <w:szCs w:val="21"/>
                    </w:rPr>
                    <w:t>重点防渗，</w:t>
                  </w:r>
                  <w:r>
                    <w:rPr>
                      <w:rFonts w:hint="eastAsia"/>
                      <w:color w:val="auto"/>
                      <w:sz w:val="21"/>
                      <w:szCs w:val="21"/>
                      <w:lang w:val="en-US" w:eastAsia="zh-CN"/>
                    </w:rPr>
                    <w:t>化粪池、一般固废间、成品库、原料库、隔油池等</w:t>
                  </w:r>
                  <w:r>
                    <w:rPr>
                      <w:rFonts w:hint="eastAsia"/>
                      <w:color w:val="auto"/>
                      <w:sz w:val="21"/>
                      <w:szCs w:val="21"/>
                    </w:rPr>
                    <w:t>采取</w:t>
                  </w:r>
                  <w:r>
                    <w:rPr>
                      <w:rFonts w:hint="eastAsia"/>
                      <w:color w:val="auto"/>
                      <w:sz w:val="21"/>
                      <w:szCs w:val="21"/>
                      <w:lang w:val="en-US" w:eastAsia="zh-CN"/>
                    </w:rPr>
                    <w:t>一般</w:t>
                  </w:r>
                  <w:r>
                    <w:rPr>
                      <w:rFonts w:hint="eastAsia"/>
                      <w:color w:val="auto"/>
                      <w:sz w:val="21"/>
                      <w:szCs w:val="21"/>
                    </w:rPr>
                    <w:t>防渗措施。危废收集后分类存放，废</w:t>
                  </w:r>
                  <w:r>
                    <w:rPr>
                      <w:rFonts w:hint="eastAsia"/>
                      <w:color w:val="auto"/>
                      <w:sz w:val="21"/>
                      <w:szCs w:val="21"/>
                      <w:lang w:val="en-US" w:eastAsia="zh-CN"/>
                    </w:rPr>
                    <w:t>机油</w:t>
                  </w:r>
                  <w:r>
                    <w:rPr>
                      <w:rFonts w:hint="eastAsia"/>
                      <w:color w:val="auto"/>
                      <w:sz w:val="21"/>
                      <w:szCs w:val="21"/>
                    </w:rPr>
                    <w:t>等采用密闭容器存放，危废暂存间设置防泄漏托盘，暂存间采取重点防渗；辅料库，采取重点防渗设置防泄漏托盘，液态物料存储于包装桶内</w:t>
                  </w:r>
                  <w:r>
                    <w:rPr>
                      <w:rFonts w:hint="eastAsia"/>
                      <w:color w:val="auto"/>
                      <w:sz w:val="21"/>
                      <w:szCs w:val="21"/>
                      <w:lang w:eastAsia="zh-CN"/>
                    </w:rPr>
                    <w:t>。</w:t>
                  </w:r>
                  <w:r>
                    <w:rPr>
                      <w:rFonts w:hint="eastAsia"/>
                      <w:color w:val="auto"/>
                      <w:sz w:val="21"/>
                      <w:szCs w:val="21"/>
                    </w:rPr>
                    <w:t>采取以上措施后可有效防止物料和事故状态下的泄漏物料对土壤产生影响。同时厂区危废收集后定期交由有资质单位处置，可有效减少危废贮存对土壤环境的影响。</w:t>
                  </w:r>
                </w:p>
              </w:tc>
            </w:tr>
          </w:tbl>
          <w:p w14:paraId="18783B7E">
            <w:pPr>
              <w:bidi w:val="0"/>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3、产品方案及规模</w:t>
            </w:r>
          </w:p>
          <w:p w14:paraId="42094546">
            <w:pPr>
              <w:bidi w:val="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本项目产品超柔工业机器人电缆，产品方案及规模详见下表。</w:t>
            </w:r>
          </w:p>
          <w:p w14:paraId="16EE3D54">
            <w:pPr>
              <w:pStyle w:val="5"/>
              <w:bidi w:val="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表2-5 项目产品方案一览表</w:t>
            </w:r>
          </w:p>
          <w:tbl>
            <w:tblPr>
              <w:tblStyle w:val="28"/>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795"/>
              <w:gridCol w:w="2795"/>
              <w:gridCol w:w="2797"/>
            </w:tblGrid>
            <w:tr w14:paraId="17E169A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666" w:type="pct"/>
                  <w:tcBorders>
                    <w:top w:val="single" w:color="000000" w:sz="4" w:space="0"/>
                    <w:left w:val="single" w:color="000000" w:sz="4" w:space="0"/>
                    <w:bottom w:val="single" w:color="000000" w:sz="4" w:space="0"/>
                    <w:right w:val="single" w:color="000000" w:sz="4" w:space="0"/>
                    <w:tl2br w:val="nil"/>
                  </w:tcBorders>
                  <w:shd w:val="clear" w:color="auto" w:fill="FFFFFF"/>
                  <w:noWrap w:val="0"/>
                  <w:vAlign w:val="center"/>
                </w:tcPr>
                <w:p w14:paraId="5B9275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r>
                    <w:rPr>
                      <w:rFonts w:hint="default" w:ascii="Times New Roman" w:hAnsi="Times New Roman" w:eastAsia="宋体" w:cs="Times New Roman"/>
                      <w:b w:val="0"/>
                      <w:bCs w:val="0"/>
                      <w:color w:val="000000"/>
                      <w:sz w:val="21"/>
                      <w:szCs w:val="21"/>
                      <w:vertAlign w:val="baseline"/>
                      <w:lang w:val="en-US" w:eastAsia="zh-CN"/>
                    </w:rPr>
                    <w:t>产品</w:t>
                  </w:r>
                </w:p>
              </w:tc>
              <w:tc>
                <w:tcPr>
                  <w:tcW w:w="16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CB9C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r>
                    <w:rPr>
                      <w:rFonts w:hint="default" w:ascii="Times New Roman" w:hAnsi="Times New Roman" w:eastAsia="宋体" w:cs="Times New Roman"/>
                      <w:b w:val="0"/>
                      <w:bCs w:val="0"/>
                      <w:color w:val="000000"/>
                      <w:sz w:val="21"/>
                      <w:szCs w:val="21"/>
                      <w:vertAlign w:val="baseline"/>
                      <w:lang w:val="en-US" w:eastAsia="zh-CN"/>
                    </w:rPr>
                    <w:t>单位</w:t>
                  </w:r>
                </w:p>
              </w:tc>
              <w:tc>
                <w:tcPr>
                  <w:tcW w:w="16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05B8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r>
                    <w:rPr>
                      <w:rFonts w:hint="default" w:ascii="Times New Roman" w:hAnsi="Times New Roman" w:eastAsia="宋体" w:cs="Times New Roman"/>
                      <w:b w:val="0"/>
                      <w:bCs w:val="0"/>
                      <w:color w:val="000000"/>
                      <w:sz w:val="21"/>
                      <w:szCs w:val="21"/>
                      <w:vertAlign w:val="baseline"/>
                      <w:lang w:val="en-US" w:eastAsia="zh-CN"/>
                    </w:rPr>
                    <w:t>产能</w:t>
                  </w:r>
                </w:p>
              </w:tc>
            </w:tr>
            <w:tr w14:paraId="59BA02A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6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68702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vertAlign w:val="baseline"/>
                      <w:lang w:val="en-US" w:eastAsia="zh-CN"/>
                    </w:rPr>
                  </w:pPr>
                  <w:r>
                    <w:rPr>
                      <w:rFonts w:hint="default" w:ascii="Times New Roman" w:hAnsi="Times New Roman" w:eastAsia="宋体" w:cs="Times New Roman"/>
                      <w:b w:val="0"/>
                      <w:bCs/>
                      <w:color w:val="000000"/>
                      <w:sz w:val="21"/>
                      <w:szCs w:val="21"/>
                      <w:vertAlign w:val="baseline"/>
                      <w:lang w:val="en-US" w:eastAsia="zh-CN"/>
                    </w:rPr>
                    <w:t>超柔工业机器人电缆</w:t>
                  </w:r>
                </w:p>
              </w:tc>
              <w:tc>
                <w:tcPr>
                  <w:tcW w:w="16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9C78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vertAlign w:val="baseline"/>
                      <w:lang w:val="en-US" w:eastAsia="zh-CN"/>
                    </w:rPr>
                  </w:pPr>
                  <w:r>
                    <w:rPr>
                      <w:rFonts w:hint="default" w:ascii="Times New Roman" w:hAnsi="Times New Roman" w:eastAsia="宋体" w:cs="Times New Roman"/>
                      <w:b w:val="0"/>
                      <w:bCs/>
                      <w:color w:val="000000"/>
                      <w:sz w:val="21"/>
                      <w:szCs w:val="21"/>
                      <w:vertAlign w:val="baseline"/>
                      <w:lang w:val="en-US" w:eastAsia="zh-CN"/>
                    </w:rPr>
                    <w:t>万千米/a</w:t>
                  </w:r>
                </w:p>
              </w:tc>
              <w:tc>
                <w:tcPr>
                  <w:tcW w:w="16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EA1B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vertAlign w:val="baseline"/>
                      <w:lang w:val="en-US" w:eastAsia="zh-CN"/>
                    </w:rPr>
                  </w:pPr>
                  <w:r>
                    <w:rPr>
                      <w:rFonts w:hint="default" w:ascii="Times New Roman" w:hAnsi="Times New Roman" w:eastAsia="宋体" w:cs="Times New Roman"/>
                      <w:b w:val="0"/>
                      <w:bCs/>
                      <w:color w:val="000000"/>
                      <w:sz w:val="21"/>
                      <w:szCs w:val="21"/>
                      <w:vertAlign w:val="baseline"/>
                      <w:lang w:val="en-US" w:eastAsia="zh-CN"/>
                    </w:rPr>
                    <w:t>2</w:t>
                  </w:r>
                </w:p>
              </w:tc>
            </w:tr>
          </w:tbl>
          <w:p w14:paraId="100E10B7">
            <w:pPr>
              <w:bidi w:val="0"/>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4、主要原辅材料、用水及能源、动力消耗情况</w:t>
            </w:r>
          </w:p>
          <w:p w14:paraId="3BDC9F2B">
            <w:pPr>
              <w:bidi w:val="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项目主要原辅材料、能源、动力消耗及用水情况见下表：</w:t>
            </w:r>
          </w:p>
          <w:p w14:paraId="72754288">
            <w:pPr>
              <w:pStyle w:val="5"/>
              <w:bidi w:val="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表2-6 主要原辅材料、能源、动力消耗及用水情况一览表</w:t>
            </w:r>
          </w:p>
          <w:tbl>
            <w:tblPr>
              <w:tblStyle w:val="28"/>
              <w:tblW w:w="4997" w:type="pct"/>
              <w:jc w:val="center"/>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8"/>
              <w:gridCol w:w="1119"/>
              <w:gridCol w:w="871"/>
              <w:gridCol w:w="1354"/>
              <w:gridCol w:w="871"/>
              <w:gridCol w:w="888"/>
              <w:gridCol w:w="888"/>
              <w:gridCol w:w="975"/>
              <w:gridCol w:w="951"/>
            </w:tblGrid>
            <w:tr w14:paraId="3AD70E5A">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4" w:type="pct"/>
                  <w:tcBorders>
                    <w:top w:val="single" w:color="000000" w:sz="4" w:space="0"/>
                    <w:left w:val="single" w:color="000000" w:sz="4" w:space="0"/>
                    <w:bottom w:val="single" w:color="000000" w:sz="4" w:space="0"/>
                    <w:right w:val="single" w:color="000000" w:sz="4" w:space="0"/>
                    <w:tl2br w:val="nil"/>
                  </w:tcBorders>
                  <w:shd w:val="clear" w:color="auto" w:fill="FFFFFF"/>
                  <w:noWrap w:val="0"/>
                  <w:vAlign w:val="center"/>
                </w:tcPr>
                <w:p w14:paraId="3B6A7D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序号</w:t>
                  </w:r>
                </w:p>
              </w:tc>
              <w:tc>
                <w:tcPr>
                  <w:tcW w:w="6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808D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名称</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D758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性状</w:t>
                  </w:r>
                </w:p>
              </w:tc>
              <w:tc>
                <w:tcPr>
                  <w:tcW w:w="8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E2F7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包装方式</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2F6F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储存位置</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1C06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单位</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ED2D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年用量</w:t>
                  </w:r>
                </w:p>
              </w:tc>
              <w:tc>
                <w:tcPr>
                  <w:tcW w:w="58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5C40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厂区最大储存量（t）</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5AE4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备注</w:t>
                  </w:r>
                </w:p>
              </w:tc>
            </w:tr>
            <w:tr w14:paraId="0D386DFA">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43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14BA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一、机器人电缆生产线</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DC94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cs="Times New Roman"/>
                      <w:b w:val="0"/>
                      <w:bCs/>
                      <w:color w:val="auto"/>
                      <w:sz w:val="21"/>
                      <w:szCs w:val="21"/>
                      <w:vertAlign w:val="baseline"/>
                      <w:lang w:val="en-US" w:eastAsia="zh-CN"/>
                    </w:rPr>
                  </w:pPr>
                </w:p>
              </w:tc>
            </w:tr>
            <w:tr w14:paraId="7623D650">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A5AA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w:t>
                  </w:r>
                </w:p>
              </w:tc>
              <w:tc>
                <w:tcPr>
                  <w:tcW w:w="6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D4F7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高纯无氧铜丝</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63279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固态</w:t>
                  </w:r>
                </w:p>
              </w:tc>
              <w:tc>
                <w:tcPr>
                  <w:tcW w:w="8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1556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color w:val="auto"/>
                      <w:sz w:val="21"/>
                      <w:szCs w:val="21"/>
                      <w:vertAlign w:val="baseline"/>
                      <w:lang w:val="en-US" w:eastAsia="zh-CN"/>
                    </w:rPr>
                  </w:pPr>
                  <w:r>
                    <w:rPr>
                      <w:rFonts w:hint="eastAsia" w:ascii="Times New Roman" w:hAnsi="Times New Roman" w:eastAsia="宋体" w:cs="Times New Roman"/>
                      <w:bCs/>
                      <w:color w:val="auto"/>
                      <w:sz w:val="21"/>
                      <w:szCs w:val="21"/>
                    </w:rPr>
                    <w:t>48*0.2CU/盘</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5D07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原料</w:t>
                  </w:r>
                  <w:r>
                    <w:rPr>
                      <w:rFonts w:hint="eastAsia" w:cs="Times New Roman"/>
                      <w:b w:val="0"/>
                      <w:bCs/>
                      <w:color w:val="auto"/>
                      <w:sz w:val="21"/>
                      <w:szCs w:val="21"/>
                      <w:vertAlign w:val="baseline"/>
                      <w:lang w:val="en-US" w:eastAsia="zh-CN"/>
                    </w:rPr>
                    <w:t>库</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3826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t/a</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EFAD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600</w:t>
                  </w:r>
                </w:p>
              </w:tc>
              <w:tc>
                <w:tcPr>
                  <w:tcW w:w="58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8D28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100</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3365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外购</w:t>
                  </w:r>
                </w:p>
              </w:tc>
            </w:tr>
            <w:tr w14:paraId="5A2E26B1">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3567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2</w:t>
                  </w:r>
                </w:p>
              </w:tc>
              <w:tc>
                <w:tcPr>
                  <w:tcW w:w="6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47C0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塑料电缆颗粒</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40B9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颗粒状</w:t>
                  </w:r>
                </w:p>
              </w:tc>
              <w:tc>
                <w:tcPr>
                  <w:tcW w:w="8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364C9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color w:val="auto"/>
                      <w:sz w:val="21"/>
                      <w:szCs w:val="21"/>
                      <w:vertAlign w:val="baseline"/>
                      <w:lang w:val="en-US" w:eastAsia="zh-CN"/>
                    </w:rPr>
                  </w:pPr>
                  <w:r>
                    <w:rPr>
                      <w:rFonts w:hint="eastAsia" w:ascii="Times New Roman" w:hAnsi="Times New Roman" w:eastAsia="宋体" w:cs="Times New Roman"/>
                      <w:b w:val="0"/>
                      <w:bCs/>
                      <w:color w:val="auto"/>
                      <w:sz w:val="21"/>
                      <w:szCs w:val="21"/>
                    </w:rPr>
                    <w:t>25</w:t>
                  </w:r>
                  <w:r>
                    <w:rPr>
                      <w:rFonts w:hint="eastAsia" w:cs="Times New Roman"/>
                      <w:b w:val="0"/>
                      <w:bCs/>
                      <w:color w:val="auto"/>
                      <w:sz w:val="21"/>
                      <w:szCs w:val="21"/>
                      <w:lang w:val="en-US" w:eastAsia="zh-CN"/>
                    </w:rPr>
                    <w:t>kg</w:t>
                  </w:r>
                  <w:r>
                    <w:rPr>
                      <w:rFonts w:hint="eastAsia" w:ascii="Times New Roman" w:hAnsi="Times New Roman" w:eastAsia="宋体" w:cs="Times New Roman"/>
                      <w:b w:val="0"/>
                      <w:bCs/>
                      <w:color w:val="auto"/>
                      <w:sz w:val="21"/>
                      <w:szCs w:val="21"/>
                    </w:rPr>
                    <w:t>/袋</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E129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原料</w:t>
                  </w:r>
                  <w:r>
                    <w:rPr>
                      <w:rFonts w:hint="eastAsia" w:cs="Times New Roman"/>
                      <w:b w:val="0"/>
                      <w:bCs/>
                      <w:color w:val="auto"/>
                      <w:sz w:val="21"/>
                      <w:szCs w:val="21"/>
                      <w:vertAlign w:val="baseline"/>
                      <w:lang w:val="en-US" w:eastAsia="zh-CN"/>
                    </w:rPr>
                    <w:t>库</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A966C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t/a</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4AA2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700</w:t>
                  </w:r>
                </w:p>
              </w:tc>
              <w:tc>
                <w:tcPr>
                  <w:tcW w:w="58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D11D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100</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C07A5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粒径约3-5mm</w:t>
                  </w:r>
                  <w:r>
                    <w:rPr>
                      <w:rFonts w:hint="default" w:ascii="Times New Roman" w:hAnsi="Times New Roman" w:eastAsia="宋体" w:cs="Times New Roman"/>
                      <w:b w:val="0"/>
                      <w:bCs/>
                      <w:color w:val="auto"/>
                      <w:sz w:val="21"/>
                      <w:szCs w:val="21"/>
                      <w:vertAlign w:val="baseline"/>
                      <w:lang w:val="en-US" w:eastAsia="zh-CN"/>
                    </w:rPr>
                    <w:t>厂区自产自用</w:t>
                  </w:r>
                </w:p>
              </w:tc>
            </w:tr>
            <w:tr w14:paraId="5A69DF53">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B44E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3</w:t>
                  </w:r>
                </w:p>
              </w:tc>
              <w:tc>
                <w:tcPr>
                  <w:tcW w:w="6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8A08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热塑性弹性体材料</w:t>
                  </w:r>
                  <w:r>
                    <w:rPr>
                      <w:rFonts w:hint="eastAsia"/>
                      <w:color w:val="auto"/>
                      <w:sz w:val="21"/>
                      <w:szCs w:val="21"/>
                      <w:lang w:eastAsia="zh-CN"/>
                    </w:rPr>
                    <w:t>（</w:t>
                  </w:r>
                  <w:r>
                    <w:rPr>
                      <w:rFonts w:hint="eastAsia"/>
                      <w:color w:val="auto"/>
                      <w:sz w:val="21"/>
                      <w:szCs w:val="21"/>
                      <w:lang w:val="en-US" w:eastAsia="zh-CN"/>
                    </w:rPr>
                    <w:t>TPE</w:t>
                  </w:r>
                  <w:r>
                    <w:rPr>
                      <w:rFonts w:hint="eastAsia"/>
                      <w:color w:val="auto"/>
                      <w:sz w:val="21"/>
                      <w:szCs w:val="21"/>
                      <w:lang w:eastAsia="zh-CN"/>
                    </w:rPr>
                    <w:t>）</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A44A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颗粒状</w:t>
                  </w:r>
                </w:p>
              </w:tc>
              <w:tc>
                <w:tcPr>
                  <w:tcW w:w="8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165C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color w:val="auto"/>
                      <w:sz w:val="21"/>
                      <w:szCs w:val="21"/>
                      <w:vertAlign w:val="baseline"/>
                      <w:lang w:val="en-US" w:eastAsia="zh-CN"/>
                    </w:rPr>
                  </w:pPr>
                  <w:r>
                    <w:rPr>
                      <w:rFonts w:ascii="Times New Roman" w:hAnsi="Times New Roman" w:eastAsia="宋体" w:cs="Times New Roman"/>
                      <w:b w:val="0"/>
                      <w:bCs/>
                      <w:color w:val="auto"/>
                      <w:sz w:val="21"/>
                      <w:szCs w:val="21"/>
                    </w:rPr>
                    <w:t>25</w:t>
                  </w:r>
                  <w:r>
                    <w:rPr>
                      <w:rFonts w:hint="eastAsia" w:cs="Times New Roman"/>
                      <w:b w:val="0"/>
                      <w:bCs/>
                      <w:color w:val="auto"/>
                      <w:sz w:val="21"/>
                      <w:szCs w:val="21"/>
                      <w:lang w:val="en-US" w:eastAsia="zh-CN"/>
                    </w:rPr>
                    <w:t>kg</w:t>
                  </w:r>
                  <w:r>
                    <w:rPr>
                      <w:rFonts w:ascii="Times New Roman" w:hAnsi="Times New Roman" w:eastAsia="宋体" w:cs="Times New Roman"/>
                      <w:b w:val="0"/>
                      <w:bCs/>
                      <w:color w:val="auto"/>
                      <w:sz w:val="21"/>
                      <w:szCs w:val="21"/>
                    </w:rPr>
                    <w:t>/</w:t>
                  </w:r>
                  <w:r>
                    <w:rPr>
                      <w:rFonts w:hint="eastAsia" w:ascii="Times New Roman" w:hAnsi="Times New Roman" w:eastAsia="宋体" w:cs="Times New Roman"/>
                      <w:b w:val="0"/>
                      <w:bCs/>
                      <w:color w:val="auto"/>
                      <w:sz w:val="21"/>
                      <w:szCs w:val="21"/>
                    </w:rPr>
                    <w:t>袋</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A863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原料</w:t>
                  </w:r>
                  <w:r>
                    <w:rPr>
                      <w:rFonts w:hint="eastAsia" w:cs="Times New Roman"/>
                      <w:b w:val="0"/>
                      <w:bCs/>
                      <w:color w:val="auto"/>
                      <w:sz w:val="21"/>
                      <w:szCs w:val="21"/>
                      <w:vertAlign w:val="baseline"/>
                      <w:lang w:val="en-US" w:eastAsia="zh-CN"/>
                    </w:rPr>
                    <w:t>库</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E653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t/a</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548DB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500</w:t>
                  </w:r>
                </w:p>
              </w:tc>
              <w:tc>
                <w:tcPr>
                  <w:tcW w:w="58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8DFA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100</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3A1F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粒径约3-5mm</w:t>
                  </w:r>
                  <w:r>
                    <w:rPr>
                      <w:rFonts w:hint="default" w:ascii="Times New Roman" w:hAnsi="Times New Roman" w:eastAsia="宋体" w:cs="Times New Roman"/>
                      <w:b w:val="0"/>
                      <w:bCs/>
                      <w:color w:val="auto"/>
                      <w:sz w:val="21"/>
                      <w:szCs w:val="21"/>
                      <w:vertAlign w:val="baseline"/>
                      <w:lang w:val="en-US" w:eastAsia="zh-CN"/>
                    </w:rPr>
                    <w:t>外购</w:t>
                  </w:r>
                </w:p>
              </w:tc>
            </w:tr>
            <w:tr w14:paraId="1E91F077">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DEC3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4</w:t>
                  </w:r>
                </w:p>
              </w:tc>
              <w:tc>
                <w:tcPr>
                  <w:tcW w:w="6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0F4E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PET膜</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8CF0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固态</w:t>
                  </w:r>
                </w:p>
              </w:tc>
              <w:tc>
                <w:tcPr>
                  <w:tcW w:w="8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37B1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color w:val="auto"/>
                      <w:sz w:val="21"/>
                      <w:szCs w:val="21"/>
                      <w:vertAlign w:val="baseline"/>
                      <w:lang w:val="en-US" w:eastAsia="zh-CN"/>
                    </w:rPr>
                  </w:pPr>
                  <w:r>
                    <w:rPr>
                      <w:rFonts w:hint="eastAsia" w:ascii="Times New Roman" w:hAnsi="Times New Roman" w:eastAsia="宋体" w:cs="Times New Roman"/>
                      <w:b w:val="0"/>
                      <w:bCs/>
                      <w:color w:val="auto"/>
                      <w:sz w:val="21"/>
                      <w:szCs w:val="21"/>
                    </w:rPr>
                    <w:t>500*0.02mm</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9FAD4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原料</w:t>
                  </w:r>
                  <w:r>
                    <w:rPr>
                      <w:rFonts w:hint="eastAsia" w:cs="Times New Roman"/>
                      <w:b w:val="0"/>
                      <w:bCs/>
                      <w:color w:val="auto"/>
                      <w:sz w:val="21"/>
                      <w:szCs w:val="21"/>
                      <w:vertAlign w:val="baseline"/>
                      <w:lang w:val="en-US" w:eastAsia="zh-CN"/>
                    </w:rPr>
                    <w:t>库</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2448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t/a</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15559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30</w:t>
                  </w:r>
                </w:p>
              </w:tc>
              <w:tc>
                <w:tcPr>
                  <w:tcW w:w="58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E039B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5</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332E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外购</w:t>
                  </w:r>
                </w:p>
              </w:tc>
            </w:tr>
            <w:tr w14:paraId="10AD2559">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5DF3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5</w:t>
                  </w:r>
                </w:p>
              </w:tc>
              <w:tc>
                <w:tcPr>
                  <w:tcW w:w="6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AB229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镀锡铜丝</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9F39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固态</w:t>
                  </w:r>
                </w:p>
              </w:tc>
              <w:tc>
                <w:tcPr>
                  <w:tcW w:w="8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06D8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color w:val="auto"/>
                      <w:sz w:val="21"/>
                      <w:szCs w:val="21"/>
                      <w:vertAlign w:val="baseline"/>
                      <w:lang w:val="en-US" w:eastAsia="zh-CN"/>
                    </w:rPr>
                  </w:pPr>
                  <w:r>
                    <w:rPr>
                      <w:rFonts w:hint="eastAsia" w:ascii="Times New Roman" w:hAnsi="Times New Roman" w:eastAsia="宋体" w:cs="Times New Roman"/>
                      <w:bCs/>
                      <w:color w:val="auto"/>
                      <w:sz w:val="21"/>
                      <w:szCs w:val="21"/>
                    </w:rPr>
                    <w:t>16*0.195CU/盘</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5093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原料</w:t>
                  </w:r>
                  <w:r>
                    <w:rPr>
                      <w:rFonts w:hint="eastAsia" w:cs="Times New Roman"/>
                      <w:b w:val="0"/>
                      <w:bCs/>
                      <w:color w:val="auto"/>
                      <w:sz w:val="21"/>
                      <w:szCs w:val="21"/>
                      <w:vertAlign w:val="baseline"/>
                      <w:lang w:val="en-US" w:eastAsia="zh-CN"/>
                    </w:rPr>
                    <w:t>库</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31015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t/a</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E42A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190</w:t>
                  </w:r>
                </w:p>
              </w:tc>
              <w:tc>
                <w:tcPr>
                  <w:tcW w:w="58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518C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15</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34DA3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外购</w:t>
                  </w:r>
                </w:p>
              </w:tc>
            </w:tr>
            <w:tr w14:paraId="3443924D">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2D94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6</w:t>
                  </w:r>
                </w:p>
              </w:tc>
              <w:tc>
                <w:tcPr>
                  <w:tcW w:w="6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7144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铝镁合金丝</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EEB7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固态</w:t>
                  </w:r>
                </w:p>
              </w:tc>
              <w:tc>
                <w:tcPr>
                  <w:tcW w:w="8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549E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color w:val="auto"/>
                      <w:sz w:val="21"/>
                      <w:szCs w:val="21"/>
                      <w:vertAlign w:val="baseline"/>
                      <w:lang w:val="en-US" w:eastAsia="zh-CN"/>
                    </w:rPr>
                  </w:pPr>
                  <w:r>
                    <w:rPr>
                      <w:rFonts w:hint="eastAsia" w:ascii="Times New Roman" w:hAnsi="Times New Roman" w:eastAsia="宋体" w:cs="Times New Roman"/>
                      <w:bCs/>
                      <w:color w:val="auto"/>
                      <w:sz w:val="21"/>
                      <w:szCs w:val="21"/>
                    </w:rPr>
                    <w:t>16*0.195CU/盘</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A533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原料</w:t>
                  </w:r>
                  <w:r>
                    <w:rPr>
                      <w:rFonts w:hint="eastAsia" w:cs="Times New Roman"/>
                      <w:b w:val="0"/>
                      <w:bCs/>
                      <w:color w:val="auto"/>
                      <w:sz w:val="21"/>
                      <w:szCs w:val="21"/>
                      <w:vertAlign w:val="baseline"/>
                      <w:lang w:val="en-US" w:eastAsia="zh-CN"/>
                    </w:rPr>
                    <w:t>库</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4338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t/a</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BCB8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60</w:t>
                  </w:r>
                </w:p>
              </w:tc>
              <w:tc>
                <w:tcPr>
                  <w:tcW w:w="58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B84B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5</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62D1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外购</w:t>
                  </w:r>
                </w:p>
              </w:tc>
            </w:tr>
            <w:tr w14:paraId="3D43CF0F">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FE4A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7</w:t>
                  </w:r>
                </w:p>
              </w:tc>
              <w:tc>
                <w:tcPr>
                  <w:tcW w:w="6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1F08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芳纶加强件</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EA730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固态</w:t>
                  </w:r>
                </w:p>
              </w:tc>
              <w:tc>
                <w:tcPr>
                  <w:tcW w:w="8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D6803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color w:val="auto"/>
                      <w:sz w:val="21"/>
                      <w:szCs w:val="21"/>
                      <w:vertAlign w:val="baseline"/>
                      <w:lang w:val="en-US" w:eastAsia="zh-CN"/>
                    </w:rPr>
                  </w:pPr>
                  <w:r>
                    <w:rPr>
                      <w:rFonts w:hint="eastAsia" w:ascii="Times New Roman" w:hAnsi="Times New Roman" w:eastAsia="宋体" w:cs="Times New Roman"/>
                      <w:bCs/>
                      <w:color w:val="auto"/>
                      <w:sz w:val="21"/>
                      <w:szCs w:val="21"/>
                    </w:rPr>
                    <w:t>2500D</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8017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原料</w:t>
                  </w:r>
                  <w:r>
                    <w:rPr>
                      <w:rFonts w:hint="eastAsia" w:cs="Times New Roman"/>
                      <w:b w:val="0"/>
                      <w:bCs/>
                      <w:color w:val="auto"/>
                      <w:sz w:val="21"/>
                      <w:szCs w:val="21"/>
                      <w:vertAlign w:val="baseline"/>
                      <w:lang w:val="en-US" w:eastAsia="zh-CN"/>
                    </w:rPr>
                    <w:t>库</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21CA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t/a</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A9A9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70</w:t>
                  </w:r>
                </w:p>
              </w:tc>
              <w:tc>
                <w:tcPr>
                  <w:tcW w:w="58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B4AB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10</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2704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外购</w:t>
                  </w:r>
                </w:p>
              </w:tc>
            </w:tr>
            <w:tr w14:paraId="77001A0F">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65ED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8</w:t>
                  </w:r>
                </w:p>
              </w:tc>
              <w:tc>
                <w:tcPr>
                  <w:tcW w:w="6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9946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油墨</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2C2CE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液态</w:t>
                  </w:r>
                </w:p>
              </w:tc>
              <w:tc>
                <w:tcPr>
                  <w:tcW w:w="8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330E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1L/瓶</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7586A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辅料库</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31A5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kg/a</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6069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20.8</w:t>
                  </w:r>
                </w:p>
              </w:tc>
              <w:tc>
                <w:tcPr>
                  <w:tcW w:w="58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F3DE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20.8</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8B5A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外购</w:t>
                  </w:r>
                </w:p>
              </w:tc>
            </w:tr>
            <w:tr w14:paraId="7A5AD1BC">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6FB6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二、塑料电缆料颗粒生产线</w:t>
                  </w:r>
                </w:p>
              </w:tc>
            </w:tr>
            <w:tr w14:paraId="29C7D33B">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24B0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9</w:t>
                  </w:r>
                </w:p>
              </w:tc>
              <w:tc>
                <w:tcPr>
                  <w:tcW w:w="6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35C9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PVC</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ACB3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颗粒状</w:t>
                  </w:r>
                </w:p>
              </w:tc>
              <w:tc>
                <w:tcPr>
                  <w:tcW w:w="8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EBA8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color w:val="auto"/>
                      <w:sz w:val="21"/>
                      <w:szCs w:val="21"/>
                      <w:vertAlign w:val="baseline"/>
                      <w:lang w:val="en-US" w:eastAsia="zh-CN"/>
                    </w:rPr>
                  </w:pPr>
                  <w:r>
                    <w:rPr>
                      <w:rFonts w:hint="eastAsia" w:ascii="Times New Roman" w:hAnsi="Times New Roman" w:eastAsia="宋体" w:cs="Times New Roman"/>
                      <w:b w:val="0"/>
                      <w:bCs/>
                      <w:color w:val="auto"/>
                      <w:sz w:val="21"/>
                      <w:szCs w:val="21"/>
                    </w:rPr>
                    <w:t>25</w:t>
                  </w:r>
                  <w:r>
                    <w:rPr>
                      <w:rFonts w:hint="eastAsia" w:cs="Times New Roman"/>
                      <w:b w:val="0"/>
                      <w:bCs/>
                      <w:color w:val="auto"/>
                      <w:sz w:val="21"/>
                      <w:szCs w:val="21"/>
                      <w:lang w:val="en-US" w:eastAsia="zh-CN"/>
                    </w:rPr>
                    <w:t>kg</w:t>
                  </w:r>
                  <w:r>
                    <w:rPr>
                      <w:rFonts w:hint="eastAsia" w:ascii="Times New Roman" w:hAnsi="Times New Roman" w:eastAsia="宋体" w:cs="Times New Roman"/>
                      <w:b w:val="0"/>
                      <w:bCs/>
                      <w:color w:val="auto"/>
                      <w:sz w:val="21"/>
                      <w:szCs w:val="21"/>
                    </w:rPr>
                    <w:t>/袋</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EC03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原料</w:t>
                  </w:r>
                  <w:r>
                    <w:rPr>
                      <w:rFonts w:hint="eastAsia" w:cs="Times New Roman"/>
                      <w:b w:val="0"/>
                      <w:bCs/>
                      <w:color w:val="auto"/>
                      <w:sz w:val="21"/>
                      <w:szCs w:val="21"/>
                      <w:vertAlign w:val="baseline"/>
                      <w:lang w:val="en-US" w:eastAsia="zh-CN"/>
                    </w:rPr>
                    <w:t>库</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6A43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t/a</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5DEC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ascii="Times New Roman" w:hAnsi="Times New Roman" w:cs="Times New Roman"/>
                      <w:color w:val="auto"/>
                      <w:sz w:val="21"/>
                      <w:szCs w:val="21"/>
                    </w:rPr>
                    <w:t>300</w:t>
                  </w:r>
                </w:p>
              </w:tc>
              <w:tc>
                <w:tcPr>
                  <w:tcW w:w="58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646D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50</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733A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外购</w:t>
                  </w:r>
                </w:p>
              </w:tc>
            </w:tr>
            <w:tr w14:paraId="2857A345">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B9D6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10</w:t>
                  </w:r>
                </w:p>
              </w:tc>
              <w:tc>
                <w:tcPr>
                  <w:tcW w:w="6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C6850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重质碳酸钙</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F0CA9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粉状</w:t>
                  </w:r>
                </w:p>
              </w:tc>
              <w:tc>
                <w:tcPr>
                  <w:tcW w:w="8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D2DA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color w:val="auto"/>
                      <w:sz w:val="21"/>
                      <w:szCs w:val="21"/>
                      <w:vertAlign w:val="baseline"/>
                      <w:lang w:val="en-US" w:eastAsia="zh-CN"/>
                    </w:rPr>
                  </w:pPr>
                  <w:r>
                    <w:rPr>
                      <w:rFonts w:hint="eastAsia" w:ascii="Times New Roman" w:hAnsi="Times New Roman" w:eastAsia="宋体" w:cs="Times New Roman"/>
                      <w:b w:val="0"/>
                      <w:bCs/>
                      <w:color w:val="auto"/>
                      <w:sz w:val="21"/>
                      <w:szCs w:val="21"/>
                    </w:rPr>
                    <w:t>25</w:t>
                  </w:r>
                  <w:r>
                    <w:rPr>
                      <w:rFonts w:hint="eastAsia" w:cs="Times New Roman"/>
                      <w:b w:val="0"/>
                      <w:bCs/>
                      <w:color w:val="auto"/>
                      <w:sz w:val="21"/>
                      <w:szCs w:val="21"/>
                      <w:lang w:val="en-US" w:eastAsia="zh-CN"/>
                    </w:rPr>
                    <w:t>kg</w:t>
                  </w:r>
                  <w:r>
                    <w:rPr>
                      <w:rFonts w:hint="eastAsia" w:ascii="Times New Roman" w:hAnsi="Times New Roman" w:eastAsia="宋体" w:cs="Times New Roman"/>
                      <w:b w:val="0"/>
                      <w:bCs/>
                      <w:color w:val="auto"/>
                      <w:sz w:val="21"/>
                      <w:szCs w:val="21"/>
                    </w:rPr>
                    <w:t>/袋</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4FE0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辅料库</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762F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t/a</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07BD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ascii="Times New Roman" w:hAnsi="Times New Roman" w:cs="Times New Roman"/>
                      <w:color w:val="auto"/>
                      <w:sz w:val="21"/>
                      <w:szCs w:val="21"/>
                    </w:rPr>
                    <w:t>148</w:t>
                  </w:r>
                </w:p>
              </w:tc>
              <w:tc>
                <w:tcPr>
                  <w:tcW w:w="58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7700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20</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C2DA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粒径约45um</w:t>
                  </w:r>
                </w:p>
                <w:p w14:paraId="57D1EA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外购</w:t>
                  </w:r>
                </w:p>
              </w:tc>
            </w:tr>
            <w:tr w14:paraId="43A0E113">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713E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11</w:t>
                  </w:r>
                </w:p>
              </w:tc>
              <w:tc>
                <w:tcPr>
                  <w:tcW w:w="6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A180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纳米碳酸钙</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46B1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粉状</w:t>
                  </w:r>
                </w:p>
              </w:tc>
              <w:tc>
                <w:tcPr>
                  <w:tcW w:w="8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0721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color w:val="auto"/>
                      <w:sz w:val="21"/>
                      <w:szCs w:val="21"/>
                      <w:vertAlign w:val="baseline"/>
                      <w:lang w:val="en-US" w:eastAsia="zh-CN"/>
                    </w:rPr>
                  </w:pPr>
                  <w:r>
                    <w:rPr>
                      <w:rFonts w:hint="eastAsia" w:ascii="Times New Roman" w:hAnsi="Times New Roman" w:eastAsia="宋体" w:cs="Times New Roman"/>
                      <w:b w:val="0"/>
                      <w:bCs/>
                      <w:color w:val="auto"/>
                      <w:sz w:val="21"/>
                      <w:szCs w:val="21"/>
                    </w:rPr>
                    <w:t>25</w:t>
                  </w:r>
                  <w:r>
                    <w:rPr>
                      <w:rFonts w:hint="eastAsia" w:cs="Times New Roman"/>
                      <w:b w:val="0"/>
                      <w:bCs/>
                      <w:color w:val="auto"/>
                      <w:sz w:val="21"/>
                      <w:szCs w:val="21"/>
                      <w:lang w:val="en-US" w:eastAsia="zh-CN"/>
                    </w:rPr>
                    <w:t>kg</w:t>
                  </w:r>
                  <w:r>
                    <w:rPr>
                      <w:rFonts w:hint="eastAsia" w:ascii="Times New Roman" w:hAnsi="Times New Roman" w:eastAsia="宋体" w:cs="Times New Roman"/>
                      <w:b w:val="0"/>
                      <w:bCs/>
                      <w:color w:val="auto"/>
                      <w:sz w:val="21"/>
                      <w:szCs w:val="21"/>
                    </w:rPr>
                    <w:t>/袋</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2EA6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辅料库</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35A5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t/a</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82070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ascii="Times New Roman" w:hAnsi="Times New Roman" w:cs="Times New Roman"/>
                      <w:color w:val="auto"/>
                      <w:sz w:val="21"/>
                      <w:szCs w:val="21"/>
                    </w:rPr>
                    <w:t>69</w:t>
                  </w:r>
                </w:p>
              </w:tc>
              <w:tc>
                <w:tcPr>
                  <w:tcW w:w="58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49F5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10</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D790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粒径约20nm</w:t>
                  </w:r>
                </w:p>
                <w:p w14:paraId="0C04F8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外购</w:t>
                  </w:r>
                </w:p>
              </w:tc>
            </w:tr>
            <w:tr w14:paraId="5B78497A">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AB5E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w:t>
                  </w:r>
                  <w:r>
                    <w:rPr>
                      <w:rFonts w:hint="eastAsia" w:cs="Times New Roman"/>
                      <w:b w:val="0"/>
                      <w:bCs/>
                      <w:color w:val="auto"/>
                      <w:sz w:val="21"/>
                      <w:szCs w:val="21"/>
                      <w:vertAlign w:val="baseline"/>
                      <w:lang w:val="en-US" w:eastAsia="zh-CN"/>
                    </w:rPr>
                    <w:t>2</w:t>
                  </w:r>
                </w:p>
              </w:tc>
              <w:tc>
                <w:tcPr>
                  <w:tcW w:w="6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2441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钙锌复合稳定剂</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0483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粉状</w:t>
                  </w:r>
                </w:p>
              </w:tc>
              <w:tc>
                <w:tcPr>
                  <w:tcW w:w="8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1EC1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color w:val="auto"/>
                      <w:sz w:val="21"/>
                      <w:szCs w:val="21"/>
                      <w:vertAlign w:val="baseline"/>
                      <w:lang w:val="en-US" w:eastAsia="zh-CN"/>
                    </w:rPr>
                  </w:pPr>
                  <w:r>
                    <w:rPr>
                      <w:rFonts w:hint="eastAsia" w:ascii="Times New Roman" w:hAnsi="Times New Roman" w:eastAsia="宋体" w:cs="Times New Roman"/>
                      <w:b w:val="0"/>
                      <w:bCs/>
                      <w:color w:val="auto"/>
                      <w:sz w:val="21"/>
                      <w:szCs w:val="21"/>
                    </w:rPr>
                    <w:t>25</w:t>
                  </w:r>
                  <w:r>
                    <w:rPr>
                      <w:rFonts w:hint="eastAsia" w:cs="Times New Roman"/>
                      <w:b w:val="0"/>
                      <w:bCs/>
                      <w:color w:val="auto"/>
                      <w:sz w:val="21"/>
                      <w:szCs w:val="21"/>
                      <w:lang w:val="en-US" w:eastAsia="zh-CN"/>
                    </w:rPr>
                    <w:t>kg</w:t>
                  </w:r>
                  <w:r>
                    <w:rPr>
                      <w:rFonts w:hint="eastAsia" w:ascii="Times New Roman" w:hAnsi="Times New Roman" w:eastAsia="宋体" w:cs="Times New Roman"/>
                      <w:b w:val="0"/>
                      <w:bCs/>
                      <w:color w:val="auto"/>
                      <w:sz w:val="21"/>
                      <w:szCs w:val="21"/>
                    </w:rPr>
                    <w:t>/袋</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D8CE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辅料库</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6319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t/a</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38B8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ascii="Times New Roman" w:hAnsi="Times New Roman" w:cs="Times New Roman"/>
                      <w:color w:val="auto"/>
                      <w:sz w:val="21"/>
                      <w:szCs w:val="21"/>
                    </w:rPr>
                    <w:t>15</w:t>
                  </w:r>
                </w:p>
              </w:tc>
              <w:tc>
                <w:tcPr>
                  <w:tcW w:w="58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548C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3</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5DCF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粒径约15um</w:t>
                  </w:r>
                </w:p>
                <w:p w14:paraId="3F4801A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外购</w:t>
                  </w:r>
                </w:p>
              </w:tc>
            </w:tr>
            <w:tr w14:paraId="361E8552">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993A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w:t>
                  </w:r>
                  <w:r>
                    <w:rPr>
                      <w:rFonts w:hint="eastAsia" w:cs="Times New Roman"/>
                      <w:b w:val="0"/>
                      <w:bCs/>
                      <w:color w:val="auto"/>
                      <w:sz w:val="21"/>
                      <w:szCs w:val="21"/>
                      <w:vertAlign w:val="baseline"/>
                      <w:lang w:val="en-US" w:eastAsia="zh-CN"/>
                    </w:rPr>
                    <w:t>3</w:t>
                  </w:r>
                </w:p>
              </w:tc>
              <w:tc>
                <w:tcPr>
                  <w:tcW w:w="6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E474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DOTP</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6B0A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液态</w:t>
                  </w:r>
                </w:p>
              </w:tc>
              <w:tc>
                <w:tcPr>
                  <w:tcW w:w="8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7B80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color w:val="auto"/>
                      <w:sz w:val="21"/>
                      <w:szCs w:val="21"/>
                      <w:vertAlign w:val="baseline"/>
                      <w:lang w:val="en-US" w:eastAsia="zh-CN"/>
                    </w:rPr>
                  </w:pPr>
                  <w:r>
                    <w:rPr>
                      <w:rFonts w:hint="default" w:ascii="Times New Roman" w:hAnsi="Times New Roman" w:eastAsia="宋体" w:cs="Times New Roman"/>
                      <w:bCs/>
                      <w:color w:val="auto"/>
                      <w:sz w:val="21"/>
                      <w:szCs w:val="21"/>
                    </w:rPr>
                    <w:t>1吨/桶</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B1A07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辅料库</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D0B9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t/a</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344EE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ascii="Times New Roman" w:hAnsi="Times New Roman" w:cs="Times New Roman"/>
                      <w:color w:val="auto"/>
                      <w:sz w:val="21"/>
                      <w:szCs w:val="21"/>
                    </w:rPr>
                    <w:t>150</w:t>
                  </w:r>
                </w:p>
              </w:tc>
              <w:tc>
                <w:tcPr>
                  <w:tcW w:w="58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6ED9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20</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5C2B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外购</w:t>
                  </w:r>
                </w:p>
              </w:tc>
            </w:tr>
            <w:tr w14:paraId="34D7782F">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B11B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w:t>
                  </w:r>
                  <w:r>
                    <w:rPr>
                      <w:rFonts w:hint="eastAsia" w:cs="Times New Roman"/>
                      <w:b w:val="0"/>
                      <w:bCs/>
                      <w:color w:val="auto"/>
                      <w:sz w:val="21"/>
                      <w:szCs w:val="21"/>
                      <w:vertAlign w:val="baseline"/>
                      <w:lang w:val="en-US" w:eastAsia="zh-CN"/>
                    </w:rPr>
                    <w:t>4</w:t>
                  </w:r>
                </w:p>
              </w:tc>
              <w:tc>
                <w:tcPr>
                  <w:tcW w:w="6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7A91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ESO</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CF60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液态</w:t>
                  </w:r>
                </w:p>
              </w:tc>
              <w:tc>
                <w:tcPr>
                  <w:tcW w:w="8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EE68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color w:val="auto"/>
                      <w:sz w:val="21"/>
                      <w:szCs w:val="21"/>
                      <w:vertAlign w:val="baseline"/>
                      <w:lang w:val="en-US" w:eastAsia="zh-CN"/>
                    </w:rPr>
                  </w:pPr>
                  <w:r>
                    <w:rPr>
                      <w:rFonts w:hint="default" w:ascii="Times New Roman" w:hAnsi="Times New Roman" w:eastAsia="宋体" w:cs="Times New Roman"/>
                      <w:bCs/>
                      <w:color w:val="auto"/>
                      <w:sz w:val="21"/>
                      <w:szCs w:val="21"/>
                    </w:rPr>
                    <w:t>1吨/桶</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A203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辅料库</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2180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t/a</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366D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ascii="Times New Roman" w:hAnsi="Times New Roman" w:cs="Times New Roman"/>
                      <w:color w:val="auto"/>
                      <w:sz w:val="21"/>
                      <w:szCs w:val="21"/>
                    </w:rPr>
                    <w:t>18</w:t>
                  </w:r>
                </w:p>
              </w:tc>
              <w:tc>
                <w:tcPr>
                  <w:tcW w:w="58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2B0A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3</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36D95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外购</w:t>
                  </w:r>
                </w:p>
              </w:tc>
            </w:tr>
            <w:tr w14:paraId="2DE922E9">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B9875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三、辅助原料</w:t>
                  </w:r>
                </w:p>
              </w:tc>
            </w:tr>
            <w:tr w14:paraId="765B8AAB">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FEB6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15</w:t>
                  </w:r>
                </w:p>
              </w:tc>
              <w:tc>
                <w:tcPr>
                  <w:tcW w:w="6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89C4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机油</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F0F7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液态</w:t>
                  </w:r>
                </w:p>
              </w:tc>
              <w:tc>
                <w:tcPr>
                  <w:tcW w:w="8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0821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 w:val="0"/>
                      <w:bCs/>
                      <w:color w:val="auto"/>
                      <w:sz w:val="21"/>
                      <w:szCs w:val="21"/>
                      <w:vertAlign w:val="baseline"/>
                      <w:lang w:val="en-US" w:eastAsia="zh-CN"/>
                    </w:rPr>
                  </w:pPr>
                  <w:r>
                    <w:rPr>
                      <w:rFonts w:hint="eastAsia" w:ascii="Times New Roman" w:hAnsi="Times New Roman" w:eastAsia="宋体" w:cs="Times New Roman"/>
                      <w:b w:val="0"/>
                      <w:bCs/>
                      <w:color w:val="auto"/>
                      <w:sz w:val="21"/>
                      <w:szCs w:val="21"/>
                    </w:rPr>
                    <w:t>25</w:t>
                  </w:r>
                  <w:r>
                    <w:rPr>
                      <w:rFonts w:hint="eastAsia" w:cs="Times New Roman"/>
                      <w:b w:val="0"/>
                      <w:bCs/>
                      <w:color w:val="auto"/>
                      <w:sz w:val="21"/>
                      <w:szCs w:val="21"/>
                      <w:lang w:val="en-US" w:eastAsia="zh-CN"/>
                    </w:rPr>
                    <w:t>kg</w:t>
                  </w:r>
                  <w:r>
                    <w:rPr>
                      <w:rFonts w:hint="eastAsia" w:ascii="Times New Roman" w:hAnsi="Times New Roman" w:eastAsia="宋体" w:cs="Times New Roman"/>
                      <w:b w:val="0"/>
                      <w:bCs/>
                      <w:color w:val="auto"/>
                      <w:sz w:val="21"/>
                      <w:szCs w:val="21"/>
                    </w:rPr>
                    <w:t>/</w:t>
                  </w:r>
                  <w:r>
                    <w:rPr>
                      <w:rFonts w:hint="eastAsia" w:cs="Times New Roman"/>
                      <w:b w:val="0"/>
                      <w:bCs/>
                      <w:color w:val="auto"/>
                      <w:sz w:val="21"/>
                      <w:szCs w:val="21"/>
                      <w:lang w:val="en-US" w:eastAsia="zh-CN"/>
                    </w:rPr>
                    <w:t>桶</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38F4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辅料库</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76B80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t/a</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36D9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0.2</w:t>
                  </w:r>
                </w:p>
              </w:tc>
              <w:tc>
                <w:tcPr>
                  <w:tcW w:w="58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2BC1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0.2</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3E1B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外购</w:t>
                  </w:r>
                </w:p>
              </w:tc>
            </w:tr>
            <w:tr w14:paraId="070D063D">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F075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1</w:t>
                  </w:r>
                  <w:r>
                    <w:rPr>
                      <w:rFonts w:hint="eastAsia" w:cs="Times New Roman"/>
                      <w:b w:val="0"/>
                      <w:bCs/>
                      <w:color w:val="auto"/>
                      <w:sz w:val="21"/>
                      <w:szCs w:val="21"/>
                      <w:highlight w:val="none"/>
                      <w:vertAlign w:val="baseline"/>
                      <w:lang w:val="en-US" w:eastAsia="zh-CN"/>
                    </w:rPr>
                    <w:t>6</w:t>
                  </w:r>
                </w:p>
              </w:tc>
              <w:tc>
                <w:tcPr>
                  <w:tcW w:w="6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9247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水</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F440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w:t>
                  </w:r>
                </w:p>
              </w:tc>
              <w:tc>
                <w:tcPr>
                  <w:tcW w:w="8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33AC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B041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D32D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t/a</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BB43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1399.4</w:t>
                  </w:r>
                </w:p>
              </w:tc>
              <w:tc>
                <w:tcPr>
                  <w:tcW w:w="58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E9DB0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4F5E1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市政管网供水</w:t>
                  </w:r>
                </w:p>
              </w:tc>
            </w:tr>
            <w:tr w14:paraId="0ACD0CFF">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3EBA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w:t>
                  </w:r>
                  <w:r>
                    <w:rPr>
                      <w:rFonts w:hint="eastAsia" w:cs="Times New Roman"/>
                      <w:b w:val="0"/>
                      <w:bCs/>
                      <w:color w:val="auto"/>
                      <w:sz w:val="21"/>
                      <w:szCs w:val="21"/>
                      <w:vertAlign w:val="baseline"/>
                      <w:lang w:val="en-US" w:eastAsia="zh-CN"/>
                    </w:rPr>
                    <w:t>7</w:t>
                  </w:r>
                </w:p>
              </w:tc>
              <w:tc>
                <w:tcPr>
                  <w:tcW w:w="6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8869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电</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B05B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w:t>
                  </w:r>
                </w:p>
              </w:tc>
              <w:tc>
                <w:tcPr>
                  <w:tcW w:w="8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9B9F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color w:val="auto"/>
                      <w:sz w:val="21"/>
                      <w:szCs w:val="21"/>
                      <w:vertAlign w:val="baseline"/>
                      <w:lang w:val="en-US" w:eastAsia="zh-CN"/>
                    </w:rPr>
                  </w:pPr>
                  <w:r>
                    <w:rPr>
                      <w:rFonts w:hint="eastAsia" w:cs="Times New Roman"/>
                      <w:b w:val="0"/>
                      <w:bCs/>
                      <w:color w:val="auto"/>
                      <w:sz w:val="21"/>
                      <w:szCs w:val="21"/>
                      <w:highlight w:val="none"/>
                      <w:vertAlign w:val="baseline"/>
                      <w:lang w:val="en-US" w:eastAsia="zh-CN"/>
                    </w:rPr>
                    <w:t>/</w:t>
                  </w:r>
                </w:p>
              </w:tc>
              <w:tc>
                <w:tcPr>
                  <w:tcW w:w="52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6D11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highlight w:val="none"/>
                      <w:vertAlign w:val="baseline"/>
                      <w:lang w:val="en-US" w:eastAsia="zh-CN"/>
                    </w:rPr>
                    <w:t>/</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8507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万kW·h/a</w:t>
                  </w:r>
                </w:p>
              </w:tc>
              <w:tc>
                <w:tcPr>
                  <w:tcW w:w="5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27CC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205.65</w:t>
                  </w:r>
                </w:p>
              </w:tc>
              <w:tc>
                <w:tcPr>
                  <w:tcW w:w="58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F623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10C9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厂区设置节能型变压器供电</w:t>
                  </w:r>
                </w:p>
              </w:tc>
            </w:tr>
          </w:tbl>
          <w:p w14:paraId="2408B1CF">
            <w:pPr>
              <w:bidi w:val="0"/>
              <w:rPr>
                <w:rFonts w:hint="default" w:ascii="Times New Roman" w:hAnsi="Times New Roman" w:eastAsia="宋体" w:cs="Times New Roman"/>
                <w:color w:val="auto"/>
                <w:highlight w:val="none"/>
              </w:rPr>
            </w:pPr>
          </w:p>
          <w:p w14:paraId="14ACAE42">
            <w:pPr>
              <w:bidi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根据建设单位生产经验提供资料，平均每</w:t>
            </w:r>
            <w:r>
              <w:rPr>
                <w:rFonts w:hint="eastAsia" w:cs="Times New Roman"/>
                <w:color w:val="auto"/>
                <w:highlight w:val="none"/>
                <w:lang w:val="en-US" w:eastAsia="zh-CN"/>
              </w:rPr>
              <w:t>米电缆喷码</w:t>
            </w:r>
            <w:r>
              <w:rPr>
                <w:rFonts w:hint="default" w:ascii="Times New Roman" w:hAnsi="Times New Roman" w:eastAsia="宋体" w:cs="Times New Roman"/>
                <w:color w:val="auto"/>
                <w:highlight w:val="none"/>
              </w:rPr>
              <w:t>面积约</w:t>
            </w:r>
            <w:r>
              <w:rPr>
                <w:rFonts w:hint="eastAsia" w:cs="Times New Roman"/>
                <w:color w:val="auto"/>
                <w:highlight w:val="none"/>
                <w:lang w:val="en-US" w:eastAsia="zh-CN"/>
              </w:rPr>
              <w:t>0.5c</w:t>
            </w:r>
            <w:r>
              <w:rPr>
                <w:rFonts w:hint="default" w:ascii="Times New Roman" w:hAnsi="Times New Roman" w:eastAsia="宋体" w:cs="Times New Roman"/>
                <w:color w:val="auto"/>
                <w:highlight w:val="none"/>
              </w:rPr>
              <w:t>m</w:t>
            </w:r>
            <w:r>
              <w:rPr>
                <w:rFonts w:hint="default" w:ascii="Times New Roman" w:hAnsi="Times New Roman" w:eastAsia="宋体" w:cs="Times New Roman"/>
                <w:color w:val="auto"/>
                <w:highlight w:val="none"/>
                <w:vertAlign w:val="superscript"/>
              </w:rPr>
              <w:t>2</w:t>
            </w:r>
            <w:r>
              <w:rPr>
                <w:rFonts w:hint="default" w:ascii="Times New Roman" w:hAnsi="Times New Roman" w:eastAsia="宋体" w:cs="Times New Roman"/>
                <w:color w:val="auto"/>
                <w:highlight w:val="none"/>
              </w:rPr>
              <w:t>，则总印字面积为</w:t>
            </w:r>
            <w:r>
              <w:rPr>
                <w:rFonts w:hint="eastAsia" w:cs="Times New Roman"/>
                <w:color w:val="auto"/>
                <w:highlight w:val="none"/>
                <w:lang w:val="en-US" w:eastAsia="zh-CN"/>
              </w:rPr>
              <w:t>1000</w:t>
            </w:r>
            <w:r>
              <w:rPr>
                <w:rFonts w:hint="default" w:ascii="Times New Roman" w:hAnsi="Times New Roman" w:eastAsia="宋体" w:cs="Times New Roman"/>
                <w:color w:val="auto"/>
                <w:highlight w:val="none"/>
              </w:rPr>
              <w:t>m</w:t>
            </w:r>
            <w:r>
              <w:rPr>
                <w:rFonts w:hint="default" w:ascii="Times New Roman" w:hAnsi="Times New Roman" w:eastAsia="宋体" w:cs="Times New Roman"/>
                <w:color w:val="auto"/>
                <w:highlight w:val="none"/>
                <w:vertAlign w:val="superscript"/>
              </w:rPr>
              <w:t>2</w:t>
            </w:r>
            <w:r>
              <w:rPr>
                <w:rFonts w:hint="default" w:ascii="Times New Roman" w:hAnsi="Times New Roman" w:eastAsia="宋体" w:cs="Times New Roman"/>
                <w:color w:val="auto"/>
                <w:highlight w:val="none"/>
              </w:rPr>
              <w:t>。</w:t>
            </w:r>
          </w:p>
          <w:p w14:paraId="0B358CAE">
            <w:pPr>
              <w:bidi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水性油墨用量计算公式</w:t>
            </w:r>
          </w:p>
          <w:p w14:paraId="2A8C6D53">
            <w:pPr>
              <w:bidi w:val="0"/>
              <w:rPr>
                <w:rFonts w:hint="default" w:ascii="Times New Roman" w:hAnsi="Times New Roman" w:eastAsia="宋体" w:cs="Times New Roman"/>
                <w:color w:val="auto"/>
                <w:highlight w:val="none"/>
                <w:vertAlign w:val="baseline"/>
              </w:rPr>
            </w:pPr>
            <w:r>
              <w:rPr>
                <w:rFonts w:hint="default" w:ascii="Times New Roman" w:hAnsi="Times New Roman" w:eastAsia="宋体" w:cs="Times New Roman"/>
                <w:color w:val="auto"/>
                <w:highlight w:val="none"/>
              </w:rPr>
              <w:t>m=s</w:t>
            </w:r>
            <w:r>
              <w:rPr>
                <w:rFonts w:hint="default" w:ascii="Times New Roman" w:hAnsi="Times New Roman" w:cs="Times New Roman"/>
                <w:color w:val="auto"/>
                <w:highlight w:val="none"/>
                <w:lang w:val="en-US" w:eastAsia="zh-CN"/>
              </w:rPr>
              <w:t>×δ</w:t>
            </w:r>
            <w:r>
              <w:rPr>
                <w:rFonts w:hint="default" w:ascii="Times New Roman" w:hAnsi="Times New Roman" w:eastAsia="宋体" w:cs="Times New Roman"/>
                <w:color w:val="auto"/>
                <w:highlight w:val="none"/>
              </w:rPr>
              <w:t>/(</w:t>
            </w:r>
            <w:r>
              <w:rPr>
                <w:rFonts w:hint="default" w:ascii="Times New Roman" w:hAnsi="Times New Roman" w:cs="Times New Roman"/>
                <w:color w:val="auto"/>
                <w:highlight w:val="none"/>
                <w:lang w:val="en-US" w:eastAsia="zh-CN"/>
              </w:rPr>
              <w:t>η×</w:t>
            </w:r>
            <w:r>
              <w:rPr>
                <w:rFonts w:hint="default" w:ascii="Times New Roman" w:hAnsi="Times New Roman" w:eastAsia="宋体" w:cs="Times New Roman"/>
                <w:color w:val="auto"/>
                <w:highlight w:val="none"/>
              </w:rPr>
              <w:t>油墨固含量</w:t>
            </w:r>
            <w:r>
              <w:rPr>
                <w:rFonts w:hint="eastAsia" w:cs="Times New Roman"/>
                <w:color w:val="auto"/>
                <w:highlight w:val="none"/>
                <w:lang w:eastAsia="zh-CN"/>
              </w:rPr>
              <w:t>）</w:t>
            </w:r>
            <w:r>
              <w:rPr>
                <w:rFonts w:hint="default" w:ascii="Times New Roman" w:hAnsi="Times New Roman" w:cs="Times New Roman"/>
                <w:color w:val="auto"/>
                <w:highlight w:val="none"/>
                <w:lang w:val="en-US" w:eastAsia="zh-CN"/>
              </w:rPr>
              <w:t>×ρ×</w:t>
            </w:r>
            <w:r>
              <w:rPr>
                <w:rFonts w:hint="default" w:ascii="Times New Roman" w:hAnsi="Times New Roman" w:eastAsia="宋体" w:cs="Times New Roman"/>
                <w:color w:val="auto"/>
                <w:highlight w:val="none"/>
              </w:rPr>
              <w:t>10</w:t>
            </w:r>
            <w:r>
              <w:rPr>
                <w:rFonts w:hint="default" w:ascii="Times New Roman" w:hAnsi="Times New Roman" w:eastAsia="宋体" w:cs="Times New Roman"/>
                <w:color w:val="auto"/>
                <w:highlight w:val="none"/>
                <w:vertAlign w:val="superscript"/>
              </w:rPr>
              <w:t>-</w:t>
            </w:r>
            <w:r>
              <w:rPr>
                <w:rFonts w:hint="default" w:ascii="Times New Roman" w:hAnsi="Times New Roman" w:cs="Times New Roman"/>
                <w:color w:val="auto"/>
                <w:highlight w:val="none"/>
                <w:vertAlign w:val="superscript"/>
                <w:lang w:val="en-US" w:eastAsia="zh-CN"/>
              </w:rPr>
              <w:t>6</w:t>
            </w:r>
            <w:r>
              <w:rPr>
                <w:rFonts w:hint="default" w:ascii="Times New Roman" w:hAnsi="Times New Roman" w:cs="Times New Roman"/>
                <w:color w:val="auto"/>
                <w:highlight w:val="none"/>
                <w:vertAlign w:val="baseline"/>
                <w:lang w:val="en-US" w:eastAsia="zh-CN"/>
              </w:rPr>
              <w:t>；</w:t>
            </w:r>
          </w:p>
          <w:p w14:paraId="4BC2FCF6">
            <w:pPr>
              <w:bidi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其中</w:t>
            </w:r>
            <w:r>
              <w:rPr>
                <w:rFonts w:hint="eastAsia" w:cs="Times New Roman"/>
                <w:color w:val="auto"/>
                <w:highlight w:val="none"/>
                <w:lang w:eastAsia="zh-CN"/>
              </w:rPr>
              <w:t>：</w:t>
            </w:r>
            <w:r>
              <w:rPr>
                <w:rFonts w:hint="default" w:ascii="Times New Roman" w:hAnsi="Times New Roman" w:eastAsia="宋体" w:cs="Times New Roman"/>
                <w:color w:val="auto"/>
                <w:highlight w:val="none"/>
              </w:rPr>
              <w:t>m水性油墨用量</w:t>
            </w:r>
            <w:r>
              <w:rPr>
                <w:rFonts w:hint="eastAsia" w:cs="Times New Roman"/>
                <w:color w:val="auto"/>
                <w:highlight w:val="none"/>
                <w:lang w:eastAsia="zh-CN"/>
              </w:rPr>
              <w:t>（</w:t>
            </w:r>
            <w:r>
              <w:rPr>
                <w:rFonts w:hint="default" w:ascii="Times New Roman" w:hAnsi="Times New Roman" w:eastAsia="宋体" w:cs="Times New Roman"/>
                <w:color w:val="auto"/>
                <w:highlight w:val="none"/>
              </w:rPr>
              <w:t>t</w:t>
            </w:r>
            <w:r>
              <w:rPr>
                <w:rFonts w:hint="eastAsia" w:cs="Times New Roman"/>
                <w:color w:val="auto"/>
                <w:highlight w:val="none"/>
                <w:lang w:eastAsia="zh-CN"/>
              </w:rPr>
              <w:t>）</w:t>
            </w:r>
            <w:r>
              <w:rPr>
                <w:rFonts w:hint="default" w:ascii="Times New Roman" w:hAnsi="Times New Roman" w:eastAsia="宋体" w:cs="Times New Roman"/>
                <w:color w:val="auto"/>
                <w:highlight w:val="none"/>
              </w:rPr>
              <w:t>;</w:t>
            </w:r>
          </w:p>
          <w:p w14:paraId="49582299">
            <w:pPr>
              <w:bidi w:val="0"/>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p油墨密度，</w:t>
            </w:r>
            <w:r>
              <w:rPr>
                <w:rFonts w:hint="eastAsia" w:cs="Times New Roman"/>
                <w:color w:val="auto"/>
                <w:highlight w:val="none"/>
                <w:lang w:eastAsia="zh-CN"/>
              </w:rPr>
              <w:t>（</w:t>
            </w:r>
            <w:r>
              <w:rPr>
                <w:rFonts w:hint="default" w:ascii="Times New Roman" w:hAnsi="Times New Roman" w:eastAsia="宋体" w:cs="Times New Roman"/>
                <w:color w:val="auto"/>
                <w:highlight w:val="none"/>
              </w:rPr>
              <w:t>g/cm</w:t>
            </w:r>
            <w:r>
              <w:rPr>
                <w:rFonts w:hint="default" w:ascii="Times New Roman" w:hAnsi="Times New Roman" w:eastAsia="宋体" w:cs="Times New Roman"/>
                <w:color w:val="auto"/>
                <w:highlight w:val="none"/>
                <w:vertAlign w:val="superscript"/>
              </w:rPr>
              <w:t>3</w:t>
            </w:r>
            <w:r>
              <w:rPr>
                <w:rFonts w:hint="eastAsia" w:cs="Times New Roman"/>
                <w:color w:val="auto"/>
                <w:highlight w:val="none"/>
                <w:vertAlign w:val="superscript"/>
                <w:lang w:eastAsia="zh-CN"/>
              </w:rPr>
              <w:t>）</w:t>
            </w:r>
            <w:r>
              <w:rPr>
                <w:rFonts w:hint="default" w:ascii="Times New Roman" w:hAnsi="Times New Roman" w:eastAsia="宋体" w:cs="Times New Roman"/>
                <w:color w:val="auto"/>
                <w:highlight w:val="none"/>
              </w:rPr>
              <w:t>，本项目取1.</w:t>
            </w:r>
            <w:r>
              <w:rPr>
                <w:rFonts w:hint="eastAsia" w:ascii="Times New Roman" w:hAnsi="Times New Roman" w:cs="Times New Roman"/>
                <w:color w:val="auto"/>
                <w:highlight w:val="none"/>
                <w:lang w:val="en-US" w:eastAsia="zh-CN"/>
              </w:rPr>
              <w:t>02</w:t>
            </w:r>
            <w:r>
              <w:rPr>
                <w:rFonts w:hint="eastAsia" w:ascii="Times New Roman" w:hAnsi="Times New Roman" w:cs="Times New Roman"/>
                <w:color w:val="auto"/>
                <w:highlight w:val="none"/>
                <w:lang w:eastAsia="zh-CN"/>
              </w:rPr>
              <w:t>；</w:t>
            </w:r>
          </w:p>
          <w:p w14:paraId="257BFBA5">
            <w:pPr>
              <w:bidi w:val="0"/>
              <w:rPr>
                <w:rFonts w:hint="eastAsia" w:ascii="Times New Roman" w:hAnsi="Times New Roman" w:eastAsia="宋体" w:cs="Times New Roman"/>
                <w:color w:val="auto"/>
                <w:highlight w:val="none"/>
                <w:lang w:eastAsia="zh-CN"/>
              </w:rPr>
            </w:pPr>
            <w:r>
              <w:rPr>
                <w:rFonts w:hint="default" w:ascii="Times New Roman" w:hAnsi="Times New Roman" w:cs="Times New Roman"/>
                <w:color w:val="auto"/>
                <w:highlight w:val="none"/>
                <w:lang w:val="en-US" w:eastAsia="zh-CN"/>
              </w:rPr>
              <w:t>δ</w:t>
            </w:r>
            <w:r>
              <w:rPr>
                <w:rFonts w:hint="default" w:ascii="Times New Roman" w:hAnsi="Times New Roman" w:eastAsia="宋体" w:cs="Times New Roman"/>
                <w:color w:val="auto"/>
                <w:highlight w:val="none"/>
              </w:rPr>
              <w:t>印刷厚度</w:t>
            </w:r>
            <w:r>
              <w:rPr>
                <w:rFonts w:hint="eastAsia" w:cs="Times New Roman"/>
                <w:color w:val="auto"/>
                <w:highlight w:val="none"/>
                <w:lang w:eastAsia="zh-CN"/>
              </w:rPr>
              <w:t>（</w:t>
            </w:r>
            <w:r>
              <w:rPr>
                <w:rFonts w:hint="default" w:ascii="Times New Roman" w:hAnsi="Times New Roman" w:cs="Times New Roman"/>
                <w:color w:val="auto"/>
                <w:highlight w:val="none"/>
                <w:lang w:val="en-US" w:eastAsia="zh-CN"/>
              </w:rPr>
              <w:t>μm</w:t>
            </w:r>
            <w:r>
              <w:rPr>
                <w:rFonts w:hint="eastAsia" w:cs="Times New Roman"/>
                <w:color w:val="auto"/>
                <w:highlight w:val="none"/>
                <w:lang w:val="en-US" w:eastAsia="zh-CN"/>
              </w:rPr>
              <w:t>）</w:t>
            </w:r>
            <w:r>
              <w:rPr>
                <w:rFonts w:hint="default" w:ascii="Times New Roman" w:hAnsi="Times New Roman" w:eastAsia="宋体" w:cs="Times New Roman"/>
                <w:color w:val="auto"/>
                <w:highlight w:val="none"/>
              </w:rPr>
              <w:t>，本项目取</w:t>
            </w:r>
            <w:r>
              <w:rPr>
                <w:rFonts w:hint="eastAsia" w:ascii="Times New Roman" w:hAnsi="Times New Roman" w:cs="Times New Roman"/>
                <w:color w:val="auto"/>
                <w:highlight w:val="none"/>
                <w:lang w:val="en-US" w:eastAsia="zh-CN"/>
              </w:rPr>
              <w:t>1</w:t>
            </w:r>
            <w:r>
              <w:rPr>
                <w:rFonts w:hint="eastAsia" w:ascii="Times New Roman" w:hAnsi="Times New Roman" w:cs="Times New Roman"/>
                <w:color w:val="auto"/>
                <w:highlight w:val="none"/>
                <w:lang w:eastAsia="zh-CN"/>
              </w:rPr>
              <w:t>；</w:t>
            </w:r>
          </w:p>
          <w:p w14:paraId="5834F78D">
            <w:pPr>
              <w:bidi w:val="0"/>
              <w:rPr>
                <w:rFonts w:hint="eastAsia" w:ascii="Times New Roman" w:hAnsi="Times New Roman" w:eastAsia="宋体" w:cs="Times New Roman"/>
                <w:color w:val="auto"/>
                <w:highlight w:val="none"/>
                <w:lang w:eastAsia="zh-CN"/>
              </w:rPr>
            </w:pPr>
            <w:r>
              <w:rPr>
                <w:rFonts w:hint="default" w:ascii="Times New Roman" w:hAnsi="Times New Roman" w:cs="Times New Roman"/>
                <w:color w:val="auto"/>
                <w:highlight w:val="none"/>
                <w:lang w:val="en-US" w:eastAsia="zh-CN"/>
              </w:rPr>
              <w:t>η</w:t>
            </w:r>
            <w:r>
              <w:rPr>
                <w:rFonts w:hint="default" w:ascii="Times New Roman" w:hAnsi="Times New Roman" w:eastAsia="宋体" w:cs="Times New Roman"/>
                <w:color w:val="auto"/>
                <w:highlight w:val="none"/>
              </w:rPr>
              <w:t>油墨使用率</w:t>
            </w:r>
            <w:r>
              <w:rPr>
                <w:rFonts w:hint="eastAsia" w:cs="Times New Roman"/>
                <w:color w:val="auto"/>
                <w:highlight w:val="none"/>
                <w:lang w:eastAsia="zh-CN"/>
              </w:rPr>
              <w:t>（</w:t>
            </w:r>
            <w:r>
              <w:rPr>
                <w:rFonts w:hint="default" w:ascii="Times New Roman" w:hAnsi="Times New Roman" w:eastAsia="宋体" w:cs="Times New Roman"/>
                <w:color w:val="auto"/>
                <w:highlight w:val="none"/>
              </w:rPr>
              <w:t>%</w:t>
            </w:r>
            <w:r>
              <w:rPr>
                <w:rFonts w:hint="eastAsia" w:cs="Times New Roman"/>
                <w:color w:val="auto"/>
                <w:highlight w:val="none"/>
                <w:lang w:eastAsia="zh-CN"/>
              </w:rPr>
              <w:t>），</w:t>
            </w:r>
            <w:r>
              <w:rPr>
                <w:rFonts w:hint="default" w:ascii="Times New Roman" w:hAnsi="Times New Roman" w:eastAsia="宋体" w:cs="Times New Roman"/>
                <w:color w:val="auto"/>
                <w:highlight w:val="none"/>
              </w:rPr>
              <w:t>本项目取98</w:t>
            </w:r>
            <w:r>
              <w:rPr>
                <w:rFonts w:hint="eastAsia" w:ascii="Times New Roman" w:hAnsi="Times New Roman" w:cs="Times New Roman"/>
                <w:color w:val="auto"/>
                <w:highlight w:val="none"/>
                <w:lang w:eastAsia="zh-CN"/>
              </w:rPr>
              <w:t>；</w:t>
            </w:r>
          </w:p>
          <w:p w14:paraId="430D5512">
            <w:pPr>
              <w:bidi w:val="0"/>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油墨固含量取</w:t>
            </w:r>
            <w:r>
              <w:rPr>
                <w:rFonts w:hint="eastAsia" w:ascii="Times New Roman" w:hAnsi="Times New Roman" w:cs="Times New Roman"/>
                <w:color w:val="auto"/>
                <w:highlight w:val="none"/>
                <w:lang w:val="en-US" w:eastAsia="zh-CN"/>
              </w:rPr>
              <w:t>5</w:t>
            </w:r>
            <w:r>
              <w:rPr>
                <w:rFonts w:hint="default" w:ascii="Times New Roman" w:hAnsi="Times New Roman" w:eastAsia="宋体" w:cs="Times New Roman"/>
                <w:color w:val="auto"/>
                <w:highlight w:val="none"/>
              </w:rPr>
              <w:t>%</w:t>
            </w:r>
            <w:r>
              <w:rPr>
                <w:rFonts w:hint="eastAsia" w:ascii="Times New Roman" w:hAnsi="Times New Roman" w:cs="Times New Roman"/>
                <w:color w:val="auto"/>
                <w:highlight w:val="none"/>
                <w:lang w:eastAsia="zh-CN"/>
              </w:rPr>
              <w:t>；</w:t>
            </w:r>
          </w:p>
          <w:p w14:paraId="4B4A4C1E">
            <w:pPr>
              <w:bidi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s印刷面积</w:t>
            </w:r>
            <w:r>
              <w:rPr>
                <w:rFonts w:hint="eastAsia" w:cs="Times New Roman"/>
                <w:color w:val="auto"/>
                <w:highlight w:val="none"/>
                <w:lang w:eastAsia="zh-CN"/>
              </w:rPr>
              <w:t>（</w:t>
            </w:r>
            <w:r>
              <w:rPr>
                <w:rFonts w:hint="default" w:ascii="Times New Roman" w:hAnsi="Times New Roman" w:eastAsia="宋体" w:cs="Times New Roman"/>
                <w:color w:val="auto"/>
                <w:highlight w:val="none"/>
              </w:rPr>
              <w:t>m</w:t>
            </w:r>
            <w:r>
              <w:rPr>
                <w:rFonts w:hint="default" w:ascii="Times New Roman" w:hAnsi="Times New Roman" w:eastAsia="宋体" w:cs="Times New Roman"/>
                <w:color w:val="auto"/>
                <w:highlight w:val="none"/>
                <w:vertAlign w:val="superscript"/>
              </w:rPr>
              <w:t>2</w:t>
            </w:r>
            <w:r>
              <w:rPr>
                <w:rFonts w:hint="eastAsia" w:cs="Times New Roman"/>
                <w:color w:val="auto"/>
                <w:highlight w:val="none"/>
                <w:vertAlign w:val="superscript"/>
                <w:lang w:eastAsia="zh-CN"/>
              </w:rPr>
              <w:t>）</w:t>
            </w:r>
            <w:r>
              <w:rPr>
                <w:rFonts w:hint="default" w:ascii="Times New Roman" w:hAnsi="Times New Roman" w:eastAsia="宋体" w:cs="Times New Roman"/>
                <w:color w:val="auto"/>
                <w:highlight w:val="none"/>
              </w:rPr>
              <w:t>，本项目取</w:t>
            </w:r>
            <w:r>
              <w:rPr>
                <w:rFonts w:hint="eastAsia" w:ascii="Times New Roman" w:hAnsi="Times New Roman" w:cs="Times New Roman"/>
                <w:color w:val="auto"/>
                <w:highlight w:val="none"/>
                <w:lang w:val="en-US" w:eastAsia="zh-CN"/>
              </w:rPr>
              <w:t>1</w:t>
            </w:r>
            <w:r>
              <w:rPr>
                <w:rFonts w:hint="default" w:ascii="Times New Roman" w:hAnsi="Times New Roman" w:eastAsia="宋体" w:cs="Times New Roman"/>
                <w:color w:val="auto"/>
                <w:highlight w:val="none"/>
              </w:rPr>
              <w:t>000。</w:t>
            </w:r>
          </w:p>
          <w:p w14:paraId="18BD13F1">
            <w:pPr>
              <w:bidi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经核算，本项目油墨使用量为0.0</w:t>
            </w:r>
            <w:r>
              <w:rPr>
                <w:rFonts w:hint="eastAsia" w:ascii="Times New Roman" w:hAnsi="Times New Roman" w:cs="Times New Roman"/>
                <w:color w:val="auto"/>
                <w:highlight w:val="none"/>
                <w:lang w:val="en-US" w:eastAsia="zh-CN"/>
              </w:rPr>
              <w:t>20</w:t>
            </w:r>
            <w:r>
              <w:rPr>
                <w:rFonts w:hint="eastAsia" w:cs="Times New Roman"/>
                <w:color w:val="auto"/>
                <w:highlight w:val="none"/>
                <w:lang w:val="en-US" w:eastAsia="zh-CN"/>
              </w:rPr>
              <w:t>8</w:t>
            </w:r>
            <w:r>
              <w:rPr>
                <w:rFonts w:hint="default" w:ascii="Times New Roman" w:hAnsi="Times New Roman" w:eastAsia="宋体" w:cs="Times New Roman"/>
                <w:color w:val="auto"/>
                <w:highlight w:val="none"/>
              </w:rPr>
              <w:t>t/a。</w:t>
            </w:r>
          </w:p>
          <w:p w14:paraId="75E8C942">
            <w:pPr>
              <w:bidi w:val="0"/>
              <w:rPr>
                <w:rFonts w:hint="default" w:ascii="Times New Roman" w:hAnsi="Times New Roman" w:eastAsia="宋体" w:cs="Times New Roman"/>
                <w:b/>
                <w:bCs w:val="0"/>
                <w:sz w:val="21"/>
                <w:szCs w:val="21"/>
                <w:vertAlign w:val="baseline"/>
                <w:lang w:val="en-US" w:eastAsia="zh-CN"/>
              </w:rPr>
            </w:pPr>
            <w:r>
              <w:rPr>
                <w:rFonts w:hint="default" w:ascii="Times New Roman" w:hAnsi="Times New Roman" w:eastAsia="宋体" w:cs="Times New Roman"/>
                <w:color w:val="auto"/>
                <w:highlight w:val="none"/>
              </w:rPr>
              <w:t>主要原辅材料</w:t>
            </w:r>
            <w:r>
              <w:rPr>
                <w:rFonts w:hint="default" w:ascii="Times New Roman" w:hAnsi="Times New Roman" w:eastAsia="宋体" w:cs="Times New Roman"/>
                <w:color w:val="auto"/>
                <w:highlight w:val="none"/>
                <w:lang w:val="en-US" w:eastAsia="zh-CN"/>
              </w:rPr>
              <w:t>理化性质如下</w:t>
            </w:r>
            <w:r>
              <w:rPr>
                <w:rFonts w:hint="default" w:ascii="Times New Roman" w:hAnsi="Times New Roman" w:eastAsia="宋体" w:cs="Times New Roman"/>
                <w:color w:val="auto"/>
                <w:highlight w:val="none"/>
              </w:rPr>
              <w:t>：</w:t>
            </w:r>
          </w:p>
          <w:p w14:paraId="5B7F9934">
            <w:pPr>
              <w:adjustRightInd w:val="0"/>
              <w:snapToGrid w:val="0"/>
              <w:jc w:val="center"/>
              <w:rPr>
                <w:rFonts w:hint="default" w:ascii="Times New Roman" w:hAnsi="Times New Roman" w:eastAsia="宋体" w:cs="Times New Roman"/>
                <w:b/>
                <w:bCs w:val="0"/>
                <w:sz w:val="21"/>
                <w:szCs w:val="21"/>
                <w:vertAlign w:val="baseline"/>
                <w:lang w:val="en-US" w:eastAsia="zh-CN"/>
              </w:rPr>
            </w:pPr>
            <w:r>
              <w:rPr>
                <w:rFonts w:hint="default" w:ascii="Times New Roman" w:hAnsi="Times New Roman" w:eastAsia="宋体" w:cs="Times New Roman"/>
                <w:b/>
                <w:bCs w:val="0"/>
                <w:sz w:val="21"/>
                <w:szCs w:val="21"/>
                <w:vertAlign w:val="baseline"/>
                <w:lang w:val="en-US" w:eastAsia="zh-CN"/>
              </w:rPr>
              <w:t>表2-</w:t>
            </w:r>
            <w:r>
              <w:rPr>
                <w:rFonts w:hint="eastAsia" w:cs="Times New Roman"/>
                <w:b/>
                <w:bCs w:val="0"/>
                <w:sz w:val="21"/>
                <w:szCs w:val="21"/>
                <w:vertAlign w:val="baseline"/>
                <w:lang w:val="en-US" w:eastAsia="zh-CN"/>
              </w:rPr>
              <w:t>7</w:t>
            </w:r>
            <w:r>
              <w:rPr>
                <w:rFonts w:hint="default" w:ascii="Times New Roman" w:hAnsi="Times New Roman" w:eastAsia="宋体" w:cs="Times New Roman"/>
                <w:b/>
                <w:bCs w:val="0"/>
                <w:sz w:val="21"/>
                <w:szCs w:val="21"/>
                <w:vertAlign w:val="baseline"/>
                <w:lang w:val="en-US" w:eastAsia="zh-CN"/>
              </w:rPr>
              <w:t xml:space="preserve"> 主要原辅材料理化特性一览表</w:t>
            </w:r>
          </w:p>
          <w:tbl>
            <w:tblPr>
              <w:tblStyle w:val="28"/>
              <w:tblW w:w="4998" w:type="pct"/>
              <w:jc w:val="center"/>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2"/>
              <w:gridCol w:w="7085"/>
            </w:tblGrid>
            <w:tr w14:paraId="27FB9397">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pct"/>
                  <w:tcBorders>
                    <w:top w:val="single" w:color="000000" w:sz="4" w:space="0"/>
                    <w:left w:val="single" w:color="000000" w:sz="4" w:space="0"/>
                    <w:bottom w:val="single" w:color="000000" w:sz="4" w:space="0"/>
                    <w:right w:val="single" w:color="000000" w:sz="4" w:space="0"/>
                    <w:tl2br w:val="nil"/>
                  </w:tcBorders>
                  <w:shd w:val="clear" w:color="auto" w:fill="FFFFFF"/>
                  <w:noWrap w:val="0"/>
                  <w:vAlign w:val="center"/>
                </w:tcPr>
                <w:p w14:paraId="73CBD8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r>
                    <w:rPr>
                      <w:rFonts w:hint="default" w:ascii="Times New Roman" w:hAnsi="Times New Roman" w:eastAsia="宋体" w:cs="Times New Roman"/>
                      <w:b w:val="0"/>
                      <w:bCs w:val="0"/>
                      <w:color w:val="000000"/>
                      <w:sz w:val="21"/>
                      <w:szCs w:val="21"/>
                      <w:vertAlign w:val="baseline"/>
                      <w:lang w:val="en-US" w:eastAsia="zh-CN"/>
                    </w:rPr>
                    <w:t>名称</w:t>
                  </w:r>
                </w:p>
              </w:tc>
              <w:tc>
                <w:tcPr>
                  <w:tcW w:w="42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607A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z w:val="21"/>
                      <w:szCs w:val="21"/>
                      <w:vertAlign w:val="baseline"/>
                      <w:lang w:val="en-US" w:eastAsia="zh-CN"/>
                    </w:rPr>
                  </w:pPr>
                  <w:r>
                    <w:rPr>
                      <w:rFonts w:hint="default" w:ascii="Times New Roman" w:hAnsi="Times New Roman" w:eastAsia="宋体" w:cs="Times New Roman"/>
                      <w:b w:val="0"/>
                      <w:bCs w:val="0"/>
                      <w:color w:val="000000"/>
                      <w:sz w:val="21"/>
                      <w:szCs w:val="21"/>
                      <w:vertAlign w:val="baseline"/>
                      <w:lang w:val="en-US" w:eastAsia="zh-CN"/>
                    </w:rPr>
                    <w:t>理化性质</w:t>
                  </w:r>
                </w:p>
              </w:tc>
            </w:tr>
            <w:tr w14:paraId="6F8A7D11">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96CE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vertAlign w:val="baseline"/>
                      <w:lang w:val="en-US" w:eastAsia="zh-CN"/>
                    </w:rPr>
                  </w:pPr>
                  <w:r>
                    <w:rPr>
                      <w:rFonts w:hint="default" w:ascii="Times New Roman" w:hAnsi="Times New Roman" w:eastAsia="宋体" w:cs="Times New Roman"/>
                      <w:b w:val="0"/>
                      <w:bCs/>
                      <w:color w:val="000000"/>
                      <w:sz w:val="21"/>
                      <w:szCs w:val="21"/>
                      <w:vertAlign w:val="baseline"/>
                      <w:lang w:val="en-US" w:eastAsia="zh-CN"/>
                    </w:rPr>
                    <w:t>PET膜</w:t>
                  </w:r>
                </w:p>
              </w:tc>
              <w:tc>
                <w:tcPr>
                  <w:tcW w:w="42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CF43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vertAlign w:val="baseline"/>
                      <w:lang w:val="en-US" w:eastAsia="zh-CN"/>
                    </w:rPr>
                  </w:pPr>
                  <w:r>
                    <w:rPr>
                      <w:rFonts w:hint="default" w:ascii="Times New Roman" w:hAnsi="Times New Roman" w:eastAsia="宋体" w:cs="Times New Roman"/>
                      <w:b w:val="0"/>
                      <w:bCs/>
                      <w:color w:val="000000"/>
                      <w:sz w:val="21"/>
                      <w:szCs w:val="21"/>
                      <w:vertAlign w:val="baseline"/>
                      <w:lang w:val="en-US" w:eastAsia="zh-CN"/>
                    </w:rPr>
                    <w:t>由聚对苯二甲酸乙二醇酯制成的透明塑料薄膜。PET薄膜具有优异的物理性能，如高强度、耐磨损、抗拉伸、耐撕裂和耐温性能。它具有较好的透明度、光学性能和电绝缘性能。PET薄膜具有良好的化学稳定性，可以抵抗大多数常见化学品的腐蚀。</w:t>
                  </w:r>
                </w:p>
              </w:tc>
            </w:tr>
            <w:tr w14:paraId="412EC041">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DBBA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vertAlign w:val="baseline"/>
                      <w:lang w:val="en-US" w:eastAsia="zh-CN"/>
                    </w:rPr>
                  </w:pPr>
                  <w:r>
                    <w:rPr>
                      <w:rFonts w:hint="default" w:ascii="Times New Roman" w:hAnsi="Times New Roman" w:eastAsia="宋体" w:cs="Times New Roman"/>
                      <w:b w:val="0"/>
                      <w:bCs/>
                      <w:color w:val="000000"/>
                      <w:sz w:val="21"/>
                      <w:szCs w:val="21"/>
                      <w:vertAlign w:val="baseline"/>
                      <w:lang w:val="en-US" w:eastAsia="zh-CN"/>
                    </w:rPr>
                    <w:t>PVC</w:t>
                  </w:r>
                </w:p>
              </w:tc>
              <w:tc>
                <w:tcPr>
                  <w:tcW w:w="42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CAB3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vertAlign w:val="baseline"/>
                      <w:lang w:val="en-US" w:eastAsia="zh-CN"/>
                    </w:rPr>
                  </w:pPr>
                  <w:r>
                    <w:rPr>
                      <w:rFonts w:hint="default" w:ascii="Times New Roman" w:hAnsi="Times New Roman" w:eastAsia="宋体" w:cs="Times New Roman"/>
                      <w:b w:val="0"/>
                      <w:bCs/>
                      <w:color w:val="000000"/>
                      <w:sz w:val="21"/>
                      <w:szCs w:val="21"/>
                      <w:vertAlign w:val="baseline"/>
                      <w:lang w:val="en-US" w:eastAsia="zh-CN"/>
                    </w:rPr>
                    <w:t>聚氯乙烯，是由氯乙烯单体在引发剂的作用下聚合形成的。透明度胜于聚乙烯、聚丙烯，差于聚苯乙烯，随助剂用量不同，分为软、硬聚氯乙烯，软制品柔而韧，手感粘，硬制品的硬度高于低密度聚乙烯，而低于聚丙烯，在屈折处会出现白化现象。稳定；不易被酸、碱腐蚀；对热比较耐受。具有稳定的物理化学性质，不溶于水、酒精、汽油，气体、水汽渗漏性低；在常温下可耐任何浓度的盐酸、90%以下的硫酸、</w:t>
                  </w:r>
                  <w:r>
                    <w:rPr>
                      <w:rFonts w:hint="eastAsia" w:cs="Times New Roman"/>
                      <w:b w:val="0"/>
                      <w:bCs/>
                      <w:color w:val="000000"/>
                      <w:sz w:val="21"/>
                      <w:szCs w:val="21"/>
                      <w:vertAlign w:val="baseline"/>
                      <w:lang w:val="en-US" w:eastAsia="zh-CN"/>
                    </w:rPr>
                    <w:t>50%—60%</w:t>
                  </w:r>
                  <w:r>
                    <w:rPr>
                      <w:rFonts w:hint="default" w:ascii="Times New Roman" w:hAnsi="Times New Roman" w:eastAsia="宋体" w:cs="Times New Roman"/>
                      <w:b w:val="0"/>
                      <w:bCs/>
                      <w:color w:val="000000"/>
                      <w:sz w:val="21"/>
                      <w:szCs w:val="21"/>
                      <w:vertAlign w:val="baseline"/>
                      <w:lang w:val="en-US" w:eastAsia="zh-CN"/>
                    </w:rPr>
                    <w:t>的硝酸和20%以下的烧碱溶液，具有一定的抗化学腐蚀性；对盐类相当稳定，但能够溶解于醚、酮、氯化脂肪烃和芳香烃等有机溶剂。</w:t>
                  </w:r>
                </w:p>
              </w:tc>
            </w:tr>
            <w:tr w14:paraId="171130B2">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8C01E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vertAlign w:val="baseline"/>
                      <w:lang w:val="en-US" w:eastAsia="zh-CN"/>
                    </w:rPr>
                  </w:pPr>
                  <w:r>
                    <w:rPr>
                      <w:rFonts w:hint="default" w:ascii="Times New Roman" w:hAnsi="Times New Roman" w:eastAsia="宋体" w:cs="Times New Roman"/>
                      <w:b w:val="0"/>
                      <w:bCs/>
                      <w:color w:val="000000"/>
                      <w:sz w:val="21"/>
                      <w:szCs w:val="21"/>
                      <w:vertAlign w:val="baseline"/>
                      <w:lang w:val="en-US" w:eastAsia="zh-CN"/>
                    </w:rPr>
                    <w:t>ESO</w:t>
                  </w:r>
                </w:p>
              </w:tc>
              <w:tc>
                <w:tcPr>
                  <w:tcW w:w="42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48F2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vertAlign w:val="baseline"/>
                      <w:lang w:val="en-US" w:eastAsia="zh-CN"/>
                    </w:rPr>
                  </w:pPr>
                  <w:r>
                    <w:rPr>
                      <w:rFonts w:hint="default" w:ascii="Times New Roman" w:hAnsi="Times New Roman" w:eastAsia="宋体" w:cs="Times New Roman"/>
                      <w:b w:val="0"/>
                      <w:bCs/>
                      <w:color w:val="000000"/>
                      <w:sz w:val="21"/>
                      <w:szCs w:val="21"/>
                      <w:vertAlign w:val="baseline"/>
                      <w:lang w:val="en-US" w:eastAsia="zh-CN"/>
                    </w:rPr>
                    <w:t>环氧大豆油，常温下为浅黄色黏稠油状液体，无毒，沸点150℃，溶于大多数有机溶剂和烃类，不溶于水，具有优良的耐热、耐光性及相溶性。</w:t>
                  </w:r>
                </w:p>
              </w:tc>
            </w:tr>
            <w:tr w14:paraId="0A66C40E">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D39D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vertAlign w:val="baseline"/>
                      <w:lang w:val="en-US" w:eastAsia="zh-CN"/>
                    </w:rPr>
                  </w:pPr>
                  <w:r>
                    <w:rPr>
                      <w:rFonts w:hint="default" w:ascii="Times New Roman" w:hAnsi="Times New Roman" w:eastAsia="宋体" w:cs="Times New Roman"/>
                      <w:b w:val="0"/>
                      <w:bCs/>
                      <w:color w:val="000000"/>
                      <w:sz w:val="21"/>
                      <w:szCs w:val="21"/>
                      <w:vertAlign w:val="baseline"/>
                      <w:lang w:val="en-US" w:eastAsia="zh-CN"/>
                    </w:rPr>
                    <w:t>DOTP</w:t>
                  </w:r>
                </w:p>
              </w:tc>
              <w:tc>
                <w:tcPr>
                  <w:tcW w:w="42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9E3B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对苯二甲酸二辛酯</w:t>
                  </w:r>
                  <w:r>
                    <w:rPr>
                      <w:rFonts w:hint="eastAsia" w:cs="Times New Roman"/>
                      <w:b w:val="0"/>
                      <w:bCs/>
                      <w:color w:val="auto"/>
                      <w:sz w:val="21"/>
                      <w:szCs w:val="21"/>
                      <w:vertAlign w:val="baseline"/>
                      <w:lang w:val="en-US" w:eastAsia="zh-CN"/>
                    </w:rPr>
                    <w:t>，是</w:t>
                  </w:r>
                  <w:r>
                    <w:rPr>
                      <w:rFonts w:hint="default" w:ascii="Times New Roman" w:hAnsi="Times New Roman" w:eastAsia="宋体" w:cs="Times New Roman"/>
                      <w:b w:val="0"/>
                      <w:bCs/>
                      <w:color w:val="auto"/>
                      <w:sz w:val="21"/>
                      <w:szCs w:val="21"/>
                      <w:vertAlign w:val="baseline"/>
                      <w:lang w:val="en-US" w:eastAsia="zh-CN"/>
                    </w:rPr>
                    <w:t>一种无色或淡黄色油状液体，具有优良的增塑性能。具有良好的耐热性，适用于高温环境下的应用；在低温条件下仍能保持良好的柔韧性；电绝缘性能优异，</w:t>
                  </w:r>
                  <w:r>
                    <w:rPr>
                      <w:rFonts w:hint="eastAsia" w:cs="Times New Roman"/>
                      <w:b w:val="0"/>
                      <w:bCs/>
                      <w:color w:val="auto"/>
                      <w:sz w:val="21"/>
                      <w:szCs w:val="21"/>
                      <w:vertAlign w:val="baseline"/>
                      <w:lang w:val="en-US" w:eastAsia="zh-CN"/>
                    </w:rPr>
                    <w:t>符合</w:t>
                  </w:r>
                  <w:r>
                    <w:rPr>
                      <w:rFonts w:hint="default" w:ascii="Times New Roman" w:hAnsi="Times New Roman" w:eastAsia="宋体" w:cs="Times New Roman"/>
                      <w:b w:val="0"/>
                      <w:bCs/>
                      <w:color w:val="auto"/>
                      <w:sz w:val="21"/>
                      <w:szCs w:val="21"/>
                      <w:vertAlign w:val="baseline"/>
                      <w:lang w:val="en-US" w:eastAsia="zh-CN"/>
                    </w:rPr>
                    <w:t>用于电缆材料等要求高绝缘的产品；DOTP的挥发性低，使用时能满足电线电缆的耐温等级要求。</w:t>
                  </w:r>
                </w:p>
              </w:tc>
            </w:tr>
            <w:tr w14:paraId="4C760DE3">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5D98B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vertAlign w:val="baseline"/>
                      <w:lang w:val="en-US" w:eastAsia="zh-CN"/>
                    </w:rPr>
                  </w:pPr>
                  <w:r>
                    <w:rPr>
                      <w:rFonts w:hint="default" w:ascii="Times New Roman" w:hAnsi="Times New Roman" w:eastAsia="宋体" w:cs="Times New Roman"/>
                      <w:b w:val="0"/>
                      <w:bCs/>
                      <w:color w:val="000000"/>
                      <w:sz w:val="21"/>
                      <w:szCs w:val="21"/>
                      <w:vertAlign w:val="baseline"/>
                      <w:lang w:val="en-US" w:eastAsia="zh-CN"/>
                    </w:rPr>
                    <w:t>油墨</w:t>
                  </w:r>
                </w:p>
              </w:tc>
              <w:tc>
                <w:tcPr>
                  <w:tcW w:w="42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87CC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喷码</w:t>
                  </w:r>
                  <w:r>
                    <w:rPr>
                      <w:rFonts w:hint="default" w:ascii="Times New Roman" w:hAnsi="Times New Roman" w:eastAsia="宋体" w:cs="Times New Roman"/>
                      <w:b w:val="0"/>
                      <w:bCs/>
                      <w:color w:val="auto"/>
                      <w:sz w:val="21"/>
                      <w:szCs w:val="21"/>
                      <w:highlight w:val="none"/>
                      <w:vertAlign w:val="baseline"/>
                      <w:lang w:val="en-US" w:eastAsia="zh-CN"/>
                    </w:rPr>
                    <w:t>油墨，根据企业提供</w:t>
                  </w:r>
                  <w:r>
                    <w:rPr>
                      <w:rFonts w:hint="eastAsia" w:cs="Times New Roman"/>
                      <w:b w:val="0"/>
                      <w:bCs/>
                      <w:color w:val="auto"/>
                      <w:sz w:val="21"/>
                      <w:szCs w:val="21"/>
                      <w:highlight w:val="none"/>
                      <w:vertAlign w:val="baseline"/>
                      <w:lang w:val="en-US" w:eastAsia="zh-CN"/>
                    </w:rPr>
                    <w:t>MSDS</w:t>
                  </w:r>
                  <w:r>
                    <w:rPr>
                      <w:rFonts w:hint="default" w:ascii="Times New Roman" w:hAnsi="Times New Roman" w:eastAsia="宋体" w:cs="Times New Roman"/>
                      <w:b w:val="0"/>
                      <w:bCs/>
                      <w:color w:val="auto"/>
                      <w:sz w:val="21"/>
                      <w:szCs w:val="21"/>
                      <w:highlight w:val="none"/>
                      <w:vertAlign w:val="baseline"/>
                      <w:lang w:val="en-US" w:eastAsia="zh-CN"/>
                    </w:rPr>
                    <w:t>报告</w:t>
                  </w:r>
                  <w:r>
                    <w:rPr>
                      <w:rFonts w:hint="eastAsia"/>
                      <w:color w:val="auto"/>
                      <w:sz w:val="21"/>
                      <w:szCs w:val="21"/>
                      <w:highlight w:val="none"/>
                      <w:lang w:val="en-US" w:eastAsia="zh-CN"/>
                    </w:rPr>
                    <w:t>显示</w:t>
                  </w:r>
                  <w:r>
                    <w:rPr>
                      <w:rFonts w:hint="default" w:ascii="Times New Roman" w:hAnsi="Times New Roman" w:eastAsia="宋体" w:cs="Times New Roman"/>
                      <w:b w:val="0"/>
                      <w:bCs/>
                      <w:color w:val="auto"/>
                      <w:sz w:val="21"/>
                      <w:szCs w:val="21"/>
                      <w:highlight w:val="none"/>
                      <w:vertAlign w:val="baseline"/>
                      <w:lang w:val="en-US" w:eastAsia="zh-CN"/>
                    </w:rPr>
                    <w:t>，</w:t>
                  </w:r>
                  <w:r>
                    <w:rPr>
                      <w:rFonts w:hint="eastAsia" w:cs="Times New Roman"/>
                      <w:b w:val="0"/>
                      <w:bCs/>
                      <w:color w:val="auto"/>
                      <w:sz w:val="21"/>
                      <w:szCs w:val="21"/>
                      <w:highlight w:val="none"/>
                      <w:vertAlign w:val="baseline"/>
                      <w:lang w:val="en-US" w:eastAsia="zh-CN"/>
                    </w:rPr>
                    <w:t>油墨主要成分为水（80%—90%）、</w:t>
                  </w:r>
                  <w:r>
                    <w:rPr>
                      <w:rFonts w:hint="default" w:ascii="Times New Roman" w:hAnsi="Times New Roman" w:eastAsia="宋体" w:cs="Times New Roman"/>
                      <w:b w:val="0"/>
                      <w:bCs/>
                      <w:color w:val="auto"/>
                      <w:sz w:val="21"/>
                      <w:szCs w:val="21"/>
                      <w:highlight w:val="none"/>
                      <w:vertAlign w:val="baseline"/>
                      <w:lang w:val="en-US" w:eastAsia="zh-CN"/>
                    </w:rPr>
                    <w:t>1,2-丙二醇</w:t>
                  </w:r>
                  <w:r>
                    <w:rPr>
                      <w:rFonts w:hint="eastAsia" w:ascii="Times New Roman" w:hAnsi="Times New Roman" w:eastAsia="宋体" w:cs="Times New Roman"/>
                      <w:b w:val="0"/>
                      <w:bCs/>
                      <w:color w:val="auto"/>
                      <w:sz w:val="21"/>
                      <w:szCs w:val="21"/>
                      <w:highlight w:val="none"/>
                      <w:vertAlign w:val="baseline"/>
                      <w:lang w:val="en-US" w:eastAsia="zh-CN"/>
                    </w:rPr>
                    <w:t>（</w:t>
                  </w:r>
                  <w:r>
                    <w:rPr>
                      <w:rFonts w:hint="eastAsia" w:cs="Times New Roman"/>
                      <w:b w:val="0"/>
                      <w:bCs/>
                      <w:color w:val="auto"/>
                      <w:sz w:val="21"/>
                      <w:szCs w:val="21"/>
                      <w:highlight w:val="none"/>
                      <w:vertAlign w:val="baseline"/>
                      <w:lang w:val="en-US" w:eastAsia="zh-CN"/>
                    </w:rPr>
                    <w:t>5%—10%</w:t>
                  </w:r>
                  <w:r>
                    <w:rPr>
                      <w:rFonts w:hint="eastAsia" w:ascii="Times New Roman" w:hAnsi="Times New Roman" w:eastAsia="宋体" w:cs="Times New Roman"/>
                      <w:b w:val="0"/>
                      <w:bCs/>
                      <w:color w:val="auto"/>
                      <w:sz w:val="21"/>
                      <w:szCs w:val="21"/>
                      <w:highlight w:val="none"/>
                      <w:vertAlign w:val="baseline"/>
                      <w:lang w:val="en-US" w:eastAsia="zh-CN"/>
                    </w:rPr>
                    <w:t>）和碳黑（</w:t>
                  </w:r>
                  <w:r>
                    <w:rPr>
                      <w:rFonts w:hint="eastAsia" w:cs="Times New Roman"/>
                      <w:b w:val="0"/>
                      <w:bCs/>
                      <w:color w:val="auto"/>
                      <w:sz w:val="21"/>
                      <w:szCs w:val="21"/>
                      <w:highlight w:val="none"/>
                      <w:vertAlign w:val="baseline"/>
                      <w:lang w:val="en-US" w:eastAsia="zh-CN"/>
                    </w:rPr>
                    <w:t>1%—5%</w:t>
                  </w:r>
                  <w:r>
                    <w:rPr>
                      <w:rFonts w:hint="eastAsia" w:ascii="Times New Roman" w:hAnsi="Times New Roman" w:eastAsia="宋体" w:cs="Times New Roman"/>
                      <w:b w:val="0"/>
                      <w:bCs/>
                      <w:color w:val="auto"/>
                      <w:sz w:val="21"/>
                      <w:szCs w:val="21"/>
                      <w:highlight w:val="none"/>
                      <w:vertAlign w:val="baseline"/>
                      <w:lang w:val="en-US" w:eastAsia="zh-CN"/>
                    </w:rPr>
                    <w:t>）。其中</w:t>
                  </w:r>
                  <w:r>
                    <w:rPr>
                      <w:rFonts w:hint="default" w:ascii="Times New Roman" w:hAnsi="Times New Roman" w:eastAsia="宋体" w:cs="Times New Roman"/>
                      <w:b w:val="0"/>
                      <w:bCs/>
                      <w:color w:val="auto"/>
                      <w:sz w:val="21"/>
                      <w:szCs w:val="21"/>
                      <w:highlight w:val="none"/>
                      <w:vertAlign w:val="baseline"/>
                      <w:lang w:val="en-US" w:eastAsia="zh-CN"/>
                    </w:rPr>
                    <w:t>挥发性有机化合物含量占比为1,2-丙二醇</w:t>
                  </w:r>
                  <w:r>
                    <w:rPr>
                      <w:rFonts w:hint="eastAsia" w:cs="Times New Roman"/>
                      <w:b w:val="0"/>
                      <w:bCs/>
                      <w:color w:val="auto"/>
                      <w:sz w:val="21"/>
                      <w:szCs w:val="21"/>
                      <w:highlight w:val="none"/>
                      <w:vertAlign w:val="baseline"/>
                      <w:lang w:val="en-US" w:eastAsia="zh-CN"/>
                    </w:rPr>
                    <w:t>5%—10%</w:t>
                  </w:r>
                  <w:r>
                    <w:rPr>
                      <w:rFonts w:hint="default" w:ascii="Times New Roman" w:hAnsi="Times New Roman" w:eastAsia="宋体" w:cs="Times New Roman"/>
                      <w:b w:val="0"/>
                      <w:bCs/>
                      <w:color w:val="auto"/>
                      <w:sz w:val="21"/>
                      <w:szCs w:val="21"/>
                      <w:highlight w:val="none"/>
                      <w:vertAlign w:val="baseline"/>
                      <w:lang w:val="en-US" w:eastAsia="zh-CN"/>
                    </w:rPr>
                    <w:t>，符合《油墨中可挥发性有机物（VOC</w:t>
                  </w:r>
                  <w:r>
                    <w:rPr>
                      <w:rFonts w:hint="default" w:ascii="Times New Roman" w:hAnsi="Times New Roman" w:eastAsia="宋体" w:cs="Times New Roman"/>
                      <w:b w:val="0"/>
                      <w:bCs/>
                      <w:color w:val="auto"/>
                      <w:sz w:val="21"/>
                      <w:szCs w:val="21"/>
                      <w:highlight w:val="none"/>
                      <w:vertAlign w:val="subscript"/>
                      <w:lang w:val="en-US" w:eastAsia="zh-CN"/>
                    </w:rPr>
                    <w:t>S</w:t>
                  </w:r>
                  <w:r>
                    <w:rPr>
                      <w:rFonts w:hint="default" w:ascii="Times New Roman" w:hAnsi="Times New Roman" w:eastAsia="宋体" w:cs="Times New Roman"/>
                      <w:b w:val="0"/>
                      <w:bCs/>
                      <w:color w:val="auto"/>
                      <w:sz w:val="21"/>
                      <w:szCs w:val="21"/>
                      <w:highlight w:val="none"/>
                      <w:vertAlign w:val="baseline"/>
                      <w:lang w:val="en-US" w:eastAsia="zh-CN"/>
                    </w:rPr>
                    <w:t>）含量的限值》（GB38507-2020）表1标准要求，不含苯系物、重金属。</w:t>
                  </w:r>
                </w:p>
              </w:tc>
            </w:tr>
            <w:tr w14:paraId="3040079A">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83519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vertAlign w:val="baseline"/>
                      <w:lang w:val="en-US" w:eastAsia="zh-CN"/>
                    </w:rPr>
                  </w:pPr>
                  <w:r>
                    <w:rPr>
                      <w:rFonts w:hint="default" w:ascii="Times New Roman" w:hAnsi="Times New Roman" w:eastAsia="宋体" w:cs="Times New Roman"/>
                      <w:b w:val="0"/>
                      <w:bCs/>
                      <w:color w:val="000000"/>
                      <w:sz w:val="21"/>
                      <w:szCs w:val="21"/>
                      <w:vertAlign w:val="baseline"/>
                      <w:lang w:val="en-US" w:eastAsia="zh-CN"/>
                    </w:rPr>
                    <w:t>热塑性弹性体材料</w:t>
                  </w:r>
                </w:p>
              </w:tc>
              <w:tc>
                <w:tcPr>
                  <w:tcW w:w="42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C65EA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TPE（Thermoplastic Elastomer）是一种热塑性弹性体材料，具有高强度，高回弹性，可注塑加工的特征，应用范围广泛，环保无毒安全</w:t>
                  </w:r>
                  <w:r>
                    <w:rPr>
                      <w:rFonts w:hint="eastAsia" w:cs="Times New Roman"/>
                      <w:b w:val="0"/>
                      <w:bCs/>
                      <w:color w:val="auto"/>
                      <w:sz w:val="21"/>
                      <w:szCs w:val="21"/>
                      <w:vertAlign w:val="baseline"/>
                      <w:lang w:val="en-US" w:eastAsia="zh-CN"/>
                    </w:rPr>
                    <w:t>，具</w:t>
                  </w:r>
                  <w:r>
                    <w:rPr>
                      <w:rFonts w:hint="default" w:ascii="Times New Roman" w:hAnsi="Times New Roman" w:eastAsia="宋体" w:cs="Times New Roman"/>
                      <w:b w:val="0"/>
                      <w:bCs/>
                      <w:color w:val="auto"/>
                      <w:sz w:val="21"/>
                      <w:szCs w:val="21"/>
                      <w:vertAlign w:val="baseline"/>
                      <w:lang w:val="en-US" w:eastAsia="zh-CN"/>
                    </w:rPr>
                    <w:t>有优良的着色性。触感柔软，耐候性，抗疲劳性和耐温性，加工性能优越</w:t>
                  </w:r>
                  <w:r>
                    <w:rPr>
                      <w:rFonts w:hint="eastAsia" w:cs="Times New Roman"/>
                      <w:b w:val="0"/>
                      <w:bCs/>
                      <w:color w:val="auto"/>
                      <w:sz w:val="21"/>
                      <w:szCs w:val="21"/>
                      <w:vertAlign w:val="baseline"/>
                      <w:lang w:val="en-US" w:eastAsia="zh-CN"/>
                    </w:rPr>
                    <w:t>。</w:t>
                  </w:r>
                </w:p>
              </w:tc>
            </w:tr>
            <w:tr w14:paraId="03A76CB3">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3BA6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vertAlign w:val="baseline"/>
                      <w:lang w:val="en-US" w:eastAsia="zh-CN"/>
                    </w:rPr>
                  </w:pPr>
                  <w:r>
                    <w:rPr>
                      <w:rFonts w:hint="default" w:ascii="Times New Roman" w:hAnsi="Times New Roman" w:eastAsia="宋体" w:cs="Times New Roman"/>
                      <w:b w:val="0"/>
                      <w:bCs/>
                      <w:color w:val="000000"/>
                      <w:sz w:val="21"/>
                      <w:szCs w:val="21"/>
                      <w:vertAlign w:val="baseline"/>
                      <w:lang w:val="en-US" w:eastAsia="zh-CN"/>
                    </w:rPr>
                    <w:t>纳米碳酸钙</w:t>
                  </w:r>
                </w:p>
              </w:tc>
              <w:tc>
                <w:tcPr>
                  <w:tcW w:w="42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913AA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具有微米级和纳米级颗粒尺寸的碳酸钙的变种，用于塑料中与树脂</w:t>
                  </w:r>
                  <w:r>
                    <w:rPr>
                      <w:rFonts w:hint="eastAsia" w:cs="Times New Roman"/>
                      <w:b w:val="0"/>
                      <w:bCs/>
                      <w:color w:val="auto"/>
                      <w:sz w:val="21"/>
                      <w:szCs w:val="21"/>
                      <w:vertAlign w:val="baseline"/>
                      <w:lang w:val="en-US" w:eastAsia="zh-CN"/>
                    </w:rPr>
                    <w:t>亲和性好</w:t>
                  </w:r>
                  <w:r>
                    <w:rPr>
                      <w:rFonts w:hint="default" w:ascii="Times New Roman" w:hAnsi="Times New Roman" w:eastAsia="宋体" w:cs="Times New Roman"/>
                      <w:b w:val="0"/>
                      <w:bCs/>
                      <w:color w:val="auto"/>
                      <w:sz w:val="21"/>
                      <w:szCs w:val="21"/>
                      <w:vertAlign w:val="baseline"/>
                      <w:lang w:val="en-US" w:eastAsia="zh-CN"/>
                    </w:rPr>
                    <w:t>，可有效增加或调节材料刚性，韧性，以及弯曲强度等，并可改善塑料加工体系的流变性能，降低塑化温度，提高制品尺寸稳定性，耐热性及表面光洁性</w:t>
                  </w:r>
                  <w:r>
                    <w:rPr>
                      <w:rFonts w:hint="eastAsia" w:cs="Times New Roman"/>
                      <w:b w:val="0"/>
                      <w:bCs/>
                      <w:color w:val="auto"/>
                      <w:sz w:val="21"/>
                      <w:szCs w:val="21"/>
                      <w:vertAlign w:val="baseline"/>
                      <w:lang w:val="en-US" w:eastAsia="zh-CN"/>
                    </w:rPr>
                    <w:t>。</w:t>
                  </w:r>
                </w:p>
              </w:tc>
            </w:tr>
            <w:tr w14:paraId="427B3CAF">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A66D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vertAlign w:val="baseline"/>
                      <w:lang w:val="en-US" w:eastAsia="zh-CN"/>
                    </w:rPr>
                  </w:pPr>
                  <w:r>
                    <w:rPr>
                      <w:rFonts w:hint="default" w:ascii="Times New Roman" w:hAnsi="Times New Roman" w:eastAsia="宋体" w:cs="Times New Roman"/>
                      <w:b w:val="0"/>
                      <w:bCs/>
                      <w:color w:val="000000"/>
                      <w:sz w:val="21"/>
                      <w:szCs w:val="21"/>
                      <w:vertAlign w:val="baseline"/>
                      <w:lang w:val="en-US" w:eastAsia="zh-CN"/>
                    </w:rPr>
                    <w:t>钙锌复合稳定剂</w:t>
                  </w:r>
                </w:p>
              </w:tc>
              <w:tc>
                <w:tcPr>
                  <w:tcW w:w="42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F52A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vertAlign w:val="baseline"/>
                      <w:lang w:val="en-US" w:eastAsia="zh-CN"/>
                    </w:rPr>
                  </w:pPr>
                  <w:r>
                    <w:rPr>
                      <w:rFonts w:hint="default" w:ascii="Times New Roman" w:hAnsi="Times New Roman" w:eastAsia="宋体" w:cs="Times New Roman"/>
                      <w:b w:val="0"/>
                      <w:bCs/>
                      <w:color w:val="000000"/>
                      <w:sz w:val="21"/>
                      <w:szCs w:val="21"/>
                      <w:vertAlign w:val="baseline"/>
                      <w:lang w:val="en-US" w:eastAsia="zh-CN"/>
                    </w:rPr>
                    <w:t>由钙盐、锌盐、润滑剂及抗氧剂复合而成的无毒塑料添加剂，作为应用最为广泛的无毒PVC稳定剂使用，常用于食品包装，医疗器械，电线电缆料等。</w:t>
                  </w:r>
                </w:p>
              </w:tc>
            </w:tr>
            <w:tr w14:paraId="61E2FFE0">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7662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vertAlign w:val="baseline"/>
                      <w:lang w:val="en-US" w:eastAsia="zh-CN"/>
                    </w:rPr>
                  </w:pPr>
                  <w:r>
                    <w:rPr>
                      <w:rFonts w:hint="default" w:ascii="Times New Roman" w:hAnsi="Times New Roman" w:eastAsia="宋体" w:cs="Times New Roman"/>
                      <w:b w:val="0"/>
                      <w:bCs/>
                      <w:color w:val="000000"/>
                      <w:sz w:val="21"/>
                      <w:szCs w:val="21"/>
                      <w:vertAlign w:val="baseline"/>
                      <w:lang w:val="en-US" w:eastAsia="zh-CN"/>
                    </w:rPr>
                    <w:t>重质碳酸钙</w:t>
                  </w:r>
                </w:p>
              </w:tc>
              <w:tc>
                <w:tcPr>
                  <w:tcW w:w="42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527B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vertAlign w:val="baseline"/>
                      <w:lang w:val="en-US" w:eastAsia="zh-CN"/>
                    </w:rPr>
                  </w:pPr>
                  <w:r>
                    <w:rPr>
                      <w:rFonts w:hint="default" w:ascii="Times New Roman" w:hAnsi="Times New Roman" w:eastAsia="宋体" w:cs="Times New Roman"/>
                      <w:b w:val="0"/>
                      <w:bCs/>
                      <w:color w:val="000000"/>
                      <w:sz w:val="21"/>
                      <w:szCs w:val="21"/>
                      <w:vertAlign w:val="baseline"/>
                      <w:lang w:val="en-US" w:eastAsia="zh-CN"/>
                    </w:rPr>
                    <w:t>是由天然碳酸盐矿物如方解石、大理石、石灰石磨碎而成。是常用的粉状无机填料，具有化学纯度高、惰性大、不易化学反应、热稳定性好、在400℃以下不会分解、白度高、吸油率低、折光率低、质软、干燥、不含结晶水、硬度低磨耗值小、无毒、无味、无臭、分散性好等优点。</w:t>
                  </w:r>
                </w:p>
              </w:tc>
            </w:tr>
          </w:tbl>
          <w:p w14:paraId="09C307BB">
            <w:pPr>
              <w:numPr>
                <w:ilvl w:val="0"/>
                <w:numId w:val="0"/>
              </w:numPr>
              <w:bidi w:val="0"/>
              <w:ind w:firstLine="482" w:firstLineChars="200"/>
              <w:jc w:val="both"/>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原辅材料符合性分析</w:t>
            </w:r>
          </w:p>
          <w:p w14:paraId="0B0C6F3B">
            <w:pPr>
              <w:numPr>
                <w:ilvl w:val="0"/>
                <w:numId w:val="0"/>
              </w:numPr>
              <w:bidi w:val="0"/>
              <w:ind w:firstLine="480" w:firstLineChars="200"/>
              <w:jc w:val="both"/>
              <w:rPr>
                <w:rFonts w:hint="default" w:ascii="Times New Roman" w:hAnsi="Times New Roman" w:eastAsia="宋体" w:cs="Times New Roman"/>
                <w:b w:val="0"/>
                <w:bCs w:val="0"/>
                <w:color w:val="auto"/>
                <w:highlight w:val="none"/>
                <w:lang w:val="en-US" w:eastAsia="zh-CN"/>
              </w:rPr>
            </w:pPr>
            <w:r>
              <w:rPr>
                <w:rFonts w:hint="default" w:ascii="Times New Roman" w:hAnsi="Times New Roman" w:eastAsia="宋体" w:cs="Times New Roman"/>
                <w:b w:val="0"/>
                <w:bCs w:val="0"/>
                <w:color w:val="auto"/>
                <w:highlight w:val="none"/>
                <w:lang w:val="en-US" w:eastAsia="zh-CN"/>
              </w:rPr>
              <w:t>根据《安徽省低挥发性有机物含量原辅材料替代工作方案》的通知（皖环发〔2024〕1号），要求企业开展低VOCs含量原辅材料替代，以及根据《安徽省2020年大气污染防治重点工作任务》通知，要求“禁止建设生产和使用高VOCs含量的溶剂型涂料、油墨、胶粘剂等项目，推广使用低VOCs含量涂料、油墨、稀释剂”。</w:t>
            </w:r>
          </w:p>
          <w:p w14:paraId="6DBC755A">
            <w:pPr>
              <w:numPr>
                <w:ilvl w:val="0"/>
                <w:numId w:val="0"/>
              </w:numPr>
              <w:bidi w:val="0"/>
              <w:ind w:firstLine="480" w:firstLineChars="200"/>
              <w:jc w:val="both"/>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val="0"/>
                <w:bCs w:val="0"/>
                <w:color w:val="auto"/>
                <w:highlight w:val="none"/>
                <w:lang w:val="en-US" w:eastAsia="zh-CN"/>
              </w:rPr>
              <w:t>本项目</w:t>
            </w:r>
            <w:r>
              <w:rPr>
                <w:rFonts w:hint="eastAsia" w:cs="Times New Roman"/>
                <w:b w:val="0"/>
                <w:bCs w:val="0"/>
                <w:color w:val="auto"/>
                <w:highlight w:val="none"/>
                <w:lang w:val="en-US" w:eastAsia="zh-CN"/>
              </w:rPr>
              <w:t>喷码</w:t>
            </w:r>
            <w:r>
              <w:rPr>
                <w:rFonts w:hint="default" w:ascii="Times New Roman" w:hAnsi="Times New Roman" w:eastAsia="宋体" w:cs="Times New Roman"/>
                <w:b w:val="0"/>
                <w:bCs w:val="0"/>
                <w:color w:val="auto"/>
                <w:highlight w:val="none"/>
                <w:lang w:val="en-US" w:eastAsia="zh-CN"/>
              </w:rPr>
              <w:t>采用的油墨为低VOCs含量水性油墨，项目使用的油墨不涉及高VOCs含量的溶剂型涂料、油墨、胶粘剂等。根据企业提供的</w:t>
            </w:r>
            <w:r>
              <w:rPr>
                <w:rFonts w:hint="eastAsia" w:cs="Times New Roman"/>
                <w:b w:val="0"/>
                <w:bCs w:val="0"/>
                <w:color w:val="auto"/>
                <w:highlight w:val="none"/>
                <w:lang w:val="en-US" w:eastAsia="zh-CN"/>
              </w:rPr>
              <w:t>MSDS报告</w:t>
            </w:r>
            <w:r>
              <w:rPr>
                <w:rFonts w:hint="default" w:ascii="Times New Roman" w:hAnsi="Times New Roman" w:eastAsia="宋体" w:cs="Times New Roman"/>
                <w:b w:val="0"/>
                <w:bCs w:val="0"/>
                <w:color w:val="auto"/>
                <w:highlight w:val="none"/>
                <w:lang w:val="en-US" w:eastAsia="zh-CN"/>
              </w:rPr>
              <w:t>中数据分析，本项目使用的水性油墨（VOCs）含量满足《油墨中可挥发性有机化合物</w:t>
            </w:r>
            <w:r>
              <w:rPr>
                <w:rFonts w:hint="eastAsia" w:cs="Times New Roman"/>
                <w:b w:val="0"/>
                <w:bCs w:val="0"/>
                <w:color w:val="auto"/>
                <w:highlight w:val="none"/>
                <w:lang w:val="en-US" w:eastAsia="zh-CN"/>
              </w:rPr>
              <w:t>（</w:t>
            </w:r>
            <w:r>
              <w:rPr>
                <w:rFonts w:hint="default" w:ascii="Times New Roman" w:hAnsi="Times New Roman" w:eastAsia="宋体" w:cs="Times New Roman"/>
                <w:b w:val="0"/>
                <w:bCs w:val="0"/>
                <w:color w:val="auto"/>
                <w:highlight w:val="none"/>
                <w:lang w:val="en-US" w:eastAsia="zh-CN"/>
              </w:rPr>
              <w:t>VOCs</w:t>
            </w:r>
            <w:r>
              <w:rPr>
                <w:rFonts w:hint="eastAsia" w:cs="Times New Roman"/>
                <w:b w:val="0"/>
                <w:bCs w:val="0"/>
                <w:color w:val="auto"/>
                <w:highlight w:val="none"/>
                <w:lang w:val="en-US" w:eastAsia="zh-CN"/>
              </w:rPr>
              <w:t>）</w:t>
            </w:r>
            <w:r>
              <w:rPr>
                <w:rFonts w:hint="default" w:ascii="Times New Roman" w:hAnsi="Times New Roman" w:eastAsia="宋体" w:cs="Times New Roman"/>
                <w:b w:val="0"/>
                <w:bCs w:val="0"/>
                <w:color w:val="auto"/>
                <w:highlight w:val="none"/>
                <w:lang w:val="en-US" w:eastAsia="zh-CN"/>
              </w:rPr>
              <w:t>含量的限值》（GB38507-2020）中表1的要求</w:t>
            </w:r>
            <w:r>
              <w:rPr>
                <w:rFonts w:hint="eastAsia" w:cs="Times New Roman"/>
                <w:b w:val="0"/>
                <w:bCs w:val="0"/>
                <w:color w:val="auto"/>
                <w:highlight w:val="none"/>
                <w:lang w:val="en-US" w:eastAsia="zh-CN"/>
              </w:rPr>
              <w:t>。</w:t>
            </w:r>
          </w:p>
          <w:p w14:paraId="03E0EE9C">
            <w:pPr>
              <w:numPr>
                <w:ilvl w:val="0"/>
                <w:numId w:val="0"/>
              </w:numPr>
              <w:bidi w:val="0"/>
              <w:ind w:firstLine="480" w:firstLineChars="200"/>
              <w:rPr>
                <w:rFonts w:hint="default" w:ascii="Times New Roman" w:hAnsi="Times New Roman" w:eastAsia="宋体" w:cs="Times New Roman"/>
                <w:b w:val="0"/>
                <w:bCs w:val="0"/>
                <w:color w:val="auto"/>
                <w:highlight w:val="none"/>
                <w:lang w:val="en-US" w:eastAsia="zh-CN"/>
              </w:rPr>
            </w:pPr>
            <w:r>
              <w:rPr>
                <w:rFonts w:hint="default" w:ascii="Times New Roman" w:hAnsi="Times New Roman" w:eastAsia="宋体" w:cs="Times New Roman"/>
                <w:b w:val="0"/>
                <w:bCs w:val="0"/>
                <w:color w:val="auto"/>
                <w:highlight w:val="none"/>
                <w:lang w:val="en-US" w:eastAsia="zh-CN"/>
              </w:rPr>
              <w:t>对本项目油墨中VOCs含量进行分析具体见下表。</w:t>
            </w:r>
          </w:p>
          <w:p w14:paraId="34773CD8">
            <w:pPr>
              <w:numPr>
                <w:ilvl w:val="0"/>
                <w:numId w:val="0"/>
              </w:numPr>
              <w:bidi w:val="0"/>
              <w:ind w:firstLine="422" w:firstLineChars="20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表2-</w:t>
            </w:r>
            <w:r>
              <w:rPr>
                <w:rFonts w:hint="eastAsia" w:cs="Times New Roman"/>
                <w:b/>
                <w:bCs/>
                <w:color w:val="auto"/>
                <w:sz w:val="21"/>
                <w:szCs w:val="21"/>
                <w:highlight w:val="none"/>
                <w:lang w:val="en-US" w:eastAsia="zh-CN"/>
              </w:rPr>
              <w:t>8</w:t>
            </w:r>
            <w:r>
              <w:rPr>
                <w:rFonts w:hint="default" w:ascii="Times New Roman" w:hAnsi="Times New Roman" w:eastAsia="宋体" w:cs="Times New Roman"/>
                <w:b/>
                <w:bCs/>
                <w:color w:val="auto"/>
                <w:sz w:val="21"/>
                <w:szCs w:val="21"/>
                <w:highlight w:val="none"/>
                <w:lang w:val="en-US" w:eastAsia="zh-CN"/>
              </w:rPr>
              <w:t>项目油墨及水基胶挥发性有机物含量分析一览表</w:t>
            </w:r>
          </w:p>
          <w:tbl>
            <w:tblPr>
              <w:tblStyle w:val="27"/>
              <w:tblW w:w="8256"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1037"/>
              <w:gridCol w:w="1591"/>
              <w:gridCol w:w="1091"/>
              <w:gridCol w:w="1323"/>
              <w:gridCol w:w="1731"/>
              <w:gridCol w:w="800"/>
            </w:tblGrid>
            <w:tr w14:paraId="154CC7F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2" w:type="dxa"/>
                  <w:vMerge w:val="restart"/>
                  <w:noWrap w:val="0"/>
                  <w:vAlign w:val="center"/>
                </w:tcPr>
                <w:p w14:paraId="0A79394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序号</w:t>
                  </w:r>
                </w:p>
              </w:tc>
              <w:tc>
                <w:tcPr>
                  <w:tcW w:w="1082" w:type="dxa"/>
                  <w:vMerge w:val="restart"/>
                  <w:noWrap w:val="0"/>
                  <w:vAlign w:val="center"/>
                </w:tcPr>
                <w:p w14:paraId="0E777F8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名称</w:t>
                  </w:r>
                </w:p>
              </w:tc>
              <w:tc>
                <w:tcPr>
                  <w:tcW w:w="2543" w:type="dxa"/>
                  <w:gridSpan w:val="2"/>
                  <w:noWrap w:val="0"/>
                  <w:vAlign w:val="center"/>
                </w:tcPr>
                <w:p w14:paraId="4958BF1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成分占比</w:t>
                  </w:r>
                </w:p>
              </w:tc>
              <w:tc>
                <w:tcPr>
                  <w:tcW w:w="1368" w:type="dxa"/>
                  <w:vMerge w:val="restart"/>
                  <w:noWrap w:val="0"/>
                  <w:vAlign w:val="center"/>
                </w:tcPr>
                <w:p w14:paraId="4465EBA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挥发分含量限值要求</w:t>
                  </w:r>
                </w:p>
              </w:tc>
              <w:tc>
                <w:tcPr>
                  <w:tcW w:w="1733" w:type="dxa"/>
                  <w:vMerge w:val="restart"/>
                  <w:noWrap w:val="0"/>
                  <w:vAlign w:val="center"/>
                </w:tcPr>
                <w:p w14:paraId="0B0C4F04">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执行标准</w:t>
                  </w:r>
                </w:p>
              </w:tc>
              <w:tc>
                <w:tcPr>
                  <w:tcW w:w="828" w:type="dxa"/>
                  <w:vMerge w:val="restart"/>
                  <w:noWrap w:val="0"/>
                  <w:vAlign w:val="center"/>
                </w:tcPr>
                <w:p w14:paraId="0A3C47F3">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符合性分析</w:t>
                  </w:r>
                </w:p>
              </w:tc>
            </w:tr>
            <w:tr w14:paraId="27D4EB2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2" w:type="dxa"/>
                  <w:vMerge w:val="continue"/>
                  <w:noWrap w:val="0"/>
                  <w:vAlign w:val="center"/>
                </w:tcPr>
                <w:p w14:paraId="5CDEA9A3">
                  <w:pPr>
                    <w:keepNext w:val="0"/>
                    <w:keepLines w:val="0"/>
                    <w:pageBreakBefore w:val="0"/>
                    <w:widowControl w:val="0"/>
                    <w:numPr>
                      <w:ilvl w:val="0"/>
                      <w:numId w:val="2"/>
                    </w:numPr>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p>
              </w:tc>
              <w:tc>
                <w:tcPr>
                  <w:tcW w:w="1082" w:type="dxa"/>
                  <w:vMerge w:val="continue"/>
                  <w:noWrap w:val="0"/>
                  <w:vAlign w:val="center"/>
                </w:tcPr>
                <w:p w14:paraId="4DB46FF8">
                  <w:pPr>
                    <w:keepNext w:val="0"/>
                    <w:keepLines w:val="0"/>
                    <w:pageBreakBefore w:val="0"/>
                    <w:widowControl w:val="0"/>
                    <w:numPr>
                      <w:ilvl w:val="0"/>
                      <w:numId w:val="2"/>
                    </w:numPr>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p>
              </w:tc>
              <w:tc>
                <w:tcPr>
                  <w:tcW w:w="1623" w:type="dxa"/>
                  <w:noWrap w:val="0"/>
                  <w:vAlign w:val="center"/>
                </w:tcPr>
                <w:p w14:paraId="158BB29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项目</w:t>
                  </w:r>
                </w:p>
              </w:tc>
              <w:tc>
                <w:tcPr>
                  <w:tcW w:w="920" w:type="dxa"/>
                  <w:noWrap w:val="0"/>
                  <w:vAlign w:val="center"/>
                </w:tcPr>
                <w:p w14:paraId="0545A5D3">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含量或占比</w:t>
                  </w:r>
                </w:p>
              </w:tc>
              <w:tc>
                <w:tcPr>
                  <w:tcW w:w="1368" w:type="dxa"/>
                  <w:vMerge w:val="continue"/>
                  <w:noWrap w:val="0"/>
                  <w:vAlign w:val="center"/>
                </w:tcPr>
                <w:p w14:paraId="448D62A7">
                  <w:pPr>
                    <w:keepNext w:val="0"/>
                    <w:keepLines w:val="0"/>
                    <w:pageBreakBefore w:val="0"/>
                    <w:widowControl w:val="0"/>
                    <w:numPr>
                      <w:ilvl w:val="0"/>
                      <w:numId w:val="2"/>
                    </w:numPr>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p>
              </w:tc>
              <w:tc>
                <w:tcPr>
                  <w:tcW w:w="1733" w:type="dxa"/>
                  <w:vMerge w:val="continue"/>
                  <w:noWrap w:val="0"/>
                  <w:vAlign w:val="center"/>
                </w:tcPr>
                <w:p w14:paraId="2C2F14A6">
                  <w:pPr>
                    <w:keepNext w:val="0"/>
                    <w:keepLines w:val="0"/>
                    <w:pageBreakBefore w:val="0"/>
                    <w:widowControl w:val="0"/>
                    <w:numPr>
                      <w:ilvl w:val="0"/>
                      <w:numId w:val="2"/>
                    </w:numPr>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p>
              </w:tc>
              <w:tc>
                <w:tcPr>
                  <w:tcW w:w="828" w:type="dxa"/>
                  <w:vMerge w:val="continue"/>
                  <w:noWrap w:val="0"/>
                  <w:vAlign w:val="center"/>
                </w:tcPr>
                <w:p w14:paraId="20AAB159">
                  <w:pPr>
                    <w:keepNext w:val="0"/>
                    <w:keepLines w:val="0"/>
                    <w:pageBreakBefore w:val="0"/>
                    <w:widowControl w:val="0"/>
                    <w:numPr>
                      <w:ilvl w:val="0"/>
                      <w:numId w:val="2"/>
                    </w:numPr>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p>
              </w:tc>
            </w:tr>
            <w:tr w14:paraId="1CC397A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02" w:type="dxa"/>
                  <w:noWrap w:val="0"/>
                  <w:vAlign w:val="center"/>
                </w:tcPr>
                <w:p w14:paraId="1272939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w:t>
                  </w:r>
                </w:p>
              </w:tc>
              <w:tc>
                <w:tcPr>
                  <w:tcW w:w="1082" w:type="dxa"/>
                  <w:noWrap w:val="0"/>
                  <w:vAlign w:val="center"/>
                </w:tcPr>
                <w:p w14:paraId="01C577D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水性油墨</w:t>
                  </w:r>
                </w:p>
              </w:tc>
              <w:tc>
                <w:tcPr>
                  <w:tcW w:w="1623" w:type="dxa"/>
                  <w:noWrap w:val="0"/>
                  <w:vAlign w:val="center"/>
                </w:tcPr>
                <w:p w14:paraId="12CADC3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挥发有机化合物（VOCs）含量</w:t>
                  </w:r>
                </w:p>
              </w:tc>
              <w:tc>
                <w:tcPr>
                  <w:tcW w:w="920" w:type="dxa"/>
                  <w:noWrap w:val="0"/>
                  <w:vAlign w:val="center"/>
                </w:tcPr>
                <w:p w14:paraId="6AFCA77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5%—10%</w:t>
                  </w:r>
                </w:p>
              </w:tc>
              <w:tc>
                <w:tcPr>
                  <w:tcW w:w="1368" w:type="dxa"/>
                  <w:noWrap w:val="0"/>
                  <w:vAlign w:val="center"/>
                </w:tcPr>
                <w:p w14:paraId="7AE658F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w:t>
                  </w:r>
                  <w:r>
                    <w:rPr>
                      <w:rFonts w:hint="eastAsia" w:cs="Times New Roman"/>
                      <w:b w:val="0"/>
                      <w:bCs w:val="0"/>
                      <w:color w:val="auto"/>
                      <w:sz w:val="21"/>
                      <w:szCs w:val="21"/>
                      <w:highlight w:val="none"/>
                      <w:lang w:val="en-US" w:eastAsia="zh-CN"/>
                    </w:rPr>
                    <w:t>30</w:t>
                  </w:r>
                  <w:r>
                    <w:rPr>
                      <w:rFonts w:hint="default" w:ascii="Times New Roman" w:hAnsi="Times New Roman" w:eastAsia="宋体" w:cs="Times New Roman"/>
                      <w:b w:val="0"/>
                      <w:bCs w:val="0"/>
                      <w:color w:val="auto"/>
                      <w:sz w:val="21"/>
                      <w:szCs w:val="21"/>
                      <w:highlight w:val="none"/>
                      <w:lang w:val="en-US" w:eastAsia="zh-CN"/>
                    </w:rPr>
                    <w:t>%</w:t>
                  </w:r>
                </w:p>
              </w:tc>
              <w:tc>
                <w:tcPr>
                  <w:tcW w:w="1733" w:type="dxa"/>
                  <w:noWrap w:val="0"/>
                  <w:vAlign w:val="center"/>
                </w:tcPr>
                <w:p w14:paraId="5D4DA8C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GB/T38507-2020</w:t>
                  </w:r>
                </w:p>
              </w:tc>
              <w:tc>
                <w:tcPr>
                  <w:tcW w:w="828" w:type="dxa"/>
                  <w:noWrap w:val="0"/>
                  <w:vAlign w:val="center"/>
                </w:tcPr>
                <w:p w14:paraId="1C4A9DF9">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符合</w:t>
                  </w:r>
                </w:p>
              </w:tc>
            </w:tr>
          </w:tbl>
          <w:p w14:paraId="5E6F2B28">
            <w:pPr>
              <w:numPr>
                <w:ilvl w:val="0"/>
                <w:numId w:val="0"/>
              </w:numPr>
              <w:bidi w:val="0"/>
              <w:ind w:firstLine="482" w:firstLineChars="200"/>
              <w:rPr>
                <w:rFonts w:hint="default" w:ascii="Times New Roman" w:hAnsi="Times New Roman" w:eastAsia="宋体" w:cs="Times New Roman"/>
                <w:b/>
                <w:bCs/>
                <w:color w:val="auto"/>
                <w:highlight w:val="none"/>
                <w:lang w:val="en-US" w:eastAsia="zh-CN"/>
              </w:rPr>
            </w:pPr>
            <w:r>
              <w:rPr>
                <w:rFonts w:hint="eastAsia" w:cs="Times New Roman"/>
                <w:b/>
                <w:bCs/>
                <w:color w:val="auto"/>
                <w:kern w:val="2"/>
                <w:sz w:val="24"/>
                <w:szCs w:val="24"/>
                <w:lang w:val="en-US" w:eastAsia="zh-CN" w:bidi="ar-SA"/>
              </w:rPr>
              <w:t>5</w:t>
            </w:r>
            <w:r>
              <w:rPr>
                <w:rFonts w:hint="default" w:ascii="Times New Roman" w:hAnsi="Times New Roman" w:eastAsia="宋体" w:cs="Times New Roman"/>
                <w:b/>
                <w:bCs/>
                <w:color w:val="auto"/>
                <w:kern w:val="2"/>
                <w:sz w:val="24"/>
                <w:szCs w:val="24"/>
                <w:lang w:val="en-US" w:eastAsia="zh-CN" w:bidi="ar-SA"/>
              </w:rPr>
              <w:t>、</w:t>
            </w:r>
            <w:r>
              <w:rPr>
                <w:rFonts w:hint="default" w:ascii="Times New Roman" w:hAnsi="Times New Roman" w:eastAsia="宋体" w:cs="Times New Roman"/>
                <w:b/>
                <w:bCs/>
                <w:color w:val="auto"/>
                <w:highlight w:val="none"/>
                <w:lang w:val="en-US" w:eastAsia="zh-CN"/>
              </w:rPr>
              <w:t>主要设备</w:t>
            </w:r>
          </w:p>
          <w:p w14:paraId="39BD196E">
            <w:pPr>
              <w:pStyle w:val="5"/>
              <w:bidi w:val="0"/>
              <w:spacing w:line="360" w:lineRule="auto"/>
              <w:ind w:firstLine="480" w:firstLineChars="200"/>
              <w:jc w:val="left"/>
              <w:rPr>
                <w:rFonts w:hint="default" w:ascii="Times New Roman" w:hAnsi="Times New Roman" w:eastAsia="宋体" w:cs="Times New Roman"/>
                <w:i w:val="0"/>
                <w:iCs w:val="0"/>
                <w:color w:val="auto"/>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项目主要设备情况见下表：</w:t>
            </w:r>
          </w:p>
          <w:p w14:paraId="5D5592F1">
            <w:pPr>
              <w:pStyle w:val="5"/>
              <w:bidi w:val="0"/>
              <w:spacing w:line="240" w:lineRule="auto"/>
              <w:rPr>
                <w:rFonts w:hint="default" w:ascii="Times New Roman" w:hAnsi="Times New Roman" w:eastAsia="宋体" w:cs="Times New Roman"/>
                <w:b/>
                <w:bCs/>
                <w:i w:val="0"/>
                <w:iCs w:val="0"/>
                <w:color w:val="auto"/>
                <w:highlight w:val="none"/>
                <w:lang w:val="en-US" w:eastAsia="zh-CN"/>
              </w:rPr>
            </w:pPr>
            <w:r>
              <w:rPr>
                <w:rFonts w:hint="default" w:ascii="Times New Roman" w:hAnsi="Times New Roman" w:eastAsia="宋体" w:cs="Times New Roman"/>
                <w:i w:val="0"/>
                <w:iCs w:val="0"/>
                <w:color w:val="auto"/>
                <w:highlight w:val="none"/>
                <w:lang w:val="en-US" w:eastAsia="zh-CN"/>
              </w:rPr>
              <w:t>表2-</w:t>
            </w:r>
            <w:r>
              <w:rPr>
                <w:rFonts w:hint="eastAsia" w:cs="Times New Roman"/>
                <w:i w:val="0"/>
                <w:iCs w:val="0"/>
                <w:color w:val="auto"/>
                <w:highlight w:val="none"/>
                <w:lang w:val="en-US" w:eastAsia="zh-CN"/>
              </w:rPr>
              <w:t>9</w:t>
            </w:r>
            <w:r>
              <w:rPr>
                <w:rFonts w:hint="default" w:ascii="Times New Roman" w:hAnsi="Times New Roman" w:eastAsia="宋体" w:cs="Times New Roman"/>
                <w:i w:val="0"/>
                <w:iCs w:val="0"/>
                <w:color w:val="auto"/>
                <w:highlight w:val="none"/>
                <w:lang w:val="en-US" w:eastAsia="zh-CN"/>
              </w:rPr>
              <w:t xml:space="preserve"> 项目主要设备一览表</w:t>
            </w:r>
          </w:p>
          <w:tbl>
            <w:tblPr>
              <w:tblStyle w:val="28"/>
              <w:tblW w:w="838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19"/>
              <w:gridCol w:w="2560"/>
              <w:gridCol w:w="1998"/>
              <w:gridCol w:w="1483"/>
              <w:gridCol w:w="1427"/>
            </w:tblGrid>
            <w:tr w14:paraId="1FF0FE2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l2br w:val="nil"/>
                  </w:tcBorders>
                  <w:shd w:val="clear" w:color="auto" w:fill="FFFFFF"/>
                  <w:noWrap w:val="0"/>
                  <w:vAlign w:val="center"/>
                </w:tcPr>
                <w:p w14:paraId="3EA298B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序号</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61C3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设备名称</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3953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型号</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6E6B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数量（台/套）</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112F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备注</w:t>
                  </w:r>
                </w:p>
              </w:tc>
            </w:tr>
            <w:tr w14:paraId="2B0FE56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8834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一、机器人电缆生产线</w:t>
                  </w:r>
                </w:p>
              </w:tc>
            </w:tr>
            <w:tr w14:paraId="62CD0C5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3243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DEC1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注塑机</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1A24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PT160</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B04F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3</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C295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约0.05t/h</w:t>
                  </w:r>
                </w:p>
              </w:tc>
            </w:tr>
            <w:tr w14:paraId="4A36400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FFCC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2</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89E0E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50芯线押出机</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8B1C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JX-50</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74CD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3</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E0C6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每小时可包塑铜线200km</w:t>
                  </w:r>
                </w:p>
              </w:tc>
            </w:tr>
            <w:tr w14:paraId="50ABBC8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6E509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3</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33DC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500型高速绞对及退扭机</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496E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JX-500P</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9B37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10</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495DC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r w14:paraId="604FD65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A19B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4</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7D5D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800型旋臂成缆机</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4DF8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JX-800P</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B5A6B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2</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911F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r w14:paraId="0326A38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8831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5</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8046E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800单绞机</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1C6B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JX-800</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CC95A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87F5D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r w14:paraId="461FD73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936E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6</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C3D7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70护套押出机</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7962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JX-70</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F030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2</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C0A3E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每小时可挤护套34km</w:t>
                  </w:r>
                </w:p>
              </w:tc>
            </w:tr>
            <w:tr w14:paraId="5B36DE6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A9F8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7</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0E73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16锭高速编织机</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1E86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GSB-1A</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A4B4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5</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39C1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r w14:paraId="04C782D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5CCA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8</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27DA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全自动电缆打柄机组</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8BB5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定制</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C7F9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5</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4355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r w14:paraId="2F4B381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6214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9</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F9E2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卧式双头包纸机</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6E0B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JX-200</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884A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2</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5A3E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r w14:paraId="6C48EE4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5A0B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10</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3199B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喷码机</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95A8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S8C2/1.1G</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CA17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3</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3969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r w14:paraId="1CF8177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42F0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11</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4351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束丝机</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5AEE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JX630</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55AB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E360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r w14:paraId="23B5B88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EA82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12</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FF06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6+1成缆机</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A61CE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CL500/1+6型</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EEDD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4906E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r w14:paraId="2002B73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203D1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二、塑料电缆颗粒生产线</w:t>
                  </w:r>
                </w:p>
              </w:tc>
            </w:tr>
            <w:tr w14:paraId="31B2E71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F024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13</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89586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双阶造粒机</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0896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120-65</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E0902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CFC4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每小时可造粒约0.5t</w:t>
                  </w:r>
                </w:p>
              </w:tc>
            </w:tr>
            <w:tr w14:paraId="3E31ED2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C457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14</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754C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运料车</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524A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948F4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5</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9BD4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r w14:paraId="0B0FE7C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3CDE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15</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1448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叉车</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F484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3T</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41B8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2</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782B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r w14:paraId="6FEA05A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4F6BC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16</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8C3C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行车</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73CC9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5T</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532C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2</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0E2F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r w14:paraId="339CD4F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AD47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三、产品检验设备</w:t>
                  </w:r>
                </w:p>
              </w:tc>
            </w:tr>
            <w:tr w14:paraId="1A5DB18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FAE3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17</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1F5B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拉力机</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0ED2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MFM1200</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AFB3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98E3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r w14:paraId="7776EDB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0767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18</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3AFE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直流电桥</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317D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QJ57P</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70C2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3430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r w14:paraId="1FF7128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B6233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19</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0ED7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伸长率试验机</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76E2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沃林</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6C83A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2</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E0D6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r w14:paraId="08F0A9C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A72F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20</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794A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绝缘电阻测试仪</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5712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DBBM2677</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C5FD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3</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9ED0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r w14:paraId="6112BE3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3512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21</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2F81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高压试验机</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4499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DYE2000</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C99B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3</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5BEC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r w14:paraId="7709491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87F0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22</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72CE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火花试验机</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ABF9C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ZNC570</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B752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3</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B5A4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r w14:paraId="259F747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C44E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24</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A8DC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拖链试验机</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BF73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WDW-50</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F833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3</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7BF1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r w14:paraId="76199B8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EF86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25</w:t>
                  </w:r>
                </w:p>
              </w:tc>
              <w:tc>
                <w:tcPr>
                  <w:tcW w:w="15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53E8B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摇摆试验机</w:t>
                  </w:r>
                </w:p>
              </w:tc>
              <w:tc>
                <w:tcPr>
                  <w:tcW w:w="11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EC6F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YB360</w:t>
                  </w:r>
                </w:p>
              </w:tc>
              <w:tc>
                <w:tcPr>
                  <w:tcW w:w="8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74EA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3</w:t>
                  </w:r>
                </w:p>
              </w:tc>
              <w:tc>
                <w:tcPr>
                  <w:tcW w:w="8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A9A0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bl>
          <w:p w14:paraId="23C7A3AA">
            <w:pPr>
              <w:bidi w:val="0"/>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6、工作制度及劳动定员</w:t>
            </w:r>
          </w:p>
          <w:p w14:paraId="1187F8B4">
            <w:pPr>
              <w:bidi w:val="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本项目劳动定员30人，实行单班制，工作8小时，年工作260天。厂区</w:t>
            </w:r>
            <w:r>
              <w:rPr>
                <w:rFonts w:hint="default" w:ascii="Times New Roman" w:hAnsi="Times New Roman" w:eastAsia="宋体" w:cs="Times New Roman"/>
                <w:lang w:val="en-US" w:eastAsia="zh-CN"/>
              </w:rPr>
              <w:t>设置</w:t>
            </w:r>
            <w:r>
              <w:rPr>
                <w:rFonts w:hint="default" w:ascii="Times New Roman" w:hAnsi="Times New Roman" w:eastAsia="宋体" w:cs="Times New Roman"/>
                <w:color w:val="auto"/>
                <w:highlight w:val="none"/>
                <w:lang w:val="en-US" w:eastAsia="zh-CN"/>
              </w:rPr>
              <w:t>食堂不设置住宿。</w:t>
            </w:r>
          </w:p>
          <w:p w14:paraId="51497B73">
            <w:pPr>
              <w:numPr>
                <w:ilvl w:val="0"/>
                <w:numId w:val="0"/>
              </w:numPr>
              <w:bidi w:val="0"/>
              <w:ind w:firstLine="482" w:firstLineChars="200"/>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kern w:val="2"/>
                <w:sz w:val="24"/>
                <w:szCs w:val="24"/>
                <w:lang w:val="en-US" w:eastAsia="zh-CN" w:bidi="ar-SA"/>
              </w:rPr>
              <w:t>7、</w:t>
            </w:r>
            <w:r>
              <w:rPr>
                <w:rFonts w:hint="default" w:ascii="Times New Roman" w:hAnsi="Times New Roman" w:eastAsia="宋体" w:cs="Times New Roman"/>
                <w:b/>
                <w:bCs/>
                <w:color w:val="auto"/>
                <w:highlight w:val="none"/>
                <w:lang w:val="en-US" w:eastAsia="zh-CN"/>
              </w:rPr>
              <w:t>公用工程</w:t>
            </w:r>
          </w:p>
          <w:p w14:paraId="1158CF31">
            <w:pPr>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7.1给排水</w:t>
            </w:r>
          </w:p>
          <w:p w14:paraId="3D348267">
            <w:pPr>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给水：由园区供水管网供给。</w:t>
            </w:r>
          </w:p>
          <w:p w14:paraId="67236DB1">
            <w:pPr>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排水：采用雨污分流，雨水经收集后排入园区雨水管网；生活污水经化粪池处理后汇同经隔油池处理后的餐饮废水一同与冷却水定期排水一起通过园区污水管网送往青阳县污水处理厂，</w:t>
            </w:r>
            <w:r>
              <w:rPr>
                <w:rFonts w:hint="eastAsia" w:cs="Times New Roman"/>
                <w:b w:val="0"/>
                <w:bCs w:val="0"/>
                <w:color w:val="auto"/>
                <w:sz w:val="24"/>
                <w:szCs w:val="24"/>
                <w:highlight w:val="none"/>
                <w:lang w:val="en-US" w:eastAsia="zh-CN"/>
              </w:rPr>
              <w:t>经</w:t>
            </w:r>
            <w:r>
              <w:rPr>
                <w:rFonts w:hint="default" w:ascii="Times New Roman" w:hAnsi="Times New Roman" w:eastAsia="宋体" w:cs="Times New Roman"/>
                <w:b w:val="0"/>
                <w:bCs w:val="0"/>
                <w:color w:val="auto"/>
                <w:sz w:val="24"/>
                <w:szCs w:val="24"/>
                <w:highlight w:val="none"/>
                <w:lang w:val="en-US" w:eastAsia="zh-CN"/>
              </w:rPr>
              <w:t>处理达标后排放至青通河。</w:t>
            </w:r>
          </w:p>
          <w:p w14:paraId="375BE394">
            <w:pPr>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水平衡：</w:t>
            </w:r>
          </w:p>
          <w:p w14:paraId="26BBC42C">
            <w:pPr>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（1）生活用水及污水</w:t>
            </w:r>
          </w:p>
          <w:p w14:paraId="60A96650">
            <w:pPr>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本项目生活污水来源于厂区办公用水，主要污染物为pH、COD、BOD、NH3-N、SS、动植物油等。员工30人，</w:t>
            </w:r>
            <w:r>
              <w:rPr>
                <w:rFonts w:hint="default" w:ascii="Times New Roman" w:hAnsi="Times New Roman" w:eastAsia="宋体" w:cs="Times New Roman"/>
                <w:b w:val="0"/>
                <w:bCs w:val="0"/>
                <w:color w:val="auto"/>
                <w:highlight w:val="none"/>
                <w:lang w:val="en-US" w:eastAsia="zh-CN"/>
              </w:rPr>
              <w:t>本项目生活用水参照《安徽省行业用水定额》（DB34/T 679-2025）中机关用水定额，即38m</w:t>
            </w:r>
            <w:r>
              <w:rPr>
                <w:rFonts w:hint="default" w:ascii="Times New Roman" w:hAnsi="Times New Roman" w:eastAsia="宋体" w:cs="Times New Roman"/>
                <w:b w:val="0"/>
                <w:bCs w:val="0"/>
                <w:color w:val="auto"/>
                <w:highlight w:val="none"/>
                <w:vertAlign w:val="superscript"/>
                <w:lang w:val="en-US" w:eastAsia="zh-CN"/>
              </w:rPr>
              <w:t>3</w:t>
            </w:r>
            <w:r>
              <w:rPr>
                <w:rFonts w:hint="default" w:ascii="Times New Roman" w:hAnsi="Times New Roman" w:eastAsia="宋体" w:cs="Times New Roman"/>
                <w:b w:val="0"/>
                <w:bCs w:val="0"/>
                <w:color w:val="auto"/>
                <w:highlight w:val="none"/>
                <w:lang w:val="en-US" w:eastAsia="zh-CN"/>
              </w:rPr>
              <w:t>/（人·a），则年用水量为1140t/a。</w:t>
            </w:r>
            <w:r>
              <w:rPr>
                <w:rFonts w:hint="default" w:ascii="Times New Roman" w:hAnsi="Times New Roman" w:eastAsia="宋体" w:cs="Times New Roman"/>
                <w:b w:val="0"/>
                <w:bCs w:val="0"/>
                <w:color w:val="auto"/>
                <w:sz w:val="24"/>
                <w:szCs w:val="24"/>
                <w:highlight w:val="none"/>
                <w:lang w:val="en-US" w:eastAsia="zh-CN"/>
              </w:rPr>
              <w:t>废水产生系数按0.80计，则废水产生量3.51t/d（912t/a）。</w:t>
            </w:r>
          </w:p>
          <w:p w14:paraId="564B7D51">
            <w:pPr>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（2）餐饮用水及污水</w:t>
            </w:r>
          </w:p>
          <w:p w14:paraId="132E3038">
            <w:pPr>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本项目食堂用水参照《建筑给水排水设计标准》（GB50015-2019）中25L·人/d用水标准来计，则餐饮用水量为0.75t/d（195t/a）。排污系数按0.8计，则</w:t>
            </w:r>
            <w:r>
              <w:rPr>
                <w:rFonts w:hint="eastAsia" w:cs="Times New Roman"/>
                <w:b w:val="0"/>
                <w:bCs w:val="0"/>
                <w:color w:val="auto"/>
                <w:sz w:val="24"/>
                <w:szCs w:val="24"/>
                <w:highlight w:val="none"/>
                <w:lang w:val="en-US" w:eastAsia="zh-CN"/>
              </w:rPr>
              <w:t>餐饮用水</w:t>
            </w:r>
            <w:r>
              <w:rPr>
                <w:rFonts w:hint="default" w:ascii="Times New Roman" w:hAnsi="Times New Roman" w:eastAsia="宋体" w:cs="Times New Roman"/>
                <w:b w:val="0"/>
                <w:bCs w:val="0"/>
                <w:color w:val="auto"/>
                <w:sz w:val="24"/>
                <w:szCs w:val="24"/>
                <w:highlight w:val="none"/>
                <w:lang w:val="en-US" w:eastAsia="zh-CN"/>
              </w:rPr>
              <w:t>污水产生量为</w:t>
            </w:r>
            <w:r>
              <w:rPr>
                <w:rFonts w:hint="eastAsia" w:cs="Times New Roman"/>
                <w:b w:val="0"/>
                <w:bCs w:val="0"/>
                <w:color w:val="auto"/>
                <w:sz w:val="24"/>
                <w:szCs w:val="24"/>
                <w:highlight w:val="none"/>
                <w:lang w:val="en-US" w:eastAsia="zh-CN"/>
              </w:rPr>
              <w:t>0.</w:t>
            </w:r>
            <w:r>
              <w:rPr>
                <w:rFonts w:hint="default" w:ascii="Times New Roman" w:hAnsi="Times New Roman" w:eastAsia="宋体" w:cs="Times New Roman"/>
                <w:b w:val="0"/>
                <w:bCs w:val="0"/>
                <w:color w:val="auto"/>
                <w:sz w:val="24"/>
                <w:szCs w:val="24"/>
                <w:highlight w:val="none"/>
                <w:lang w:val="en-US" w:eastAsia="zh-CN"/>
              </w:rPr>
              <w:t>6t/d（156t/a）。</w:t>
            </w:r>
          </w:p>
          <w:p w14:paraId="3B3618F2">
            <w:pPr>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（3）冷却水用排水</w:t>
            </w:r>
          </w:p>
          <w:p w14:paraId="5E59E19A">
            <w:pPr>
              <w:keepNext w:val="0"/>
              <w:keepLines w:val="0"/>
              <w:widowControl/>
              <w:suppressLineNumbers w:val="0"/>
              <w:jc w:val="left"/>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color w:val="auto"/>
                <w:kern w:val="0"/>
                <w:sz w:val="24"/>
                <w:szCs w:val="24"/>
                <w:lang w:val="en-US" w:eastAsia="zh-CN" w:bidi="ar"/>
              </w:rPr>
              <w:t>本项目生产的电线电缆在挤出包塑和挤护套后需要用水直接冷却，冷却水循环使用，定期补充蒸发损耗量。项目设置 1座沉淀池（2</w:t>
            </w:r>
            <w:r>
              <w:rPr>
                <w:rFonts w:hint="default" w:ascii="Times New Roman" w:hAnsi="Times New Roman" w:cs="Times New Roman"/>
                <w:b w:val="0"/>
                <w:bCs w:val="0"/>
                <w:color w:val="auto"/>
                <w:sz w:val="24"/>
                <w:szCs w:val="24"/>
                <w:highlight w:val="none"/>
                <w:lang w:val="en-US" w:eastAsia="zh-CN"/>
              </w:rPr>
              <w:t>m</w:t>
            </w:r>
            <w:r>
              <w:rPr>
                <w:rFonts w:hint="default" w:ascii="Times New Roman" w:hAnsi="Times New Roman" w:cs="Times New Roman"/>
                <w:b w:val="0"/>
                <w:bCs w:val="0"/>
                <w:color w:val="auto"/>
                <w:sz w:val="24"/>
                <w:szCs w:val="24"/>
                <w:highlight w:val="none"/>
                <w:vertAlign w:val="superscript"/>
                <w:lang w:val="en-US" w:eastAsia="zh-CN"/>
              </w:rPr>
              <w:t>3</w:t>
            </w:r>
            <w:r>
              <w:rPr>
                <w:rFonts w:hint="default" w:ascii="Times New Roman" w:hAnsi="Times New Roman" w:eastAsia="宋体" w:cs="Times New Roman"/>
                <w:color w:val="auto"/>
                <w:kern w:val="0"/>
                <w:sz w:val="24"/>
                <w:szCs w:val="24"/>
                <w:lang w:val="en-US" w:eastAsia="zh-CN" w:bidi="ar"/>
              </w:rPr>
              <w:t>）和1座蓄水池（3</w:t>
            </w:r>
            <w:r>
              <w:rPr>
                <w:rFonts w:hint="default" w:ascii="Times New Roman" w:hAnsi="Times New Roman" w:cs="Times New Roman"/>
                <w:b w:val="0"/>
                <w:bCs w:val="0"/>
                <w:color w:val="auto"/>
                <w:sz w:val="24"/>
                <w:szCs w:val="24"/>
                <w:highlight w:val="none"/>
                <w:lang w:val="en-US" w:eastAsia="zh-CN"/>
              </w:rPr>
              <w:t>m</w:t>
            </w:r>
            <w:r>
              <w:rPr>
                <w:rFonts w:hint="default" w:ascii="Times New Roman" w:hAnsi="Times New Roman" w:cs="Times New Roman"/>
                <w:b w:val="0"/>
                <w:bCs w:val="0"/>
                <w:color w:val="auto"/>
                <w:sz w:val="24"/>
                <w:szCs w:val="24"/>
                <w:highlight w:val="none"/>
                <w:vertAlign w:val="superscript"/>
                <w:lang w:val="en-US" w:eastAsia="zh-CN"/>
              </w:rPr>
              <w:t>3</w:t>
            </w:r>
            <w:r>
              <w:rPr>
                <w:rFonts w:hint="default" w:ascii="Times New Roman" w:hAnsi="Times New Roman" w:eastAsia="宋体" w:cs="Times New Roman"/>
                <w:color w:val="auto"/>
                <w:kern w:val="0"/>
                <w:sz w:val="24"/>
                <w:szCs w:val="24"/>
                <w:lang w:val="en-US" w:eastAsia="zh-CN" w:bidi="ar"/>
              </w:rPr>
              <w:t>），沉淀池和蓄水池中间设置隔断，上方有溢流口，冷却水槽出水接沉淀池，经沉淀后，水自溢流口流至蓄水池，蓄水池出水进入冷却水槽。本项目共设置5条冷却水槽，每条冷却水槽出水约0.4m</w:t>
            </w:r>
            <w:r>
              <w:rPr>
                <w:rFonts w:hint="default" w:ascii="Times New Roman" w:hAnsi="Times New Roman" w:eastAsia="宋体" w:cs="Times New Roman"/>
                <w:color w:val="auto"/>
                <w:kern w:val="0"/>
                <w:sz w:val="24"/>
                <w:szCs w:val="24"/>
                <w:vertAlign w:val="superscript"/>
                <w:lang w:val="en-US" w:eastAsia="zh-CN" w:bidi="ar"/>
              </w:rPr>
              <w:t>3</w:t>
            </w:r>
            <w:r>
              <w:rPr>
                <w:rFonts w:hint="default" w:ascii="Times New Roman" w:hAnsi="Times New Roman" w:eastAsia="宋体" w:cs="Times New Roman"/>
                <w:color w:val="auto"/>
                <w:kern w:val="0"/>
                <w:sz w:val="24"/>
                <w:szCs w:val="24"/>
                <w:lang w:val="en-US" w:eastAsia="zh-CN" w:bidi="ar"/>
              </w:rPr>
              <w:t>，合计水量2m</w:t>
            </w:r>
            <w:r>
              <w:rPr>
                <w:rFonts w:hint="default" w:ascii="Times New Roman" w:hAnsi="Times New Roman" w:eastAsia="宋体" w:cs="Times New Roman"/>
                <w:color w:val="auto"/>
                <w:kern w:val="0"/>
                <w:sz w:val="24"/>
                <w:szCs w:val="24"/>
                <w:vertAlign w:val="superscript"/>
                <w:lang w:val="en-US" w:eastAsia="zh-CN" w:bidi="ar"/>
              </w:rPr>
              <w:t>3</w:t>
            </w:r>
            <w:r>
              <w:rPr>
                <w:rFonts w:hint="default" w:ascii="Times New Roman" w:hAnsi="Times New Roman" w:eastAsia="宋体" w:cs="Times New Roman"/>
                <w:color w:val="auto"/>
                <w:kern w:val="0"/>
                <w:sz w:val="24"/>
                <w:szCs w:val="24"/>
                <w:lang w:val="en-US" w:eastAsia="zh-CN" w:bidi="ar"/>
              </w:rPr>
              <w:t>，冷却水循环使用，根据其蒸发量适当添加，根据《建筑给水排水设计规范》（GB50015-2019），冷却塔补充水量按冷却循环水量的</w:t>
            </w:r>
            <w:r>
              <w:rPr>
                <w:rFonts w:hint="eastAsia" w:cs="Times New Roman"/>
                <w:color w:val="auto"/>
                <w:kern w:val="0"/>
                <w:sz w:val="24"/>
                <w:szCs w:val="24"/>
                <w:lang w:val="en-US" w:eastAsia="zh-CN" w:bidi="ar"/>
              </w:rPr>
              <w:t>1%—2%</w:t>
            </w:r>
            <w:r>
              <w:rPr>
                <w:rFonts w:hint="default" w:ascii="Times New Roman" w:hAnsi="Times New Roman" w:eastAsia="宋体" w:cs="Times New Roman"/>
                <w:color w:val="auto"/>
                <w:kern w:val="0"/>
                <w:sz w:val="24"/>
                <w:szCs w:val="24"/>
                <w:lang w:val="en-US" w:eastAsia="zh-CN" w:bidi="ar"/>
              </w:rPr>
              <w:t>确定，本项目取2%，则循环冷却水补用水量为36.4t/a（0.14t/d）。</w:t>
            </w:r>
            <w:r>
              <w:rPr>
                <w:rFonts w:hint="default" w:ascii="Times New Roman" w:hAnsi="Times New Roman" w:eastAsia="宋体" w:cs="Times New Roman"/>
                <w:b w:val="0"/>
                <w:bCs w:val="0"/>
                <w:color w:val="auto"/>
                <w:sz w:val="24"/>
                <w:szCs w:val="24"/>
                <w:highlight w:val="none"/>
                <w:lang w:val="en-US" w:eastAsia="zh-CN"/>
              </w:rPr>
              <w:t>本项目冷却水每季度更换一次，项目冷却</w:t>
            </w:r>
            <w:r>
              <w:rPr>
                <w:rFonts w:hint="default" w:ascii="Times New Roman" w:hAnsi="Times New Roman" w:cs="Times New Roman"/>
                <w:b w:val="0"/>
                <w:bCs w:val="0"/>
                <w:color w:val="auto"/>
                <w:sz w:val="24"/>
                <w:szCs w:val="24"/>
                <w:highlight w:val="none"/>
                <w:lang w:val="en-US" w:eastAsia="zh-CN"/>
              </w:rPr>
              <w:t>水系统</w:t>
            </w:r>
            <w:r>
              <w:rPr>
                <w:rFonts w:hint="default" w:ascii="Times New Roman" w:hAnsi="Times New Roman" w:eastAsia="宋体" w:cs="Times New Roman"/>
                <w:b w:val="0"/>
                <w:bCs w:val="0"/>
                <w:color w:val="auto"/>
                <w:sz w:val="24"/>
                <w:szCs w:val="24"/>
                <w:highlight w:val="none"/>
                <w:lang w:val="en-US" w:eastAsia="zh-CN"/>
              </w:rPr>
              <w:t>储水量为</w:t>
            </w:r>
            <w:r>
              <w:rPr>
                <w:rFonts w:hint="default" w:ascii="Times New Roman" w:hAnsi="Times New Roman" w:cs="Times New Roman"/>
                <w:b w:val="0"/>
                <w:bCs w:val="0"/>
                <w:color w:val="auto"/>
                <w:sz w:val="24"/>
                <w:szCs w:val="24"/>
                <w:highlight w:val="none"/>
                <w:lang w:val="en-US" w:eastAsia="zh-CN"/>
              </w:rPr>
              <w:t>7</w:t>
            </w:r>
            <w:r>
              <w:rPr>
                <w:rFonts w:hint="default" w:ascii="Times New Roman" w:hAnsi="Times New Roman" w:eastAsia="宋体" w:cs="Times New Roman"/>
                <w:b w:val="0"/>
                <w:bCs w:val="0"/>
                <w:color w:val="auto"/>
                <w:sz w:val="24"/>
                <w:szCs w:val="24"/>
                <w:highlight w:val="none"/>
                <w:lang w:val="en-US" w:eastAsia="zh-CN"/>
              </w:rPr>
              <w:t>m</w:t>
            </w:r>
            <w:r>
              <w:rPr>
                <w:rFonts w:hint="default" w:ascii="Times New Roman" w:hAnsi="Times New Roman" w:eastAsia="宋体" w:cs="Times New Roman"/>
                <w:b w:val="0"/>
                <w:bCs w:val="0"/>
                <w:color w:val="auto"/>
                <w:sz w:val="24"/>
                <w:szCs w:val="24"/>
                <w:highlight w:val="none"/>
                <w:vertAlign w:val="superscript"/>
                <w:lang w:val="en-US" w:eastAsia="zh-CN"/>
              </w:rPr>
              <w:t>3</w:t>
            </w:r>
            <w:r>
              <w:rPr>
                <w:rFonts w:hint="default" w:ascii="Times New Roman" w:hAnsi="Times New Roman" w:eastAsia="宋体" w:cs="Times New Roman"/>
                <w:b w:val="0"/>
                <w:bCs w:val="0"/>
                <w:color w:val="auto"/>
                <w:sz w:val="24"/>
                <w:szCs w:val="24"/>
                <w:highlight w:val="none"/>
                <w:vertAlign w:val="baseline"/>
                <w:lang w:val="en-US" w:eastAsia="zh-CN"/>
              </w:rPr>
              <w:t>，</w:t>
            </w:r>
            <w:r>
              <w:rPr>
                <w:rFonts w:hint="default" w:ascii="Times New Roman" w:hAnsi="Times New Roman" w:eastAsia="宋体" w:cs="Times New Roman"/>
                <w:b w:val="0"/>
                <w:bCs w:val="0"/>
                <w:color w:val="auto"/>
                <w:sz w:val="24"/>
                <w:szCs w:val="24"/>
                <w:highlight w:val="none"/>
                <w:lang w:val="en-US" w:eastAsia="zh-CN"/>
              </w:rPr>
              <w:t>则冷却水排水量为</w:t>
            </w:r>
            <w:r>
              <w:rPr>
                <w:rFonts w:hint="default" w:ascii="Times New Roman" w:hAnsi="Times New Roman" w:cs="Times New Roman"/>
                <w:b w:val="0"/>
                <w:bCs w:val="0"/>
                <w:color w:val="auto"/>
                <w:sz w:val="24"/>
                <w:szCs w:val="24"/>
                <w:highlight w:val="none"/>
                <w:lang w:val="en-US" w:eastAsia="zh-CN"/>
              </w:rPr>
              <w:t>28</w:t>
            </w:r>
            <w:r>
              <w:rPr>
                <w:rFonts w:hint="default" w:ascii="Times New Roman" w:hAnsi="Times New Roman" w:eastAsia="宋体" w:cs="Times New Roman"/>
                <w:b w:val="0"/>
                <w:bCs w:val="0"/>
                <w:color w:val="auto"/>
                <w:sz w:val="24"/>
                <w:szCs w:val="24"/>
                <w:highlight w:val="none"/>
                <w:lang w:val="en-US" w:eastAsia="zh-CN"/>
              </w:rPr>
              <w:t>t/a。</w:t>
            </w:r>
          </w:p>
          <w:p w14:paraId="36C64B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val="0"/>
                <w:color w:val="auto"/>
                <w:sz w:val="24"/>
                <w:szCs w:val="24"/>
                <w:highlight w:val="none"/>
                <w:lang w:val="en-US" w:eastAsia="zh-CN"/>
              </w:rPr>
            </w:pPr>
            <w:r>
              <w:drawing>
                <wp:inline distT="0" distB="0" distL="114300" distR="114300">
                  <wp:extent cx="5370195" cy="3110230"/>
                  <wp:effectExtent l="0" t="0" r="1905" b="1270"/>
                  <wp:docPr id="4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5"/>
                          <pic:cNvPicPr>
                            <a:picLocks noChangeAspect="1"/>
                          </pic:cNvPicPr>
                        </pic:nvPicPr>
                        <pic:blipFill>
                          <a:blip r:embed="rId22"/>
                          <a:stretch>
                            <a:fillRect/>
                          </a:stretch>
                        </pic:blipFill>
                        <pic:spPr>
                          <a:xfrm>
                            <a:off x="0" y="0"/>
                            <a:ext cx="5370195" cy="3110230"/>
                          </a:xfrm>
                          <a:prstGeom prst="rect">
                            <a:avLst/>
                          </a:prstGeom>
                          <a:noFill/>
                          <a:ln>
                            <a:noFill/>
                          </a:ln>
                        </pic:spPr>
                      </pic:pic>
                    </a:graphicData>
                  </a:graphic>
                </wp:inline>
              </w:drawing>
            </w:r>
          </w:p>
          <w:p w14:paraId="09FF6715">
            <w:pPr>
              <w:jc w:val="center"/>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bCs/>
                <w:color w:val="auto"/>
                <w:sz w:val="21"/>
                <w:szCs w:val="21"/>
                <w:highlight w:val="none"/>
                <w:lang w:val="en-US" w:eastAsia="zh-CN"/>
              </w:rPr>
              <w:t>图2-1本项目水平衡图</w:t>
            </w:r>
          </w:p>
          <w:p w14:paraId="7EF59C87">
            <w:pPr>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7.2供电</w:t>
            </w:r>
          </w:p>
          <w:p w14:paraId="214F64C0">
            <w:pPr>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由园区供电电网供给。</w:t>
            </w:r>
          </w:p>
          <w:p w14:paraId="21F9C78A">
            <w:pPr>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7.3消防</w:t>
            </w:r>
          </w:p>
          <w:p w14:paraId="22A4222C">
            <w:pPr>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项目消防按《建筑设计防火规范》（GB50016-2014）有关规定实施。室外设置消火栓，火灾时市政消防车从室外消火栓取水灭火；室内设置灭火器。</w:t>
            </w:r>
          </w:p>
          <w:p w14:paraId="4FAADAA8">
            <w:pPr>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val="en-US" w:eastAsia="zh-CN"/>
              </w:rPr>
              <w:t>8</w:t>
            </w:r>
            <w:r>
              <w:rPr>
                <w:rFonts w:hint="default" w:ascii="Times New Roman" w:hAnsi="Times New Roman" w:eastAsia="宋体" w:cs="Times New Roman"/>
                <w:b/>
                <w:bCs/>
                <w:color w:val="auto"/>
                <w:sz w:val="24"/>
                <w:szCs w:val="24"/>
                <w:highlight w:val="none"/>
                <w:lang w:eastAsia="zh-CN"/>
              </w:rPr>
              <w:t>、平面布置</w:t>
            </w:r>
          </w:p>
          <w:p w14:paraId="18B45FA6">
            <w:pPr>
              <w:keepNext w:val="0"/>
              <w:keepLines w:val="0"/>
              <w:pageBreakBefore w:val="0"/>
              <w:kinsoku/>
              <w:overflowPunct/>
              <w:bidi w:val="0"/>
              <w:spacing w:line="360" w:lineRule="auto"/>
              <w:ind w:firstLine="480" w:firstLineChars="200"/>
              <w:contextualSpacing/>
              <w:rPr>
                <w:rFonts w:hint="default" w:ascii="Times New Roman" w:hAnsi="Times New Roman" w:eastAsia="宋体" w:cs="Times New Roman"/>
                <w:b w:val="0"/>
                <w:bCs w:val="0"/>
                <w:color w:val="auto"/>
                <w:sz w:val="24"/>
                <w:szCs w:val="32"/>
                <w:highlight w:val="none"/>
              </w:rPr>
            </w:pPr>
            <w:r>
              <w:rPr>
                <w:rFonts w:hint="default" w:ascii="Times New Roman" w:hAnsi="Times New Roman" w:eastAsia="宋体" w:cs="Times New Roman"/>
                <w:b w:val="0"/>
                <w:bCs w:val="0"/>
                <w:color w:val="auto"/>
                <w:sz w:val="24"/>
                <w:szCs w:val="32"/>
                <w:highlight w:val="none"/>
              </w:rPr>
              <w:t>本项目位于</w:t>
            </w:r>
            <w:r>
              <w:rPr>
                <w:rFonts w:hint="default" w:ascii="Times New Roman" w:hAnsi="Times New Roman" w:eastAsia="宋体" w:cs="Times New Roman"/>
                <w:color w:val="auto"/>
                <w:sz w:val="24"/>
                <w:highlight w:val="none"/>
              </w:rPr>
              <w:t>安徽省池州市青阳县</w:t>
            </w:r>
            <w:r>
              <w:rPr>
                <w:rFonts w:hint="default" w:ascii="Times New Roman" w:hAnsi="Times New Roman" w:eastAsia="宋体" w:cs="Times New Roman"/>
                <w:color w:val="auto"/>
                <w:sz w:val="24"/>
                <w:highlight w:val="none"/>
                <w:lang w:val="en-US" w:eastAsia="zh-CN"/>
              </w:rPr>
              <w:t>经济开发区东河园</w:t>
            </w:r>
            <w:r>
              <w:rPr>
                <w:rFonts w:hint="default" w:ascii="Times New Roman" w:hAnsi="Times New Roman" w:eastAsia="宋体" w:cs="Times New Roman"/>
                <w:b w:val="0"/>
                <w:bCs w:val="0"/>
                <w:color w:val="auto"/>
                <w:sz w:val="24"/>
                <w:szCs w:val="32"/>
                <w:highlight w:val="none"/>
              </w:rPr>
              <w:t>，具体地理位置见附图1。</w:t>
            </w:r>
          </w:p>
          <w:p w14:paraId="393BBAFC">
            <w:pPr>
              <w:keepNext w:val="0"/>
              <w:keepLines w:val="0"/>
              <w:pageBreakBefore w:val="0"/>
              <w:kinsoku/>
              <w:overflowPunct/>
              <w:bidi w:val="0"/>
              <w:spacing w:line="360" w:lineRule="auto"/>
              <w:ind w:firstLine="480" w:firstLineChars="200"/>
              <w:contextualSpacing/>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sz w:val="24"/>
                <w:highlight w:val="none"/>
                <w:lang w:val="en-US" w:eastAsia="zh-CN"/>
              </w:rPr>
              <w:t>本项目</w:t>
            </w:r>
            <w:r>
              <w:rPr>
                <w:rFonts w:hint="default" w:ascii="Times New Roman" w:hAnsi="Times New Roman" w:eastAsia="宋体" w:cs="Times New Roman"/>
                <w:color w:val="auto"/>
                <w:sz w:val="24"/>
                <w:szCs w:val="24"/>
                <w:highlight w:val="none"/>
                <w:lang w:val="en-US" w:eastAsia="zh-CN"/>
              </w:rPr>
              <w:t>租赁青阳县国有工业资产经营有限公司4#标准厂房，厂房面积约6</w:t>
            </w:r>
            <w:r>
              <w:rPr>
                <w:rFonts w:hint="eastAsia" w:cs="Times New Roman"/>
                <w:color w:val="auto"/>
                <w:sz w:val="24"/>
                <w:szCs w:val="24"/>
                <w:highlight w:val="none"/>
                <w:lang w:val="en-US" w:eastAsia="zh-CN"/>
              </w:rPr>
              <w:t>038</w:t>
            </w:r>
            <w:r>
              <w:rPr>
                <w:rFonts w:hint="default" w:ascii="Times New Roman" w:hAnsi="Times New Roman" w:eastAsia="宋体" w:cs="Times New Roman"/>
                <w:color w:val="auto"/>
                <w:sz w:val="24"/>
                <w:szCs w:val="24"/>
                <w:highlight w:val="none"/>
                <w:lang w:val="en-US" w:eastAsia="zh-CN"/>
              </w:rPr>
              <w:t>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highlight w:val="none"/>
                <w:lang w:val="en-US" w:eastAsia="zh-CN"/>
              </w:rPr>
              <w:t>，厂房主要分为办公区和生产区，办公区位于厂房</w:t>
            </w:r>
            <w:r>
              <w:rPr>
                <w:rFonts w:hint="eastAsia" w:cs="Times New Roman"/>
                <w:color w:val="auto"/>
                <w:sz w:val="24"/>
                <w:highlight w:val="none"/>
                <w:lang w:val="en-US" w:eastAsia="zh-CN"/>
              </w:rPr>
              <w:t>西北侧，原料库位于厂房东南侧，成品库位于厂房南侧，固废库和危废库位于厂房外东北侧。</w:t>
            </w:r>
            <w:r>
              <w:rPr>
                <w:rFonts w:hint="default" w:ascii="Times New Roman" w:hAnsi="Times New Roman" w:eastAsia="宋体" w:cs="Times New Roman"/>
                <w:color w:val="auto"/>
                <w:sz w:val="24"/>
                <w:highlight w:val="none"/>
                <w:lang w:val="en-US" w:eastAsia="zh-CN"/>
              </w:rPr>
              <w:t>建设项目车间平面布置以最佳的生产流程（物流、人流、信息流、能源流）和生产工艺进行设计</w:t>
            </w:r>
            <w:r>
              <w:rPr>
                <w:rFonts w:hint="eastAsia" w:cs="Times New Roman"/>
                <w:color w:val="auto"/>
                <w:sz w:val="24"/>
                <w:highlight w:val="none"/>
                <w:lang w:val="en-US" w:eastAsia="zh-CN"/>
              </w:rPr>
              <w:t>，在</w:t>
            </w:r>
            <w:r>
              <w:rPr>
                <w:rFonts w:hint="default" w:ascii="Times New Roman" w:hAnsi="Times New Roman" w:eastAsia="宋体" w:cs="Times New Roman"/>
                <w:color w:val="auto"/>
                <w:sz w:val="24"/>
                <w:highlight w:val="none"/>
                <w:lang w:val="en-US" w:eastAsia="zh-CN"/>
              </w:rPr>
              <w:t>整体布置上强调物流的合理，减少物流的返回、交叉、往返等无效搬运；缩短物料的停滞和等待。总体布置功能分区合理，工艺流线顺畅，运输线路短捷</w:t>
            </w:r>
            <w:r>
              <w:rPr>
                <w:rFonts w:hint="default" w:ascii="Times New Roman" w:hAnsi="Times New Roman" w:eastAsia="宋体" w:cs="Times New Roman"/>
                <w:bCs/>
                <w:color w:val="auto"/>
                <w:sz w:val="24"/>
                <w:szCs w:val="24"/>
                <w:highlight w:val="none"/>
              </w:rPr>
              <w:t>。厂区</w:t>
            </w:r>
            <w:r>
              <w:rPr>
                <w:rFonts w:hint="default" w:ascii="Times New Roman" w:hAnsi="Times New Roman" w:eastAsia="宋体" w:cs="Times New Roman"/>
                <w:bCs/>
                <w:color w:val="auto"/>
                <w:sz w:val="24"/>
                <w:szCs w:val="24"/>
                <w:highlight w:val="none"/>
                <w:lang w:val="en-US" w:eastAsia="zh-CN"/>
              </w:rPr>
              <w:t>总</w:t>
            </w:r>
            <w:r>
              <w:rPr>
                <w:rFonts w:hint="default" w:ascii="Times New Roman" w:hAnsi="Times New Roman" w:eastAsia="宋体" w:cs="Times New Roman"/>
                <w:bCs/>
                <w:color w:val="auto"/>
                <w:sz w:val="24"/>
                <w:szCs w:val="24"/>
                <w:highlight w:val="none"/>
              </w:rPr>
              <w:t>平面布置图见附图。</w:t>
            </w:r>
          </w:p>
        </w:tc>
      </w:tr>
      <w:tr w14:paraId="2DA7680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755" w:type="dxa"/>
            <w:tcBorders>
              <w:tl2br w:val="nil"/>
              <w:tr2bl w:val="nil"/>
            </w:tcBorders>
            <w:noWrap w:val="0"/>
            <w:vAlign w:val="center"/>
          </w:tcPr>
          <w:p w14:paraId="157F7452">
            <w:pPr>
              <w:pStyle w:val="10"/>
              <w:bidi w:val="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工艺流程和产排污环节</w:t>
            </w:r>
          </w:p>
        </w:tc>
        <w:tc>
          <w:tcPr>
            <w:tcW w:w="8305" w:type="dxa"/>
            <w:tcBorders>
              <w:tl2br w:val="nil"/>
              <w:tr2bl w:val="nil"/>
            </w:tcBorders>
            <w:noWrap w:val="0"/>
            <w:vAlign w:val="top"/>
          </w:tcPr>
          <w:p w14:paraId="02545DB3">
            <w:pPr>
              <w:bidi w:val="0"/>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1、本项目</w:t>
            </w:r>
            <w:r>
              <w:rPr>
                <w:rFonts w:hint="default" w:ascii="Times New Roman" w:hAnsi="Times New Roman" w:eastAsia="宋体" w:cs="Times New Roman"/>
                <w:b/>
                <w:bCs/>
                <w:color w:val="auto"/>
                <w:kern w:val="2"/>
                <w:sz w:val="24"/>
                <w:szCs w:val="24"/>
                <w:highlight w:val="none"/>
                <w:vertAlign w:val="baseline"/>
                <w:lang w:val="en-US" w:eastAsia="zh-CN" w:bidi="ar-SA"/>
              </w:rPr>
              <w:t>营运期</w:t>
            </w:r>
            <w:r>
              <w:rPr>
                <w:rFonts w:hint="default" w:ascii="Times New Roman" w:hAnsi="Times New Roman" w:eastAsia="宋体" w:cs="Times New Roman"/>
                <w:b/>
                <w:bCs/>
                <w:color w:val="auto"/>
                <w:highlight w:val="none"/>
                <w:lang w:val="en-US" w:eastAsia="zh-CN"/>
              </w:rPr>
              <w:t>生产工艺流程</w:t>
            </w:r>
          </w:p>
          <w:p w14:paraId="7CCF7C1E">
            <w:pPr>
              <w:adjustRightInd w:val="0"/>
              <w:snapToGrid w:val="0"/>
              <w:spacing w:line="360" w:lineRule="auto"/>
              <w:ind w:firstLine="480" w:firstLineChars="200"/>
              <w:rPr>
                <w:rFonts w:hint="default" w:ascii="Times New Roman" w:hAnsi="Times New Roman" w:eastAsia="宋体" w:cs="Times New Roman"/>
                <w:b/>
                <w:bCs/>
                <w:color w:val="auto"/>
                <w:kern w:val="2"/>
                <w:sz w:val="24"/>
                <w:szCs w:val="24"/>
                <w:highlight w:val="none"/>
                <w:vertAlign w:val="baseline"/>
                <w:lang w:val="en-US" w:eastAsia="zh-CN" w:bidi="ar-SA"/>
              </w:rPr>
            </w:pPr>
            <w:r>
              <w:rPr>
                <w:rFonts w:hint="default" w:ascii="Times New Roman" w:hAnsi="Times New Roman" w:eastAsia="宋体" w:cs="Times New Roman"/>
                <w:bCs/>
                <w:szCs w:val="21"/>
                <w:lang w:val="en-US" w:eastAsia="zh-CN"/>
              </w:rPr>
              <w:t>本项目设计年产2万千米超柔工业机器人电缆，营运期涉及两条生产线，一条为机器人电缆生产线，一条为机器人电缆挤护套工序所需原料塑料电缆颗粒配套生产线。本项目生产的塑料电缆颗粒</w:t>
            </w:r>
            <w:r>
              <w:rPr>
                <w:rFonts w:hint="eastAsia" w:cs="Times New Roman"/>
                <w:bCs/>
                <w:szCs w:val="21"/>
                <w:lang w:val="en-US" w:eastAsia="zh-CN"/>
              </w:rPr>
              <w:t>仅为</w:t>
            </w:r>
            <w:r>
              <w:rPr>
                <w:rFonts w:hint="default" w:ascii="Times New Roman" w:hAnsi="Times New Roman" w:eastAsia="宋体" w:cs="Times New Roman"/>
                <w:bCs/>
                <w:szCs w:val="21"/>
                <w:lang w:val="en-US" w:eastAsia="zh-CN"/>
              </w:rPr>
              <w:t>本厂使用，不对外销售。</w:t>
            </w:r>
          </w:p>
          <w:p w14:paraId="3DBACEBA">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textAlignment w:val="auto"/>
              <w:rPr>
                <w:rFonts w:hint="default" w:ascii="Times New Roman" w:hAnsi="Times New Roman" w:eastAsia="宋体" w:cs="Times New Roman"/>
                <w:b w:val="0"/>
                <w:bCs w:val="0"/>
                <w:color w:val="auto"/>
                <w:kern w:val="2"/>
                <w:sz w:val="24"/>
                <w:szCs w:val="24"/>
                <w:highlight w:val="none"/>
                <w:vertAlign w:val="baseline"/>
                <w:lang w:val="en-US" w:eastAsia="zh-CN" w:bidi="ar-SA"/>
              </w:rPr>
            </w:pPr>
            <w:r>
              <w:rPr>
                <w:rFonts w:hint="default" w:ascii="Times New Roman" w:hAnsi="Times New Roman" w:eastAsia="宋体" w:cs="Times New Roman"/>
                <w:b/>
                <w:bCs/>
                <w:color w:val="auto"/>
                <w:kern w:val="2"/>
                <w:sz w:val="24"/>
                <w:szCs w:val="24"/>
                <w:highlight w:val="none"/>
                <w:vertAlign w:val="baseline"/>
                <w:lang w:val="en-US" w:eastAsia="zh-CN" w:bidi="ar-SA"/>
              </w:rPr>
              <w:t>（1）</w:t>
            </w:r>
            <w:r>
              <w:rPr>
                <w:rFonts w:hint="default" w:ascii="Times New Roman" w:hAnsi="Times New Roman" w:eastAsia="宋体" w:cs="Times New Roman"/>
                <w:b/>
                <w:bCs w:val="0"/>
                <w:szCs w:val="21"/>
                <w:lang w:val="en-US" w:eastAsia="zh-CN"/>
              </w:rPr>
              <w:t>机器人电缆生产线</w:t>
            </w:r>
          </w:p>
          <w:p w14:paraId="7AB2FD6A">
            <w:pPr>
              <w:numPr>
                <w:ilvl w:val="0"/>
                <w:numId w:val="0"/>
              </w:numPr>
              <w:adjustRightInd w:val="0"/>
              <w:snapToGrid w:val="0"/>
              <w:spacing w:line="360" w:lineRule="auto"/>
              <w:jc w:val="center"/>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drawing>
                <wp:inline distT="0" distB="0" distL="114300" distR="114300">
                  <wp:extent cx="5320665" cy="4539615"/>
                  <wp:effectExtent l="0" t="0" r="635" b="6985"/>
                  <wp:docPr id="28" name="图片 28"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图片1"/>
                          <pic:cNvPicPr>
                            <a:picLocks noChangeAspect="1"/>
                          </pic:cNvPicPr>
                        </pic:nvPicPr>
                        <pic:blipFill>
                          <a:blip r:embed="rId23"/>
                          <a:stretch>
                            <a:fillRect/>
                          </a:stretch>
                        </pic:blipFill>
                        <pic:spPr>
                          <a:xfrm>
                            <a:off x="0" y="0"/>
                            <a:ext cx="5320665" cy="4539615"/>
                          </a:xfrm>
                          <a:prstGeom prst="rect">
                            <a:avLst/>
                          </a:prstGeom>
                        </pic:spPr>
                      </pic:pic>
                    </a:graphicData>
                  </a:graphic>
                </wp:inline>
              </w:drawing>
            </w:r>
          </w:p>
          <w:p w14:paraId="51F45812">
            <w:pPr>
              <w:numPr>
                <w:ilvl w:val="0"/>
                <w:numId w:val="0"/>
              </w:numPr>
              <w:adjustRightInd w:val="0"/>
              <w:snapToGrid w:val="0"/>
              <w:spacing w:line="360" w:lineRule="auto"/>
              <w:ind w:leftChars="200"/>
              <w:jc w:val="center"/>
              <w:rPr>
                <w:rFonts w:hint="default" w:ascii="Times New Roman" w:hAnsi="Times New Roman" w:eastAsia="宋体" w:cs="Times New Roman"/>
                <w:bCs/>
                <w:szCs w:val="21"/>
                <w:lang w:val="en-US" w:eastAsia="zh-CN"/>
              </w:rPr>
            </w:pPr>
            <w:r>
              <w:rPr>
                <w:rFonts w:hint="default" w:ascii="Times New Roman" w:hAnsi="Times New Roman" w:eastAsia="宋体" w:cs="Times New Roman"/>
                <w:b/>
                <w:bCs w:val="0"/>
                <w:szCs w:val="21"/>
                <w:lang w:val="en-US" w:eastAsia="zh-CN"/>
              </w:rPr>
              <w:t>图2-2 机器人电缆主要工艺流程和产污节点图</w:t>
            </w:r>
          </w:p>
          <w:p w14:paraId="72EBBC76">
            <w:pPr>
              <w:numPr>
                <w:ilvl w:val="0"/>
                <w:numId w:val="0"/>
              </w:numPr>
              <w:adjustRightInd w:val="0"/>
              <w:snapToGrid w:val="0"/>
              <w:spacing w:line="360" w:lineRule="auto"/>
              <w:ind w:leftChars="200"/>
              <w:rPr>
                <w:rFonts w:hint="default" w:ascii="Times New Roman" w:hAnsi="Times New Roman" w:eastAsia="宋体" w:cs="Times New Roman"/>
                <w:b/>
                <w:bCs w:val="0"/>
                <w:szCs w:val="21"/>
                <w:lang w:val="en-US" w:eastAsia="zh-CN"/>
              </w:rPr>
            </w:pPr>
            <w:r>
              <w:rPr>
                <w:rFonts w:hint="default" w:ascii="Times New Roman" w:hAnsi="Times New Roman" w:eastAsia="宋体" w:cs="Times New Roman"/>
                <w:b/>
                <w:bCs w:val="0"/>
                <w:szCs w:val="21"/>
                <w:lang w:val="en-US" w:eastAsia="zh-CN"/>
              </w:rPr>
              <w:t>生产工艺简述：</w:t>
            </w:r>
          </w:p>
          <w:p w14:paraId="0DB27910">
            <w:pPr>
              <w:numPr>
                <w:ilvl w:val="0"/>
                <w:numId w:val="0"/>
              </w:numPr>
              <w:adjustRightInd w:val="0"/>
              <w:snapToGrid w:val="0"/>
              <w:spacing w:line="360" w:lineRule="auto"/>
              <w:ind w:leftChars="200"/>
              <w:rPr>
                <w:rFonts w:hint="default" w:ascii="Times New Roman" w:hAnsi="Times New Roman" w:eastAsia="宋体" w:cs="Times New Roman"/>
                <w:b w:val="0"/>
                <w:bCs/>
                <w:color w:val="auto"/>
                <w:szCs w:val="21"/>
                <w:lang w:val="en-US" w:eastAsia="zh-CN"/>
              </w:rPr>
            </w:pPr>
            <w:r>
              <w:rPr>
                <w:rFonts w:hint="default" w:ascii="Times New Roman" w:hAnsi="Times New Roman" w:eastAsia="宋体" w:cs="Times New Roman"/>
                <w:b w:val="0"/>
                <w:bCs/>
                <w:color w:val="auto"/>
                <w:szCs w:val="21"/>
                <w:lang w:val="en-US" w:eastAsia="zh-CN"/>
              </w:rPr>
              <w:t>（1）挤出包塑</w:t>
            </w:r>
          </w:p>
          <w:p w14:paraId="320EB19A">
            <w:pPr>
              <w:numPr>
                <w:ilvl w:val="0"/>
                <w:numId w:val="0"/>
              </w:numPr>
              <w:adjustRightInd w:val="0"/>
              <w:snapToGrid w:val="0"/>
              <w:spacing w:line="360" w:lineRule="auto"/>
              <w:ind w:firstLine="480" w:firstLineChars="200"/>
              <w:rPr>
                <w:rFonts w:hint="default" w:ascii="Times New Roman" w:hAnsi="Times New Roman" w:eastAsia="宋体" w:cs="Times New Roman"/>
                <w:b w:val="0"/>
                <w:bCs/>
                <w:color w:val="auto"/>
                <w:szCs w:val="21"/>
                <w:lang w:val="en-US" w:eastAsia="zh-CN"/>
              </w:rPr>
            </w:pPr>
            <w:r>
              <w:rPr>
                <w:rFonts w:hint="eastAsia" w:cs="Times New Roman"/>
                <w:b w:val="0"/>
                <w:bCs/>
                <w:color w:val="auto"/>
                <w:szCs w:val="21"/>
                <w:lang w:val="en-US" w:eastAsia="zh-CN"/>
              </w:rPr>
              <w:t>根据客户需求人工将</w:t>
            </w:r>
            <w:r>
              <w:rPr>
                <w:rFonts w:hint="default" w:ascii="Times New Roman" w:hAnsi="Times New Roman" w:eastAsia="宋体" w:cs="Times New Roman"/>
                <w:b w:val="0"/>
                <w:bCs/>
                <w:color w:val="auto"/>
                <w:szCs w:val="21"/>
                <w:lang w:val="en-US" w:eastAsia="zh-CN"/>
              </w:rPr>
              <w:t>热塑性弹性体材料</w:t>
            </w:r>
            <w:r>
              <w:rPr>
                <w:rFonts w:hint="eastAsia" w:cs="Times New Roman"/>
                <w:b w:val="0"/>
                <w:bCs/>
                <w:color w:val="auto"/>
                <w:szCs w:val="21"/>
                <w:lang w:val="en-US" w:eastAsia="zh-CN"/>
              </w:rPr>
              <w:t>或者塑料电缆颗粒投放至押出机中，</w:t>
            </w:r>
            <w:r>
              <w:rPr>
                <w:rFonts w:hint="default" w:ascii="Times New Roman" w:hAnsi="Times New Roman" w:eastAsia="宋体" w:cs="Times New Roman"/>
                <w:b w:val="0"/>
                <w:bCs/>
                <w:color w:val="auto"/>
                <w:szCs w:val="21"/>
                <w:lang w:val="en-US" w:eastAsia="zh-CN"/>
              </w:rPr>
              <w:t>通过50芯线押出机把热塑性弹性体材料</w:t>
            </w:r>
            <w:r>
              <w:rPr>
                <w:rFonts w:hint="eastAsia" w:cs="Times New Roman"/>
                <w:b w:val="0"/>
                <w:bCs/>
                <w:color w:val="auto"/>
                <w:szCs w:val="21"/>
                <w:lang w:val="en-US" w:eastAsia="zh-CN"/>
              </w:rPr>
              <w:t>或者塑料电缆颗粒</w:t>
            </w:r>
            <w:r>
              <w:rPr>
                <w:rFonts w:hint="default" w:ascii="Times New Roman" w:hAnsi="Times New Roman" w:eastAsia="宋体" w:cs="Times New Roman"/>
                <w:b w:val="0"/>
                <w:bCs/>
                <w:color w:val="auto"/>
                <w:szCs w:val="21"/>
                <w:lang w:val="en-US" w:eastAsia="zh-CN"/>
              </w:rPr>
              <w:t>包覆在铜丝导体上（电加热），押出机工作温度在200℃左右。</w:t>
            </w:r>
            <w:r>
              <w:rPr>
                <w:rFonts w:hint="eastAsia" w:cs="Times New Roman"/>
                <w:b w:val="0"/>
                <w:bCs/>
                <w:color w:val="auto"/>
                <w:szCs w:val="21"/>
                <w:lang w:val="en-US" w:eastAsia="zh-CN"/>
              </w:rPr>
              <w:t>塑料电缆颗粒粒径约3-5mm，投料过程中无粉尘产生。根据建设单位提供的资料，约30%的成品电缆使用热塑性弹性体材料，约70%的成品电缆使用塑料电缆颗粒。</w:t>
            </w:r>
            <w:r>
              <w:rPr>
                <w:rFonts w:hint="default" w:ascii="Times New Roman" w:hAnsi="Times New Roman" w:eastAsia="宋体" w:cs="Times New Roman"/>
                <w:b w:val="0"/>
                <w:bCs/>
                <w:color w:val="auto"/>
                <w:szCs w:val="21"/>
                <w:lang w:val="en-US" w:eastAsia="zh-CN"/>
              </w:rPr>
              <w:t>此过程热塑性弹性体材料在</w:t>
            </w:r>
            <w:r>
              <w:rPr>
                <w:rFonts w:hint="eastAsia" w:cs="Times New Roman"/>
                <w:b w:val="0"/>
                <w:bCs/>
                <w:color w:val="auto"/>
                <w:szCs w:val="21"/>
                <w:lang w:val="en-US" w:eastAsia="zh-CN"/>
              </w:rPr>
              <w:t>加热</w:t>
            </w:r>
            <w:r>
              <w:rPr>
                <w:rFonts w:hint="default" w:ascii="Times New Roman" w:hAnsi="Times New Roman" w:eastAsia="宋体" w:cs="Times New Roman"/>
                <w:b w:val="0"/>
                <w:bCs/>
                <w:color w:val="auto"/>
                <w:szCs w:val="21"/>
                <w:lang w:val="en-US" w:eastAsia="zh-CN"/>
              </w:rPr>
              <w:t>过程中会产生</w:t>
            </w:r>
            <w:r>
              <w:rPr>
                <w:rFonts w:hint="eastAsia" w:cs="Times New Roman"/>
                <w:b w:val="0"/>
                <w:bCs/>
                <w:color w:val="auto"/>
                <w:szCs w:val="21"/>
                <w:lang w:val="en-US" w:eastAsia="zh-CN"/>
              </w:rPr>
              <w:t>挤出废气（G1）。</w:t>
            </w:r>
          </w:p>
          <w:p w14:paraId="671C3309">
            <w:pPr>
              <w:numPr>
                <w:ilvl w:val="0"/>
                <w:numId w:val="0"/>
              </w:numPr>
              <w:adjustRightInd w:val="0"/>
              <w:snapToGrid w:val="0"/>
              <w:spacing w:line="360" w:lineRule="auto"/>
              <w:ind w:firstLine="480" w:firstLineChars="200"/>
              <w:rPr>
                <w:rFonts w:hint="default" w:ascii="Times New Roman" w:hAnsi="Times New Roman" w:eastAsia="宋体" w:cs="Times New Roman"/>
                <w:b w:val="0"/>
                <w:bCs/>
                <w:szCs w:val="21"/>
                <w:lang w:val="en-US" w:eastAsia="zh-CN"/>
              </w:rPr>
            </w:pPr>
            <w:r>
              <w:rPr>
                <w:rFonts w:hint="default" w:ascii="Times New Roman" w:hAnsi="Times New Roman" w:eastAsia="宋体" w:cs="Times New Roman"/>
                <w:b w:val="0"/>
                <w:bCs/>
                <w:szCs w:val="21"/>
                <w:lang w:val="en-US" w:eastAsia="zh-CN"/>
              </w:rPr>
              <w:t>（2）冷却</w:t>
            </w:r>
          </w:p>
          <w:p w14:paraId="0AE9C1CC">
            <w:pPr>
              <w:numPr>
                <w:ilvl w:val="0"/>
                <w:numId w:val="0"/>
              </w:numPr>
              <w:adjustRightInd w:val="0"/>
              <w:snapToGrid w:val="0"/>
              <w:spacing w:line="360" w:lineRule="auto"/>
              <w:ind w:firstLine="480" w:firstLineChars="200"/>
              <w:rPr>
                <w:rFonts w:hint="default" w:ascii="Times New Roman" w:hAnsi="Times New Roman" w:eastAsia="宋体" w:cs="Times New Roman"/>
                <w:b w:val="0"/>
                <w:bCs/>
                <w:color w:val="auto"/>
                <w:szCs w:val="21"/>
                <w:lang w:val="en-US" w:eastAsia="zh-CN"/>
              </w:rPr>
            </w:pPr>
            <w:r>
              <w:rPr>
                <w:rFonts w:hint="default" w:ascii="Times New Roman" w:hAnsi="Times New Roman" w:eastAsia="宋体" w:cs="Times New Roman"/>
                <w:b w:val="0"/>
                <w:bCs/>
                <w:szCs w:val="21"/>
                <w:lang w:val="en-US" w:eastAsia="zh-CN"/>
              </w:rPr>
              <w:t>包塑后的铜丝在冷却水槽中</w:t>
            </w:r>
            <w:r>
              <w:rPr>
                <w:rFonts w:hint="eastAsia" w:cs="Times New Roman"/>
                <w:b w:val="0"/>
                <w:bCs/>
                <w:szCs w:val="21"/>
                <w:lang w:val="en-US" w:eastAsia="zh-CN"/>
              </w:rPr>
              <w:t>直接</w:t>
            </w:r>
            <w:r>
              <w:rPr>
                <w:rFonts w:hint="default" w:ascii="Times New Roman" w:hAnsi="Times New Roman" w:eastAsia="宋体" w:cs="Times New Roman"/>
                <w:b w:val="0"/>
                <w:bCs/>
                <w:szCs w:val="21"/>
                <w:lang w:val="en-US" w:eastAsia="zh-CN"/>
              </w:rPr>
              <w:t>冷却。</w:t>
            </w:r>
            <w:r>
              <w:rPr>
                <w:rFonts w:hint="eastAsia" w:cs="Times New Roman"/>
                <w:b w:val="0"/>
                <w:bCs/>
                <w:color w:val="auto"/>
                <w:szCs w:val="21"/>
                <w:lang w:val="en-US" w:eastAsia="zh-CN"/>
              </w:rPr>
              <w:t>冷却水槽中的冷却水排入沉淀池，</w:t>
            </w:r>
            <w:r>
              <w:rPr>
                <w:rFonts w:hint="default" w:ascii="Times New Roman" w:hAnsi="Times New Roman" w:eastAsia="宋体" w:cs="Times New Roman"/>
                <w:b w:val="0"/>
                <w:bCs/>
                <w:color w:val="auto"/>
                <w:szCs w:val="21"/>
                <w:lang w:val="en-US" w:eastAsia="zh-CN"/>
              </w:rPr>
              <w:t>经过沉淀池</w:t>
            </w:r>
            <w:r>
              <w:rPr>
                <w:rFonts w:hint="eastAsia" w:cs="Times New Roman"/>
                <w:b w:val="0"/>
                <w:bCs/>
                <w:color w:val="auto"/>
                <w:szCs w:val="21"/>
                <w:lang w:val="en-US" w:eastAsia="zh-CN"/>
              </w:rPr>
              <w:t>沉淀</w:t>
            </w:r>
            <w:r>
              <w:rPr>
                <w:rFonts w:hint="default" w:ascii="Times New Roman" w:hAnsi="Times New Roman" w:eastAsia="宋体" w:cs="Times New Roman"/>
                <w:b w:val="0"/>
                <w:bCs/>
                <w:color w:val="auto"/>
                <w:szCs w:val="21"/>
                <w:lang w:val="en-US" w:eastAsia="zh-CN"/>
              </w:rPr>
              <w:t>后</w:t>
            </w:r>
            <w:r>
              <w:rPr>
                <w:rFonts w:hint="eastAsia" w:cs="Times New Roman"/>
                <w:b w:val="0"/>
                <w:bCs/>
                <w:color w:val="auto"/>
                <w:szCs w:val="21"/>
                <w:lang w:val="en-US" w:eastAsia="zh-CN"/>
              </w:rPr>
              <w:t>溢</w:t>
            </w:r>
            <w:r>
              <w:rPr>
                <w:rFonts w:hint="default" w:ascii="Times New Roman" w:hAnsi="Times New Roman" w:eastAsia="宋体" w:cs="Times New Roman"/>
                <w:b w:val="0"/>
                <w:bCs/>
                <w:color w:val="auto"/>
                <w:szCs w:val="21"/>
                <w:lang w:val="en-US" w:eastAsia="zh-CN"/>
              </w:rPr>
              <w:t>流</w:t>
            </w:r>
            <w:r>
              <w:rPr>
                <w:rFonts w:hint="eastAsia" w:cs="Times New Roman"/>
                <w:b w:val="0"/>
                <w:bCs/>
                <w:color w:val="auto"/>
                <w:szCs w:val="21"/>
                <w:lang w:val="en-US" w:eastAsia="zh-CN"/>
              </w:rPr>
              <w:t>至</w:t>
            </w:r>
            <w:r>
              <w:rPr>
                <w:rFonts w:hint="default" w:ascii="Times New Roman" w:hAnsi="Times New Roman" w:eastAsia="宋体" w:cs="Times New Roman"/>
                <w:b w:val="0"/>
                <w:bCs/>
                <w:color w:val="auto"/>
                <w:szCs w:val="21"/>
                <w:lang w:val="en-US" w:eastAsia="zh-CN"/>
              </w:rPr>
              <w:t>蓄水池</w:t>
            </w:r>
            <w:r>
              <w:rPr>
                <w:rFonts w:hint="eastAsia" w:cs="Times New Roman"/>
                <w:b w:val="0"/>
                <w:bCs/>
                <w:color w:val="auto"/>
                <w:szCs w:val="21"/>
                <w:lang w:val="en-US" w:eastAsia="zh-CN"/>
              </w:rPr>
              <w:t>，蓄水池出水进入冷却水槽</w:t>
            </w:r>
            <w:r>
              <w:rPr>
                <w:rFonts w:hint="default" w:ascii="Times New Roman" w:hAnsi="Times New Roman" w:eastAsia="宋体" w:cs="Times New Roman"/>
                <w:b w:val="0"/>
                <w:bCs/>
                <w:color w:val="auto"/>
                <w:szCs w:val="21"/>
                <w:lang w:val="en-US" w:eastAsia="zh-CN"/>
              </w:rPr>
              <w:t>，</w:t>
            </w:r>
            <w:r>
              <w:rPr>
                <w:rFonts w:hint="eastAsia"/>
                <w:color w:val="auto"/>
                <w:lang w:val="en-US" w:eastAsia="zh-CN"/>
              </w:rPr>
              <w:t>冷却水</w:t>
            </w:r>
            <w:r>
              <w:rPr>
                <w:rFonts w:hint="default" w:ascii="Times New Roman" w:hAnsi="Times New Roman" w:eastAsia="宋体" w:cs="Times New Roman"/>
                <w:b w:val="0"/>
                <w:bCs/>
                <w:color w:val="auto"/>
                <w:szCs w:val="21"/>
                <w:lang w:val="en-US" w:eastAsia="zh-CN"/>
              </w:rPr>
              <w:t>循环使用</w:t>
            </w:r>
            <w:r>
              <w:rPr>
                <w:rFonts w:hint="eastAsia" w:cs="Times New Roman"/>
                <w:b w:val="0"/>
                <w:bCs/>
                <w:color w:val="auto"/>
                <w:szCs w:val="21"/>
                <w:lang w:val="en-US" w:eastAsia="zh-CN"/>
              </w:rPr>
              <w:t>，每季度更换一次</w:t>
            </w:r>
            <w:r>
              <w:rPr>
                <w:rFonts w:hint="default" w:ascii="Times New Roman" w:hAnsi="Times New Roman" w:eastAsia="宋体" w:cs="Times New Roman"/>
                <w:b w:val="0"/>
                <w:bCs/>
                <w:color w:val="auto"/>
                <w:szCs w:val="21"/>
                <w:lang w:val="en-US" w:eastAsia="zh-CN"/>
              </w:rPr>
              <w:t>。</w:t>
            </w:r>
            <w:r>
              <w:rPr>
                <w:rFonts w:hint="eastAsia" w:cs="Times New Roman"/>
                <w:b w:val="0"/>
                <w:bCs/>
                <w:color w:val="auto"/>
                <w:szCs w:val="21"/>
                <w:lang w:val="en-US" w:eastAsia="zh-CN"/>
              </w:rPr>
              <w:t>此过程会产生冷却水定期排水（W1）。</w:t>
            </w:r>
          </w:p>
          <w:p w14:paraId="3E57903D">
            <w:pPr>
              <w:numPr>
                <w:ilvl w:val="0"/>
                <w:numId w:val="0"/>
              </w:numPr>
              <w:adjustRightInd w:val="0"/>
              <w:snapToGrid w:val="0"/>
              <w:spacing w:line="360" w:lineRule="auto"/>
              <w:ind w:firstLine="480" w:firstLineChars="200"/>
              <w:rPr>
                <w:rFonts w:hint="default" w:ascii="Times New Roman" w:hAnsi="Times New Roman" w:eastAsia="宋体" w:cs="Times New Roman"/>
                <w:b w:val="0"/>
                <w:bCs/>
                <w:color w:val="auto"/>
                <w:szCs w:val="21"/>
                <w:lang w:val="en-US" w:eastAsia="zh-CN"/>
              </w:rPr>
            </w:pPr>
            <w:r>
              <w:rPr>
                <w:rFonts w:hint="default" w:ascii="Times New Roman" w:hAnsi="Times New Roman" w:eastAsia="宋体" w:cs="Times New Roman"/>
                <w:b w:val="0"/>
                <w:bCs/>
                <w:color w:val="auto"/>
                <w:szCs w:val="21"/>
                <w:lang w:val="en-US" w:eastAsia="zh-CN"/>
              </w:rPr>
              <w:t>（3）过程检验</w:t>
            </w:r>
          </w:p>
          <w:p w14:paraId="362D51E2">
            <w:pPr>
              <w:numPr>
                <w:ilvl w:val="0"/>
                <w:numId w:val="0"/>
              </w:numPr>
              <w:adjustRightInd w:val="0"/>
              <w:snapToGrid w:val="0"/>
              <w:spacing w:line="360" w:lineRule="auto"/>
              <w:ind w:firstLine="480" w:firstLineChars="200"/>
              <w:rPr>
                <w:rFonts w:hint="default" w:ascii="Times New Roman" w:hAnsi="Times New Roman" w:eastAsia="宋体" w:cs="Times New Roman"/>
                <w:b w:val="0"/>
                <w:bCs/>
                <w:color w:val="auto"/>
                <w:szCs w:val="21"/>
                <w:lang w:val="en-US" w:eastAsia="zh-CN"/>
              </w:rPr>
            </w:pPr>
            <w:r>
              <w:rPr>
                <w:rFonts w:hint="default" w:ascii="Times New Roman" w:hAnsi="Times New Roman" w:eastAsia="宋体" w:cs="Times New Roman"/>
                <w:b w:val="0"/>
                <w:bCs/>
                <w:color w:val="auto"/>
                <w:szCs w:val="21"/>
                <w:lang w:val="en-US" w:eastAsia="zh-CN"/>
              </w:rPr>
              <w:t>通过</w:t>
            </w:r>
            <w:r>
              <w:rPr>
                <w:rFonts w:hint="eastAsia" w:cs="Times New Roman"/>
                <w:b w:val="0"/>
                <w:bCs/>
                <w:color w:val="auto"/>
                <w:szCs w:val="21"/>
                <w:lang w:val="en-US" w:eastAsia="zh-CN"/>
              </w:rPr>
              <w:t>检验设备</w:t>
            </w:r>
            <w:r>
              <w:rPr>
                <w:rFonts w:hint="default" w:ascii="Times New Roman" w:hAnsi="Times New Roman" w:eastAsia="宋体" w:cs="Times New Roman"/>
                <w:b w:val="0"/>
                <w:bCs/>
                <w:color w:val="auto"/>
                <w:szCs w:val="21"/>
                <w:lang w:val="en-US" w:eastAsia="zh-CN"/>
              </w:rPr>
              <w:t>对中间产品进行</w:t>
            </w:r>
            <w:r>
              <w:rPr>
                <w:rFonts w:hint="eastAsia" w:cs="Times New Roman"/>
                <w:b w:val="0"/>
                <w:bCs/>
                <w:color w:val="auto"/>
                <w:szCs w:val="21"/>
                <w:lang w:val="en-US" w:eastAsia="zh-CN"/>
              </w:rPr>
              <w:t>性能</w:t>
            </w:r>
            <w:r>
              <w:rPr>
                <w:rFonts w:hint="default" w:ascii="Times New Roman" w:hAnsi="Times New Roman" w:eastAsia="宋体" w:cs="Times New Roman"/>
                <w:b w:val="0"/>
                <w:bCs/>
                <w:color w:val="auto"/>
                <w:szCs w:val="21"/>
                <w:lang w:val="en-US" w:eastAsia="zh-CN"/>
              </w:rPr>
              <w:t>检验。此过程</w:t>
            </w:r>
            <w:r>
              <w:rPr>
                <w:rFonts w:hint="eastAsia" w:cs="Times New Roman"/>
                <w:b w:val="0"/>
                <w:bCs/>
                <w:color w:val="auto"/>
                <w:szCs w:val="21"/>
                <w:lang w:val="en-US" w:eastAsia="zh-CN"/>
              </w:rPr>
              <w:t>会产生不合格线缆（S1）</w:t>
            </w:r>
            <w:r>
              <w:rPr>
                <w:rFonts w:hint="default" w:ascii="Times New Roman" w:hAnsi="Times New Roman" w:eastAsia="宋体" w:cs="Times New Roman"/>
                <w:b w:val="0"/>
                <w:bCs/>
                <w:color w:val="auto"/>
                <w:szCs w:val="21"/>
                <w:lang w:val="en-US" w:eastAsia="zh-CN"/>
              </w:rPr>
              <w:t>。</w:t>
            </w:r>
          </w:p>
          <w:p w14:paraId="21D7729E">
            <w:pPr>
              <w:numPr>
                <w:ilvl w:val="0"/>
                <w:numId w:val="0"/>
              </w:numPr>
              <w:adjustRightInd w:val="0"/>
              <w:snapToGrid w:val="0"/>
              <w:spacing w:line="360" w:lineRule="auto"/>
              <w:ind w:firstLine="480" w:firstLineChars="200"/>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lang w:val="en-US" w:eastAsia="zh-CN"/>
              </w:rPr>
              <w:t>（4）绞对</w:t>
            </w:r>
          </w:p>
          <w:p w14:paraId="290DD334">
            <w:pPr>
              <w:numPr>
                <w:ilvl w:val="0"/>
                <w:numId w:val="0"/>
              </w:numPr>
              <w:adjustRightInd w:val="0"/>
              <w:snapToGrid w:val="0"/>
              <w:spacing w:line="360" w:lineRule="auto"/>
              <w:ind w:firstLine="480" w:firstLineChars="200"/>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根据订单需要将每两条或多条</w:t>
            </w:r>
            <w:r>
              <w:rPr>
                <w:rFonts w:hint="eastAsia" w:cs="Times New Roman"/>
                <w:b w:val="0"/>
                <w:bCs/>
                <w:color w:val="auto"/>
                <w:szCs w:val="21"/>
                <w:highlight w:val="none"/>
                <w:lang w:val="en-US" w:eastAsia="zh-CN"/>
              </w:rPr>
              <w:t>并联</w:t>
            </w:r>
            <w:r>
              <w:rPr>
                <w:rFonts w:hint="default" w:ascii="Times New Roman" w:hAnsi="Times New Roman" w:eastAsia="宋体" w:cs="Times New Roman"/>
                <w:b w:val="0"/>
                <w:bCs/>
                <w:color w:val="auto"/>
                <w:szCs w:val="21"/>
                <w:highlight w:val="none"/>
                <w:lang w:val="en-US" w:eastAsia="zh-CN"/>
              </w:rPr>
              <w:t>单线通过500型高速绞对及退扭机、束丝机进行绞对退扭，成为一股线。</w:t>
            </w:r>
          </w:p>
          <w:p w14:paraId="4453AF54">
            <w:pPr>
              <w:numPr>
                <w:ilvl w:val="0"/>
                <w:numId w:val="0"/>
              </w:numPr>
              <w:adjustRightInd w:val="0"/>
              <w:snapToGrid w:val="0"/>
              <w:spacing w:line="360" w:lineRule="auto"/>
              <w:ind w:firstLine="480" w:firstLineChars="200"/>
              <w:rPr>
                <w:rFonts w:hint="default" w:ascii="Times New Roman" w:hAnsi="Times New Roman" w:eastAsia="宋体" w:cs="Times New Roman"/>
                <w:b w:val="0"/>
                <w:bCs/>
                <w:szCs w:val="21"/>
                <w:highlight w:val="none"/>
                <w:lang w:val="en-US" w:eastAsia="zh-CN"/>
              </w:rPr>
            </w:pPr>
            <w:r>
              <w:rPr>
                <w:rFonts w:hint="default" w:ascii="Times New Roman" w:hAnsi="Times New Roman" w:eastAsia="宋体" w:cs="Times New Roman"/>
                <w:b w:val="0"/>
                <w:bCs/>
                <w:szCs w:val="21"/>
                <w:highlight w:val="none"/>
                <w:lang w:val="en-US" w:eastAsia="zh-CN"/>
              </w:rPr>
              <w:t>（5）成缆</w:t>
            </w:r>
          </w:p>
          <w:p w14:paraId="0696FBD3">
            <w:pPr>
              <w:numPr>
                <w:ilvl w:val="0"/>
                <w:numId w:val="0"/>
              </w:numPr>
              <w:adjustRightInd w:val="0"/>
              <w:snapToGrid w:val="0"/>
              <w:spacing w:line="360" w:lineRule="auto"/>
              <w:ind w:firstLine="480" w:firstLineChars="200"/>
              <w:rPr>
                <w:rFonts w:hint="default" w:ascii="Times New Roman" w:hAnsi="Times New Roman" w:eastAsia="宋体" w:cs="Times New Roman"/>
                <w:b w:val="0"/>
                <w:bCs/>
                <w:szCs w:val="21"/>
                <w:lang w:val="en-US" w:eastAsia="zh-CN"/>
              </w:rPr>
            </w:pPr>
            <w:r>
              <w:rPr>
                <w:rFonts w:hint="default" w:ascii="Times New Roman" w:hAnsi="Times New Roman" w:eastAsia="宋体" w:cs="Times New Roman"/>
                <w:b w:val="0"/>
                <w:bCs/>
                <w:szCs w:val="21"/>
                <w:lang w:val="en-US" w:eastAsia="zh-CN"/>
              </w:rPr>
              <w:t>通过800型旋臂成缆机将多股绞对线</w:t>
            </w:r>
            <w:r>
              <w:rPr>
                <w:rFonts w:hint="eastAsia" w:cs="Times New Roman"/>
                <w:b w:val="0"/>
                <w:bCs/>
                <w:szCs w:val="21"/>
                <w:lang w:val="en-US" w:eastAsia="zh-CN"/>
              </w:rPr>
              <w:t>和芳纶加强件</w:t>
            </w:r>
            <w:r>
              <w:rPr>
                <w:rFonts w:hint="default" w:ascii="Times New Roman" w:hAnsi="Times New Roman" w:eastAsia="宋体" w:cs="Times New Roman"/>
                <w:b w:val="0"/>
                <w:bCs/>
                <w:szCs w:val="21"/>
                <w:lang w:val="en-US" w:eastAsia="zh-CN"/>
              </w:rPr>
              <w:t>绞合在一起成缆</w:t>
            </w:r>
            <w:r>
              <w:rPr>
                <w:rFonts w:hint="eastAsia" w:cs="Times New Roman"/>
                <w:b w:val="0"/>
                <w:bCs/>
                <w:szCs w:val="21"/>
                <w:lang w:val="en-US" w:eastAsia="zh-CN"/>
              </w:rPr>
              <w:t>，芳纶加强件可为电缆提供定向力学支撑与防护</w:t>
            </w:r>
            <w:r>
              <w:rPr>
                <w:rFonts w:hint="default" w:ascii="Times New Roman" w:hAnsi="Times New Roman" w:eastAsia="宋体" w:cs="Times New Roman"/>
                <w:b w:val="0"/>
                <w:bCs/>
                <w:szCs w:val="21"/>
                <w:lang w:val="en-US" w:eastAsia="zh-CN"/>
              </w:rPr>
              <w:t>。</w:t>
            </w:r>
          </w:p>
          <w:p w14:paraId="67516D9D">
            <w:pPr>
              <w:numPr>
                <w:ilvl w:val="0"/>
                <w:numId w:val="0"/>
              </w:numPr>
              <w:adjustRightInd w:val="0"/>
              <w:snapToGrid w:val="0"/>
              <w:spacing w:line="360" w:lineRule="auto"/>
              <w:ind w:firstLine="480" w:firstLineChars="200"/>
              <w:rPr>
                <w:rFonts w:hint="default" w:ascii="Times New Roman" w:hAnsi="Times New Roman" w:eastAsia="宋体" w:cs="Times New Roman"/>
                <w:b w:val="0"/>
                <w:bCs/>
                <w:szCs w:val="21"/>
                <w:lang w:val="en-US" w:eastAsia="zh-CN"/>
              </w:rPr>
            </w:pPr>
            <w:r>
              <w:rPr>
                <w:rFonts w:hint="default" w:ascii="Times New Roman" w:hAnsi="Times New Roman" w:eastAsia="宋体" w:cs="Times New Roman"/>
                <w:b w:val="0"/>
                <w:bCs/>
                <w:szCs w:val="21"/>
                <w:lang w:val="en-US" w:eastAsia="zh-CN"/>
              </w:rPr>
              <w:t>（6）编织</w:t>
            </w:r>
          </w:p>
          <w:p w14:paraId="598109F3">
            <w:pPr>
              <w:numPr>
                <w:ilvl w:val="0"/>
                <w:numId w:val="0"/>
              </w:numPr>
              <w:adjustRightInd w:val="0"/>
              <w:snapToGrid w:val="0"/>
              <w:spacing w:line="360" w:lineRule="auto"/>
              <w:ind w:firstLine="480" w:firstLineChars="200"/>
              <w:rPr>
                <w:rFonts w:hint="default" w:ascii="Times New Roman" w:hAnsi="Times New Roman" w:eastAsia="宋体" w:cs="Times New Roman"/>
                <w:b w:val="0"/>
                <w:bCs/>
                <w:szCs w:val="21"/>
                <w:lang w:val="en-US" w:eastAsia="zh-CN"/>
              </w:rPr>
            </w:pPr>
            <w:r>
              <w:rPr>
                <w:rFonts w:hint="default" w:ascii="Times New Roman" w:hAnsi="Times New Roman" w:eastAsia="宋体" w:cs="Times New Roman"/>
                <w:b w:val="0"/>
                <w:bCs/>
                <w:szCs w:val="21"/>
                <w:lang w:val="en-US" w:eastAsia="zh-CN"/>
              </w:rPr>
              <w:t>成缆后的半成品通过16锭高速编织机编织上铝镁合金丝或镀锡铜丝。</w:t>
            </w:r>
          </w:p>
          <w:p w14:paraId="7519E236">
            <w:pPr>
              <w:numPr>
                <w:ilvl w:val="0"/>
                <w:numId w:val="0"/>
              </w:numPr>
              <w:adjustRightInd w:val="0"/>
              <w:snapToGrid w:val="0"/>
              <w:spacing w:line="360" w:lineRule="auto"/>
              <w:ind w:firstLine="480" w:firstLineChars="200"/>
              <w:rPr>
                <w:rFonts w:hint="default" w:ascii="Times New Roman" w:hAnsi="Times New Roman" w:eastAsia="宋体" w:cs="Times New Roman"/>
                <w:b w:val="0"/>
                <w:bCs/>
                <w:szCs w:val="21"/>
                <w:lang w:val="en-US" w:eastAsia="zh-CN"/>
              </w:rPr>
            </w:pPr>
            <w:r>
              <w:rPr>
                <w:rFonts w:hint="default" w:ascii="Times New Roman" w:hAnsi="Times New Roman" w:eastAsia="宋体" w:cs="Times New Roman"/>
                <w:b w:val="0"/>
                <w:bCs/>
                <w:szCs w:val="21"/>
                <w:lang w:val="en-US" w:eastAsia="zh-CN"/>
              </w:rPr>
              <w:t>（7）PET膜包带</w:t>
            </w:r>
          </w:p>
          <w:p w14:paraId="10368BCB">
            <w:pPr>
              <w:numPr>
                <w:ilvl w:val="0"/>
                <w:numId w:val="0"/>
              </w:numPr>
              <w:adjustRightInd w:val="0"/>
              <w:snapToGrid w:val="0"/>
              <w:spacing w:line="360" w:lineRule="auto"/>
              <w:ind w:firstLine="480" w:firstLineChars="200"/>
              <w:rPr>
                <w:rFonts w:hint="default" w:ascii="Times New Roman" w:hAnsi="Times New Roman" w:eastAsia="宋体" w:cs="Times New Roman"/>
                <w:b w:val="0"/>
                <w:bCs/>
                <w:szCs w:val="21"/>
                <w:lang w:val="en-US" w:eastAsia="zh-CN"/>
              </w:rPr>
            </w:pPr>
            <w:r>
              <w:rPr>
                <w:rFonts w:hint="default" w:ascii="Times New Roman" w:hAnsi="Times New Roman" w:eastAsia="宋体" w:cs="Times New Roman"/>
                <w:b w:val="0"/>
                <w:bCs/>
                <w:szCs w:val="21"/>
                <w:lang w:val="en-US" w:eastAsia="zh-CN"/>
              </w:rPr>
              <w:t>将编织好的半成品通过卧式双头包纸机包上PET膜。</w:t>
            </w:r>
          </w:p>
          <w:p w14:paraId="273978AF">
            <w:pPr>
              <w:numPr>
                <w:ilvl w:val="0"/>
                <w:numId w:val="0"/>
              </w:numPr>
              <w:adjustRightInd w:val="0"/>
              <w:snapToGrid w:val="0"/>
              <w:spacing w:line="360" w:lineRule="auto"/>
              <w:ind w:firstLine="480" w:firstLineChars="200"/>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（8）挤护套</w:t>
            </w:r>
          </w:p>
          <w:p w14:paraId="58D1329F">
            <w:pPr>
              <w:numPr>
                <w:ilvl w:val="0"/>
                <w:numId w:val="0"/>
              </w:numPr>
              <w:adjustRightInd w:val="0"/>
              <w:snapToGrid w:val="0"/>
              <w:spacing w:line="360" w:lineRule="auto"/>
              <w:ind w:firstLine="480" w:firstLineChars="200"/>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根据客户需求</w:t>
            </w:r>
            <w:r>
              <w:rPr>
                <w:rFonts w:hint="eastAsia" w:cs="Times New Roman"/>
                <w:b w:val="0"/>
                <w:bCs/>
                <w:color w:val="auto"/>
                <w:szCs w:val="21"/>
                <w:highlight w:val="none"/>
                <w:lang w:val="en-US" w:eastAsia="zh-CN"/>
              </w:rPr>
              <w:t>人工将</w:t>
            </w:r>
            <w:r>
              <w:rPr>
                <w:rFonts w:hint="default" w:ascii="Times New Roman" w:hAnsi="Times New Roman" w:eastAsia="宋体" w:cs="Times New Roman"/>
                <w:b w:val="0"/>
                <w:bCs/>
                <w:color w:val="auto"/>
                <w:szCs w:val="21"/>
                <w:highlight w:val="none"/>
                <w:lang w:val="en-US" w:eastAsia="zh-CN"/>
              </w:rPr>
              <w:t>热塑性弹性体材料</w:t>
            </w:r>
            <w:r>
              <w:rPr>
                <w:rFonts w:hint="eastAsia" w:cs="Times New Roman"/>
                <w:b w:val="0"/>
                <w:bCs/>
                <w:color w:val="auto"/>
                <w:szCs w:val="21"/>
                <w:highlight w:val="none"/>
                <w:lang w:val="en-US" w:eastAsia="zh-CN"/>
              </w:rPr>
              <w:t>或者塑料电缆颗粒投放至押出机中，</w:t>
            </w:r>
            <w:r>
              <w:rPr>
                <w:rFonts w:hint="default" w:ascii="Times New Roman" w:hAnsi="Times New Roman" w:eastAsia="宋体" w:cs="Times New Roman"/>
                <w:b w:val="0"/>
                <w:bCs/>
                <w:color w:val="auto"/>
                <w:szCs w:val="21"/>
                <w:highlight w:val="none"/>
                <w:lang w:val="en-US" w:eastAsia="zh-CN"/>
              </w:rPr>
              <w:t>塑料电缆颗粒或者热塑性弹性体材料通过70护套押出机押出（电加热），包覆在成缆好的线缆上制备成电缆</w:t>
            </w:r>
            <w:r>
              <w:rPr>
                <w:rFonts w:hint="eastAsia" w:cs="Times New Roman"/>
                <w:b w:val="0"/>
                <w:bCs/>
                <w:color w:val="auto"/>
                <w:szCs w:val="21"/>
                <w:highlight w:val="none"/>
                <w:lang w:val="en-US" w:eastAsia="zh-CN"/>
              </w:rPr>
              <w:t>，</w:t>
            </w:r>
            <w:r>
              <w:rPr>
                <w:rFonts w:hint="default" w:ascii="Times New Roman" w:hAnsi="Times New Roman" w:eastAsia="宋体" w:cs="Times New Roman"/>
                <w:b w:val="0"/>
                <w:bCs/>
                <w:color w:val="auto"/>
                <w:szCs w:val="21"/>
                <w:highlight w:val="none"/>
                <w:lang w:val="en-US" w:eastAsia="zh-CN"/>
              </w:rPr>
              <w:t>押出机工作温度在200℃左右。</w:t>
            </w:r>
            <w:r>
              <w:rPr>
                <w:rFonts w:hint="eastAsia" w:cs="Times New Roman"/>
                <w:b w:val="0"/>
                <w:bCs/>
                <w:color w:val="auto"/>
                <w:szCs w:val="21"/>
                <w:highlight w:val="none"/>
                <w:lang w:val="en-US" w:eastAsia="zh-CN"/>
              </w:rPr>
              <w:t>塑料电缆颗粒粒径约3-5mm，投料过程中无粉尘产生。根据建设单位提供的资料，约30%的成品电缆使用热塑性弹性体材料，约70%的成品电缆使用塑料电缆颗粒。</w:t>
            </w:r>
            <w:r>
              <w:rPr>
                <w:rFonts w:hint="default" w:ascii="Times New Roman" w:hAnsi="Times New Roman" w:eastAsia="宋体" w:cs="Times New Roman"/>
                <w:b w:val="0"/>
                <w:bCs/>
                <w:color w:val="auto"/>
                <w:szCs w:val="21"/>
                <w:highlight w:val="none"/>
                <w:lang w:val="en-US" w:eastAsia="zh-CN"/>
              </w:rPr>
              <w:t>此过程塑料电缆颗粒</w:t>
            </w:r>
            <w:r>
              <w:rPr>
                <w:rFonts w:hint="eastAsia" w:cs="Times New Roman"/>
                <w:b w:val="0"/>
                <w:bCs/>
                <w:color w:val="auto"/>
                <w:szCs w:val="21"/>
                <w:highlight w:val="none"/>
                <w:lang w:val="en-US" w:eastAsia="zh-CN"/>
              </w:rPr>
              <w:t>和</w:t>
            </w:r>
            <w:r>
              <w:rPr>
                <w:rFonts w:hint="default" w:ascii="Times New Roman" w:hAnsi="Times New Roman" w:eastAsia="宋体" w:cs="Times New Roman"/>
                <w:b w:val="0"/>
                <w:bCs/>
                <w:color w:val="auto"/>
                <w:szCs w:val="21"/>
                <w:highlight w:val="none"/>
                <w:lang w:val="en-US" w:eastAsia="zh-CN"/>
              </w:rPr>
              <w:t>热塑性弹性体材料在</w:t>
            </w:r>
            <w:r>
              <w:rPr>
                <w:rFonts w:hint="eastAsia" w:cs="Times New Roman"/>
                <w:b w:val="0"/>
                <w:bCs/>
                <w:color w:val="auto"/>
                <w:szCs w:val="21"/>
                <w:highlight w:val="none"/>
                <w:lang w:val="en-US" w:eastAsia="zh-CN"/>
              </w:rPr>
              <w:t>加热</w:t>
            </w:r>
            <w:r>
              <w:rPr>
                <w:rFonts w:hint="default" w:ascii="Times New Roman" w:hAnsi="Times New Roman" w:eastAsia="宋体" w:cs="Times New Roman"/>
                <w:b w:val="0"/>
                <w:bCs/>
                <w:color w:val="auto"/>
                <w:szCs w:val="21"/>
                <w:highlight w:val="none"/>
                <w:lang w:val="en-US" w:eastAsia="zh-CN"/>
              </w:rPr>
              <w:t>过程中会产生</w:t>
            </w:r>
            <w:r>
              <w:rPr>
                <w:rFonts w:hint="eastAsia" w:cs="Times New Roman"/>
                <w:b w:val="0"/>
                <w:bCs/>
                <w:color w:val="auto"/>
                <w:szCs w:val="21"/>
                <w:highlight w:val="none"/>
                <w:lang w:val="en-US" w:eastAsia="zh-CN"/>
              </w:rPr>
              <w:t>挤出废气（G1）</w:t>
            </w:r>
            <w:r>
              <w:rPr>
                <w:rFonts w:hint="default" w:ascii="Times New Roman" w:hAnsi="Times New Roman" w:eastAsia="宋体" w:cs="Times New Roman"/>
                <w:b w:val="0"/>
                <w:bCs/>
                <w:color w:val="auto"/>
                <w:szCs w:val="21"/>
                <w:highlight w:val="none"/>
                <w:lang w:val="en-US" w:eastAsia="zh-CN"/>
              </w:rPr>
              <w:t>。</w:t>
            </w:r>
          </w:p>
          <w:p w14:paraId="70CA0A7A">
            <w:pPr>
              <w:numPr>
                <w:ilvl w:val="0"/>
                <w:numId w:val="0"/>
              </w:numPr>
              <w:adjustRightInd w:val="0"/>
              <w:snapToGrid w:val="0"/>
              <w:spacing w:line="360" w:lineRule="auto"/>
              <w:ind w:firstLine="480" w:firstLineChars="200"/>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（9）冷却</w:t>
            </w:r>
          </w:p>
          <w:p w14:paraId="5C97A8FB">
            <w:pPr>
              <w:numPr>
                <w:ilvl w:val="0"/>
                <w:numId w:val="0"/>
              </w:numPr>
              <w:adjustRightInd w:val="0"/>
              <w:snapToGrid w:val="0"/>
              <w:spacing w:line="360" w:lineRule="auto"/>
              <w:ind w:firstLine="480" w:firstLineChars="200"/>
              <w:rPr>
                <w:rFonts w:hint="default" w:ascii="Times New Roman" w:hAnsi="Times New Roman" w:eastAsia="宋体" w:cs="Times New Roman"/>
                <w:b w:val="0"/>
                <w:bCs/>
                <w:color w:val="auto"/>
                <w:szCs w:val="21"/>
                <w:lang w:val="en-US" w:eastAsia="zh-CN"/>
              </w:rPr>
            </w:pPr>
            <w:r>
              <w:rPr>
                <w:rFonts w:hint="default" w:ascii="Times New Roman" w:hAnsi="Times New Roman" w:eastAsia="宋体" w:cs="Times New Roman"/>
                <w:b w:val="0"/>
                <w:bCs/>
                <w:color w:val="auto"/>
                <w:szCs w:val="21"/>
                <w:lang w:val="en-US" w:eastAsia="zh-CN"/>
              </w:rPr>
              <w:t>包裹好护套的电缆在冷却水槽中冷却。</w:t>
            </w:r>
            <w:r>
              <w:rPr>
                <w:rFonts w:hint="eastAsia" w:cs="Times New Roman"/>
                <w:b w:val="0"/>
                <w:bCs/>
                <w:color w:val="auto"/>
                <w:szCs w:val="21"/>
                <w:lang w:val="en-US" w:eastAsia="zh-CN"/>
              </w:rPr>
              <w:t>冷却水槽中的冷却水排入沉淀池，</w:t>
            </w:r>
            <w:r>
              <w:rPr>
                <w:rFonts w:hint="default" w:ascii="Times New Roman" w:hAnsi="Times New Roman" w:eastAsia="宋体" w:cs="Times New Roman"/>
                <w:b w:val="0"/>
                <w:bCs/>
                <w:color w:val="auto"/>
                <w:szCs w:val="21"/>
                <w:lang w:val="en-US" w:eastAsia="zh-CN"/>
              </w:rPr>
              <w:t>经过沉淀池</w:t>
            </w:r>
            <w:r>
              <w:rPr>
                <w:rFonts w:hint="eastAsia" w:cs="Times New Roman"/>
                <w:b w:val="0"/>
                <w:bCs/>
                <w:color w:val="auto"/>
                <w:szCs w:val="21"/>
                <w:lang w:val="en-US" w:eastAsia="zh-CN"/>
              </w:rPr>
              <w:t>沉淀</w:t>
            </w:r>
            <w:r>
              <w:rPr>
                <w:rFonts w:hint="default" w:ascii="Times New Roman" w:hAnsi="Times New Roman" w:eastAsia="宋体" w:cs="Times New Roman"/>
                <w:b w:val="0"/>
                <w:bCs/>
                <w:color w:val="auto"/>
                <w:szCs w:val="21"/>
                <w:lang w:val="en-US" w:eastAsia="zh-CN"/>
              </w:rPr>
              <w:t>后</w:t>
            </w:r>
            <w:r>
              <w:rPr>
                <w:rFonts w:hint="eastAsia" w:cs="Times New Roman"/>
                <w:b w:val="0"/>
                <w:bCs/>
                <w:color w:val="auto"/>
                <w:szCs w:val="21"/>
                <w:lang w:val="en-US" w:eastAsia="zh-CN"/>
              </w:rPr>
              <w:t>溢</w:t>
            </w:r>
            <w:r>
              <w:rPr>
                <w:rFonts w:hint="default" w:ascii="Times New Roman" w:hAnsi="Times New Roman" w:eastAsia="宋体" w:cs="Times New Roman"/>
                <w:b w:val="0"/>
                <w:bCs/>
                <w:color w:val="auto"/>
                <w:szCs w:val="21"/>
                <w:lang w:val="en-US" w:eastAsia="zh-CN"/>
              </w:rPr>
              <w:t>流</w:t>
            </w:r>
            <w:r>
              <w:rPr>
                <w:rFonts w:hint="eastAsia" w:cs="Times New Roman"/>
                <w:b w:val="0"/>
                <w:bCs/>
                <w:color w:val="auto"/>
                <w:szCs w:val="21"/>
                <w:lang w:val="en-US" w:eastAsia="zh-CN"/>
              </w:rPr>
              <w:t>至</w:t>
            </w:r>
            <w:r>
              <w:rPr>
                <w:rFonts w:hint="default" w:ascii="Times New Roman" w:hAnsi="Times New Roman" w:eastAsia="宋体" w:cs="Times New Roman"/>
                <w:b w:val="0"/>
                <w:bCs/>
                <w:color w:val="auto"/>
                <w:szCs w:val="21"/>
                <w:lang w:val="en-US" w:eastAsia="zh-CN"/>
              </w:rPr>
              <w:t>蓄水池</w:t>
            </w:r>
            <w:r>
              <w:rPr>
                <w:rFonts w:hint="eastAsia" w:cs="Times New Roman"/>
                <w:b w:val="0"/>
                <w:bCs/>
                <w:color w:val="auto"/>
                <w:szCs w:val="21"/>
                <w:lang w:val="en-US" w:eastAsia="zh-CN"/>
              </w:rPr>
              <w:t>，蓄水池出水进入冷却水槽</w:t>
            </w:r>
            <w:r>
              <w:rPr>
                <w:rFonts w:hint="default" w:ascii="Times New Roman" w:hAnsi="Times New Roman" w:eastAsia="宋体" w:cs="Times New Roman"/>
                <w:b w:val="0"/>
                <w:bCs/>
                <w:color w:val="auto"/>
                <w:szCs w:val="21"/>
                <w:lang w:val="en-US" w:eastAsia="zh-CN"/>
              </w:rPr>
              <w:t>，</w:t>
            </w:r>
            <w:r>
              <w:rPr>
                <w:rFonts w:hint="eastAsia"/>
                <w:color w:val="auto"/>
                <w:lang w:val="en-US" w:eastAsia="zh-CN"/>
              </w:rPr>
              <w:t>冷却水</w:t>
            </w:r>
            <w:r>
              <w:rPr>
                <w:rFonts w:hint="default" w:ascii="Times New Roman" w:hAnsi="Times New Roman" w:eastAsia="宋体" w:cs="Times New Roman"/>
                <w:b w:val="0"/>
                <w:bCs/>
                <w:color w:val="auto"/>
                <w:szCs w:val="21"/>
                <w:lang w:val="en-US" w:eastAsia="zh-CN"/>
              </w:rPr>
              <w:t>循环使用</w:t>
            </w:r>
            <w:r>
              <w:rPr>
                <w:rFonts w:hint="eastAsia" w:cs="Times New Roman"/>
                <w:b w:val="0"/>
                <w:bCs/>
                <w:color w:val="auto"/>
                <w:szCs w:val="21"/>
                <w:lang w:val="en-US" w:eastAsia="zh-CN"/>
              </w:rPr>
              <w:t>，每季度更换一次。</w:t>
            </w:r>
          </w:p>
          <w:p w14:paraId="0C463E15">
            <w:pPr>
              <w:numPr>
                <w:ilvl w:val="0"/>
                <w:numId w:val="3"/>
              </w:numPr>
              <w:adjustRightInd w:val="0"/>
              <w:snapToGrid w:val="0"/>
              <w:spacing w:line="360" w:lineRule="auto"/>
              <w:ind w:firstLine="480" w:firstLineChars="200"/>
              <w:rPr>
                <w:rFonts w:hint="eastAsia" w:cs="Times New Roman"/>
                <w:b w:val="0"/>
                <w:bCs/>
                <w:szCs w:val="21"/>
                <w:lang w:val="en-US" w:eastAsia="zh-CN"/>
              </w:rPr>
            </w:pPr>
            <w:r>
              <w:rPr>
                <w:rFonts w:hint="eastAsia" w:cs="Times New Roman"/>
                <w:b w:val="0"/>
                <w:bCs/>
                <w:szCs w:val="21"/>
                <w:lang w:val="en-US" w:eastAsia="zh-CN"/>
              </w:rPr>
              <w:t>喷码</w:t>
            </w:r>
          </w:p>
          <w:p w14:paraId="7C479DD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cs="Times New Roman"/>
                <w:b w:val="0"/>
                <w:bCs/>
                <w:szCs w:val="21"/>
                <w:lang w:val="en-US" w:eastAsia="zh-CN"/>
              </w:rPr>
            </w:pPr>
            <w:r>
              <w:rPr>
                <w:rFonts w:hint="eastAsia" w:cs="Times New Roman"/>
                <w:b w:val="0"/>
                <w:bCs/>
                <w:szCs w:val="21"/>
                <w:lang w:val="en-US" w:eastAsia="zh-CN"/>
              </w:rPr>
              <w:t>冷却后的机器人电缆通过喷码机打上标签。该过程会产生喷码废气（G2）。</w:t>
            </w:r>
          </w:p>
          <w:p w14:paraId="6DEF9170">
            <w:pPr>
              <w:numPr>
                <w:ilvl w:val="0"/>
                <w:numId w:val="0"/>
              </w:numPr>
              <w:adjustRightInd w:val="0"/>
              <w:snapToGrid w:val="0"/>
              <w:spacing w:line="360" w:lineRule="auto"/>
              <w:ind w:firstLine="480" w:firstLineChars="200"/>
              <w:rPr>
                <w:rFonts w:hint="default" w:ascii="Times New Roman" w:hAnsi="Times New Roman" w:eastAsia="宋体" w:cs="Times New Roman"/>
                <w:b w:val="0"/>
                <w:bCs/>
                <w:szCs w:val="21"/>
                <w:lang w:val="en-US" w:eastAsia="zh-CN"/>
              </w:rPr>
            </w:pPr>
            <w:r>
              <w:rPr>
                <w:rFonts w:hint="default" w:ascii="Times New Roman" w:hAnsi="Times New Roman" w:eastAsia="宋体" w:cs="Times New Roman"/>
                <w:b w:val="0"/>
                <w:bCs/>
                <w:szCs w:val="21"/>
                <w:lang w:val="en-US" w:eastAsia="zh-CN"/>
              </w:rPr>
              <w:t>（1</w:t>
            </w:r>
            <w:r>
              <w:rPr>
                <w:rFonts w:hint="eastAsia" w:cs="Times New Roman"/>
                <w:b w:val="0"/>
                <w:bCs/>
                <w:szCs w:val="21"/>
                <w:lang w:val="en-US" w:eastAsia="zh-CN"/>
              </w:rPr>
              <w:t>1</w:t>
            </w:r>
            <w:r>
              <w:rPr>
                <w:rFonts w:hint="default" w:ascii="Times New Roman" w:hAnsi="Times New Roman" w:eastAsia="宋体" w:cs="Times New Roman"/>
                <w:b w:val="0"/>
                <w:bCs/>
                <w:szCs w:val="21"/>
                <w:lang w:val="en-US" w:eastAsia="zh-CN"/>
              </w:rPr>
              <w:t>）成品检验</w:t>
            </w:r>
          </w:p>
          <w:p w14:paraId="6AE53CA4">
            <w:pPr>
              <w:numPr>
                <w:ilvl w:val="0"/>
                <w:numId w:val="0"/>
              </w:numPr>
              <w:adjustRightInd w:val="0"/>
              <w:snapToGrid w:val="0"/>
              <w:spacing w:line="360" w:lineRule="auto"/>
              <w:ind w:firstLine="480" w:firstLineChars="200"/>
              <w:rPr>
                <w:rFonts w:hint="default" w:ascii="Times New Roman" w:hAnsi="Times New Roman" w:eastAsia="宋体" w:cs="Times New Roman"/>
                <w:b w:val="0"/>
                <w:bCs/>
                <w:szCs w:val="21"/>
                <w:lang w:val="en-US" w:eastAsia="zh-CN"/>
              </w:rPr>
            </w:pPr>
            <w:r>
              <w:rPr>
                <w:rFonts w:hint="default" w:ascii="Times New Roman" w:hAnsi="Times New Roman" w:eastAsia="宋体" w:cs="Times New Roman"/>
                <w:b w:val="0"/>
                <w:bCs/>
                <w:szCs w:val="21"/>
                <w:lang w:val="en-US" w:eastAsia="zh-CN"/>
              </w:rPr>
              <w:t>对加工好的机器人电</w:t>
            </w:r>
            <w:r>
              <w:rPr>
                <w:rFonts w:hint="default" w:ascii="Times New Roman" w:hAnsi="Times New Roman" w:eastAsia="宋体" w:cs="Times New Roman"/>
                <w:b w:val="0"/>
                <w:bCs/>
                <w:szCs w:val="21"/>
                <w:highlight w:val="none"/>
                <w:lang w:val="en-US" w:eastAsia="zh-CN"/>
              </w:rPr>
              <w:t>缆进行质量</w:t>
            </w:r>
            <w:r>
              <w:rPr>
                <w:rFonts w:hint="eastAsia" w:cs="Times New Roman"/>
                <w:b w:val="0"/>
                <w:bCs/>
                <w:szCs w:val="21"/>
                <w:highlight w:val="none"/>
                <w:lang w:val="en-US" w:eastAsia="zh-CN"/>
              </w:rPr>
              <w:t>和性能</w:t>
            </w:r>
            <w:r>
              <w:rPr>
                <w:rFonts w:hint="default" w:ascii="Times New Roman" w:hAnsi="Times New Roman" w:eastAsia="宋体" w:cs="Times New Roman"/>
                <w:b w:val="0"/>
                <w:bCs/>
                <w:szCs w:val="21"/>
                <w:highlight w:val="none"/>
                <w:lang w:val="en-US" w:eastAsia="zh-CN"/>
              </w:rPr>
              <w:t>检验。此过程有不合</w:t>
            </w:r>
            <w:r>
              <w:rPr>
                <w:rFonts w:hint="default" w:ascii="Times New Roman" w:hAnsi="Times New Roman" w:eastAsia="宋体" w:cs="Times New Roman"/>
                <w:b w:val="0"/>
                <w:bCs/>
                <w:szCs w:val="21"/>
                <w:lang w:val="en-US" w:eastAsia="zh-CN"/>
              </w:rPr>
              <w:t>格产品产生。</w:t>
            </w:r>
          </w:p>
          <w:p w14:paraId="020274DC">
            <w:pPr>
              <w:numPr>
                <w:ilvl w:val="0"/>
                <w:numId w:val="0"/>
              </w:numPr>
              <w:adjustRightInd w:val="0"/>
              <w:snapToGrid w:val="0"/>
              <w:spacing w:line="360" w:lineRule="auto"/>
              <w:ind w:firstLine="480" w:firstLineChars="200"/>
              <w:rPr>
                <w:rFonts w:hint="default" w:ascii="Times New Roman" w:hAnsi="Times New Roman" w:eastAsia="宋体" w:cs="Times New Roman"/>
                <w:b w:val="0"/>
                <w:bCs/>
                <w:szCs w:val="21"/>
                <w:lang w:val="en-US" w:eastAsia="zh-CN"/>
              </w:rPr>
            </w:pPr>
            <w:r>
              <w:rPr>
                <w:rFonts w:hint="default" w:ascii="Times New Roman" w:hAnsi="Times New Roman" w:eastAsia="宋体" w:cs="Times New Roman"/>
                <w:b w:val="0"/>
                <w:bCs/>
                <w:szCs w:val="21"/>
                <w:lang w:val="en-US" w:eastAsia="zh-CN"/>
              </w:rPr>
              <w:t>（1</w:t>
            </w:r>
            <w:r>
              <w:rPr>
                <w:rFonts w:hint="eastAsia" w:cs="Times New Roman"/>
                <w:b w:val="0"/>
                <w:bCs/>
                <w:szCs w:val="21"/>
                <w:lang w:val="en-US" w:eastAsia="zh-CN"/>
              </w:rPr>
              <w:t>2</w:t>
            </w:r>
            <w:r>
              <w:rPr>
                <w:rFonts w:hint="default" w:ascii="Times New Roman" w:hAnsi="Times New Roman" w:eastAsia="宋体" w:cs="Times New Roman"/>
                <w:b w:val="0"/>
                <w:bCs/>
                <w:szCs w:val="21"/>
                <w:lang w:val="en-US" w:eastAsia="zh-CN"/>
              </w:rPr>
              <w:t>）包装入库</w:t>
            </w:r>
          </w:p>
          <w:p w14:paraId="439D5A06">
            <w:pPr>
              <w:numPr>
                <w:ilvl w:val="0"/>
                <w:numId w:val="0"/>
              </w:numPr>
              <w:adjustRightInd w:val="0"/>
              <w:snapToGrid w:val="0"/>
              <w:spacing w:line="360" w:lineRule="auto"/>
              <w:ind w:firstLine="480" w:firstLineChars="200"/>
              <w:rPr>
                <w:rFonts w:hint="default" w:ascii="Times New Roman" w:hAnsi="Times New Roman" w:eastAsia="宋体" w:cs="Times New Roman"/>
                <w:b w:val="0"/>
                <w:bCs w:val="0"/>
                <w:color w:val="auto"/>
                <w:kern w:val="2"/>
                <w:sz w:val="24"/>
                <w:szCs w:val="24"/>
                <w:highlight w:val="none"/>
                <w:vertAlign w:val="baseline"/>
                <w:lang w:val="en-US" w:eastAsia="zh-CN" w:bidi="ar-SA"/>
              </w:rPr>
            </w:pPr>
            <w:r>
              <w:rPr>
                <w:rFonts w:hint="default" w:ascii="Times New Roman" w:hAnsi="Times New Roman" w:eastAsia="宋体" w:cs="Times New Roman"/>
                <w:b w:val="0"/>
                <w:bCs/>
                <w:szCs w:val="21"/>
                <w:lang w:val="en-US" w:eastAsia="zh-CN"/>
              </w:rPr>
              <w:t>通过全自动打柄机组将生产好的机器人电缆包装成圈后入库保存。</w:t>
            </w:r>
          </w:p>
          <w:p w14:paraId="3CDA4FC0">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0" w:leftChars="0" w:firstLine="482" w:firstLineChars="200"/>
              <w:textAlignment w:val="auto"/>
              <w:rPr>
                <w:rFonts w:hint="default" w:ascii="Times New Roman" w:hAnsi="Times New Roman" w:eastAsia="宋体" w:cs="Times New Roman"/>
                <w:b/>
                <w:bCs/>
                <w:color w:val="auto"/>
                <w:kern w:val="2"/>
                <w:sz w:val="24"/>
                <w:szCs w:val="24"/>
                <w:highlight w:val="none"/>
                <w:vertAlign w:val="baseline"/>
                <w:lang w:val="en-US" w:eastAsia="zh-CN" w:bidi="ar-SA"/>
              </w:rPr>
            </w:pPr>
            <w:r>
              <w:rPr>
                <w:rFonts w:hint="default" w:ascii="Times New Roman" w:hAnsi="Times New Roman" w:eastAsia="宋体" w:cs="Times New Roman"/>
                <w:b/>
                <w:bCs/>
                <w:color w:val="auto"/>
                <w:kern w:val="2"/>
                <w:sz w:val="24"/>
                <w:szCs w:val="24"/>
                <w:highlight w:val="none"/>
                <w:vertAlign w:val="baseline"/>
                <w:lang w:val="en-US" w:eastAsia="zh-CN" w:bidi="ar-SA"/>
              </w:rPr>
              <w:t>（2）</w:t>
            </w:r>
            <w:r>
              <w:rPr>
                <w:rFonts w:hint="default" w:ascii="Times New Roman" w:hAnsi="Times New Roman" w:eastAsia="宋体" w:cs="Times New Roman"/>
                <w:b/>
                <w:bCs w:val="0"/>
                <w:szCs w:val="21"/>
                <w:lang w:val="en-US" w:eastAsia="zh-CN"/>
              </w:rPr>
              <w:t>塑料电缆颗粒生产线</w:t>
            </w:r>
          </w:p>
          <w:p w14:paraId="7CD6E492">
            <w:pPr>
              <w:numPr>
                <w:ilvl w:val="0"/>
                <w:numId w:val="0"/>
              </w:numPr>
              <w:adjustRightInd w:val="0"/>
              <w:snapToGrid w:val="0"/>
              <w:spacing w:line="360" w:lineRule="auto"/>
              <w:jc w:val="center"/>
              <w:rPr>
                <w:rFonts w:hint="default" w:ascii="Times New Roman" w:hAnsi="Times New Roman" w:eastAsia="宋体" w:cs="Times New Roman"/>
                <w:bCs/>
                <w:szCs w:val="21"/>
                <w:lang w:val="en-US" w:eastAsia="zh-CN"/>
              </w:rPr>
            </w:pPr>
            <w:r>
              <w:drawing>
                <wp:inline distT="0" distB="0" distL="114300" distR="114300">
                  <wp:extent cx="5388610" cy="3538220"/>
                  <wp:effectExtent l="0" t="0" r="8890" b="5080"/>
                  <wp:docPr id="3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4"/>
                          <pic:cNvPicPr>
                            <a:picLocks noChangeAspect="1"/>
                          </pic:cNvPicPr>
                        </pic:nvPicPr>
                        <pic:blipFill>
                          <a:blip r:embed="rId24"/>
                          <a:stretch>
                            <a:fillRect/>
                          </a:stretch>
                        </pic:blipFill>
                        <pic:spPr>
                          <a:xfrm>
                            <a:off x="0" y="0"/>
                            <a:ext cx="5388610" cy="3538220"/>
                          </a:xfrm>
                          <a:prstGeom prst="rect">
                            <a:avLst/>
                          </a:prstGeom>
                          <a:noFill/>
                          <a:ln>
                            <a:noFill/>
                          </a:ln>
                        </pic:spPr>
                      </pic:pic>
                    </a:graphicData>
                  </a:graphic>
                </wp:inline>
              </w:drawing>
            </w:r>
          </w:p>
          <w:p w14:paraId="3EEE5D5C">
            <w:pPr>
              <w:numPr>
                <w:ilvl w:val="0"/>
                <w:numId w:val="0"/>
              </w:numPr>
              <w:adjustRightInd w:val="0"/>
              <w:snapToGrid w:val="0"/>
              <w:spacing w:line="360" w:lineRule="auto"/>
              <w:ind w:leftChars="200"/>
              <w:jc w:val="center"/>
              <w:rPr>
                <w:rFonts w:hint="default" w:ascii="Times New Roman" w:hAnsi="Times New Roman" w:eastAsia="宋体" w:cs="Times New Roman"/>
                <w:bCs/>
                <w:szCs w:val="21"/>
                <w:lang w:val="en-US" w:eastAsia="zh-CN"/>
              </w:rPr>
            </w:pPr>
            <w:r>
              <w:rPr>
                <w:rFonts w:hint="default" w:ascii="Times New Roman" w:hAnsi="Times New Roman" w:eastAsia="宋体" w:cs="Times New Roman"/>
                <w:b/>
                <w:bCs w:val="0"/>
                <w:szCs w:val="21"/>
                <w:lang w:val="en-US" w:eastAsia="zh-CN"/>
              </w:rPr>
              <w:t>图2-3 塑料电缆颗粒主要工艺流程和产污节点图</w:t>
            </w:r>
          </w:p>
          <w:p w14:paraId="4F698F3C">
            <w:pPr>
              <w:numPr>
                <w:ilvl w:val="0"/>
                <w:numId w:val="0"/>
              </w:numPr>
              <w:adjustRightInd w:val="0"/>
              <w:snapToGrid w:val="0"/>
              <w:spacing w:line="360" w:lineRule="auto"/>
              <w:ind w:leftChars="200"/>
              <w:rPr>
                <w:rFonts w:hint="default" w:ascii="Times New Roman" w:hAnsi="Times New Roman" w:eastAsia="宋体" w:cs="Times New Roman"/>
                <w:bCs/>
                <w:szCs w:val="21"/>
                <w:lang w:val="en-US" w:eastAsia="zh-CN"/>
              </w:rPr>
            </w:pPr>
            <w:r>
              <w:rPr>
                <w:rFonts w:hint="default" w:ascii="Times New Roman" w:hAnsi="Times New Roman" w:eastAsia="宋体" w:cs="Times New Roman"/>
                <w:b/>
                <w:bCs w:val="0"/>
                <w:szCs w:val="21"/>
                <w:lang w:val="en-US" w:eastAsia="zh-CN"/>
              </w:rPr>
              <w:t>生产工艺简述：</w:t>
            </w:r>
          </w:p>
          <w:p w14:paraId="0CFB3FDE">
            <w:pPr>
              <w:numPr>
                <w:ilvl w:val="0"/>
                <w:numId w:val="0"/>
              </w:numPr>
              <w:adjustRightInd w:val="0"/>
              <w:snapToGrid w:val="0"/>
              <w:spacing w:line="360" w:lineRule="auto"/>
              <w:ind w:leftChars="200"/>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（1）投料</w:t>
            </w:r>
          </w:p>
          <w:p w14:paraId="10620290">
            <w:pPr>
              <w:numPr>
                <w:ilvl w:val="0"/>
                <w:numId w:val="0"/>
              </w:numPr>
              <w:adjustRightInd w:val="0"/>
              <w:snapToGrid w:val="0"/>
              <w:spacing w:line="360" w:lineRule="auto"/>
              <w:ind w:firstLine="480" w:firstLineChars="200"/>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将PVC、ESO、DOTP、钙锌复合稳定剂</w:t>
            </w:r>
            <w:r>
              <w:rPr>
                <w:rFonts w:hint="eastAsia" w:cs="Times New Roman"/>
                <w:bCs/>
                <w:szCs w:val="21"/>
                <w:lang w:val="en-US" w:eastAsia="zh-CN"/>
              </w:rPr>
              <w:t>、重质碳酸钙、纳米碳酸钙</w:t>
            </w:r>
            <w:r>
              <w:rPr>
                <w:rFonts w:hint="default" w:ascii="Times New Roman" w:hAnsi="Times New Roman" w:eastAsia="宋体" w:cs="Times New Roman"/>
                <w:bCs/>
                <w:szCs w:val="21"/>
                <w:lang w:val="en-US" w:eastAsia="zh-CN"/>
              </w:rPr>
              <w:t>等原辅材料按照一定比例</w:t>
            </w:r>
            <w:r>
              <w:rPr>
                <w:rFonts w:hint="eastAsia" w:cs="Times New Roman"/>
                <w:bCs/>
                <w:szCs w:val="21"/>
                <w:lang w:val="en-US" w:eastAsia="zh-CN"/>
              </w:rPr>
              <w:t>人工</w:t>
            </w:r>
            <w:r>
              <w:rPr>
                <w:rFonts w:hint="default" w:ascii="Times New Roman" w:hAnsi="Times New Roman" w:eastAsia="宋体" w:cs="Times New Roman"/>
                <w:bCs/>
                <w:szCs w:val="21"/>
                <w:lang w:val="en-US" w:eastAsia="zh-CN"/>
              </w:rPr>
              <w:t>投料</w:t>
            </w:r>
            <w:r>
              <w:rPr>
                <w:rFonts w:hint="eastAsia" w:cs="Times New Roman"/>
                <w:bCs/>
                <w:szCs w:val="21"/>
                <w:lang w:val="en-US" w:eastAsia="zh-CN"/>
              </w:rPr>
              <w:t>进</w:t>
            </w:r>
            <w:r>
              <w:rPr>
                <w:rFonts w:hint="default" w:ascii="Times New Roman" w:hAnsi="Times New Roman" w:eastAsia="宋体" w:cs="Times New Roman"/>
                <w:bCs/>
                <w:szCs w:val="21"/>
                <w:lang w:val="en-US" w:eastAsia="zh-CN"/>
              </w:rPr>
              <w:t>入双阶造粒机中。钙锌复合稳定剂</w:t>
            </w:r>
            <w:r>
              <w:rPr>
                <w:rFonts w:hint="eastAsia" w:cs="Times New Roman"/>
                <w:bCs/>
                <w:szCs w:val="21"/>
                <w:lang w:val="en-US" w:eastAsia="zh-CN"/>
              </w:rPr>
              <w:t>、重质碳酸钙、纳米碳酸钙等粒径</w:t>
            </w:r>
            <w:r>
              <w:rPr>
                <w:rFonts w:hint="eastAsia" w:cs="Times New Roman"/>
                <w:bCs/>
                <w:szCs w:val="24"/>
                <w:lang w:val="en-US" w:eastAsia="zh-CN"/>
              </w:rPr>
              <w:t>分别约为</w:t>
            </w:r>
            <w:r>
              <w:rPr>
                <w:rFonts w:hint="eastAsia" w:cs="Times New Roman"/>
                <w:b w:val="0"/>
                <w:bCs/>
                <w:color w:val="000000"/>
                <w:sz w:val="24"/>
                <w:szCs w:val="24"/>
                <w:vertAlign w:val="baseline"/>
                <w:lang w:val="en-US" w:eastAsia="zh-CN"/>
              </w:rPr>
              <w:t>15um、45um、20nm，</w:t>
            </w:r>
            <w:r>
              <w:rPr>
                <w:rFonts w:hint="default" w:ascii="Times New Roman" w:hAnsi="Times New Roman" w:eastAsia="宋体" w:cs="Times New Roman"/>
                <w:bCs/>
                <w:szCs w:val="21"/>
                <w:lang w:val="en-US" w:eastAsia="zh-CN"/>
              </w:rPr>
              <w:t>此过程</w:t>
            </w:r>
            <w:r>
              <w:rPr>
                <w:rFonts w:hint="eastAsia" w:cs="Times New Roman"/>
                <w:bCs/>
                <w:szCs w:val="21"/>
                <w:lang w:val="en-US" w:eastAsia="zh-CN"/>
              </w:rPr>
              <w:t>会产生投料粉尘（G3）</w:t>
            </w:r>
            <w:r>
              <w:rPr>
                <w:rFonts w:hint="default" w:ascii="Times New Roman" w:hAnsi="Times New Roman" w:eastAsia="宋体" w:cs="Times New Roman"/>
                <w:bCs/>
                <w:szCs w:val="21"/>
                <w:lang w:val="en-US" w:eastAsia="zh-CN"/>
              </w:rPr>
              <w:t>。</w:t>
            </w:r>
          </w:p>
          <w:p w14:paraId="13048591">
            <w:pPr>
              <w:numPr>
                <w:ilvl w:val="0"/>
                <w:numId w:val="0"/>
              </w:numPr>
              <w:adjustRightInd w:val="0"/>
              <w:snapToGrid w:val="0"/>
              <w:spacing w:line="360" w:lineRule="auto"/>
              <w:ind w:leftChars="200"/>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（2）混合熔融</w:t>
            </w:r>
          </w:p>
          <w:p w14:paraId="7ECEC8A7">
            <w:pPr>
              <w:numPr>
                <w:ilvl w:val="0"/>
                <w:numId w:val="0"/>
              </w:numPr>
              <w:adjustRightInd w:val="0"/>
              <w:snapToGrid w:val="0"/>
              <w:spacing w:line="360" w:lineRule="auto"/>
              <w:ind w:firstLine="480" w:firstLineChars="200"/>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原辅材料投入后在造粒机组中密闭搅拌加热，使原辅材料熔融在一起。混合加热温度在 110℃左右，熔融过程采用电加热。</w:t>
            </w:r>
          </w:p>
          <w:p w14:paraId="661EFA1C">
            <w:pPr>
              <w:numPr>
                <w:ilvl w:val="0"/>
                <w:numId w:val="0"/>
              </w:numPr>
              <w:adjustRightInd w:val="0"/>
              <w:snapToGrid w:val="0"/>
              <w:spacing w:line="360" w:lineRule="auto"/>
              <w:ind w:leftChars="200"/>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（3）挤出造粒</w:t>
            </w:r>
          </w:p>
          <w:p w14:paraId="55CA7B6D">
            <w:pPr>
              <w:numPr>
                <w:ilvl w:val="0"/>
                <w:numId w:val="0"/>
              </w:numPr>
              <w:adjustRightInd w:val="0"/>
              <w:snapToGrid w:val="0"/>
              <w:spacing w:line="360" w:lineRule="auto"/>
              <w:ind w:firstLine="480" w:firstLineChars="200"/>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加热后的物料经输送机密闭输送至双阶造粒机中进行挤出造粒。挤出造粒温度在 160℃左右。</w:t>
            </w:r>
          </w:p>
          <w:p w14:paraId="0C99080C">
            <w:pPr>
              <w:numPr>
                <w:ilvl w:val="0"/>
                <w:numId w:val="0"/>
              </w:numPr>
              <w:adjustRightInd w:val="0"/>
              <w:snapToGrid w:val="0"/>
              <w:spacing w:line="360" w:lineRule="auto"/>
              <w:ind w:leftChars="200"/>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（4）一次冷却</w:t>
            </w:r>
          </w:p>
          <w:p w14:paraId="0EF3E297">
            <w:pPr>
              <w:numPr>
                <w:ilvl w:val="0"/>
                <w:numId w:val="0"/>
              </w:numPr>
              <w:adjustRightInd w:val="0"/>
              <w:snapToGrid w:val="0"/>
              <w:spacing w:line="360" w:lineRule="auto"/>
              <w:ind w:firstLine="480" w:firstLineChars="200"/>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挤出的塑料电缆颗粒经造粒机组密闭管道收集入造粒机组中一级旋风分离器鼓风冷却，旋风分离器利用离心力原理，将粒径合格的 PVC 颗粒与细小粉尘分离：合格颗粒因质量大被甩向分离器壁面，沿壁下落至集料仓</w:t>
            </w:r>
            <w:r>
              <w:rPr>
                <w:rFonts w:hint="eastAsia" w:cs="Times New Roman"/>
                <w:bCs/>
                <w:szCs w:val="21"/>
                <w:lang w:val="en-US" w:eastAsia="zh-CN"/>
              </w:rPr>
              <w:t>进入</w:t>
            </w:r>
            <w:r>
              <w:rPr>
                <w:rFonts w:hint="default" w:ascii="Times New Roman" w:hAnsi="Times New Roman" w:eastAsia="宋体" w:cs="Times New Roman"/>
                <w:bCs/>
                <w:szCs w:val="21"/>
                <w:lang w:val="en-US" w:eastAsia="zh-CN"/>
              </w:rPr>
              <w:t>后续输送环节。此</w:t>
            </w:r>
            <w:r>
              <w:rPr>
                <w:rFonts w:hint="eastAsia" w:ascii="Times New Roman" w:hAnsi="Times New Roman" w:eastAsia="宋体" w:cs="Times New Roman"/>
                <w:bCs/>
                <w:szCs w:val="21"/>
                <w:lang w:val="en-US" w:eastAsia="zh-CN"/>
              </w:rPr>
              <w:t>工序废气主要来源于前端混合熔融、挤出造粒工序产生的有机废气和一次冷却过程中旋风分离器产生的分离废气，</w:t>
            </w:r>
            <w:r>
              <w:rPr>
                <w:rFonts w:hint="eastAsia" w:cs="Times New Roman"/>
                <w:bCs/>
                <w:szCs w:val="21"/>
                <w:lang w:val="en-US" w:eastAsia="zh-CN"/>
              </w:rPr>
              <w:t>即统称熔融造粒废气（G4）。</w:t>
            </w:r>
          </w:p>
          <w:p w14:paraId="689AF224">
            <w:pPr>
              <w:numPr>
                <w:ilvl w:val="0"/>
                <w:numId w:val="0"/>
              </w:numPr>
              <w:adjustRightInd w:val="0"/>
              <w:snapToGrid w:val="0"/>
              <w:spacing w:line="360" w:lineRule="auto"/>
              <w:ind w:leftChars="200"/>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（5）筛分</w:t>
            </w:r>
          </w:p>
          <w:p w14:paraId="693D02B0">
            <w:pPr>
              <w:numPr>
                <w:ilvl w:val="0"/>
                <w:numId w:val="0"/>
              </w:numPr>
              <w:adjustRightInd w:val="0"/>
              <w:snapToGrid w:val="0"/>
              <w:spacing w:line="360" w:lineRule="auto"/>
              <w:ind w:firstLine="480" w:firstLineChars="200"/>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经一次冷却的塑料电缆颗粒经筛分机筛分，不合格塑料电缆料颗粒被筛分出用于重新造粒。</w:t>
            </w:r>
          </w:p>
          <w:p w14:paraId="00D4B68B">
            <w:pPr>
              <w:numPr>
                <w:ilvl w:val="0"/>
                <w:numId w:val="0"/>
              </w:numPr>
              <w:adjustRightInd w:val="0"/>
              <w:snapToGrid w:val="0"/>
              <w:spacing w:line="360" w:lineRule="auto"/>
              <w:ind w:leftChars="200"/>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（6）二次冷却</w:t>
            </w:r>
          </w:p>
          <w:p w14:paraId="34456FB0">
            <w:pPr>
              <w:numPr>
                <w:ilvl w:val="0"/>
                <w:numId w:val="0"/>
              </w:numPr>
              <w:adjustRightInd w:val="0"/>
              <w:snapToGrid w:val="0"/>
              <w:spacing w:line="360" w:lineRule="auto"/>
              <w:ind w:firstLine="480" w:firstLineChars="200"/>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过筛后的粒径合格的塑料电缆颗粒经造粒机组中二级旋风分离器鼓风再次冷却。</w:t>
            </w:r>
            <w:r>
              <w:rPr>
                <w:rFonts w:hint="eastAsia" w:cs="Times New Roman"/>
                <w:bCs/>
                <w:szCs w:val="21"/>
                <w:lang w:val="en-US" w:eastAsia="zh-CN"/>
              </w:rPr>
              <w:t>此过程会产生旋风分离废气（G5）</w:t>
            </w:r>
          </w:p>
          <w:p w14:paraId="02D9430C">
            <w:pPr>
              <w:numPr>
                <w:ilvl w:val="0"/>
                <w:numId w:val="0"/>
              </w:numPr>
              <w:adjustRightInd w:val="0"/>
              <w:snapToGrid w:val="0"/>
              <w:spacing w:line="360" w:lineRule="auto"/>
              <w:ind w:leftChars="200"/>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（7）入库</w:t>
            </w:r>
          </w:p>
          <w:p w14:paraId="63D1CFC7">
            <w:pPr>
              <w:numPr>
                <w:ilvl w:val="0"/>
                <w:numId w:val="0"/>
              </w:numPr>
              <w:adjustRightInd w:val="0"/>
              <w:snapToGrid w:val="0"/>
              <w:spacing w:line="360" w:lineRule="auto"/>
              <w:ind w:leftChars="0" w:firstLine="480" w:firstLineChars="200"/>
              <w:jc w:val="both"/>
              <w:rPr>
                <w:color w:val="auto"/>
              </w:rPr>
            </w:pPr>
            <w:r>
              <w:rPr>
                <w:rFonts w:hint="default" w:ascii="Times New Roman" w:hAnsi="Times New Roman" w:eastAsia="宋体" w:cs="Times New Roman"/>
                <w:bCs/>
                <w:szCs w:val="21"/>
                <w:lang w:val="en-US" w:eastAsia="zh-CN"/>
              </w:rPr>
              <w:t>冷却后的塑料电缆料颗粒</w:t>
            </w:r>
            <w:r>
              <w:rPr>
                <w:rFonts w:hint="eastAsia" w:cs="Times New Roman"/>
                <w:bCs/>
                <w:szCs w:val="21"/>
                <w:lang w:val="en-US" w:eastAsia="zh-CN"/>
              </w:rPr>
              <w:t>经袋装后</w:t>
            </w:r>
            <w:r>
              <w:rPr>
                <w:rFonts w:hint="default" w:ascii="Times New Roman" w:hAnsi="Times New Roman" w:eastAsia="宋体" w:cs="Times New Roman"/>
                <w:bCs/>
                <w:szCs w:val="21"/>
                <w:lang w:val="en-US" w:eastAsia="zh-CN"/>
              </w:rPr>
              <w:t>入库</w:t>
            </w:r>
            <w:r>
              <w:rPr>
                <w:rFonts w:hint="default" w:ascii="Times New Roman" w:hAnsi="Times New Roman" w:eastAsia="宋体" w:cs="Times New Roman"/>
                <w:bCs/>
                <w:color w:val="auto"/>
                <w:szCs w:val="21"/>
                <w:lang w:val="en-US" w:eastAsia="zh-CN"/>
              </w:rPr>
              <w:t>保存</w:t>
            </w:r>
            <w:r>
              <w:rPr>
                <w:rFonts w:hint="eastAsia" w:cs="Times New Roman"/>
                <w:bCs/>
                <w:color w:val="auto"/>
                <w:szCs w:val="21"/>
                <w:lang w:val="en-US" w:eastAsia="zh-CN"/>
              </w:rPr>
              <w:t>，塑料电缆颗粒粒径约3-5mm，包装过程中无粉尘产生</w:t>
            </w:r>
            <w:r>
              <w:rPr>
                <w:rFonts w:hint="default" w:ascii="Times New Roman" w:hAnsi="Times New Roman" w:eastAsia="宋体" w:cs="Times New Roman"/>
                <w:bCs/>
                <w:color w:val="auto"/>
                <w:szCs w:val="21"/>
                <w:lang w:val="en-US" w:eastAsia="zh-CN"/>
              </w:rPr>
              <w:t>。</w:t>
            </w:r>
          </w:p>
          <w:p w14:paraId="6827EAC2">
            <w:pPr>
              <w:bidi w:val="0"/>
              <w:rPr>
                <w:rFonts w:hint="eastAsia"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2、</w:t>
            </w:r>
            <w:r>
              <w:rPr>
                <w:rFonts w:hint="eastAsia" w:ascii="Times New Roman" w:hAnsi="Times New Roman" w:eastAsia="宋体" w:cs="Times New Roman"/>
                <w:b/>
                <w:bCs/>
                <w:color w:val="auto"/>
                <w:highlight w:val="none"/>
                <w:lang w:val="en-US" w:eastAsia="zh-CN"/>
              </w:rPr>
              <w:t>其他产污环节分析</w:t>
            </w:r>
          </w:p>
          <w:p w14:paraId="4A366A9F">
            <w:pPr>
              <w:pStyle w:val="7"/>
              <w:rPr>
                <w:rFonts w:hint="default"/>
                <w:color w:val="auto"/>
                <w:sz w:val="24"/>
                <w:szCs w:val="24"/>
                <w:lang w:val="en-US" w:eastAsia="zh-CN"/>
              </w:rPr>
            </w:pPr>
            <w:r>
              <w:rPr>
                <w:rFonts w:hint="eastAsia"/>
                <w:color w:val="auto"/>
                <w:sz w:val="24"/>
                <w:szCs w:val="24"/>
                <w:lang w:val="en-US" w:eastAsia="zh-CN"/>
              </w:rPr>
              <w:t>部分产品根据客户需求，需要对成品电缆进行网格跳线，该工序为成品加工，即使用注塑机在成品电缆两端制作塑料头部。注塑原料为塑料电缆颗粒，塑料电缆颗粒经人工投料进入注塑机，塑料电缆颗粒粒径约3-5mm，故投料过程中无粉尘产生，塑料电缆颗粒年用量为2t。该工序生产过程中会产生注塑废气（G6）。</w:t>
            </w:r>
          </w:p>
          <w:p w14:paraId="7D0880E3">
            <w:pPr>
              <w:bidi w:val="0"/>
              <w:rPr>
                <w:rFonts w:hint="default" w:ascii="Times New Roman" w:hAnsi="Times New Roman" w:eastAsia="宋体" w:cs="Times New Roman"/>
                <w:b/>
                <w:bCs/>
                <w:color w:val="auto"/>
                <w:highlight w:val="none"/>
                <w:lang w:val="en-US" w:eastAsia="zh-CN"/>
              </w:rPr>
            </w:pPr>
            <w:r>
              <w:rPr>
                <w:rFonts w:hint="eastAsia" w:cs="Times New Roman"/>
                <w:b/>
                <w:bCs/>
                <w:color w:val="auto"/>
                <w:highlight w:val="none"/>
                <w:lang w:val="en-US" w:eastAsia="zh-CN"/>
              </w:rPr>
              <w:t>3</w:t>
            </w:r>
            <w:r>
              <w:rPr>
                <w:rFonts w:hint="default" w:ascii="Times New Roman" w:hAnsi="Times New Roman" w:eastAsia="宋体" w:cs="Times New Roman"/>
                <w:b/>
                <w:bCs/>
                <w:color w:val="auto"/>
                <w:highlight w:val="none"/>
                <w:lang w:val="en-US" w:eastAsia="zh-CN"/>
              </w:rPr>
              <w:t>、主要污染工序</w:t>
            </w:r>
          </w:p>
          <w:p w14:paraId="035BF9AF">
            <w:pPr>
              <w:bidi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本项目营运期主要污染分析详见下表：</w:t>
            </w:r>
          </w:p>
          <w:p w14:paraId="1C807F52">
            <w:pPr>
              <w:pStyle w:val="5"/>
              <w:bidi w:val="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表2</w:t>
            </w:r>
            <w:r>
              <w:rPr>
                <w:rFonts w:hint="default" w:ascii="Times New Roman" w:hAnsi="Times New Roman" w:eastAsia="宋体" w:cs="Times New Roman"/>
                <w:color w:val="auto"/>
                <w:highlight w:val="none"/>
                <w:lang w:val="en-US" w:eastAsia="zh-CN"/>
              </w:rPr>
              <w:t xml:space="preserve">-8 </w:t>
            </w:r>
            <w:r>
              <w:rPr>
                <w:rFonts w:hint="default" w:ascii="Times New Roman" w:hAnsi="Times New Roman" w:eastAsia="宋体" w:cs="Times New Roman"/>
                <w:color w:val="auto"/>
                <w:highlight w:val="none"/>
              </w:rPr>
              <w:t>主要污染物分析一览表</w:t>
            </w:r>
          </w:p>
          <w:tbl>
            <w:tblPr>
              <w:tblStyle w:val="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1334"/>
              <w:gridCol w:w="1661"/>
              <w:gridCol w:w="2605"/>
              <w:gridCol w:w="1994"/>
            </w:tblGrid>
            <w:tr w14:paraId="47C6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7" w:type="pct"/>
                  <w:tcBorders>
                    <w:top w:val="single" w:color="000000" w:sz="4" w:space="0"/>
                    <w:left w:val="single" w:color="000000" w:sz="4" w:space="0"/>
                    <w:bottom w:val="single" w:color="000000" w:sz="4" w:space="0"/>
                    <w:right w:val="single" w:color="000000" w:sz="4" w:space="0"/>
                    <w:tl2br w:val="nil"/>
                  </w:tcBorders>
                  <w:shd w:val="clear" w:color="auto" w:fill="FFFFFF"/>
                  <w:noWrap w:val="0"/>
                  <w:vAlign w:val="center"/>
                </w:tcPr>
                <w:p w14:paraId="59B4C05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bCs/>
                      <w:color w:val="000000"/>
                      <w:sz w:val="21"/>
                      <w:szCs w:val="21"/>
                      <w:highlight w:val="none"/>
                      <w:vertAlign w:val="baseline"/>
                      <w:lang w:val="en-US" w:eastAsia="zh-CN"/>
                    </w:rPr>
                  </w:pPr>
                  <w:r>
                    <w:rPr>
                      <w:rFonts w:hint="default" w:ascii="Times New Roman" w:hAnsi="Times New Roman" w:cs="Times New Roman"/>
                      <w:b/>
                      <w:bCs/>
                      <w:color w:val="000000"/>
                      <w:sz w:val="21"/>
                      <w:szCs w:val="21"/>
                      <w:highlight w:val="none"/>
                      <w:vertAlign w:val="baseline"/>
                      <w:lang w:val="en-US" w:eastAsia="zh-CN"/>
                    </w:rPr>
                    <w:t>类别</w:t>
                  </w:r>
                </w:p>
              </w:tc>
              <w:tc>
                <w:tcPr>
                  <w:tcW w:w="7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BB5C6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bCs/>
                      <w:color w:val="000000"/>
                      <w:sz w:val="21"/>
                      <w:szCs w:val="21"/>
                      <w:highlight w:val="none"/>
                      <w:vertAlign w:val="baseline"/>
                      <w:lang w:val="en-US" w:eastAsia="zh-CN"/>
                    </w:rPr>
                  </w:pPr>
                  <w:r>
                    <w:rPr>
                      <w:rFonts w:hint="default" w:ascii="Times New Roman" w:hAnsi="Times New Roman" w:cs="Times New Roman"/>
                      <w:b/>
                      <w:bCs/>
                      <w:color w:val="000000"/>
                      <w:sz w:val="21"/>
                      <w:szCs w:val="21"/>
                      <w:highlight w:val="none"/>
                      <w:vertAlign w:val="baseline"/>
                      <w:lang w:val="en-US" w:eastAsia="zh-CN"/>
                    </w:rPr>
                    <w:t>污染物名称</w:t>
                  </w:r>
                </w:p>
              </w:tc>
              <w:tc>
                <w:tcPr>
                  <w:tcW w:w="9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7C08B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bCs/>
                      <w:color w:val="000000"/>
                      <w:sz w:val="21"/>
                      <w:szCs w:val="21"/>
                      <w:highlight w:val="none"/>
                      <w:vertAlign w:val="baseline"/>
                      <w:lang w:val="en-US" w:eastAsia="zh-CN"/>
                    </w:rPr>
                  </w:pPr>
                  <w:r>
                    <w:rPr>
                      <w:rFonts w:hint="default" w:ascii="Times New Roman" w:hAnsi="Times New Roman" w:cs="Times New Roman"/>
                      <w:b/>
                      <w:bCs/>
                      <w:color w:val="000000"/>
                      <w:sz w:val="21"/>
                      <w:szCs w:val="21"/>
                      <w:highlight w:val="none"/>
                      <w:vertAlign w:val="baseline"/>
                      <w:lang w:val="en-US" w:eastAsia="zh-CN"/>
                    </w:rPr>
                    <w:t>产污工序</w:t>
                  </w:r>
                </w:p>
              </w:tc>
              <w:tc>
                <w:tcPr>
                  <w:tcW w:w="15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329D1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bCs/>
                      <w:color w:val="000000"/>
                      <w:sz w:val="21"/>
                      <w:szCs w:val="21"/>
                      <w:highlight w:val="none"/>
                      <w:vertAlign w:val="baseline"/>
                      <w:lang w:val="en-US" w:eastAsia="zh-CN"/>
                    </w:rPr>
                  </w:pPr>
                  <w:r>
                    <w:rPr>
                      <w:rFonts w:hint="default" w:ascii="Times New Roman" w:hAnsi="Times New Roman" w:cs="Times New Roman"/>
                      <w:b/>
                      <w:bCs/>
                      <w:color w:val="000000"/>
                      <w:sz w:val="21"/>
                      <w:szCs w:val="21"/>
                      <w:highlight w:val="none"/>
                      <w:vertAlign w:val="baseline"/>
                      <w:lang w:val="en-US" w:eastAsia="zh-CN"/>
                    </w:rPr>
                    <w:t>主要污染物</w:t>
                  </w:r>
                </w:p>
              </w:tc>
              <w:tc>
                <w:tcPr>
                  <w:tcW w:w="11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CEE73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bCs/>
                      <w:color w:val="000000"/>
                      <w:sz w:val="21"/>
                      <w:szCs w:val="21"/>
                      <w:highlight w:val="none"/>
                      <w:vertAlign w:val="baseline"/>
                      <w:lang w:val="en-US" w:eastAsia="zh-CN"/>
                    </w:rPr>
                  </w:pPr>
                  <w:r>
                    <w:rPr>
                      <w:rFonts w:hint="default" w:ascii="Times New Roman" w:hAnsi="Times New Roman" w:cs="Times New Roman"/>
                      <w:b/>
                      <w:bCs/>
                      <w:color w:val="000000"/>
                      <w:sz w:val="21"/>
                      <w:szCs w:val="21"/>
                      <w:highlight w:val="none"/>
                      <w:vertAlign w:val="baseline"/>
                      <w:lang w:val="en-US" w:eastAsia="zh-CN"/>
                    </w:rPr>
                    <w:t>污染治理措施</w:t>
                  </w:r>
                </w:p>
              </w:tc>
            </w:tr>
            <w:tr w14:paraId="308AF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7" w:type="pct"/>
                  <w:vMerge w:val="restart"/>
                  <w:tcBorders>
                    <w:top w:val="single" w:color="000000" w:sz="4" w:space="0"/>
                    <w:left w:val="single" w:color="000000" w:sz="4" w:space="0"/>
                    <w:right w:val="single" w:color="000000" w:sz="4" w:space="0"/>
                  </w:tcBorders>
                  <w:shd w:val="clear" w:color="auto" w:fill="FFFFFF"/>
                  <w:noWrap w:val="0"/>
                  <w:vAlign w:val="center"/>
                </w:tcPr>
                <w:p w14:paraId="7E13E39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废气</w:t>
                  </w:r>
                </w:p>
              </w:tc>
              <w:tc>
                <w:tcPr>
                  <w:tcW w:w="7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484A6B">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挤出废气</w:t>
                  </w:r>
                </w:p>
              </w:tc>
              <w:tc>
                <w:tcPr>
                  <w:tcW w:w="9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6A44A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挤出包塑、挤护套</w:t>
                  </w:r>
                </w:p>
              </w:tc>
              <w:tc>
                <w:tcPr>
                  <w:tcW w:w="15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7C72C9">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非甲烷总烃</w:t>
                  </w:r>
                  <w:r>
                    <w:rPr>
                      <w:rFonts w:hint="eastAsia"/>
                      <w:color w:val="auto"/>
                      <w:lang w:eastAsia="zh-CN"/>
                    </w:rPr>
                    <w:t>、</w:t>
                  </w:r>
                  <w:r>
                    <w:rPr>
                      <w:rFonts w:hint="eastAsia"/>
                      <w:color w:val="auto"/>
                      <w:sz w:val="21"/>
                      <w:szCs w:val="21"/>
                      <w:lang w:val="en-US" w:eastAsia="zh-CN"/>
                    </w:rPr>
                    <w:t>油雾（以颗粒物计）、氯化氢、氯乙烯、臭气浓度</w:t>
                  </w:r>
                </w:p>
              </w:tc>
              <w:tc>
                <w:tcPr>
                  <w:tcW w:w="1190" w:type="pct"/>
                  <w:vMerge w:val="restart"/>
                  <w:tcBorders>
                    <w:top w:val="single" w:color="000000" w:sz="4" w:space="0"/>
                    <w:left w:val="single" w:color="000000" w:sz="4" w:space="0"/>
                    <w:right w:val="single" w:color="000000" w:sz="4" w:space="0"/>
                  </w:tcBorders>
                  <w:shd w:val="clear" w:color="auto" w:fill="FFFFFF"/>
                  <w:noWrap w:val="0"/>
                  <w:vAlign w:val="center"/>
                </w:tcPr>
                <w:p w14:paraId="7625DBEB">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密闭负压收集+静电式油雾净化器+</w:t>
                  </w:r>
                  <w:r>
                    <w:rPr>
                      <w:rFonts w:hint="default" w:ascii="Times New Roman" w:hAnsi="Times New Roman" w:cs="Times New Roman"/>
                      <w:b w:val="0"/>
                      <w:bCs/>
                      <w:color w:val="auto"/>
                      <w:sz w:val="21"/>
                      <w:szCs w:val="21"/>
                      <w:highlight w:val="none"/>
                      <w:vertAlign w:val="baseline"/>
                      <w:lang w:val="en-US" w:eastAsia="zh-CN"/>
                    </w:rPr>
                    <w:t>两级活性炭吸附处理装置</w:t>
                  </w:r>
                  <w:r>
                    <w:rPr>
                      <w:rFonts w:hint="eastAsia" w:cs="Times New Roman"/>
                      <w:b w:val="0"/>
                      <w:bCs/>
                      <w:color w:val="auto"/>
                      <w:sz w:val="21"/>
                      <w:szCs w:val="21"/>
                      <w:highlight w:val="none"/>
                      <w:vertAlign w:val="baseline"/>
                      <w:lang w:val="en-US" w:eastAsia="zh-CN"/>
                    </w:rPr>
                    <w:t>+15m高排气筒</w:t>
                  </w:r>
                </w:p>
              </w:tc>
            </w:tr>
            <w:tr w14:paraId="6C066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467" w:type="pct"/>
                  <w:vMerge w:val="continue"/>
                  <w:tcBorders>
                    <w:left w:val="single" w:color="000000" w:sz="4" w:space="0"/>
                    <w:right w:val="single" w:color="000000" w:sz="4" w:space="0"/>
                  </w:tcBorders>
                  <w:shd w:val="clear" w:color="auto" w:fill="FFFFFF"/>
                  <w:noWrap w:val="0"/>
                  <w:vAlign w:val="center"/>
                </w:tcPr>
                <w:p w14:paraId="3922D35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796" w:type="pct"/>
                  <w:tcBorders>
                    <w:left w:val="single" w:color="000000" w:sz="4" w:space="0"/>
                    <w:bottom w:val="single" w:color="000000" w:sz="4" w:space="0"/>
                    <w:right w:val="single" w:color="000000" w:sz="4" w:space="0"/>
                  </w:tcBorders>
                  <w:shd w:val="clear" w:color="auto" w:fill="FFFFFF"/>
                  <w:noWrap w:val="0"/>
                  <w:vAlign w:val="center"/>
                </w:tcPr>
                <w:p w14:paraId="7BD9A1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喷码废气</w:t>
                  </w:r>
                </w:p>
              </w:tc>
              <w:tc>
                <w:tcPr>
                  <w:tcW w:w="991" w:type="pct"/>
                  <w:tcBorders>
                    <w:left w:val="single" w:color="000000" w:sz="4" w:space="0"/>
                    <w:bottom w:val="single" w:color="000000" w:sz="4" w:space="0"/>
                    <w:right w:val="single" w:color="000000" w:sz="4" w:space="0"/>
                  </w:tcBorders>
                  <w:shd w:val="clear" w:color="auto" w:fill="FFFFFF"/>
                  <w:noWrap w:val="0"/>
                  <w:vAlign w:val="center"/>
                </w:tcPr>
                <w:p w14:paraId="6EC3F5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喷码</w:t>
                  </w:r>
                </w:p>
              </w:tc>
              <w:tc>
                <w:tcPr>
                  <w:tcW w:w="15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DC5F9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非甲烷总烃</w:t>
                  </w:r>
                </w:p>
              </w:tc>
              <w:tc>
                <w:tcPr>
                  <w:tcW w:w="1190" w:type="pct"/>
                  <w:vMerge w:val="continue"/>
                  <w:tcBorders>
                    <w:left w:val="single" w:color="000000" w:sz="4" w:space="0"/>
                    <w:right w:val="single" w:color="000000" w:sz="4" w:space="0"/>
                  </w:tcBorders>
                  <w:shd w:val="clear" w:color="auto" w:fill="FFFFFF"/>
                  <w:noWrap w:val="0"/>
                  <w:vAlign w:val="center"/>
                </w:tcPr>
                <w:p w14:paraId="49817B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color w:val="auto"/>
                      <w:sz w:val="21"/>
                      <w:szCs w:val="21"/>
                      <w:highlight w:val="none"/>
                      <w:vertAlign w:val="baseline"/>
                      <w:lang w:val="en-US" w:eastAsia="zh-CN"/>
                    </w:rPr>
                  </w:pPr>
                </w:p>
              </w:tc>
            </w:tr>
            <w:tr w14:paraId="7B6A9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467" w:type="pct"/>
                  <w:vMerge w:val="continue"/>
                  <w:tcBorders>
                    <w:left w:val="single" w:color="000000" w:sz="4" w:space="0"/>
                    <w:right w:val="single" w:color="000000" w:sz="4" w:space="0"/>
                  </w:tcBorders>
                  <w:shd w:val="clear" w:color="auto" w:fill="FFFFFF"/>
                  <w:noWrap w:val="0"/>
                  <w:vAlign w:val="center"/>
                </w:tcPr>
                <w:p w14:paraId="413E20D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796" w:type="pct"/>
                  <w:tcBorders>
                    <w:left w:val="single" w:color="000000" w:sz="4" w:space="0"/>
                    <w:bottom w:val="single" w:color="000000" w:sz="4" w:space="0"/>
                    <w:right w:val="single" w:color="000000" w:sz="4" w:space="0"/>
                  </w:tcBorders>
                  <w:shd w:val="clear" w:color="auto" w:fill="FFFFFF"/>
                  <w:noWrap w:val="0"/>
                  <w:vAlign w:val="center"/>
                </w:tcPr>
                <w:p w14:paraId="0096E8A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注塑废气</w:t>
                  </w:r>
                </w:p>
              </w:tc>
              <w:tc>
                <w:tcPr>
                  <w:tcW w:w="991" w:type="pct"/>
                  <w:tcBorders>
                    <w:left w:val="single" w:color="000000" w:sz="4" w:space="0"/>
                    <w:bottom w:val="single" w:color="000000" w:sz="4" w:space="0"/>
                    <w:right w:val="single" w:color="000000" w:sz="4" w:space="0"/>
                  </w:tcBorders>
                  <w:shd w:val="clear" w:color="auto" w:fill="FFFFFF"/>
                  <w:noWrap w:val="0"/>
                  <w:vAlign w:val="center"/>
                </w:tcPr>
                <w:p w14:paraId="01DC1BBE">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注塑</w:t>
                  </w:r>
                </w:p>
              </w:tc>
              <w:tc>
                <w:tcPr>
                  <w:tcW w:w="15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C697F1">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非甲烷总烃、</w:t>
                  </w:r>
                  <w:r>
                    <w:rPr>
                      <w:rFonts w:hint="eastAsia"/>
                      <w:color w:val="auto"/>
                      <w:sz w:val="21"/>
                      <w:szCs w:val="21"/>
                      <w:lang w:val="en-US" w:eastAsia="zh-CN"/>
                    </w:rPr>
                    <w:t>油雾（以颗粒物计）、氯化氢、氯乙烯、臭气浓度</w:t>
                  </w:r>
                </w:p>
              </w:tc>
              <w:tc>
                <w:tcPr>
                  <w:tcW w:w="1190" w:type="pct"/>
                  <w:vMerge w:val="continue"/>
                  <w:tcBorders>
                    <w:left w:val="single" w:color="000000" w:sz="4" w:space="0"/>
                    <w:bottom w:val="single" w:color="000000" w:sz="4" w:space="0"/>
                    <w:right w:val="single" w:color="000000" w:sz="4" w:space="0"/>
                  </w:tcBorders>
                  <w:shd w:val="clear" w:color="auto" w:fill="FFFFFF"/>
                  <w:noWrap w:val="0"/>
                  <w:vAlign w:val="center"/>
                </w:tcPr>
                <w:p w14:paraId="5EE4A70B">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cs="Times New Roman"/>
                      <w:b w:val="0"/>
                      <w:bCs/>
                      <w:color w:val="auto"/>
                      <w:sz w:val="21"/>
                      <w:szCs w:val="21"/>
                      <w:highlight w:val="none"/>
                      <w:vertAlign w:val="baseline"/>
                      <w:lang w:val="en-US" w:eastAsia="zh-CN"/>
                    </w:rPr>
                  </w:pPr>
                </w:p>
              </w:tc>
            </w:tr>
            <w:tr w14:paraId="7D9D7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7" w:type="pct"/>
                  <w:vMerge w:val="continue"/>
                  <w:tcBorders>
                    <w:left w:val="single" w:color="000000" w:sz="4" w:space="0"/>
                    <w:right w:val="single" w:color="000000" w:sz="4" w:space="0"/>
                  </w:tcBorders>
                  <w:shd w:val="clear" w:color="auto" w:fill="FFFFFF"/>
                  <w:noWrap w:val="0"/>
                  <w:vAlign w:val="center"/>
                </w:tcPr>
                <w:p w14:paraId="0DBF1899">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7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77C5EB">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投料粉尘</w:t>
                  </w:r>
                </w:p>
              </w:tc>
              <w:tc>
                <w:tcPr>
                  <w:tcW w:w="9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54F55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投料</w:t>
                  </w:r>
                </w:p>
              </w:tc>
              <w:tc>
                <w:tcPr>
                  <w:tcW w:w="15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D813F1">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粉尘</w:t>
                  </w:r>
                </w:p>
              </w:tc>
              <w:tc>
                <w:tcPr>
                  <w:tcW w:w="11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74B95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集气罩收集+</w:t>
                  </w:r>
                  <w:r>
                    <w:rPr>
                      <w:rFonts w:hint="default" w:ascii="Times New Roman" w:hAnsi="Times New Roman" w:cs="Times New Roman"/>
                      <w:b w:val="0"/>
                      <w:bCs/>
                      <w:color w:val="auto"/>
                      <w:sz w:val="21"/>
                      <w:szCs w:val="21"/>
                      <w:highlight w:val="none"/>
                      <w:vertAlign w:val="baseline"/>
                      <w:lang w:val="en-US" w:eastAsia="zh-CN"/>
                    </w:rPr>
                    <w:t>布袋除尘器</w:t>
                  </w:r>
                  <w:r>
                    <w:rPr>
                      <w:rFonts w:hint="eastAsia" w:cs="Times New Roman"/>
                      <w:b w:val="0"/>
                      <w:bCs/>
                      <w:color w:val="auto"/>
                      <w:sz w:val="21"/>
                      <w:szCs w:val="21"/>
                      <w:highlight w:val="none"/>
                      <w:vertAlign w:val="baseline"/>
                      <w:lang w:val="en-US" w:eastAsia="zh-CN"/>
                    </w:rPr>
                    <w:t>+15m高排气筒</w:t>
                  </w:r>
                </w:p>
              </w:tc>
            </w:tr>
            <w:tr w14:paraId="673C0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7" w:type="pct"/>
                  <w:vMerge w:val="continue"/>
                  <w:tcBorders>
                    <w:left w:val="single" w:color="000000" w:sz="4" w:space="0"/>
                    <w:right w:val="single" w:color="000000" w:sz="4" w:space="0"/>
                  </w:tcBorders>
                  <w:shd w:val="clear" w:color="auto" w:fill="FFFFFF"/>
                  <w:noWrap w:val="0"/>
                  <w:vAlign w:val="center"/>
                </w:tcPr>
                <w:p w14:paraId="6625D00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7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CBE55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熔融挤出废气</w:t>
                  </w:r>
                </w:p>
              </w:tc>
              <w:tc>
                <w:tcPr>
                  <w:tcW w:w="9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D1D9C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vertAlign w:val="baseline"/>
                      <w:lang w:val="en-US" w:eastAsia="zh-CN"/>
                    </w:rPr>
                    <w:t>混合</w:t>
                  </w:r>
                  <w:r>
                    <w:rPr>
                      <w:rFonts w:hint="default" w:ascii="Times New Roman" w:hAnsi="Times New Roman" w:cs="Times New Roman"/>
                      <w:b w:val="0"/>
                      <w:bCs/>
                      <w:color w:val="000000"/>
                      <w:sz w:val="21"/>
                      <w:szCs w:val="21"/>
                      <w:highlight w:val="none"/>
                      <w:vertAlign w:val="baseline"/>
                      <w:lang w:val="en-US" w:eastAsia="zh-CN"/>
                    </w:rPr>
                    <w:t>熔融</w:t>
                  </w:r>
                  <w:r>
                    <w:rPr>
                      <w:rFonts w:hint="eastAsia" w:cs="Times New Roman"/>
                      <w:b w:val="0"/>
                      <w:bCs/>
                      <w:color w:val="000000"/>
                      <w:sz w:val="21"/>
                      <w:szCs w:val="21"/>
                      <w:highlight w:val="none"/>
                      <w:vertAlign w:val="baseline"/>
                      <w:lang w:val="en-US" w:eastAsia="zh-CN"/>
                    </w:rPr>
                    <w:t>、</w:t>
                  </w:r>
                  <w:r>
                    <w:rPr>
                      <w:rFonts w:hint="default" w:ascii="Times New Roman" w:hAnsi="Times New Roman" w:cs="Times New Roman"/>
                      <w:b w:val="0"/>
                      <w:bCs/>
                      <w:color w:val="000000"/>
                      <w:sz w:val="21"/>
                      <w:szCs w:val="21"/>
                      <w:highlight w:val="none"/>
                      <w:vertAlign w:val="baseline"/>
                      <w:lang w:val="en-US" w:eastAsia="zh-CN"/>
                    </w:rPr>
                    <w:t>挤出</w:t>
                  </w:r>
                  <w:r>
                    <w:rPr>
                      <w:rFonts w:hint="eastAsia" w:cs="Times New Roman"/>
                      <w:b w:val="0"/>
                      <w:bCs/>
                      <w:color w:val="000000"/>
                      <w:sz w:val="21"/>
                      <w:szCs w:val="21"/>
                      <w:highlight w:val="none"/>
                      <w:vertAlign w:val="baseline"/>
                      <w:lang w:val="en-US" w:eastAsia="zh-CN"/>
                    </w:rPr>
                    <w:t>造粒、一次冷却</w:t>
                  </w:r>
                </w:p>
              </w:tc>
              <w:tc>
                <w:tcPr>
                  <w:tcW w:w="15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6EDFD4">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非甲烷总烃</w:t>
                  </w:r>
                  <w:r>
                    <w:rPr>
                      <w:rFonts w:hint="eastAsia"/>
                      <w:color w:val="auto"/>
                      <w:lang w:eastAsia="zh-CN"/>
                    </w:rPr>
                    <w:t>、</w:t>
                  </w:r>
                  <w:r>
                    <w:rPr>
                      <w:rFonts w:hint="eastAsia"/>
                      <w:color w:val="auto"/>
                      <w:sz w:val="21"/>
                      <w:szCs w:val="21"/>
                      <w:lang w:val="en-US" w:eastAsia="zh-CN"/>
                    </w:rPr>
                    <w:t>颗粒物、氯化氢、氯乙烯、臭气浓度</w:t>
                  </w:r>
                </w:p>
              </w:tc>
              <w:tc>
                <w:tcPr>
                  <w:tcW w:w="11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95D4BC">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密闭负压收集+静电式油雾净化器+</w:t>
                  </w:r>
                  <w:r>
                    <w:rPr>
                      <w:rFonts w:hint="default" w:ascii="Times New Roman" w:hAnsi="Times New Roman" w:cs="Times New Roman"/>
                      <w:b w:val="0"/>
                      <w:bCs/>
                      <w:color w:val="auto"/>
                      <w:sz w:val="21"/>
                      <w:szCs w:val="21"/>
                      <w:highlight w:val="none"/>
                      <w:vertAlign w:val="baseline"/>
                      <w:lang w:val="en-US" w:eastAsia="zh-CN"/>
                    </w:rPr>
                    <w:t>两级活性炭吸附处理装置</w:t>
                  </w:r>
                  <w:r>
                    <w:rPr>
                      <w:rFonts w:hint="eastAsia" w:cs="Times New Roman"/>
                      <w:b w:val="0"/>
                      <w:bCs/>
                      <w:color w:val="auto"/>
                      <w:sz w:val="21"/>
                      <w:szCs w:val="21"/>
                      <w:highlight w:val="none"/>
                      <w:vertAlign w:val="baseline"/>
                      <w:lang w:val="en-US" w:eastAsia="zh-CN"/>
                    </w:rPr>
                    <w:t>+15m高排气筒</w:t>
                  </w:r>
                </w:p>
              </w:tc>
            </w:tr>
            <w:tr w14:paraId="034B7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7" w:type="pct"/>
                  <w:vMerge w:val="continue"/>
                  <w:tcBorders>
                    <w:left w:val="single" w:color="000000" w:sz="4" w:space="0"/>
                    <w:right w:val="single" w:color="000000" w:sz="4" w:space="0"/>
                  </w:tcBorders>
                  <w:shd w:val="clear" w:color="auto" w:fill="FFFFFF"/>
                  <w:noWrap w:val="0"/>
                  <w:vAlign w:val="center"/>
                </w:tcPr>
                <w:p w14:paraId="1EA5CFD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7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75E69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vertAlign w:val="baseline"/>
                      <w:lang w:val="en-US" w:eastAsia="zh-CN"/>
                    </w:rPr>
                    <w:t>旋风分离废气</w:t>
                  </w:r>
                </w:p>
              </w:tc>
              <w:tc>
                <w:tcPr>
                  <w:tcW w:w="9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474E3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vertAlign w:val="baseline"/>
                      <w:lang w:val="en-US" w:eastAsia="zh-CN"/>
                    </w:rPr>
                    <w:t>二次冷却</w:t>
                  </w:r>
                </w:p>
              </w:tc>
              <w:tc>
                <w:tcPr>
                  <w:tcW w:w="15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E0A120">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颗粒物</w:t>
                  </w:r>
                </w:p>
              </w:tc>
              <w:tc>
                <w:tcPr>
                  <w:tcW w:w="11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AD7D0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密闭负压收集+</w:t>
                  </w:r>
                  <w:r>
                    <w:rPr>
                      <w:rFonts w:hint="default" w:ascii="Times New Roman" w:hAnsi="Times New Roman" w:cs="Times New Roman"/>
                      <w:b w:val="0"/>
                      <w:bCs/>
                      <w:color w:val="auto"/>
                      <w:sz w:val="21"/>
                      <w:szCs w:val="21"/>
                      <w:highlight w:val="none"/>
                      <w:vertAlign w:val="baseline"/>
                      <w:lang w:val="en-US" w:eastAsia="zh-CN"/>
                    </w:rPr>
                    <w:t>布袋除尘器</w:t>
                  </w:r>
                  <w:r>
                    <w:rPr>
                      <w:rFonts w:hint="eastAsia" w:cs="Times New Roman"/>
                      <w:b w:val="0"/>
                      <w:bCs/>
                      <w:color w:val="auto"/>
                      <w:sz w:val="21"/>
                      <w:szCs w:val="21"/>
                      <w:highlight w:val="none"/>
                      <w:vertAlign w:val="baseline"/>
                      <w:lang w:val="en-US" w:eastAsia="zh-CN"/>
                    </w:rPr>
                    <w:t>+15m高排气筒</w:t>
                  </w:r>
                </w:p>
              </w:tc>
            </w:tr>
            <w:tr w14:paraId="2B6C9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7" w:type="pct"/>
                  <w:vMerge w:val="continue"/>
                  <w:tcBorders>
                    <w:left w:val="single" w:color="000000" w:sz="4" w:space="0"/>
                    <w:right w:val="single" w:color="000000" w:sz="4" w:space="0"/>
                  </w:tcBorders>
                  <w:shd w:val="clear" w:color="auto" w:fill="FFFFFF"/>
                  <w:noWrap w:val="0"/>
                  <w:vAlign w:val="center"/>
                </w:tcPr>
                <w:p w14:paraId="6C6C3BF0">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7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2223A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食堂油烟</w:t>
                  </w:r>
                </w:p>
              </w:tc>
              <w:tc>
                <w:tcPr>
                  <w:tcW w:w="9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0DA6FB">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食堂</w:t>
                  </w:r>
                </w:p>
              </w:tc>
              <w:tc>
                <w:tcPr>
                  <w:tcW w:w="15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FB5CD9">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油烟</w:t>
                  </w:r>
                </w:p>
              </w:tc>
              <w:tc>
                <w:tcPr>
                  <w:tcW w:w="11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9EEBC2">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油烟净化器</w:t>
                  </w:r>
                </w:p>
              </w:tc>
            </w:tr>
            <w:tr w14:paraId="26D4C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7" w:type="pct"/>
                  <w:vMerge w:val="restart"/>
                  <w:tcBorders>
                    <w:top w:val="single" w:color="000000" w:sz="4" w:space="0"/>
                    <w:left w:val="single" w:color="000000" w:sz="4" w:space="0"/>
                    <w:right w:val="single" w:color="000000" w:sz="4" w:space="0"/>
                  </w:tcBorders>
                  <w:shd w:val="clear" w:color="auto" w:fill="FFFFFF"/>
                  <w:noWrap w:val="0"/>
                  <w:vAlign w:val="center"/>
                </w:tcPr>
                <w:p w14:paraId="5D674662">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废水</w:t>
                  </w:r>
                </w:p>
              </w:tc>
              <w:tc>
                <w:tcPr>
                  <w:tcW w:w="7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B317E3">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vertAlign w:val="baseline"/>
                      <w:lang w:val="en-US" w:eastAsia="zh-CN"/>
                    </w:rPr>
                    <w:t>冷却水</w:t>
                  </w:r>
                  <w:r>
                    <w:rPr>
                      <w:rFonts w:hint="default" w:ascii="Times New Roman" w:hAnsi="Times New Roman" w:cs="Times New Roman"/>
                      <w:b w:val="0"/>
                      <w:bCs/>
                      <w:color w:val="000000"/>
                      <w:sz w:val="21"/>
                      <w:szCs w:val="21"/>
                      <w:highlight w:val="none"/>
                      <w:vertAlign w:val="baseline"/>
                      <w:lang w:val="en-US" w:eastAsia="zh-CN"/>
                    </w:rPr>
                    <w:t>定期排水</w:t>
                  </w:r>
                </w:p>
              </w:tc>
              <w:tc>
                <w:tcPr>
                  <w:tcW w:w="9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A1D93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冷却</w:t>
                  </w:r>
                </w:p>
              </w:tc>
              <w:tc>
                <w:tcPr>
                  <w:tcW w:w="15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A1E67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COD、SS</w:t>
                  </w:r>
                </w:p>
              </w:tc>
              <w:tc>
                <w:tcPr>
                  <w:tcW w:w="11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DC1E6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排入市政管网</w:t>
                  </w:r>
                </w:p>
              </w:tc>
            </w:tr>
            <w:tr w14:paraId="6D07C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7" w:type="pct"/>
                  <w:vMerge w:val="continue"/>
                  <w:tcBorders>
                    <w:left w:val="single" w:color="000000" w:sz="4" w:space="0"/>
                    <w:right w:val="single" w:color="000000" w:sz="4" w:space="0"/>
                  </w:tcBorders>
                  <w:shd w:val="clear" w:color="auto" w:fill="FFFFFF"/>
                  <w:noWrap w:val="0"/>
                  <w:vAlign w:val="center"/>
                </w:tcPr>
                <w:p w14:paraId="181535F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7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4440A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生活污水</w:t>
                  </w:r>
                </w:p>
              </w:tc>
              <w:tc>
                <w:tcPr>
                  <w:tcW w:w="9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42F4C1">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职工生活</w:t>
                  </w:r>
                </w:p>
              </w:tc>
              <w:tc>
                <w:tcPr>
                  <w:tcW w:w="1554" w:type="pct"/>
                  <w:vMerge w:val="restart"/>
                  <w:tcBorders>
                    <w:top w:val="single" w:color="000000" w:sz="4" w:space="0"/>
                    <w:left w:val="single" w:color="000000" w:sz="4" w:space="0"/>
                    <w:right w:val="single" w:color="000000" w:sz="4" w:space="0"/>
                  </w:tcBorders>
                  <w:shd w:val="clear" w:color="auto" w:fill="FFFFFF"/>
                  <w:noWrap w:val="0"/>
                  <w:vAlign w:val="center"/>
                </w:tcPr>
                <w:p w14:paraId="7576BC9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COD、NH</w:t>
                  </w:r>
                  <w:r>
                    <w:rPr>
                      <w:rFonts w:hint="default" w:ascii="Times New Roman" w:hAnsi="Times New Roman" w:cs="Times New Roman"/>
                      <w:b w:val="0"/>
                      <w:bCs/>
                      <w:color w:val="000000"/>
                      <w:sz w:val="21"/>
                      <w:szCs w:val="21"/>
                      <w:highlight w:val="none"/>
                      <w:vertAlign w:val="subscript"/>
                      <w:lang w:val="en-US" w:eastAsia="zh-CN"/>
                    </w:rPr>
                    <w:t>3</w:t>
                  </w:r>
                  <w:r>
                    <w:rPr>
                      <w:rFonts w:hint="default" w:ascii="Times New Roman" w:hAnsi="Times New Roman" w:cs="Times New Roman"/>
                      <w:b w:val="0"/>
                      <w:bCs/>
                      <w:color w:val="000000"/>
                      <w:sz w:val="21"/>
                      <w:szCs w:val="21"/>
                      <w:highlight w:val="none"/>
                      <w:vertAlign w:val="baseline"/>
                      <w:lang w:val="en-US" w:eastAsia="zh-CN"/>
                    </w:rPr>
                    <w:t>-N、BOD</w:t>
                  </w:r>
                  <w:r>
                    <w:rPr>
                      <w:rFonts w:hint="default" w:ascii="Times New Roman" w:hAnsi="Times New Roman" w:cs="Times New Roman"/>
                      <w:b w:val="0"/>
                      <w:bCs/>
                      <w:color w:val="000000"/>
                      <w:sz w:val="21"/>
                      <w:szCs w:val="21"/>
                      <w:highlight w:val="none"/>
                      <w:vertAlign w:val="subscript"/>
                      <w:lang w:val="en-US" w:eastAsia="zh-CN"/>
                    </w:rPr>
                    <w:t>5</w:t>
                  </w:r>
                  <w:r>
                    <w:rPr>
                      <w:rFonts w:hint="default" w:ascii="Times New Roman" w:hAnsi="Times New Roman" w:cs="Times New Roman"/>
                      <w:b w:val="0"/>
                      <w:bCs/>
                      <w:color w:val="000000"/>
                      <w:sz w:val="21"/>
                      <w:szCs w:val="21"/>
                      <w:highlight w:val="none"/>
                      <w:vertAlign w:val="baseline"/>
                      <w:lang w:val="en-US" w:eastAsia="zh-CN"/>
                    </w:rPr>
                    <w:t>、SS、</w:t>
                  </w:r>
                  <w:r>
                    <w:rPr>
                      <w:rFonts w:hint="eastAsia" w:cs="Times New Roman"/>
                      <w:b w:val="0"/>
                      <w:bCs/>
                      <w:color w:val="000000"/>
                      <w:sz w:val="21"/>
                      <w:szCs w:val="21"/>
                      <w:highlight w:val="none"/>
                      <w:vertAlign w:val="baseline"/>
                      <w:lang w:val="en-US" w:eastAsia="zh-CN"/>
                    </w:rPr>
                    <w:t>TP、</w:t>
                  </w:r>
                  <w:r>
                    <w:rPr>
                      <w:rFonts w:hint="default" w:ascii="Times New Roman" w:hAnsi="Times New Roman" w:cs="Times New Roman"/>
                      <w:b w:val="0"/>
                      <w:bCs/>
                      <w:color w:val="000000"/>
                      <w:sz w:val="21"/>
                      <w:szCs w:val="21"/>
                      <w:highlight w:val="none"/>
                      <w:vertAlign w:val="baseline"/>
                      <w:lang w:val="en-US" w:eastAsia="zh-CN"/>
                    </w:rPr>
                    <w:t>动植物油</w:t>
                  </w:r>
                </w:p>
              </w:tc>
              <w:tc>
                <w:tcPr>
                  <w:tcW w:w="11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FC7FBB">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经化粪池处理后排入市政管网</w:t>
                  </w:r>
                </w:p>
              </w:tc>
            </w:tr>
            <w:tr w14:paraId="5914C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7" w:type="pct"/>
                  <w:vMerge w:val="continue"/>
                  <w:tcBorders>
                    <w:left w:val="single" w:color="000000" w:sz="4" w:space="0"/>
                    <w:bottom w:val="single" w:color="000000" w:sz="4" w:space="0"/>
                    <w:right w:val="single" w:color="000000" w:sz="4" w:space="0"/>
                  </w:tcBorders>
                  <w:shd w:val="clear" w:color="auto" w:fill="FFFFFF"/>
                  <w:noWrap w:val="0"/>
                  <w:vAlign w:val="center"/>
                </w:tcPr>
                <w:p w14:paraId="4BB57070">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7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9BE3A4">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餐饮废水</w:t>
                  </w:r>
                </w:p>
              </w:tc>
              <w:tc>
                <w:tcPr>
                  <w:tcW w:w="9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DB64B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食堂</w:t>
                  </w:r>
                </w:p>
              </w:tc>
              <w:tc>
                <w:tcPr>
                  <w:tcW w:w="1554" w:type="pct"/>
                  <w:vMerge w:val="continue"/>
                  <w:tcBorders>
                    <w:left w:val="single" w:color="000000" w:sz="4" w:space="0"/>
                    <w:bottom w:val="single" w:color="000000" w:sz="4" w:space="0"/>
                    <w:right w:val="single" w:color="000000" w:sz="4" w:space="0"/>
                  </w:tcBorders>
                  <w:shd w:val="clear" w:color="auto" w:fill="FFFFFF"/>
                  <w:noWrap w:val="0"/>
                  <w:vAlign w:val="center"/>
                </w:tcPr>
                <w:p w14:paraId="12CB4CA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11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1F0A1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经隔油池处理后排入市政管网</w:t>
                  </w:r>
                </w:p>
              </w:tc>
            </w:tr>
            <w:tr w14:paraId="426CE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709A9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噪声</w:t>
                  </w:r>
                </w:p>
              </w:tc>
              <w:tc>
                <w:tcPr>
                  <w:tcW w:w="7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5DA83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机器噪声</w:t>
                  </w:r>
                </w:p>
              </w:tc>
              <w:tc>
                <w:tcPr>
                  <w:tcW w:w="9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D4E9A1">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设备运行</w:t>
                  </w:r>
                </w:p>
              </w:tc>
              <w:tc>
                <w:tcPr>
                  <w:tcW w:w="15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B6089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噪声</w:t>
                  </w:r>
                </w:p>
              </w:tc>
              <w:tc>
                <w:tcPr>
                  <w:tcW w:w="11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B9E710">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基础减震、隔声等降噪措施</w:t>
                  </w:r>
                </w:p>
              </w:tc>
            </w:tr>
            <w:tr w14:paraId="1AF9A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7" w:type="pct"/>
                  <w:vMerge w:val="restart"/>
                  <w:tcBorders>
                    <w:top w:val="single" w:color="000000" w:sz="4" w:space="0"/>
                    <w:left w:val="single" w:color="000000" w:sz="4" w:space="0"/>
                    <w:right w:val="single" w:color="000000" w:sz="4" w:space="0"/>
                  </w:tcBorders>
                  <w:shd w:val="clear" w:color="auto" w:fill="FFFFFF"/>
                  <w:noWrap w:val="0"/>
                  <w:vAlign w:val="center"/>
                </w:tcPr>
                <w:p w14:paraId="13133E1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固体废物</w:t>
                  </w:r>
                </w:p>
              </w:tc>
              <w:tc>
                <w:tcPr>
                  <w:tcW w:w="7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CA534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不合格</w:t>
                  </w:r>
                  <w:r>
                    <w:rPr>
                      <w:rFonts w:hint="eastAsia" w:cs="Times New Roman"/>
                      <w:b w:val="0"/>
                      <w:bCs/>
                      <w:color w:val="000000"/>
                      <w:sz w:val="21"/>
                      <w:szCs w:val="21"/>
                      <w:highlight w:val="none"/>
                      <w:vertAlign w:val="baseline"/>
                      <w:lang w:val="en-US" w:eastAsia="zh-CN"/>
                    </w:rPr>
                    <w:t>机器人电缆</w:t>
                  </w:r>
                </w:p>
              </w:tc>
              <w:tc>
                <w:tcPr>
                  <w:tcW w:w="9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61EE4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成品检验</w:t>
                  </w:r>
                </w:p>
              </w:tc>
              <w:tc>
                <w:tcPr>
                  <w:tcW w:w="1554" w:type="pct"/>
                  <w:vMerge w:val="restart"/>
                  <w:tcBorders>
                    <w:top w:val="single" w:color="000000" w:sz="4" w:space="0"/>
                    <w:left w:val="single" w:color="000000" w:sz="4" w:space="0"/>
                    <w:right w:val="single" w:color="000000" w:sz="4" w:space="0"/>
                  </w:tcBorders>
                  <w:shd w:val="clear" w:color="auto" w:fill="FFFFFF"/>
                  <w:noWrap w:val="0"/>
                  <w:vAlign w:val="center"/>
                </w:tcPr>
                <w:p w14:paraId="1BAC26D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一般固废</w:t>
                  </w:r>
                </w:p>
              </w:tc>
              <w:tc>
                <w:tcPr>
                  <w:tcW w:w="1190" w:type="pct"/>
                  <w:tcBorders>
                    <w:top w:val="single" w:color="000000" w:sz="4" w:space="0"/>
                    <w:left w:val="single" w:color="000000" w:sz="4" w:space="0"/>
                    <w:right w:val="single" w:color="000000" w:sz="4" w:space="0"/>
                  </w:tcBorders>
                  <w:shd w:val="clear" w:color="auto" w:fill="FFFFFF"/>
                  <w:noWrap w:val="0"/>
                  <w:vAlign w:val="center"/>
                </w:tcPr>
                <w:p w14:paraId="5B5441A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收集后暂存于一般固废暂存区，后外售综合利用</w:t>
                  </w:r>
                </w:p>
              </w:tc>
            </w:tr>
            <w:tr w14:paraId="4CA30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7" w:type="pct"/>
                  <w:vMerge w:val="continue"/>
                  <w:tcBorders>
                    <w:left w:val="single" w:color="000000" w:sz="4" w:space="0"/>
                    <w:right w:val="single" w:color="000000" w:sz="4" w:space="0"/>
                  </w:tcBorders>
                  <w:shd w:val="clear" w:color="auto" w:fill="FFFFFF"/>
                  <w:noWrap w:val="0"/>
                  <w:vAlign w:val="center"/>
                </w:tcPr>
                <w:p w14:paraId="78B9B899">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7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2DDF7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不合格塑料电缆颗粒</w:t>
                  </w:r>
                </w:p>
              </w:tc>
              <w:tc>
                <w:tcPr>
                  <w:tcW w:w="9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706203">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筛分</w:t>
                  </w:r>
                </w:p>
              </w:tc>
              <w:tc>
                <w:tcPr>
                  <w:tcW w:w="1554" w:type="pct"/>
                  <w:vMerge w:val="continue"/>
                  <w:tcBorders>
                    <w:left w:val="single" w:color="000000" w:sz="4" w:space="0"/>
                    <w:right w:val="single" w:color="000000" w:sz="4" w:space="0"/>
                  </w:tcBorders>
                  <w:shd w:val="clear" w:color="auto" w:fill="FFFFFF"/>
                  <w:noWrap w:val="0"/>
                  <w:vAlign w:val="center"/>
                </w:tcPr>
                <w:p w14:paraId="3B77C85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1190" w:type="pct"/>
                  <w:tcBorders>
                    <w:left w:val="single" w:color="000000" w:sz="4" w:space="0"/>
                    <w:right w:val="single" w:color="000000" w:sz="4" w:space="0"/>
                  </w:tcBorders>
                  <w:shd w:val="clear" w:color="auto" w:fill="FFFFFF"/>
                  <w:noWrap w:val="0"/>
                  <w:vAlign w:val="center"/>
                </w:tcPr>
                <w:p w14:paraId="78B71371">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回收利用</w:t>
                  </w:r>
                </w:p>
              </w:tc>
            </w:tr>
            <w:tr w14:paraId="256A9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7" w:type="pct"/>
                  <w:vMerge w:val="continue"/>
                  <w:tcBorders>
                    <w:left w:val="single" w:color="000000" w:sz="4" w:space="0"/>
                    <w:right w:val="single" w:color="000000" w:sz="4" w:space="0"/>
                  </w:tcBorders>
                  <w:shd w:val="clear" w:color="auto" w:fill="FFFFFF"/>
                  <w:noWrap w:val="0"/>
                  <w:vAlign w:val="center"/>
                </w:tcPr>
                <w:p w14:paraId="63051EB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7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F450E0">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布袋除尘收尘和废布袋</w:t>
                  </w:r>
                </w:p>
              </w:tc>
              <w:tc>
                <w:tcPr>
                  <w:tcW w:w="9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97947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废气治理</w:t>
                  </w:r>
                </w:p>
              </w:tc>
              <w:tc>
                <w:tcPr>
                  <w:tcW w:w="1554" w:type="pct"/>
                  <w:vMerge w:val="continue"/>
                  <w:tcBorders>
                    <w:left w:val="single" w:color="000000" w:sz="4" w:space="0"/>
                    <w:bottom w:val="single" w:color="000000" w:sz="4" w:space="0"/>
                    <w:right w:val="single" w:color="000000" w:sz="4" w:space="0"/>
                  </w:tcBorders>
                  <w:shd w:val="clear" w:color="auto" w:fill="FFFFFF"/>
                  <w:noWrap w:val="0"/>
                  <w:vAlign w:val="center"/>
                </w:tcPr>
                <w:p w14:paraId="025D6552">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1190" w:type="pct"/>
                  <w:tcBorders>
                    <w:left w:val="single" w:color="000000" w:sz="4" w:space="0"/>
                    <w:bottom w:val="single" w:color="000000" w:sz="4" w:space="0"/>
                    <w:right w:val="single" w:color="000000" w:sz="4" w:space="0"/>
                  </w:tcBorders>
                  <w:shd w:val="clear" w:color="auto" w:fill="FFFFFF"/>
                  <w:noWrap w:val="0"/>
                  <w:vAlign w:val="center"/>
                </w:tcPr>
                <w:p w14:paraId="58CA6D4E">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收集后暂存于一般固废暂存区，后外售综合利用</w:t>
                  </w:r>
                </w:p>
              </w:tc>
            </w:tr>
            <w:tr w14:paraId="5F1C4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7" w:type="pct"/>
                  <w:vMerge w:val="continue"/>
                  <w:tcBorders>
                    <w:left w:val="single" w:color="000000" w:sz="4" w:space="0"/>
                    <w:right w:val="single" w:color="000000" w:sz="4" w:space="0"/>
                  </w:tcBorders>
                  <w:shd w:val="clear" w:color="auto" w:fill="FFFFFF"/>
                  <w:noWrap w:val="0"/>
                  <w:vAlign w:val="center"/>
                </w:tcPr>
                <w:p w14:paraId="3AD1A7D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7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961FB0">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生活垃圾</w:t>
                  </w:r>
                </w:p>
              </w:tc>
              <w:tc>
                <w:tcPr>
                  <w:tcW w:w="9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C662A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职工生活</w:t>
                  </w:r>
                </w:p>
              </w:tc>
              <w:tc>
                <w:tcPr>
                  <w:tcW w:w="15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460FE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eastAsia" w:cs="Times New Roman"/>
                      <w:b w:val="0"/>
                      <w:bCs/>
                      <w:color w:val="000000"/>
                      <w:sz w:val="21"/>
                      <w:szCs w:val="21"/>
                      <w:highlight w:val="none"/>
                      <w:vertAlign w:val="baseline"/>
                      <w:lang w:val="en-US" w:eastAsia="zh-CN"/>
                    </w:rPr>
                    <w:t>/</w:t>
                  </w:r>
                </w:p>
              </w:tc>
              <w:tc>
                <w:tcPr>
                  <w:tcW w:w="11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81371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环卫部门定期清运</w:t>
                  </w:r>
                </w:p>
              </w:tc>
            </w:tr>
            <w:tr w14:paraId="369A7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7" w:type="pct"/>
                  <w:vMerge w:val="continue"/>
                  <w:tcBorders>
                    <w:left w:val="single" w:color="000000" w:sz="4" w:space="0"/>
                    <w:right w:val="single" w:color="000000" w:sz="4" w:space="0"/>
                  </w:tcBorders>
                  <w:shd w:val="clear" w:color="auto" w:fill="FFFFFF"/>
                  <w:noWrap w:val="0"/>
                  <w:vAlign w:val="center"/>
                </w:tcPr>
                <w:p w14:paraId="19316D8C">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7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5F09C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eastAsia="宋体" w:cs="Times New Roman"/>
                      <w:b w:val="0"/>
                      <w:bCs w:val="0"/>
                      <w:color w:val="000000"/>
                      <w:sz w:val="21"/>
                      <w:szCs w:val="21"/>
                      <w:highlight w:val="none"/>
                      <w:vertAlign w:val="baseline"/>
                      <w:lang w:val="en-US" w:eastAsia="zh-CN"/>
                    </w:rPr>
                    <w:t>废活性炭</w:t>
                  </w:r>
                </w:p>
              </w:tc>
              <w:tc>
                <w:tcPr>
                  <w:tcW w:w="9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F3EA1C">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废气治理</w:t>
                  </w:r>
                </w:p>
              </w:tc>
              <w:tc>
                <w:tcPr>
                  <w:tcW w:w="1554" w:type="pct"/>
                  <w:vMerge w:val="restart"/>
                  <w:tcBorders>
                    <w:top w:val="single" w:color="000000" w:sz="4" w:space="0"/>
                    <w:left w:val="single" w:color="000000" w:sz="4" w:space="0"/>
                    <w:right w:val="single" w:color="000000" w:sz="4" w:space="0"/>
                  </w:tcBorders>
                  <w:shd w:val="clear" w:color="auto" w:fill="FFFFFF"/>
                  <w:noWrap w:val="0"/>
                  <w:vAlign w:val="center"/>
                </w:tcPr>
                <w:p w14:paraId="6EFB757C">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危险废物</w:t>
                  </w:r>
                </w:p>
              </w:tc>
              <w:tc>
                <w:tcPr>
                  <w:tcW w:w="1190" w:type="pct"/>
                  <w:vMerge w:val="restart"/>
                  <w:tcBorders>
                    <w:top w:val="single" w:color="000000" w:sz="4" w:space="0"/>
                    <w:left w:val="single" w:color="000000" w:sz="4" w:space="0"/>
                    <w:right w:val="single" w:color="000000" w:sz="4" w:space="0"/>
                  </w:tcBorders>
                  <w:shd w:val="clear" w:color="auto" w:fill="FFFFFF"/>
                  <w:noWrap w:val="0"/>
                  <w:vAlign w:val="center"/>
                </w:tcPr>
                <w:p w14:paraId="042A959C">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r>
                    <w:rPr>
                      <w:rFonts w:hint="default" w:ascii="Times New Roman" w:hAnsi="Times New Roman" w:cs="Times New Roman"/>
                      <w:b w:val="0"/>
                      <w:bCs/>
                      <w:color w:val="000000"/>
                      <w:sz w:val="21"/>
                      <w:szCs w:val="21"/>
                      <w:highlight w:val="none"/>
                      <w:vertAlign w:val="baseline"/>
                      <w:lang w:val="en-US" w:eastAsia="zh-CN"/>
                    </w:rPr>
                    <w:t>收集后暂存于危废库，后委托有资质单位处理</w:t>
                  </w:r>
                </w:p>
              </w:tc>
            </w:tr>
            <w:tr w14:paraId="544FD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7" w:type="pct"/>
                  <w:vMerge w:val="continue"/>
                  <w:tcBorders>
                    <w:left w:val="single" w:color="000000" w:sz="4" w:space="0"/>
                    <w:right w:val="single" w:color="000000" w:sz="4" w:space="0"/>
                  </w:tcBorders>
                  <w:shd w:val="clear" w:color="auto" w:fill="FFFFFF"/>
                  <w:noWrap w:val="0"/>
                  <w:vAlign w:val="center"/>
                </w:tcPr>
                <w:p w14:paraId="749A6159">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7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199913">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sz w:val="21"/>
                      <w:szCs w:val="21"/>
                      <w:highlight w:val="none"/>
                      <w:vertAlign w:val="baseline"/>
                      <w:lang w:val="en-US" w:eastAsia="zh-CN"/>
                    </w:rPr>
                  </w:pPr>
                  <w:r>
                    <w:rPr>
                      <w:rFonts w:hint="default" w:ascii="Times New Roman" w:hAnsi="Times New Roman" w:eastAsia="宋体" w:cs="Times New Roman"/>
                      <w:b w:val="0"/>
                      <w:bCs w:val="0"/>
                      <w:color w:val="000000"/>
                      <w:sz w:val="21"/>
                      <w:szCs w:val="21"/>
                      <w:highlight w:val="none"/>
                      <w:vertAlign w:val="baseline"/>
                      <w:lang w:val="en-US" w:eastAsia="zh-CN"/>
                    </w:rPr>
                    <w:t>废机油</w:t>
                  </w:r>
                </w:p>
              </w:tc>
              <w:tc>
                <w:tcPr>
                  <w:tcW w:w="9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5D29A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color w:val="000000"/>
                      <w:sz w:val="21"/>
                      <w:szCs w:val="21"/>
                      <w:highlight w:val="none"/>
                      <w:vertAlign w:val="baseline"/>
                      <w:lang w:val="en-US" w:eastAsia="zh-CN"/>
                    </w:rPr>
                  </w:pPr>
                  <w:r>
                    <w:rPr>
                      <w:rFonts w:hint="default" w:ascii="Times New Roman" w:hAnsi="Times New Roman" w:cs="Times New Roman"/>
                      <w:b w:val="0"/>
                      <w:bCs w:val="0"/>
                      <w:color w:val="000000"/>
                      <w:sz w:val="21"/>
                      <w:szCs w:val="21"/>
                      <w:highlight w:val="none"/>
                      <w:vertAlign w:val="baseline"/>
                      <w:lang w:val="en-US" w:eastAsia="zh-CN"/>
                    </w:rPr>
                    <w:t>设备维保</w:t>
                  </w:r>
                </w:p>
              </w:tc>
              <w:tc>
                <w:tcPr>
                  <w:tcW w:w="1554" w:type="pct"/>
                  <w:vMerge w:val="continue"/>
                  <w:tcBorders>
                    <w:left w:val="single" w:color="000000" w:sz="4" w:space="0"/>
                    <w:right w:val="single" w:color="000000" w:sz="4" w:space="0"/>
                  </w:tcBorders>
                  <w:shd w:val="clear" w:color="auto" w:fill="FFFFFF"/>
                  <w:noWrap w:val="0"/>
                  <w:vAlign w:val="center"/>
                </w:tcPr>
                <w:p w14:paraId="1AB757E4">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1190" w:type="pct"/>
                  <w:vMerge w:val="continue"/>
                  <w:tcBorders>
                    <w:left w:val="single" w:color="000000" w:sz="4" w:space="0"/>
                    <w:right w:val="single" w:color="000000" w:sz="4" w:space="0"/>
                  </w:tcBorders>
                  <w:shd w:val="clear" w:color="auto" w:fill="FFFFFF"/>
                  <w:noWrap w:val="0"/>
                  <w:vAlign w:val="center"/>
                </w:tcPr>
                <w:p w14:paraId="088ECC13">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r>
            <w:tr w14:paraId="28C9A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7" w:type="pct"/>
                  <w:vMerge w:val="continue"/>
                  <w:tcBorders>
                    <w:left w:val="single" w:color="000000" w:sz="4" w:space="0"/>
                    <w:right w:val="single" w:color="000000" w:sz="4" w:space="0"/>
                  </w:tcBorders>
                  <w:shd w:val="clear" w:color="auto" w:fill="FFFFFF"/>
                  <w:noWrap w:val="0"/>
                  <w:vAlign w:val="center"/>
                </w:tcPr>
                <w:p w14:paraId="4DC56D92">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7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9F41C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sz w:val="21"/>
                      <w:szCs w:val="21"/>
                      <w:highlight w:val="none"/>
                      <w:vertAlign w:val="baseline"/>
                      <w:lang w:val="en-US" w:eastAsia="zh-CN"/>
                    </w:rPr>
                  </w:pPr>
                  <w:r>
                    <w:rPr>
                      <w:rFonts w:hint="default" w:ascii="Times New Roman" w:hAnsi="Times New Roman" w:eastAsia="宋体" w:cs="Times New Roman"/>
                      <w:b w:val="0"/>
                      <w:bCs w:val="0"/>
                      <w:color w:val="000000"/>
                      <w:sz w:val="21"/>
                      <w:szCs w:val="21"/>
                      <w:highlight w:val="none"/>
                      <w:vertAlign w:val="baseline"/>
                      <w:lang w:val="en-US" w:eastAsia="zh-CN"/>
                    </w:rPr>
                    <w:t>废机油桶</w:t>
                  </w:r>
                </w:p>
              </w:tc>
              <w:tc>
                <w:tcPr>
                  <w:tcW w:w="9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19CC6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color w:val="000000"/>
                      <w:sz w:val="21"/>
                      <w:szCs w:val="21"/>
                      <w:highlight w:val="none"/>
                      <w:vertAlign w:val="baseline"/>
                      <w:lang w:val="en-US" w:eastAsia="zh-CN"/>
                    </w:rPr>
                  </w:pPr>
                  <w:r>
                    <w:rPr>
                      <w:rFonts w:hint="default" w:ascii="Times New Roman" w:hAnsi="Times New Roman" w:cs="Times New Roman"/>
                      <w:b w:val="0"/>
                      <w:bCs w:val="0"/>
                      <w:color w:val="000000"/>
                      <w:sz w:val="21"/>
                      <w:szCs w:val="21"/>
                      <w:highlight w:val="none"/>
                      <w:vertAlign w:val="baseline"/>
                      <w:lang w:val="en-US" w:eastAsia="zh-CN"/>
                    </w:rPr>
                    <w:t>设备维保</w:t>
                  </w:r>
                </w:p>
              </w:tc>
              <w:tc>
                <w:tcPr>
                  <w:tcW w:w="1554" w:type="pct"/>
                  <w:vMerge w:val="continue"/>
                  <w:tcBorders>
                    <w:left w:val="single" w:color="000000" w:sz="4" w:space="0"/>
                    <w:right w:val="single" w:color="000000" w:sz="4" w:space="0"/>
                  </w:tcBorders>
                  <w:shd w:val="clear" w:color="auto" w:fill="FFFFFF"/>
                  <w:noWrap w:val="0"/>
                  <w:vAlign w:val="center"/>
                </w:tcPr>
                <w:p w14:paraId="5EA6FB9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1190" w:type="pct"/>
                  <w:vMerge w:val="continue"/>
                  <w:tcBorders>
                    <w:left w:val="single" w:color="000000" w:sz="4" w:space="0"/>
                    <w:right w:val="single" w:color="000000" w:sz="4" w:space="0"/>
                  </w:tcBorders>
                  <w:shd w:val="clear" w:color="auto" w:fill="FFFFFF"/>
                  <w:noWrap w:val="0"/>
                  <w:vAlign w:val="center"/>
                </w:tcPr>
                <w:p w14:paraId="665B0CBE">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r>
            <w:tr w14:paraId="30225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7" w:type="pct"/>
                  <w:vMerge w:val="continue"/>
                  <w:tcBorders>
                    <w:left w:val="single" w:color="000000" w:sz="4" w:space="0"/>
                    <w:right w:val="single" w:color="000000" w:sz="4" w:space="0"/>
                  </w:tcBorders>
                  <w:shd w:val="clear" w:color="auto" w:fill="FFFFFF"/>
                  <w:noWrap w:val="0"/>
                  <w:vAlign w:val="center"/>
                </w:tcPr>
                <w:p w14:paraId="693F7DA9">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7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F80B9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sz w:val="21"/>
                      <w:szCs w:val="21"/>
                      <w:highlight w:val="none"/>
                      <w:vertAlign w:val="baseline"/>
                      <w:lang w:val="en-US" w:eastAsia="zh-CN"/>
                    </w:rPr>
                  </w:pPr>
                  <w:r>
                    <w:rPr>
                      <w:rFonts w:hint="default" w:ascii="Times New Roman" w:hAnsi="Times New Roman" w:eastAsia="宋体" w:cs="Times New Roman"/>
                      <w:b w:val="0"/>
                      <w:bCs w:val="0"/>
                      <w:color w:val="000000"/>
                      <w:sz w:val="21"/>
                      <w:szCs w:val="21"/>
                      <w:highlight w:val="none"/>
                      <w:vertAlign w:val="baseline"/>
                      <w:lang w:val="en-US" w:eastAsia="zh-CN"/>
                    </w:rPr>
                    <w:t>废油墨</w:t>
                  </w:r>
                  <w:r>
                    <w:rPr>
                      <w:rFonts w:hint="default" w:ascii="Times New Roman" w:hAnsi="Times New Roman" w:cs="Times New Roman"/>
                      <w:b w:val="0"/>
                      <w:bCs w:val="0"/>
                      <w:color w:val="000000"/>
                      <w:sz w:val="21"/>
                      <w:szCs w:val="21"/>
                      <w:highlight w:val="none"/>
                      <w:vertAlign w:val="baseline"/>
                      <w:lang w:val="en-US" w:eastAsia="zh-CN"/>
                    </w:rPr>
                    <w:t>包装桶</w:t>
                  </w:r>
                </w:p>
              </w:tc>
              <w:tc>
                <w:tcPr>
                  <w:tcW w:w="9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3E0C0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color w:val="000000"/>
                      <w:sz w:val="21"/>
                      <w:szCs w:val="21"/>
                      <w:highlight w:val="none"/>
                      <w:vertAlign w:val="baseline"/>
                      <w:lang w:val="en-US" w:eastAsia="zh-CN"/>
                    </w:rPr>
                  </w:pPr>
                  <w:r>
                    <w:rPr>
                      <w:rFonts w:hint="default" w:ascii="Times New Roman" w:hAnsi="Times New Roman" w:cs="Times New Roman"/>
                      <w:b w:val="0"/>
                      <w:bCs w:val="0"/>
                      <w:color w:val="000000"/>
                      <w:sz w:val="21"/>
                      <w:szCs w:val="21"/>
                      <w:highlight w:val="none"/>
                      <w:vertAlign w:val="baseline"/>
                      <w:lang w:val="en-US" w:eastAsia="zh-CN"/>
                    </w:rPr>
                    <w:t>喷码</w:t>
                  </w:r>
                </w:p>
              </w:tc>
              <w:tc>
                <w:tcPr>
                  <w:tcW w:w="1554" w:type="pct"/>
                  <w:vMerge w:val="continue"/>
                  <w:tcBorders>
                    <w:left w:val="single" w:color="000000" w:sz="4" w:space="0"/>
                    <w:right w:val="single" w:color="000000" w:sz="4" w:space="0"/>
                  </w:tcBorders>
                  <w:shd w:val="clear" w:color="auto" w:fill="FFFFFF"/>
                  <w:noWrap w:val="0"/>
                  <w:vAlign w:val="center"/>
                </w:tcPr>
                <w:p w14:paraId="32C7695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1190" w:type="pct"/>
                  <w:vMerge w:val="continue"/>
                  <w:tcBorders>
                    <w:left w:val="single" w:color="000000" w:sz="4" w:space="0"/>
                    <w:right w:val="single" w:color="000000" w:sz="4" w:space="0"/>
                  </w:tcBorders>
                  <w:shd w:val="clear" w:color="auto" w:fill="FFFFFF"/>
                  <w:noWrap w:val="0"/>
                  <w:vAlign w:val="center"/>
                </w:tcPr>
                <w:p w14:paraId="182917BE">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r>
            <w:tr w14:paraId="15B74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7" w:type="pct"/>
                  <w:vMerge w:val="continue"/>
                  <w:tcBorders>
                    <w:left w:val="single" w:color="000000" w:sz="4" w:space="0"/>
                    <w:right w:val="single" w:color="000000" w:sz="4" w:space="0"/>
                  </w:tcBorders>
                  <w:shd w:val="clear" w:color="auto" w:fill="FFFFFF"/>
                  <w:noWrap w:val="0"/>
                  <w:vAlign w:val="center"/>
                </w:tcPr>
                <w:p w14:paraId="31075F1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7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5FAC7B">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sz w:val="21"/>
                      <w:szCs w:val="21"/>
                      <w:highlight w:val="none"/>
                      <w:vertAlign w:val="baseline"/>
                      <w:lang w:val="en-US" w:eastAsia="zh-CN"/>
                    </w:rPr>
                  </w:pPr>
                  <w:r>
                    <w:rPr>
                      <w:rFonts w:hint="default" w:ascii="Times New Roman" w:hAnsi="Times New Roman" w:cs="Times New Roman"/>
                      <w:b w:val="0"/>
                      <w:bCs w:val="0"/>
                      <w:color w:val="000000"/>
                      <w:sz w:val="21"/>
                      <w:szCs w:val="21"/>
                      <w:highlight w:val="none"/>
                      <w:vertAlign w:val="baseline"/>
                      <w:lang w:val="en-US" w:eastAsia="zh-CN"/>
                    </w:rPr>
                    <w:t>含油抹布和手套</w:t>
                  </w:r>
                </w:p>
              </w:tc>
              <w:tc>
                <w:tcPr>
                  <w:tcW w:w="9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5AEB19">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val="0"/>
                      <w:color w:val="000000"/>
                      <w:sz w:val="21"/>
                      <w:szCs w:val="21"/>
                      <w:highlight w:val="none"/>
                      <w:vertAlign w:val="baseline"/>
                      <w:lang w:val="en-US" w:eastAsia="zh-CN"/>
                    </w:rPr>
                  </w:pPr>
                  <w:r>
                    <w:rPr>
                      <w:rFonts w:hint="default" w:ascii="Times New Roman" w:hAnsi="Times New Roman" w:cs="Times New Roman"/>
                      <w:b w:val="0"/>
                      <w:bCs w:val="0"/>
                      <w:color w:val="000000"/>
                      <w:sz w:val="21"/>
                      <w:szCs w:val="21"/>
                      <w:highlight w:val="none"/>
                      <w:vertAlign w:val="baseline"/>
                      <w:lang w:val="en-US" w:eastAsia="zh-CN"/>
                    </w:rPr>
                    <w:t>设备维保</w:t>
                  </w:r>
                </w:p>
              </w:tc>
              <w:tc>
                <w:tcPr>
                  <w:tcW w:w="1554" w:type="pct"/>
                  <w:vMerge w:val="continue"/>
                  <w:tcBorders>
                    <w:left w:val="single" w:color="000000" w:sz="4" w:space="0"/>
                    <w:right w:val="single" w:color="000000" w:sz="4" w:space="0"/>
                  </w:tcBorders>
                  <w:shd w:val="clear" w:color="auto" w:fill="FFFFFF"/>
                  <w:noWrap w:val="0"/>
                  <w:vAlign w:val="center"/>
                </w:tcPr>
                <w:p w14:paraId="5FD8FC1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1190" w:type="pct"/>
                  <w:vMerge w:val="continue"/>
                  <w:tcBorders>
                    <w:left w:val="single" w:color="000000" w:sz="4" w:space="0"/>
                    <w:right w:val="single" w:color="000000" w:sz="4" w:space="0"/>
                  </w:tcBorders>
                  <w:shd w:val="clear" w:color="auto" w:fill="FFFFFF"/>
                  <w:noWrap w:val="0"/>
                  <w:vAlign w:val="center"/>
                </w:tcPr>
                <w:p w14:paraId="5AD1DEA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r>
            <w:tr w14:paraId="5BB9F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7" w:type="pct"/>
                  <w:vMerge w:val="continue"/>
                  <w:tcBorders>
                    <w:left w:val="single" w:color="000000" w:sz="4" w:space="0"/>
                    <w:right w:val="single" w:color="000000" w:sz="4" w:space="0"/>
                  </w:tcBorders>
                  <w:shd w:val="clear" w:color="auto" w:fill="FFFFFF"/>
                  <w:noWrap w:val="0"/>
                  <w:vAlign w:val="center"/>
                </w:tcPr>
                <w:p w14:paraId="7758170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7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641900">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val="0"/>
                      <w:color w:val="000000"/>
                      <w:sz w:val="21"/>
                      <w:szCs w:val="21"/>
                      <w:highlight w:val="none"/>
                      <w:vertAlign w:val="baseline"/>
                      <w:lang w:val="en-US" w:eastAsia="zh-CN"/>
                    </w:rPr>
                  </w:pPr>
                  <w:r>
                    <w:rPr>
                      <w:rFonts w:hint="eastAsia" w:cs="Times New Roman"/>
                      <w:b w:val="0"/>
                      <w:bCs w:val="0"/>
                      <w:color w:val="000000"/>
                      <w:sz w:val="21"/>
                      <w:szCs w:val="21"/>
                      <w:vertAlign w:val="baseline"/>
                      <w:lang w:val="en-US" w:eastAsia="zh-CN"/>
                    </w:rPr>
                    <w:t>油雾净化器收集废油</w:t>
                  </w:r>
                </w:p>
              </w:tc>
              <w:tc>
                <w:tcPr>
                  <w:tcW w:w="9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3776B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val="0"/>
                      <w:color w:val="000000"/>
                      <w:sz w:val="21"/>
                      <w:szCs w:val="21"/>
                      <w:highlight w:val="none"/>
                      <w:vertAlign w:val="baseline"/>
                      <w:lang w:val="en-US" w:eastAsia="zh-CN"/>
                    </w:rPr>
                  </w:pPr>
                  <w:r>
                    <w:rPr>
                      <w:rFonts w:hint="eastAsia" w:cs="Times New Roman"/>
                      <w:b w:val="0"/>
                      <w:bCs w:val="0"/>
                      <w:color w:val="000000"/>
                      <w:sz w:val="21"/>
                      <w:szCs w:val="21"/>
                      <w:highlight w:val="none"/>
                      <w:vertAlign w:val="baseline"/>
                      <w:lang w:val="en-US" w:eastAsia="zh-CN"/>
                    </w:rPr>
                    <w:t>废气治理</w:t>
                  </w:r>
                </w:p>
              </w:tc>
              <w:tc>
                <w:tcPr>
                  <w:tcW w:w="1554" w:type="pct"/>
                  <w:vMerge w:val="continue"/>
                  <w:tcBorders>
                    <w:left w:val="single" w:color="000000" w:sz="4" w:space="0"/>
                    <w:bottom w:val="single" w:color="000000" w:sz="4" w:space="0"/>
                    <w:right w:val="single" w:color="000000" w:sz="4" w:space="0"/>
                  </w:tcBorders>
                  <w:shd w:val="clear" w:color="auto" w:fill="FFFFFF"/>
                  <w:noWrap w:val="0"/>
                  <w:vAlign w:val="center"/>
                </w:tcPr>
                <w:p w14:paraId="295EC5B3">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c>
                <w:tcPr>
                  <w:tcW w:w="1190" w:type="pct"/>
                  <w:vMerge w:val="continue"/>
                  <w:tcBorders>
                    <w:left w:val="single" w:color="000000" w:sz="4" w:space="0"/>
                    <w:bottom w:val="single" w:color="000000" w:sz="4" w:space="0"/>
                    <w:right w:val="single" w:color="000000" w:sz="4" w:space="0"/>
                  </w:tcBorders>
                  <w:shd w:val="clear" w:color="auto" w:fill="FFFFFF"/>
                  <w:noWrap w:val="0"/>
                  <w:vAlign w:val="center"/>
                </w:tcPr>
                <w:p w14:paraId="67372F6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 w:val="0"/>
                      <w:bCs/>
                      <w:color w:val="000000"/>
                      <w:sz w:val="21"/>
                      <w:szCs w:val="21"/>
                      <w:highlight w:val="none"/>
                      <w:vertAlign w:val="baseline"/>
                      <w:lang w:val="en-US" w:eastAsia="zh-CN"/>
                    </w:rPr>
                  </w:pPr>
                </w:p>
              </w:tc>
            </w:tr>
          </w:tbl>
          <w:p w14:paraId="54A647B1">
            <w:pPr>
              <w:pageBreakBefore w:val="0"/>
              <w:kinsoku/>
              <w:wordWrap/>
              <w:topLinePunct w:val="0"/>
              <w:bidi w:val="0"/>
              <w:adjustRightInd w:val="0"/>
              <w:snapToGrid/>
              <w:rPr>
                <w:rFonts w:hint="default" w:ascii="Times New Roman" w:hAnsi="Times New Roman" w:eastAsia="宋体" w:cs="Times New Roman"/>
                <w:bCs/>
                <w:color w:val="auto"/>
                <w:szCs w:val="21"/>
                <w:highlight w:val="none"/>
              </w:rPr>
            </w:pPr>
          </w:p>
        </w:tc>
      </w:tr>
      <w:tr w14:paraId="0067B59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755" w:type="dxa"/>
            <w:tcBorders>
              <w:tl2br w:val="nil"/>
              <w:tr2bl w:val="nil"/>
            </w:tcBorders>
            <w:noWrap w:val="0"/>
            <w:vAlign w:val="center"/>
          </w:tcPr>
          <w:p w14:paraId="6E361BBC">
            <w:pPr>
              <w:pStyle w:val="10"/>
              <w:bidi w:val="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与项目有关的原有环境污染问题</w:t>
            </w:r>
          </w:p>
        </w:tc>
        <w:tc>
          <w:tcPr>
            <w:tcW w:w="8305" w:type="dxa"/>
            <w:tcBorders>
              <w:tl2br w:val="nil"/>
              <w:tr2bl w:val="nil"/>
            </w:tcBorders>
            <w:noWrap w:val="0"/>
            <w:vAlign w:val="center"/>
          </w:tcPr>
          <w:p w14:paraId="47E5E273">
            <w:pPr>
              <w:pStyle w:val="6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default" w:ascii="Times New Roman" w:hAnsi="Times New Roman" w:eastAsia="宋体" w:cs="Times New Roman"/>
                <w:bCs/>
                <w:color w:val="auto"/>
                <w:szCs w:val="21"/>
                <w:highlight w:val="none"/>
              </w:rPr>
            </w:pPr>
            <w:r>
              <w:rPr>
                <w:rFonts w:hint="eastAsia" w:ascii="宋体" w:hAnsi="宋体"/>
                <w:bCs/>
                <w:szCs w:val="21"/>
                <w:lang w:val="en-US" w:eastAsia="zh-CN"/>
              </w:rPr>
              <w:t>本项目为新建项目，租赁青阳县国有工业资产经营有限公司空置厂房进行生产</w:t>
            </w:r>
            <w:r>
              <w:rPr>
                <w:rFonts w:hint="default" w:ascii="Times New Roman" w:hAnsi="Times New Roman" w:eastAsia="宋体" w:cs="Times New Roman"/>
                <w:color w:val="auto"/>
                <w:spacing w:val="0"/>
                <w:sz w:val="24"/>
                <w:szCs w:val="24"/>
                <w:highlight w:val="none"/>
                <w:lang w:val="en-US" w:eastAsia="zh-CN"/>
              </w:rPr>
              <w:t>。</w:t>
            </w:r>
            <w:r>
              <w:rPr>
                <w:rFonts w:hint="eastAsia" w:ascii="Times New Roman" w:hAnsi="Times New Roman" w:eastAsia="宋体" w:cs="Times New Roman"/>
                <w:color w:val="auto"/>
                <w:spacing w:val="0"/>
                <w:sz w:val="24"/>
                <w:szCs w:val="24"/>
                <w:highlight w:val="none"/>
                <w:lang w:val="en-US" w:eastAsia="zh-CN"/>
              </w:rPr>
              <w:t>经</w:t>
            </w:r>
            <w:r>
              <w:rPr>
                <w:rFonts w:hint="eastAsia" w:ascii="Times New Roman" w:hAnsi="Times New Roman" w:cs="Times New Roman"/>
                <w:color w:val="auto"/>
                <w:spacing w:val="0"/>
                <w:sz w:val="24"/>
                <w:szCs w:val="24"/>
                <w:highlight w:val="none"/>
                <w:lang w:val="en-US" w:eastAsia="zh-CN"/>
              </w:rPr>
              <w:t>现场勘查</w:t>
            </w:r>
            <w:r>
              <w:rPr>
                <w:rFonts w:hint="eastAsia" w:ascii="宋体" w:hAnsi="宋体"/>
                <w:bCs/>
                <w:szCs w:val="21"/>
                <w:lang w:val="en-US" w:eastAsia="zh-CN"/>
              </w:rPr>
              <w:t>厂房内未进行过生产活动，故不存在与本项目有关的原有环境污染问题</w:t>
            </w:r>
          </w:p>
        </w:tc>
      </w:tr>
    </w:tbl>
    <w:p w14:paraId="780C75AA">
      <w:pPr>
        <w:pStyle w:val="24"/>
        <w:pageBreakBefore w:val="0"/>
        <w:kinsoku/>
        <w:wordWrap/>
        <w:topLinePunct w:val="0"/>
        <w:bidi w:val="0"/>
        <w:snapToGrid/>
        <w:jc w:val="center"/>
        <w:rPr>
          <w:rFonts w:ascii="黑体" w:hAnsi="黑体" w:eastAsia="黑体"/>
          <w:snapToGrid w:val="0"/>
          <w:color w:val="auto"/>
          <w:sz w:val="36"/>
          <w:szCs w:val="36"/>
          <w:highlight w:val="none"/>
        </w:rPr>
        <w:sectPr>
          <w:pgSz w:w="11906" w:h="16838"/>
          <w:pgMar w:top="1701" w:right="1531" w:bottom="1701" w:left="1531" w:header="851" w:footer="850" w:gutter="0"/>
          <w:pgBorders>
            <w:top w:val="none" w:sz="0" w:space="0"/>
            <w:left w:val="none" w:sz="0" w:space="0"/>
            <w:bottom w:val="none" w:sz="0" w:space="0"/>
            <w:right w:val="none" w:sz="0" w:space="0"/>
          </w:pgBorders>
          <w:pgNumType w:fmt="decimal"/>
          <w:cols w:space="720" w:num="1"/>
          <w:rtlGutter w:val="0"/>
          <w:docGrid w:type="lines" w:linePitch="312" w:charSpace="0"/>
        </w:sectPr>
      </w:pPr>
    </w:p>
    <w:p w14:paraId="470B266B">
      <w:pPr>
        <w:pStyle w:val="24"/>
        <w:pageBreakBefore w:val="0"/>
        <w:kinsoku/>
        <w:wordWrap/>
        <w:topLinePunct w:val="0"/>
        <w:bidi w:val="0"/>
        <w:snapToGrid/>
        <w:ind w:left="0" w:leftChars="0" w:firstLine="0" w:firstLineChars="0"/>
        <w:jc w:val="center"/>
        <w:outlineLvl w:val="0"/>
        <w:rPr>
          <w:rFonts w:ascii="黑体" w:hAnsi="黑体" w:eastAsia="黑体"/>
          <w:snapToGrid w:val="0"/>
          <w:color w:val="auto"/>
          <w:sz w:val="30"/>
          <w:szCs w:val="30"/>
          <w:highlight w:val="none"/>
        </w:rPr>
      </w:pPr>
      <w:bookmarkStart w:id="6" w:name="_Toc2592"/>
      <w:r>
        <w:rPr>
          <w:rFonts w:hint="eastAsia" w:ascii="黑体" w:hAnsi="黑体" w:eastAsia="黑体"/>
          <w:snapToGrid w:val="0"/>
          <w:color w:val="auto"/>
          <w:sz w:val="30"/>
          <w:szCs w:val="30"/>
          <w:highlight w:val="none"/>
        </w:rPr>
        <w:t>三、区域环境质量现状、环境保护目标及评价标准</w:t>
      </w:r>
      <w:bookmarkEnd w:id="6"/>
    </w:p>
    <w:tbl>
      <w:tblPr>
        <w:tblStyle w:val="27"/>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92"/>
        <w:gridCol w:w="8505"/>
      </w:tblGrid>
      <w:tr w14:paraId="6EBC445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90" w:hRule="atLeast"/>
          <w:jc w:val="center"/>
        </w:trPr>
        <w:tc>
          <w:tcPr>
            <w:tcW w:w="492" w:type="dxa"/>
            <w:noWrap w:val="0"/>
            <w:vAlign w:val="center"/>
          </w:tcPr>
          <w:p w14:paraId="0F7FF5A6">
            <w:pPr>
              <w:pStyle w:val="10"/>
              <w:keepNext w:val="0"/>
              <w:keepLines w:val="0"/>
              <w:pageBreakBefore w:val="0"/>
              <w:widowControl/>
              <w:kinsoku/>
              <w:wordWrap/>
              <w:overflowPunct/>
              <w:topLinePunct w:val="0"/>
              <w:autoSpaceDE/>
              <w:autoSpaceDN/>
              <w:bidi w:val="0"/>
              <w:adjustRightInd w:val="0"/>
              <w:snapToGrid w:val="0"/>
              <w:ind w:firstLine="0" w:firstLineChars="0"/>
              <w:textAlignment w:val="auto"/>
              <w:rPr>
                <w:b/>
                <w:bCs/>
                <w:color w:val="auto"/>
                <w:sz w:val="24"/>
                <w:szCs w:val="24"/>
                <w:highlight w:val="none"/>
              </w:rPr>
            </w:pPr>
            <w:r>
              <w:rPr>
                <w:rFonts w:hint="eastAsia"/>
                <w:b/>
                <w:bCs/>
                <w:color w:val="auto"/>
                <w:sz w:val="24"/>
                <w:szCs w:val="24"/>
                <w:highlight w:val="none"/>
              </w:rPr>
              <w:t>区域环境质量现状</w:t>
            </w:r>
          </w:p>
        </w:tc>
        <w:tc>
          <w:tcPr>
            <w:tcW w:w="8505" w:type="dxa"/>
            <w:noWrap w:val="0"/>
            <w:vAlign w:val="center"/>
          </w:tcPr>
          <w:p w14:paraId="7263A8FC">
            <w:pPr>
              <w:ind w:firstLine="482"/>
              <w:jc w:val="both"/>
              <w:rPr>
                <w:rFonts w:hint="default" w:ascii="Times New Roman" w:hAnsi="Times New Roman" w:cs="Times New Roman"/>
                <w:color w:val="auto"/>
                <w:highlight w:val="none"/>
              </w:rPr>
            </w:pPr>
            <w:r>
              <w:rPr>
                <w:rFonts w:hint="eastAsia" w:ascii="Times New Roman" w:hAnsi="Times New Roman" w:cs="Times New Roman"/>
                <w:b/>
                <w:bCs/>
                <w:color w:val="auto"/>
                <w:highlight w:val="none"/>
                <w:lang w:val="en-US" w:eastAsia="zh-CN"/>
              </w:rPr>
              <w:t>1、</w:t>
            </w:r>
            <w:r>
              <w:rPr>
                <w:rFonts w:hint="default" w:ascii="Times New Roman" w:hAnsi="Times New Roman" w:cs="Times New Roman"/>
                <w:b/>
                <w:bCs/>
                <w:color w:val="auto"/>
                <w:highlight w:val="none"/>
              </w:rPr>
              <w:t>大气环境质量现状</w:t>
            </w:r>
          </w:p>
          <w:p w14:paraId="2E0E95A3">
            <w:pPr>
              <w:adjustRightInd w:val="0"/>
              <w:rPr>
                <w:rFonts w:hint="default" w:ascii="Times New Roman" w:hAnsi="Times New Roman" w:cs="Times New Roman"/>
                <w:b/>
                <w:bCs/>
                <w:color w:val="auto"/>
                <w:highlight w:val="none"/>
              </w:rPr>
            </w:pPr>
            <w:r>
              <w:rPr>
                <w:rFonts w:hint="eastAsia" w:ascii="Times New Roman" w:hAnsi="Times New Roman" w:cs="Times New Roman"/>
                <w:b/>
                <w:bCs/>
                <w:color w:val="auto"/>
                <w:highlight w:val="none"/>
                <w:lang w:eastAsia="zh-CN"/>
              </w:rPr>
              <w:t>（</w:t>
            </w:r>
            <w:r>
              <w:rPr>
                <w:rFonts w:hint="eastAsia" w:ascii="Times New Roman" w:hAnsi="Times New Roman" w:cs="Times New Roman"/>
                <w:b/>
                <w:bCs/>
                <w:color w:val="auto"/>
                <w:highlight w:val="none"/>
                <w:lang w:val="en-US" w:eastAsia="zh-CN"/>
              </w:rPr>
              <w:t>1）</w:t>
            </w:r>
            <w:r>
              <w:rPr>
                <w:rFonts w:hint="default" w:ascii="Times New Roman" w:hAnsi="Times New Roman" w:cs="Times New Roman"/>
                <w:b/>
                <w:bCs/>
                <w:color w:val="auto"/>
                <w:highlight w:val="none"/>
              </w:rPr>
              <w:t>达标区判定</w:t>
            </w:r>
          </w:p>
          <w:p w14:paraId="6492F9E4">
            <w:pPr>
              <w:spacing w:line="360" w:lineRule="auto"/>
              <w:ind w:firstLine="480" w:firstLineChars="200"/>
              <w:rPr>
                <w:rFonts w:hint="default"/>
                <w:color w:val="auto"/>
                <w:kern w:val="0"/>
                <w:sz w:val="24"/>
                <w:highlight w:val="none"/>
                <w:u w:val="none" w:color="auto"/>
                <w:lang w:bidi="ar"/>
              </w:rPr>
            </w:pPr>
            <w:r>
              <w:rPr>
                <w:rFonts w:hint="default"/>
                <w:color w:val="auto"/>
                <w:kern w:val="0"/>
                <w:sz w:val="24"/>
                <w:highlight w:val="none"/>
                <w:u w:val="none" w:color="auto"/>
                <w:lang w:bidi="ar"/>
              </w:rPr>
              <w:t>根据《202</w:t>
            </w:r>
            <w:r>
              <w:rPr>
                <w:rFonts w:hint="eastAsia"/>
                <w:color w:val="auto"/>
                <w:kern w:val="0"/>
                <w:sz w:val="24"/>
                <w:highlight w:val="none"/>
                <w:u w:val="none" w:color="auto"/>
                <w:lang w:val="en-US" w:eastAsia="zh-CN" w:bidi="ar"/>
              </w:rPr>
              <w:t>4</w:t>
            </w:r>
            <w:r>
              <w:rPr>
                <w:rFonts w:hint="default"/>
                <w:color w:val="auto"/>
                <w:kern w:val="0"/>
                <w:sz w:val="24"/>
                <w:highlight w:val="none"/>
                <w:u w:val="none" w:color="auto"/>
                <w:lang w:bidi="ar"/>
              </w:rPr>
              <w:t>年青阳县环境质量状况公报》（青阳县政府信息公开网，https://www.ahqy.gov.cn/OpennessContent/show/1655736.html），202</w:t>
            </w:r>
            <w:r>
              <w:rPr>
                <w:rFonts w:hint="eastAsia"/>
                <w:color w:val="auto"/>
                <w:kern w:val="0"/>
                <w:sz w:val="24"/>
                <w:highlight w:val="none"/>
                <w:u w:val="none" w:color="auto"/>
                <w:lang w:val="en-US" w:eastAsia="zh-CN" w:bidi="ar"/>
              </w:rPr>
              <w:t>4</w:t>
            </w:r>
            <w:r>
              <w:rPr>
                <w:rFonts w:hint="default"/>
                <w:color w:val="auto"/>
                <w:kern w:val="0"/>
                <w:sz w:val="24"/>
                <w:highlight w:val="none"/>
                <w:u w:val="none" w:color="auto"/>
                <w:lang w:bidi="ar"/>
              </w:rPr>
              <w:t>年，青阳县城区环境空气质量达到优、良天数共3</w:t>
            </w:r>
            <w:r>
              <w:rPr>
                <w:rFonts w:hint="eastAsia"/>
                <w:color w:val="auto"/>
                <w:kern w:val="0"/>
                <w:sz w:val="24"/>
                <w:highlight w:val="none"/>
                <w:u w:val="none" w:color="auto"/>
                <w:lang w:val="en-US" w:eastAsia="zh-CN" w:bidi="ar"/>
              </w:rPr>
              <w:t>41</w:t>
            </w:r>
            <w:r>
              <w:rPr>
                <w:rFonts w:hint="default"/>
                <w:color w:val="auto"/>
                <w:kern w:val="0"/>
                <w:sz w:val="24"/>
                <w:highlight w:val="none"/>
                <w:u w:val="none" w:color="auto"/>
                <w:lang w:bidi="ar"/>
              </w:rPr>
              <w:t>天，优良率9</w:t>
            </w:r>
            <w:r>
              <w:rPr>
                <w:rFonts w:hint="eastAsia"/>
                <w:color w:val="auto"/>
                <w:kern w:val="0"/>
                <w:sz w:val="24"/>
                <w:highlight w:val="none"/>
                <w:u w:val="none" w:color="auto"/>
                <w:lang w:val="en-US" w:eastAsia="zh-CN" w:bidi="ar"/>
              </w:rPr>
              <w:t>3.4</w:t>
            </w:r>
            <w:r>
              <w:rPr>
                <w:rFonts w:hint="default"/>
                <w:color w:val="auto"/>
                <w:kern w:val="0"/>
                <w:sz w:val="24"/>
                <w:highlight w:val="none"/>
                <w:u w:val="none" w:color="auto"/>
                <w:lang w:bidi="ar"/>
              </w:rPr>
              <w:t>%，较去年同期相比提高了</w:t>
            </w:r>
            <w:r>
              <w:rPr>
                <w:rFonts w:hint="eastAsia"/>
                <w:color w:val="auto"/>
                <w:kern w:val="0"/>
                <w:sz w:val="24"/>
                <w:highlight w:val="none"/>
                <w:u w:val="none" w:color="auto"/>
                <w:lang w:val="en-US" w:eastAsia="zh-CN" w:bidi="ar"/>
              </w:rPr>
              <w:t>1.1</w:t>
            </w:r>
            <w:r>
              <w:rPr>
                <w:rFonts w:hint="default"/>
                <w:color w:val="auto"/>
                <w:kern w:val="0"/>
                <w:sz w:val="24"/>
                <w:highlight w:val="none"/>
                <w:u w:val="none" w:color="auto"/>
                <w:lang w:bidi="ar"/>
              </w:rPr>
              <w:t>%。影响城区环境空气质量的主要污染物是可吸入颗粒物、细颗粒物和臭氧。环境空气中二氧化硫（SO</w:t>
            </w:r>
            <w:r>
              <w:rPr>
                <w:rFonts w:hint="default"/>
                <w:color w:val="auto"/>
                <w:kern w:val="0"/>
                <w:sz w:val="24"/>
                <w:highlight w:val="none"/>
                <w:u w:val="none" w:color="auto"/>
                <w:vertAlign w:val="subscript"/>
                <w:lang w:bidi="ar"/>
              </w:rPr>
              <w:t>2</w:t>
            </w:r>
            <w:r>
              <w:rPr>
                <w:rFonts w:hint="default"/>
                <w:color w:val="auto"/>
                <w:kern w:val="0"/>
                <w:sz w:val="24"/>
                <w:highlight w:val="none"/>
                <w:u w:val="none" w:color="auto"/>
                <w:lang w:bidi="ar"/>
              </w:rPr>
              <w:t>）、二氧化氮（NO</w:t>
            </w:r>
            <w:r>
              <w:rPr>
                <w:rFonts w:hint="default"/>
                <w:color w:val="auto"/>
                <w:kern w:val="0"/>
                <w:sz w:val="24"/>
                <w:highlight w:val="none"/>
                <w:u w:val="none" w:color="auto"/>
                <w:vertAlign w:val="subscript"/>
                <w:lang w:bidi="ar"/>
              </w:rPr>
              <w:t>2</w:t>
            </w:r>
            <w:r>
              <w:rPr>
                <w:rFonts w:hint="default"/>
                <w:color w:val="auto"/>
                <w:kern w:val="0"/>
                <w:sz w:val="24"/>
                <w:highlight w:val="none"/>
                <w:u w:val="none" w:color="auto"/>
                <w:lang w:bidi="ar"/>
              </w:rPr>
              <w:t>）、可吸入颗粒物（PM</w:t>
            </w:r>
            <w:r>
              <w:rPr>
                <w:rFonts w:hint="default"/>
                <w:color w:val="auto"/>
                <w:kern w:val="0"/>
                <w:sz w:val="24"/>
                <w:highlight w:val="none"/>
                <w:u w:val="none" w:color="auto"/>
                <w:vertAlign w:val="subscript"/>
                <w:lang w:bidi="ar"/>
              </w:rPr>
              <w:t>10</w:t>
            </w:r>
            <w:r>
              <w:rPr>
                <w:rFonts w:hint="default"/>
                <w:color w:val="auto"/>
                <w:kern w:val="0"/>
                <w:sz w:val="24"/>
                <w:highlight w:val="none"/>
                <w:u w:val="none" w:color="auto"/>
                <w:lang w:bidi="ar"/>
              </w:rPr>
              <w:t>）、细颗粒物（PM</w:t>
            </w:r>
            <w:r>
              <w:rPr>
                <w:rFonts w:hint="default"/>
                <w:color w:val="auto"/>
                <w:kern w:val="0"/>
                <w:sz w:val="24"/>
                <w:highlight w:val="none"/>
                <w:u w:val="none" w:color="auto"/>
                <w:vertAlign w:val="subscript"/>
                <w:lang w:bidi="ar"/>
              </w:rPr>
              <w:t>2.5</w:t>
            </w:r>
            <w:r>
              <w:rPr>
                <w:rFonts w:hint="default"/>
                <w:color w:val="auto"/>
                <w:kern w:val="0"/>
                <w:sz w:val="24"/>
                <w:highlight w:val="none"/>
                <w:u w:val="none" w:color="auto"/>
                <w:lang w:bidi="ar"/>
              </w:rPr>
              <w:t>）年均浓度分别为</w:t>
            </w:r>
            <w:r>
              <w:rPr>
                <w:rFonts w:hint="eastAsia"/>
                <w:color w:val="auto"/>
                <w:kern w:val="0"/>
                <w:sz w:val="24"/>
                <w:highlight w:val="none"/>
                <w:u w:val="none" w:color="auto"/>
                <w:lang w:val="en-US" w:eastAsia="zh-CN" w:bidi="ar"/>
              </w:rPr>
              <w:t>7</w:t>
            </w:r>
            <w:r>
              <w:rPr>
                <w:rFonts w:hint="default"/>
                <w:color w:val="auto"/>
                <w:kern w:val="0"/>
                <w:sz w:val="24"/>
                <w:highlight w:val="none"/>
                <w:u w:val="none" w:color="auto"/>
                <w:lang w:bidi="ar"/>
              </w:rPr>
              <w:t>微克/立方米、1</w:t>
            </w:r>
            <w:r>
              <w:rPr>
                <w:rFonts w:hint="eastAsia"/>
                <w:color w:val="auto"/>
                <w:kern w:val="0"/>
                <w:sz w:val="24"/>
                <w:highlight w:val="none"/>
                <w:u w:val="none" w:color="auto"/>
                <w:lang w:val="en-US" w:eastAsia="zh-CN" w:bidi="ar"/>
              </w:rPr>
              <w:t>7</w:t>
            </w:r>
            <w:r>
              <w:rPr>
                <w:rFonts w:hint="default"/>
                <w:color w:val="auto"/>
                <w:kern w:val="0"/>
                <w:sz w:val="24"/>
                <w:highlight w:val="none"/>
                <w:u w:val="none" w:color="auto"/>
                <w:lang w:bidi="ar"/>
              </w:rPr>
              <w:t>微克/立方米、54微克/立方米、2</w:t>
            </w:r>
            <w:r>
              <w:rPr>
                <w:rFonts w:hint="eastAsia"/>
                <w:color w:val="auto"/>
                <w:kern w:val="0"/>
                <w:sz w:val="24"/>
                <w:highlight w:val="none"/>
                <w:u w:val="none" w:color="auto"/>
                <w:lang w:val="en-US" w:eastAsia="zh-CN" w:bidi="ar"/>
              </w:rPr>
              <w:t>9</w:t>
            </w:r>
            <w:r>
              <w:rPr>
                <w:rFonts w:hint="default"/>
                <w:color w:val="auto"/>
                <w:kern w:val="0"/>
                <w:sz w:val="24"/>
                <w:highlight w:val="none"/>
                <w:u w:val="none" w:color="auto"/>
                <w:lang w:bidi="ar"/>
              </w:rPr>
              <w:t>微克/立方米，一氧化碳（CO）24小时平均第95百分位数浓度为1.</w:t>
            </w:r>
            <w:r>
              <w:rPr>
                <w:rFonts w:hint="eastAsia"/>
                <w:color w:val="auto"/>
                <w:kern w:val="0"/>
                <w:sz w:val="24"/>
                <w:highlight w:val="none"/>
                <w:u w:val="none" w:color="auto"/>
                <w:lang w:val="en-US" w:eastAsia="zh-CN" w:bidi="ar"/>
              </w:rPr>
              <w:t>1</w:t>
            </w:r>
            <w:r>
              <w:rPr>
                <w:rFonts w:hint="default"/>
                <w:color w:val="auto"/>
                <w:kern w:val="0"/>
                <w:sz w:val="24"/>
                <w:highlight w:val="none"/>
                <w:u w:val="none" w:color="auto"/>
                <w:lang w:bidi="ar"/>
              </w:rPr>
              <w:t>毫克/立方米，臭氧（O3）日最大八小时平均第90百分位数浓度为1</w:t>
            </w:r>
            <w:r>
              <w:rPr>
                <w:rFonts w:hint="eastAsia"/>
                <w:color w:val="auto"/>
                <w:kern w:val="0"/>
                <w:sz w:val="24"/>
                <w:highlight w:val="none"/>
                <w:u w:val="none" w:color="auto"/>
                <w:lang w:val="en-US" w:eastAsia="zh-CN" w:bidi="ar"/>
              </w:rPr>
              <w:t>38</w:t>
            </w:r>
            <w:r>
              <w:rPr>
                <w:rFonts w:hint="default"/>
                <w:color w:val="auto"/>
                <w:kern w:val="0"/>
                <w:sz w:val="24"/>
                <w:highlight w:val="none"/>
                <w:u w:val="none" w:color="auto"/>
                <w:lang w:bidi="ar"/>
              </w:rPr>
              <w:t>微克/立方米。PM10较去年同期相比</w:t>
            </w:r>
            <w:r>
              <w:rPr>
                <w:rFonts w:hint="eastAsia"/>
                <w:color w:val="auto"/>
                <w:kern w:val="0"/>
                <w:sz w:val="24"/>
                <w:highlight w:val="none"/>
                <w:u w:val="none" w:color="auto"/>
                <w:lang w:val="en-US" w:eastAsia="zh-CN" w:bidi="ar"/>
              </w:rPr>
              <w:t>保持不变</w:t>
            </w:r>
            <w:r>
              <w:rPr>
                <w:rFonts w:hint="default"/>
                <w:color w:val="auto"/>
                <w:kern w:val="0"/>
                <w:sz w:val="24"/>
                <w:highlight w:val="none"/>
                <w:u w:val="none" w:color="auto"/>
                <w:lang w:bidi="ar"/>
              </w:rPr>
              <w:t>，PM2.5较去年同期相比</w:t>
            </w:r>
            <w:r>
              <w:rPr>
                <w:rFonts w:hint="eastAsia"/>
                <w:color w:val="auto"/>
                <w:kern w:val="0"/>
                <w:sz w:val="24"/>
                <w:highlight w:val="none"/>
                <w:u w:val="none" w:color="auto"/>
                <w:lang w:val="en-US" w:eastAsia="zh-CN" w:bidi="ar"/>
              </w:rPr>
              <w:t>上升了7.4%</w:t>
            </w:r>
            <w:r>
              <w:rPr>
                <w:rFonts w:hint="default"/>
                <w:color w:val="auto"/>
                <w:kern w:val="0"/>
                <w:sz w:val="24"/>
                <w:highlight w:val="none"/>
                <w:u w:val="none" w:color="auto"/>
                <w:lang w:bidi="ar"/>
              </w:rPr>
              <w:t>。城区降水pH值年均值为</w:t>
            </w:r>
            <w:r>
              <w:rPr>
                <w:rFonts w:hint="eastAsia"/>
                <w:color w:val="auto"/>
                <w:kern w:val="0"/>
                <w:sz w:val="24"/>
                <w:highlight w:val="none"/>
                <w:u w:val="none" w:color="auto"/>
                <w:lang w:val="en-US" w:eastAsia="zh-CN" w:bidi="ar"/>
              </w:rPr>
              <w:t>7.34</w:t>
            </w:r>
            <w:r>
              <w:rPr>
                <w:rFonts w:hint="default"/>
                <w:color w:val="auto"/>
                <w:kern w:val="0"/>
                <w:sz w:val="24"/>
                <w:highlight w:val="none"/>
                <w:u w:val="none" w:color="auto"/>
                <w:lang w:bidi="ar"/>
              </w:rPr>
              <w:t>，全年未出现酸雨。城区空气降尘量为</w:t>
            </w:r>
            <w:r>
              <w:rPr>
                <w:rFonts w:hint="eastAsia"/>
                <w:color w:val="auto"/>
                <w:kern w:val="0"/>
                <w:sz w:val="24"/>
                <w:highlight w:val="none"/>
                <w:u w:val="none" w:color="auto"/>
                <w:lang w:val="en-US" w:eastAsia="zh-CN" w:bidi="ar"/>
              </w:rPr>
              <w:t>1.9</w:t>
            </w:r>
            <w:r>
              <w:rPr>
                <w:rFonts w:hint="default"/>
                <w:color w:val="auto"/>
                <w:kern w:val="0"/>
                <w:sz w:val="24"/>
                <w:highlight w:val="none"/>
                <w:u w:val="none" w:color="auto"/>
                <w:lang w:bidi="ar"/>
              </w:rPr>
              <w:t>吨/平方千米•月。</w:t>
            </w:r>
          </w:p>
          <w:p w14:paraId="5E583CC4">
            <w:pPr>
              <w:adjustRightInd w:val="0"/>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本项目</w:t>
            </w:r>
            <w:r>
              <w:rPr>
                <w:rFonts w:hint="default" w:ascii="Times New Roman" w:hAnsi="Times New Roman" w:cs="Times New Roman"/>
                <w:color w:val="auto"/>
                <w:highlight w:val="none"/>
              </w:rPr>
              <w:t>所在区域空气质量现状评价见下表：</w:t>
            </w:r>
          </w:p>
          <w:p w14:paraId="74BC6AD7">
            <w:pPr>
              <w:pStyle w:val="5"/>
              <w:tabs>
                <w:tab w:val="left" w:pos="1284"/>
              </w:tabs>
              <w:rPr>
                <w:rFonts w:hint="default" w:ascii="Times New Roman" w:hAnsi="Times New Roman" w:cs="Times New Roman"/>
                <w:color w:val="auto"/>
                <w:highlight w:val="none"/>
              </w:rPr>
            </w:pPr>
            <w:r>
              <w:rPr>
                <w:rFonts w:hint="default" w:ascii="Times New Roman" w:hAnsi="Times New Roman" w:cs="Times New Roman"/>
                <w:color w:val="auto"/>
                <w:highlight w:val="none"/>
              </w:rPr>
              <w:t>表3-1</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区域空气质量现状评价表</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1819"/>
              <w:gridCol w:w="1195"/>
              <w:gridCol w:w="1154"/>
              <w:gridCol w:w="852"/>
              <w:gridCol w:w="790"/>
              <w:gridCol w:w="823"/>
              <w:gridCol w:w="684"/>
            </w:tblGrid>
            <w:tr w14:paraId="1179A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2" w:type="dxa"/>
                  <w:noWrap w:val="0"/>
                  <w:vAlign w:val="center"/>
                </w:tcPr>
                <w:p w14:paraId="24F082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0"/>
                      <w:sz w:val="21"/>
                      <w:szCs w:val="21"/>
                      <w:highlight w:val="none"/>
                      <w:u w:val="none" w:color="auto"/>
                      <w:lang w:bidi="ar"/>
                    </w:rPr>
                  </w:pPr>
                  <w:r>
                    <w:rPr>
                      <w:rFonts w:hint="default" w:ascii="Times New Roman" w:hAnsi="Times New Roman" w:eastAsia="宋体" w:cs="Times New Roman"/>
                      <w:b/>
                      <w:bCs/>
                      <w:color w:val="auto"/>
                      <w:kern w:val="0"/>
                      <w:sz w:val="21"/>
                      <w:szCs w:val="21"/>
                      <w:highlight w:val="none"/>
                      <w:u w:val="none" w:color="auto"/>
                      <w:lang w:bidi="ar"/>
                    </w:rPr>
                    <w:t>污染物</w:t>
                  </w:r>
                </w:p>
              </w:tc>
              <w:tc>
                <w:tcPr>
                  <w:tcW w:w="1750" w:type="dxa"/>
                  <w:noWrap w:val="0"/>
                  <w:vAlign w:val="center"/>
                </w:tcPr>
                <w:p w14:paraId="2CE6A20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0"/>
                      <w:sz w:val="21"/>
                      <w:szCs w:val="21"/>
                      <w:highlight w:val="none"/>
                      <w:u w:val="none" w:color="auto"/>
                      <w:lang w:bidi="ar"/>
                    </w:rPr>
                  </w:pPr>
                  <w:r>
                    <w:rPr>
                      <w:rFonts w:hint="default" w:ascii="Times New Roman" w:hAnsi="Times New Roman" w:eastAsia="宋体" w:cs="Times New Roman"/>
                      <w:b/>
                      <w:bCs/>
                      <w:color w:val="auto"/>
                      <w:kern w:val="0"/>
                      <w:sz w:val="21"/>
                      <w:szCs w:val="21"/>
                      <w:highlight w:val="none"/>
                      <w:u w:val="none" w:color="auto"/>
                      <w:lang w:bidi="ar"/>
                    </w:rPr>
                    <w:t>年评价指标</w:t>
                  </w:r>
                </w:p>
              </w:tc>
              <w:tc>
                <w:tcPr>
                  <w:tcW w:w="1150" w:type="dxa"/>
                  <w:noWrap w:val="0"/>
                  <w:vAlign w:val="center"/>
                </w:tcPr>
                <w:p w14:paraId="51BFB7F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0"/>
                      <w:sz w:val="21"/>
                      <w:szCs w:val="21"/>
                      <w:highlight w:val="none"/>
                      <w:u w:val="none" w:color="auto"/>
                      <w:lang w:bidi="ar"/>
                    </w:rPr>
                  </w:pPr>
                  <w:r>
                    <w:rPr>
                      <w:rFonts w:hint="default" w:ascii="Times New Roman" w:hAnsi="Times New Roman" w:eastAsia="宋体" w:cs="Times New Roman"/>
                      <w:b/>
                      <w:bCs/>
                      <w:color w:val="auto"/>
                      <w:kern w:val="0"/>
                      <w:sz w:val="21"/>
                      <w:szCs w:val="21"/>
                      <w:highlight w:val="none"/>
                      <w:u w:val="none" w:color="auto"/>
                      <w:lang w:bidi="ar"/>
                    </w:rPr>
                    <w:t>现状浓度</w:t>
                  </w:r>
                </w:p>
                <w:p w14:paraId="4B4EAE3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0"/>
                      <w:sz w:val="21"/>
                      <w:szCs w:val="21"/>
                      <w:highlight w:val="none"/>
                      <w:u w:val="none" w:color="auto"/>
                      <w:lang w:bidi="ar"/>
                    </w:rPr>
                  </w:pPr>
                  <w:r>
                    <w:rPr>
                      <w:rFonts w:hint="eastAsia" w:cs="Times New Roman"/>
                      <w:b/>
                      <w:bCs/>
                      <w:color w:val="auto"/>
                      <w:kern w:val="0"/>
                      <w:sz w:val="21"/>
                      <w:szCs w:val="21"/>
                      <w:highlight w:val="none"/>
                      <w:u w:val="none" w:color="auto"/>
                      <w:lang w:eastAsia="zh-CN" w:bidi="ar"/>
                    </w:rPr>
                    <w:t>(</w:t>
                  </w:r>
                  <w:r>
                    <w:rPr>
                      <w:rFonts w:hint="default" w:ascii="Times New Roman" w:hAnsi="Times New Roman" w:eastAsia="宋体" w:cs="Times New Roman"/>
                      <w:b/>
                      <w:bCs/>
                      <w:color w:val="auto"/>
                      <w:kern w:val="0"/>
                      <w:sz w:val="21"/>
                      <w:szCs w:val="21"/>
                      <w:highlight w:val="none"/>
                      <w:u w:val="none" w:color="auto"/>
                      <w:lang w:bidi="ar"/>
                    </w:rPr>
                    <w:t>μg/m3</w:t>
                  </w:r>
                  <w:r>
                    <w:rPr>
                      <w:rFonts w:hint="eastAsia" w:cs="Times New Roman"/>
                      <w:b/>
                      <w:bCs/>
                      <w:color w:val="auto"/>
                      <w:kern w:val="0"/>
                      <w:sz w:val="21"/>
                      <w:szCs w:val="21"/>
                      <w:highlight w:val="none"/>
                      <w:u w:val="none" w:color="auto"/>
                      <w:lang w:eastAsia="zh-CN" w:bidi="ar"/>
                    </w:rPr>
                    <w:t>)</w:t>
                  </w:r>
                </w:p>
              </w:tc>
              <w:tc>
                <w:tcPr>
                  <w:tcW w:w="1110" w:type="dxa"/>
                  <w:noWrap w:val="0"/>
                  <w:vAlign w:val="center"/>
                </w:tcPr>
                <w:p w14:paraId="0275A7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0"/>
                      <w:sz w:val="21"/>
                      <w:szCs w:val="21"/>
                      <w:highlight w:val="none"/>
                      <w:u w:val="none" w:color="auto"/>
                      <w:lang w:bidi="ar"/>
                    </w:rPr>
                  </w:pPr>
                  <w:r>
                    <w:rPr>
                      <w:rFonts w:hint="default" w:ascii="Times New Roman" w:hAnsi="Times New Roman" w:eastAsia="宋体" w:cs="Times New Roman"/>
                      <w:b/>
                      <w:bCs/>
                      <w:color w:val="auto"/>
                      <w:kern w:val="0"/>
                      <w:sz w:val="21"/>
                      <w:szCs w:val="21"/>
                      <w:highlight w:val="none"/>
                      <w:u w:val="none" w:color="auto"/>
                      <w:lang w:bidi="ar"/>
                    </w:rPr>
                    <w:t>标准值</w:t>
                  </w:r>
                </w:p>
                <w:p w14:paraId="4950B1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0"/>
                      <w:sz w:val="21"/>
                      <w:szCs w:val="21"/>
                      <w:highlight w:val="none"/>
                      <w:u w:val="none" w:color="auto"/>
                      <w:lang w:bidi="ar"/>
                    </w:rPr>
                  </w:pPr>
                  <w:r>
                    <w:rPr>
                      <w:rFonts w:hint="eastAsia" w:cs="Times New Roman"/>
                      <w:b/>
                      <w:bCs/>
                      <w:color w:val="auto"/>
                      <w:kern w:val="0"/>
                      <w:sz w:val="21"/>
                      <w:szCs w:val="21"/>
                      <w:highlight w:val="none"/>
                      <w:u w:val="none" w:color="auto"/>
                      <w:lang w:eastAsia="zh-CN" w:bidi="ar"/>
                    </w:rPr>
                    <w:t>(</w:t>
                  </w:r>
                  <w:r>
                    <w:rPr>
                      <w:rFonts w:hint="default" w:ascii="Times New Roman" w:hAnsi="Times New Roman" w:eastAsia="宋体" w:cs="Times New Roman"/>
                      <w:b/>
                      <w:bCs/>
                      <w:color w:val="auto"/>
                      <w:kern w:val="0"/>
                      <w:sz w:val="21"/>
                      <w:szCs w:val="21"/>
                      <w:highlight w:val="none"/>
                      <w:u w:val="none" w:color="auto"/>
                      <w:lang w:bidi="ar"/>
                    </w:rPr>
                    <w:t>μg/m3</w:t>
                  </w:r>
                  <w:r>
                    <w:rPr>
                      <w:rFonts w:hint="eastAsia" w:cs="Times New Roman"/>
                      <w:b/>
                      <w:bCs/>
                      <w:color w:val="auto"/>
                      <w:kern w:val="0"/>
                      <w:sz w:val="21"/>
                      <w:szCs w:val="21"/>
                      <w:highlight w:val="none"/>
                      <w:u w:val="none" w:color="auto"/>
                      <w:lang w:eastAsia="zh-CN" w:bidi="ar"/>
                    </w:rPr>
                    <w:t>)</w:t>
                  </w:r>
                </w:p>
              </w:tc>
              <w:tc>
                <w:tcPr>
                  <w:tcW w:w="820" w:type="dxa"/>
                  <w:tcBorders>
                    <w:bottom w:val="single" w:color="auto" w:sz="4" w:space="0"/>
                  </w:tcBorders>
                  <w:noWrap w:val="0"/>
                  <w:vAlign w:val="center"/>
                </w:tcPr>
                <w:p w14:paraId="6786041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0"/>
                      <w:sz w:val="21"/>
                      <w:szCs w:val="21"/>
                      <w:highlight w:val="none"/>
                      <w:u w:val="none" w:color="auto"/>
                      <w:lang w:bidi="ar"/>
                    </w:rPr>
                  </w:pPr>
                  <w:r>
                    <w:rPr>
                      <w:rFonts w:hint="default" w:ascii="Times New Roman" w:hAnsi="Times New Roman" w:eastAsia="宋体" w:cs="Times New Roman"/>
                      <w:b/>
                      <w:bCs/>
                      <w:color w:val="auto"/>
                      <w:kern w:val="0"/>
                      <w:sz w:val="21"/>
                      <w:szCs w:val="21"/>
                      <w:highlight w:val="none"/>
                      <w:u w:val="none" w:color="auto"/>
                      <w:lang w:bidi="ar"/>
                    </w:rPr>
                    <w:t>占标率%</w:t>
                  </w:r>
                </w:p>
              </w:tc>
              <w:tc>
                <w:tcPr>
                  <w:tcW w:w="760" w:type="dxa"/>
                  <w:noWrap w:val="0"/>
                  <w:vAlign w:val="center"/>
                </w:tcPr>
                <w:p w14:paraId="2EB2EA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0"/>
                      <w:sz w:val="21"/>
                      <w:szCs w:val="21"/>
                      <w:highlight w:val="none"/>
                      <w:u w:val="none" w:color="auto"/>
                      <w:lang w:bidi="ar"/>
                    </w:rPr>
                  </w:pPr>
                  <w:r>
                    <w:rPr>
                      <w:rFonts w:hint="default" w:ascii="Times New Roman" w:hAnsi="Times New Roman" w:eastAsia="宋体" w:cs="Times New Roman"/>
                      <w:b/>
                      <w:bCs/>
                      <w:color w:val="auto"/>
                      <w:kern w:val="0"/>
                      <w:sz w:val="21"/>
                      <w:szCs w:val="21"/>
                      <w:highlight w:val="none"/>
                      <w:u w:val="none" w:color="auto"/>
                      <w:lang w:bidi="ar"/>
                    </w:rPr>
                    <w:t>超标</w:t>
                  </w:r>
                </w:p>
                <w:p w14:paraId="77767C5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0"/>
                      <w:sz w:val="21"/>
                      <w:szCs w:val="21"/>
                      <w:highlight w:val="none"/>
                      <w:u w:val="none" w:color="auto"/>
                      <w:lang w:bidi="ar"/>
                    </w:rPr>
                  </w:pPr>
                  <w:r>
                    <w:rPr>
                      <w:rFonts w:hint="default" w:ascii="Times New Roman" w:hAnsi="Times New Roman" w:eastAsia="宋体" w:cs="Times New Roman"/>
                      <w:b/>
                      <w:bCs/>
                      <w:color w:val="auto"/>
                      <w:kern w:val="0"/>
                      <w:sz w:val="21"/>
                      <w:szCs w:val="21"/>
                      <w:highlight w:val="none"/>
                      <w:u w:val="none" w:color="auto"/>
                      <w:lang w:bidi="ar"/>
                    </w:rPr>
                    <w:t>倍数</w:t>
                  </w:r>
                </w:p>
              </w:tc>
              <w:tc>
                <w:tcPr>
                  <w:tcW w:w="792" w:type="dxa"/>
                  <w:noWrap w:val="0"/>
                  <w:vAlign w:val="center"/>
                </w:tcPr>
                <w:p w14:paraId="3BFFB3B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0"/>
                      <w:sz w:val="21"/>
                      <w:szCs w:val="21"/>
                      <w:highlight w:val="none"/>
                      <w:u w:val="none" w:color="auto"/>
                      <w:lang w:bidi="ar"/>
                    </w:rPr>
                  </w:pPr>
                  <w:r>
                    <w:rPr>
                      <w:rFonts w:hint="default" w:ascii="Times New Roman" w:hAnsi="Times New Roman" w:eastAsia="宋体" w:cs="Times New Roman"/>
                      <w:b/>
                      <w:bCs/>
                      <w:color w:val="auto"/>
                      <w:kern w:val="0"/>
                      <w:sz w:val="21"/>
                      <w:szCs w:val="21"/>
                      <w:highlight w:val="none"/>
                      <w:u w:val="none" w:color="auto"/>
                      <w:lang w:bidi="ar"/>
                    </w:rPr>
                    <w:t>超标率%</w:t>
                  </w:r>
                </w:p>
              </w:tc>
              <w:tc>
                <w:tcPr>
                  <w:tcW w:w="658" w:type="dxa"/>
                  <w:noWrap w:val="0"/>
                  <w:vAlign w:val="center"/>
                </w:tcPr>
                <w:p w14:paraId="34EBC27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0"/>
                      <w:sz w:val="21"/>
                      <w:szCs w:val="21"/>
                      <w:highlight w:val="none"/>
                      <w:u w:val="none" w:color="auto"/>
                      <w:lang w:bidi="ar"/>
                    </w:rPr>
                  </w:pPr>
                  <w:r>
                    <w:rPr>
                      <w:rFonts w:hint="default" w:ascii="Times New Roman" w:hAnsi="Times New Roman" w:eastAsia="宋体" w:cs="Times New Roman"/>
                      <w:b/>
                      <w:bCs/>
                      <w:color w:val="auto"/>
                      <w:kern w:val="0"/>
                      <w:sz w:val="21"/>
                      <w:szCs w:val="21"/>
                      <w:highlight w:val="none"/>
                      <w:u w:val="none" w:color="auto"/>
                      <w:lang w:bidi="ar"/>
                    </w:rPr>
                    <w:t>达标</w:t>
                  </w:r>
                </w:p>
                <w:p w14:paraId="6B7489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kern w:val="0"/>
                      <w:sz w:val="21"/>
                      <w:szCs w:val="21"/>
                      <w:highlight w:val="none"/>
                      <w:u w:val="none" w:color="auto"/>
                      <w:lang w:bidi="ar"/>
                    </w:rPr>
                  </w:pPr>
                  <w:r>
                    <w:rPr>
                      <w:rFonts w:hint="default" w:ascii="Times New Roman" w:hAnsi="Times New Roman" w:eastAsia="宋体" w:cs="Times New Roman"/>
                      <w:b/>
                      <w:bCs/>
                      <w:color w:val="auto"/>
                      <w:kern w:val="0"/>
                      <w:sz w:val="21"/>
                      <w:szCs w:val="21"/>
                      <w:highlight w:val="none"/>
                      <w:u w:val="none" w:color="auto"/>
                      <w:lang w:bidi="ar"/>
                    </w:rPr>
                    <w:t>情况</w:t>
                  </w:r>
                </w:p>
              </w:tc>
            </w:tr>
            <w:tr w14:paraId="0F2CC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2" w:type="dxa"/>
                  <w:noWrap w:val="0"/>
                  <w:vAlign w:val="center"/>
                </w:tcPr>
                <w:p w14:paraId="2D93569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SO</w:t>
                  </w:r>
                  <w:r>
                    <w:rPr>
                      <w:rFonts w:hint="default" w:ascii="Times New Roman" w:hAnsi="Times New Roman" w:eastAsia="宋体" w:cs="Times New Roman"/>
                      <w:color w:val="auto"/>
                      <w:kern w:val="0"/>
                      <w:sz w:val="21"/>
                      <w:szCs w:val="21"/>
                      <w:highlight w:val="none"/>
                      <w:u w:val="none" w:color="auto"/>
                      <w:vertAlign w:val="subscript"/>
                      <w:lang w:bidi="ar"/>
                    </w:rPr>
                    <w:t>2</w:t>
                  </w:r>
                </w:p>
              </w:tc>
              <w:tc>
                <w:tcPr>
                  <w:tcW w:w="1750" w:type="dxa"/>
                  <w:noWrap w:val="0"/>
                  <w:vAlign w:val="center"/>
                </w:tcPr>
                <w:p w14:paraId="7511123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年平均质量浓度</w:t>
                  </w:r>
                </w:p>
              </w:tc>
              <w:tc>
                <w:tcPr>
                  <w:tcW w:w="1150" w:type="dxa"/>
                  <w:noWrap w:val="0"/>
                  <w:vAlign w:val="center"/>
                </w:tcPr>
                <w:p w14:paraId="7779687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eastAsia="zh-CN" w:bidi="ar"/>
                    </w:rPr>
                  </w:pPr>
                  <w:r>
                    <w:rPr>
                      <w:rFonts w:hint="eastAsia" w:cs="Times New Roman"/>
                      <w:color w:val="auto"/>
                      <w:kern w:val="0"/>
                      <w:sz w:val="21"/>
                      <w:szCs w:val="21"/>
                      <w:highlight w:val="none"/>
                      <w:u w:val="none" w:color="auto"/>
                      <w:lang w:val="en-US" w:eastAsia="zh-CN" w:bidi="ar"/>
                    </w:rPr>
                    <w:t>7</w:t>
                  </w:r>
                </w:p>
              </w:tc>
              <w:tc>
                <w:tcPr>
                  <w:tcW w:w="1110" w:type="dxa"/>
                  <w:tcBorders>
                    <w:right w:val="single" w:color="auto" w:sz="4" w:space="0"/>
                  </w:tcBorders>
                  <w:noWrap w:val="0"/>
                  <w:vAlign w:val="center"/>
                </w:tcPr>
                <w:p w14:paraId="6BA3F58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60</w:t>
                  </w:r>
                </w:p>
              </w:tc>
              <w:tc>
                <w:tcPr>
                  <w:tcW w:w="820" w:type="dxa"/>
                  <w:tcBorders>
                    <w:top w:val="single" w:color="auto" w:sz="4" w:space="0"/>
                    <w:left w:val="single" w:color="auto" w:sz="4" w:space="0"/>
                    <w:bottom w:val="single" w:color="auto" w:sz="4" w:space="0"/>
                    <w:right w:val="single" w:color="auto" w:sz="4" w:space="0"/>
                  </w:tcBorders>
                  <w:noWrap w:val="0"/>
                  <w:vAlign w:val="center"/>
                </w:tcPr>
                <w:p w14:paraId="4C17175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val="en-US" w:eastAsia="zh-CN" w:bidi="ar"/>
                    </w:rPr>
                  </w:pPr>
                  <w:r>
                    <w:rPr>
                      <w:rFonts w:hint="eastAsia" w:cs="Times New Roman"/>
                      <w:color w:val="auto"/>
                      <w:kern w:val="0"/>
                      <w:sz w:val="21"/>
                      <w:szCs w:val="21"/>
                      <w:highlight w:val="none"/>
                      <w:u w:val="none" w:color="auto"/>
                      <w:lang w:val="en-US" w:eastAsia="zh-CN" w:bidi="ar"/>
                    </w:rPr>
                    <w:t>11.67</w:t>
                  </w:r>
                </w:p>
              </w:tc>
              <w:tc>
                <w:tcPr>
                  <w:tcW w:w="760" w:type="dxa"/>
                  <w:tcBorders>
                    <w:left w:val="single" w:color="auto" w:sz="4" w:space="0"/>
                  </w:tcBorders>
                  <w:noWrap w:val="0"/>
                  <w:vAlign w:val="center"/>
                </w:tcPr>
                <w:p w14:paraId="0E624D6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w:t>
                  </w:r>
                </w:p>
              </w:tc>
              <w:tc>
                <w:tcPr>
                  <w:tcW w:w="792" w:type="dxa"/>
                  <w:noWrap w:val="0"/>
                  <w:vAlign w:val="center"/>
                </w:tcPr>
                <w:p w14:paraId="34FFCC0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w:t>
                  </w:r>
                </w:p>
              </w:tc>
              <w:tc>
                <w:tcPr>
                  <w:tcW w:w="658" w:type="dxa"/>
                  <w:noWrap w:val="0"/>
                  <w:vAlign w:val="center"/>
                </w:tcPr>
                <w:p w14:paraId="7AF5F0E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达标</w:t>
                  </w:r>
                </w:p>
              </w:tc>
            </w:tr>
            <w:tr w14:paraId="5BD54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2" w:type="dxa"/>
                  <w:noWrap w:val="0"/>
                  <w:vAlign w:val="center"/>
                </w:tcPr>
                <w:p w14:paraId="12A8517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NO</w:t>
                  </w:r>
                  <w:r>
                    <w:rPr>
                      <w:rFonts w:hint="default" w:ascii="Times New Roman" w:hAnsi="Times New Roman" w:eastAsia="宋体" w:cs="Times New Roman"/>
                      <w:color w:val="auto"/>
                      <w:kern w:val="0"/>
                      <w:sz w:val="21"/>
                      <w:szCs w:val="21"/>
                      <w:highlight w:val="none"/>
                      <w:u w:val="none" w:color="auto"/>
                      <w:vertAlign w:val="subscript"/>
                      <w:lang w:bidi="ar"/>
                    </w:rPr>
                    <w:t>2</w:t>
                  </w:r>
                </w:p>
              </w:tc>
              <w:tc>
                <w:tcPr>
                  <w:tcW w:w="1750" w:type="dxa"/>
                  <w:noWrap w:val="0"/>
                  <w:vAlign w:val="center"/>
                </w:tcPr>
                <w:p w14:paraId="25322A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年平均质量浓度</w:t>
                  </w:r>
                </w:p>
              </w:tc>
              <w:tc>
                <w:tcPr>
                  <w:tcW w:w="1150" w:type="dxa"/>
                  <w:noWrap w:val="0"/>
                  <w:vAlign w:val="center"/>
                </w:tcPr>
                <w:p w14:paraId="677E8F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val="en-US" w:eastAsia="zh-CN" w:bidi="ar"/>
                    </w:rPr>
                  </w:pPr>
                  <w:r>
                    <w:rPr>
                      <w:rFonts w:hint="eastAsia" w:cs="Times New Roman"/>
                      <w:color w:val="auto"/>
                      <w:kern w:val="0"/>
                      <w:sz w:val="21"/>
                      <w:szCs w:val="21"/>
                      <w:highlight w:val="none"/>
                      <w:u w:val="none" w:color="auto"/>
                      <w:lang w:val="en-US" w:eastAsia="zh-CN" w:bidi="ar"/>
                    </w:rPr>
                    <w:t>17</w:t>
                  </w:r>
                </w:p>
              </w:tc>
              <w:tc>
                <w:tcPr>
                  <w:tcW w:w="1110" w:type="dxa"/>
                  <w:noWrap w:val="0"/>
                  <w:vAlign w:val="center"/>
                </w:tcPr>
                <w:p w14:paraId="46500D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40</w:t>
                  </w:r>
                </w:p>
              </w:tc>
              <w:tc>
                <w:tcPr>
                  <w:tcW w:w="820" w:type="dxa"/>
                  <w:tcBorders>
                    <w:top w:val="single" w:color="auto" w:sz="4" w:space="0"/>
                  </w:tcBorders>
                  <w:noWrap w:val="0"/>
                  <w:vAlign w:val="center"/>
                </w:tcPr>
                <w:p w14:paraId="02B1B16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val="en-US" w:eastAsia="zh-CN" w:bidi="ar"/>
                    </w:rPr>
                  </w:pPr>
                  <w:r>
                    <w:rPr>
                      <w:rFonts w:hint="eastAsia" w:cs="Times New Roman"/>
                      <w:color w:val="auto"/>
                      <w:kern w:val="0"/>
                      <w:sz w:val="21"/>
                      <w:szCs w:val="21"/>
                      <w:highlight w:val="none"/>
                      <w:u w:val="none" w:color="auto"/>
                      <w:lang w:val="en-US" w:eastAsia="zh-CN" w:bidi="ar"/>
                    </w:rPr>
                    <w:t>42.50</w:t>
                  </w:r>
                </w:p>
              </w:tc>
              <w:tc>
                <w:tcPr>
                  <w:tcW w:w="760" w:type="dxa"/>
                  <w:noWrap w:val="0"/>
                  <w:vAlign w:val="center"/>
                </w:tcPr>
                <w:p w14:paraId="32929EB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w:t>
                  </w:r>
                </w:p>
              </w:tc>
              <w:tc>
                <w:tcPr>
                  <w:tcW w:w="792" w:type="dxa"/>
                  <w:noWrap w:val="0"/>
                  <w:vAlign w:val="center"/>
                </w:tcPr>
                <w:p w14:paraId="071DD1E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w:t>
                  </w:r>
                </w:p>
              </w:tc>
              <w:tc>
                <w:tcPr>
                  <w:tcW w:w="658" w:type="dxa"/>
                  <w:noWrap w:val="0"/>
                  <w:vAlign w:val="center"/>
                </w:tcPr>
                <w:p w14:paraId="2AD9F94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达标</w:t>
                  </w:r>
                </w:p>
              </w:tc>
            </w:tr>
            <w:tr w14:paraId="1FFE3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2" w:type="dxa"/>
                  <w:noWrap w:val="0"/>
                  <w:vAlign w:val="center"/>
                </w:tcPr>
                <w:p w14:paraId="7A4ECA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CO</w:t>
                  </w:r>
                </w:p>
              </w:tc>
              <w:tc>
                <w:tcPr>
                  <w:tcW w:w="1750" w:type="dxa"/>
                  <w:noWrap w:val="0"/>
                  <w:vAlign w:val="center"/>
                </w:tcPr>
                <w:p w14:paraId="3BD8C50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日平均浓度第95百分位数</w:t>
                  </w:r>
                </w:p>
              </w:tc>
              <w:tc>
                <w:tcPr>
                  <w:tcW w:w="1150" w:type="dxa"/>
                  <w:noWrap w:val="0"/>
                  <w:vAlign w:val="center"/>
                </w:tcPr>
                <w:p w14:paraId="13DE487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val="en-US" w:eastAsia="zh-CN" w:bidi="ar"/>
                    </w:rPr>
                  </w:pPr>
                  <w:r>
                    <w:rPr>
                      <w:rFonts w:hint="default" w:ascii="Times New Roman" w:hAnsi="Times New Roman" w:eastAsia="宋体" w:cs="Times New Roman"/>
                      <w:color w:val="auto"/>
                      <w:kern w:val="0"/>
                      <w:sz w:val="21"/>
                      <w:szCs w:val="21"/>
                      <w:highlight w:val="none"/>
                      <w:u w:val="none" w:color="auto"/>
                      <w:lang w:bidi="ar"/>
                    </w:rPr>
                    <w:t>1</w:t>
                  </w:r>
                  <w:r>
                    <w:rPr>
                      <w:rFonts w:hint="eastAsia" w:cs="Times New Roman"/>
                      <w:color w:val="auto"/>
                      <w:kern w:val="0"/>
                      <w:sz w:val="21"/>
                      <w:szCs w:val="21"/>
                      <w:highlight w:val="none"/>
                      <w:u w:val="none" w:color="auto"/>
                      <w:lang w:val="en-US" w:eastAsia="zh-CN" w:bidi="ar"/>
                    </w:rPr>
                    <w:t>100</w:t>
                  </w:r>
                </w:p>
              </w:tc>
              <w:tc>
                <w:tcPr>
                  <w:tcW w:w="1110" w:type="dxa"/>
                  <w:noWrap w:val="0"/>
                  <w:vAlign w:val="center"/>
                </w:tcPr>
                <w:p w14:paraId="1D23CB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4000</w:t>
                  </w:r>
                </w:p>
              </w:tc>
              <w:tc>
                <w:tcPr>
                  <w:tcW w:w="820" w:type="dxa"/>
                  <w:noWrap w:val="0"/>
                  <w:vAlign w:val="center"/>
                </w:tcPr>
                <w:p w14:paraId="63B78F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val="en-US" w:bidi="ar"/>
                    </w:rPr>
                  </w:pPr>
                  <w:r>
                    <w:rPr>
                      <w:rFonts w:hint="eastAsia" w:cs="Times New Roman"/>
                      <w:color w:val="auto"/>
                      <w:kern w:val="0"/>
                      <w:sz w:val="21"/>
                      <w:szCs w:val="21"/>
                      <w:highlight w:val="none"/>
                      <w:u w:val="none" w:color="auto"/>
                      <w:lang w:val="en-US" w:eastAsia="zh-CN" w:bidi="ar"/>
                    </w:rPr>
                    <w:t>27.50</w:t>
                  </w:r>
                </w:p>
              </w:tc>
              <w:tc>
                <w:tcPr>
                  <w:tcW w:w="760" w:type="dxa"/>
                  <w:noWrap w:val="0"/>
                  <w:vAlign w:val="center"/>
                </w:tcPr>
                <w:p w14:paraId="052DD0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w:t>
                  </w:r>
                </w:p>
              </w:tc>
              <w:tc>
                <w:tcPr>
                  <w:tcW w:w="792" w:type="dxa"/>
                  <w:noWrap w:val="0"/>
                  <w:vAlign w:val="center"/>
                </w:tcPr>
                <w:p w14:paraId="613E607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w:t>
                  </w:r>
                </w:p>
              </w:tc>
              <w:tc>
                <w:tcPr>
                  <w:tcW w:w="658" w:type="dxa"/>
                  <w:noWrap w:val="0"/>
                  <w:vAlign w:val="center"/>
                </w:tcPr>
                <w:p w14:paraId="0DA2596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达标</w:t>
                  </w:r>
                </w:p>
              </w:tc>
            </w:tr>
            <w:tr w14:paraId="24B7D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2" w:type="dxa"/>
                  <w:noWrap w:val="0"/>
                  <w:vAlign w:val="center"/>
                </w:tcPr>
                <w:p w14:paraId="2AF8B0E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O</w:t>
                  </w:r>
                  <w:r>
                    <w:rPr>
                      <w:rFonts w:hint="default" w:ascii="Times New Roman" w:hAnsi="Times New Roman" w:eastAsia="宋体" w:cs="Times New Roman"/>
                      <w:color w:val="auto"/>
                      <w:kern w:val="0"/>
                      <w:sz w:val="21"/>
                      <w:szCs w:val="21"/>
                      <w:highlight w:val="none"/>
                      <w:u w:val="none" w:color="auto"/>
                      <w:vertAlign w:val="subscript"/>
                      <w:lang w:bidi="ar"/>
                    </w:rPr>
                    <w:t>3</w:t>
                  </w:r>
                </w:p>
              </w:tc>
              <w:tc>
                <w:tcPr>
                  <w:tcW w:w="1750" w:type="dxa"/>
                  <w:noWrap w:val="0"/>
                  <w:vAlign w:val="center"/>
                </w:tcPr>
                <w:p w14:paraId="70375CA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日最大8h第90百分位数</w:t>
                  </w:r>
                </w:p>
              </w:tc>
              <w:tc>
                <w:tcPr>
                  <w:tcW w:w="1150" w:type="dxa"/>
                  <w:noWrap w:val="0"/>
                  <w:vAlign w:val="center"/>
                </w:tcPr>
                <w:p w14:paraId="1EEA77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val="en-US" w:eastAsia="zh-CN" w:bidi="ar"/>
                    </w:rPr>
                  </w:pPr>
                  <w:r>
                    <w:rPr>
                      <w:rFonts w:hint="default" w:ascii="Times New Roman" w:hAnsi="Times New Roman" w:eastAsia="宋体" w:cs="Times New Roman"/>
                      <w:color w:val="auto"/>
                      <w:kern w:val="0"/>
                      <w:sz w:val="21"/>
                      <w:szCs w:val="21"/>
                      <w:highlight w:val="none"/>
                      <w:u w:val="none" w:color="auto"/>
                      <w:lang w:val="en-US" w:eastAsia="zh-CN" w:bidi="ar"/>
                    </w:rPr>
                    <w:t>1</w:t>
                  </w:r>
                  <w:r>
                    <w:rPr>
                      <w:rFonts w:hint="eastAsia" w:cs="Times New Roman"/>
                      <w:color w:val="auto"/>
                      <w:kern w:val="0"/>
                      <w:sz w:val="21"/>
                      <w:szCs w:val="21"/>
                      <w:highlight w:val="none"/>
                      <w:u w:val="none" w:color="auto"/>
                      <w:lang w:val="en-US" w:eastAsia="zh-CN" w:bidi="ar"/>
                    </w:rPr>
                    <w:t>38</w:t>
                  </w:r>
                </w:p>
              </w:tc>
              <w:tc>
                <w:tcPr>
                  <w:tcW w:w="1110" w:type="dxa"/>
                  <w:noWrap w:val="0"/>
                  <w:vAlign w:val="center"/>
                </w:tcPr>
                <w:p w14:paraId="473AAE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160</w:t>
                  </w:r>
                </w:p>
              </w:tc>
              <w:tc>
                <w:tcPr>
                  <w:tcW w:w="820" w:type="dxa"/>
                  <w:noWrap w:val="0"/>
                  <w:vAlign w:val="center"/>
                </w:tcPr>
                <w:p w14:paraId="0267DE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val="en-US" w:eastAsia="zh-CN" w:bidi="ar"/>
                    </w:rPr>
                  </w:pPr>
                  <w:r>
                    <w:rPr>
                      <w:rFonts w:hint="eastAsia" w:cs="Times New Roman"/>
                      <w:color w:val="auto"/>
                      <w:kern w:val="0"/>
                      <w:sz w:val="21"/>
                      <w:szCs w:val="21"/>
                      <w:highlight w:val="none"/>
                      <w:u w:val="none" w:color="auto"/>
                      <w:lang w:val="en-US" w:eastAsia="zh-CN" w:bidi="ar"/>
                    </w:rPr>
                    <w:t>86.25</w:t>
                  </w:r>
                </w:p>
              </w:tc>
              <w:tc>
                <w:tcPr>
                  <w:tcW w:w="760" w:type="dxa"/>
                  <w:noWrap w:val="0"/>
                  <w:vAlign w:val="center"/>
                </w:tcPr>
                <w:p w14:paraId="0BD52AD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w:t>
                  </w:r>
                </w:p>
              </w:tc>
              <w:tc>
                <w:tcPr>
                  <w:tcW w:w="792" w:type="dxa"/>
                  <w:noWrap w:val="0"/>
                  <w:vAlign w:val="center"/>
                </w:tcPr>
                <w:p w14:paraId="6D1D39B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w:t>
                  </w:r>
                </w:p>
              </w:tc>
              <w:tc>
                <w:tcPr>
                  <w:tcW w:w="658" w:type="dxa"/>
                  <w:noWrap w:val="0"/>
                  <w:vAlign w:val="center"/>
                </w:tcPr>
                <w:p w14:paraId="0648124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达标</w:t>
                  </w:r>
                </w:p>
              </w:tc>
            </w:tr>
            <w:tr w14:paraId="3BB72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2" w:type="dxa"/>
                  <w:noWrap w:val="0"/>
                  <w:vAlign w:val="center"/>
                </w:tcPr>
                <w:p w14:paraId="1540FDC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PM</w:t>
                  </w:r>
                  <w:r>
                    <w:rPr>
                      <w:rFonts w:hint="default" w:ascii="Times New Roman" w:hAnsi="Times New Roman" w:eastAsia="宋体" w:cs="Times New Roman"/>
                      <w:color w:val="auto"/>
                      <w:kern w:val="0"/>
                      <w:sz w:val="21"/>
                      <w:szCs w:val="21"/>
                      <w:highlight w:val="none"/>
                      <w:u w:val="none" w:color="auto"/>
                      <w:vertAlign w:val="subscript"/>
                      <w:lang w:bidi="ar"/>
                    </w:rPr>
                    <w:t>10</w:t>
                  </w:r>
                </w:p>
              </w:tc>
              <w:tc>
                <w:tcPr>
                  <w:tcW w:w="1750" w:type="dxa"/>
                  <w:noWrap w:val="0"/>
                  <w:vAlign w:val="center"/>
                </w:tcPr>
                <w:p w14:paraId="2C9D53D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年平均质量浓度</w:t>
                  </w:r>
                </w:p>
              </w:tc>
              <w:tc>
                <w:tcPr>
                  <w:tcW w:w="1150" w:type="dxa"/>
                  <w:noWrap w:val="0"/>
                  <w:vAlign w:val="center"/>
                </w:tcPr>
                <w:p w14:paraId="0196C69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val="en-US" w:eastAsia="zh-CN" w:bidi="ar"/>
                    </w:rPr>
                  </w:pPr>
                  <w:r>
                    <w:rPr>
                      <w:rFonts w:hint="default" w:ascii="Times New Roman" w:hAnsi="Times New Roman" w:eastAsia="宋体" w:cs="Times New Roman"/>
                      <w:color w:val="auto"/>
                      <w:kern w:val="0"/>
                      <w:sz w:val="21"/>
                      <w:szCs w:val="21"/>
                      <w:highlight w:val="none"/>
                      <w:u w:val="none" w:color="auto"/>
                      <w:lang w:val="en-US" w:eastAsia="zh-CN" w:bidi="ar"/>
                    </w:rPr>
                    <w:t>54</w:t>
                  </w:r>
                </w:p>
              </w:tc>
              <w:tc>
                <w:tcPr>
                  <w:tcW w:w="1110" w:type="dxa"/>
                  <w:noWrap w:val="0"/>
                  <w:vAlign w:val="center"/>
                </w:tcPr>
                <w:p w14:paraId="1D6AEE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70</w:t>
                  </w:r>
                </w:p>
              </w:tc>
              <w:tc>
                <w:tcPr>
                  <w:tcW w:w="820" w:type="dxa"/>
                  <w:noWrap w:val="0"/>
                  <w:vAlign w:val="center"/>
                </w:tcPr>
                <w:p w14:paraId="562CBC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val="en-US" w:eastAsia="zh-CN" w:bidi="ar"/>
                    </w:rPr>
                  </w:pPr>
                  <w:r>
                    <w:rPr>
                      <w:rFonts w:hint="default" w:ascii="Times New Roman" w:hAnsi="Times New Roman" w:eastAsia="宋体" w:cs="Times New Roman"/>
                      <w:color w:val="auto"/>
                      <w:kern w:val="0"/>
                      <w:sz w:val="21"/>
                      <w:szCs w:val="21"/>
                      <w:highlight w:val="none"/>
                      <w:u w:val="none" w:color="auto"/>
                      <w:lang w:val="en-US" w:eastAsia="zh-CN" w:bidi="ar"/>
                    </w:rPr>
                    <w:t>77.14</w:t>
                  </w:r>
                </w:p>
              </w:tc>
              <w:tc>
                <w:tcPr>
                  <w:tcW w:w="760" w:type="dxa"/>
                  <w:noWrap w:val="0"/>
                  <w:vAlign w:val="center"/>
                </w:tcPr>
                <w:p w14:paraId="7212881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w:t>
                  </w:r>
                </w:p>
              </w:tc>
              <w:tc>
                <w:tcPr>
                  <w:tcW w:w="792" w:type="dxa"/>
                  <w:noWrap w:val="0"/>
                  <w:vAlign w:val="center"/>
                </w:tcPr>
                <w:p w14:paraId="57097CE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w:t>
                  </w:r>
                </w:p>
              </w:tc>
              <w:tc>
                <w:tcPr>
                  <w:tcW w:w="658" w:type="dxa"/>
                  <w:noWrap w:val="0"/>
                  <w:vAlign w:val="center"/>
                </w:tcPr>
                <w:p w14:paraId="5A5BBBF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达标</w:t>
                  </w:r>
                </w:p>
              </w:tc>
            </w:tr>
            <w:tr w14:paraId="43518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2" w:type="dxa"/>
                  <w:noWrap w:val="0"/>
                  <w:vAlign w:val="center"/>
                </w:tcPr>
                <w:p w14:paraId="522F6C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PM</w:t>
                  </w:r>
                  <w:r>
                    <w:rPr>
                      <w:rFonts w:hint="default" w:ascii="Times New Roman" w:hAnsi="Times New Roman" w:eastAsia="宋体" w:cs="Times New Roman"/>
                      <w:color w:val="auto"/>
                      <w:kern w:val="0"/>
                      <w:sz w:val="21"/>
                      <w:szCs w:val="21"/>
                      <w:highlight w:val="none"/>
                      <w:u w:val="none" w:color="auto"/>
                      <w:vertAlign w:val="subscript"/>
                      <w:lang w:bidi="ar"/>
                    </w:rPr>
                    <w:t>2.5</w:t>
                  </w:r>
                </w:p>
              </w:tc>
              <w:tc>
                <w:tcPr>
                  <w:tcW w:w="1750" w:type="dxa"/>
                  <w:noWrap w:val="0"/>
                  <w:vAlign w:val="center"/>
                </w:tcPr>
                <w:p w14:paraId="4A3AD2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年平均质量浓度</w:t>
                  </w:r>
                </w:p>
              </w:tc>
              <w:tc>
                <w:tcPr>
                  <w:tcW w:w="1150" w:type="dxa"/>
                  <w:noWrap w:val="0"/>
                  <w:vAlign w:val="center"/>
                </w:tcPr>
                <w:p w14:paraId="450CD3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0"/>
                      <w:sz w:val="21"/>
                      <w:szCs w:val="21"/>
                      <w:highlight w:val="none"/>
                      <w:u w:val="none" w:color="auto"/>
                      <w:lang w:eastAsia="zh-CN" w:bidi="ar"/>
                    </w:rPr>
                  </w:pPr>
                  <w:r>
                    <w:rPr>
                      <w:rFonts w:hint="default" w:ascii="Times New Roman" w:hAnsi="Times New Roman" w:eastAsia="宋体" w:cs="Times New Roman"/>
                      <w:color w:val="auto"/>
                      <w:kern w:val="0"/>
                      <w:sz w:val="21"/>
                      <w:szCs w:val="21"/>
                      <w:highlight w:val="none"/>
                      <w:u w:val="none" w:color="auto"/>
                      <w:lang w:bidi="ar"/>
                    </w:rPr>
                    <w:t>2</w:t>
                  </w:r>
                  <w:r>
                    <w:rPr>
                      <w:rFonts w:hint="eastAsia" w:cs="Times New Roman"/>
                      <w:color w:val="auto"/>
                      <w:kern w:val="0"/>
                      <w:sz w:val="21"/>
                      <w:szCs w:val="21"/>
                      <w:highlight w:val="none"/>
                      <w:u w:val="none" w:color="auto"/>
                      <w:lang w:val="en-US" w:eastAsia="zh-CN" w:bidi="ar"/>
                    </w:rPr>
                    <w:t>9</w:t>
                  </w:r>
                </w:p>
              </w:tc>
              <w:tc>
                <w:tcPr>
                  <w:tcW w:w="1110" w:type="dxa"/>
                  <w:noWrap w:val="0"/>
                  <w:vAlign w:val="center"/>
                </w:tcPr>
                <w:p w14:paraId="7D57D2F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35</w:t>
                  </w:r>
                </w:p>
              </w:tc>
              <w:tc>
                <w:tcPr>
                  <w:tcW w:w="820" w:type="dxa"/>
                  <w:noWrap w:val="0"/>
                  <w:vAlign w:val="center"/>
                </w:tcPr>
                <w:p w14:paraId="4CF3E0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val="en-US" w:bidi="ar"/>
                    </w:rPr>
                  </w:pPr>
                  <w:r>
                    <w:rPr>
                      <w:rFonts w:hint="eastAsia" w:cs="Times New Roman"/>
                      <w:color w:val="auto"/>
                      <w:kern w:val="0"/>
                      <w:sz w:val="21"/>
                      <w:szCs w:val="21"/>
                      <w:highlight w:val="none"/>
                      <w:u w:val="none" w:color="auto"/>
                      <w:lang w:val="en-US" w:eastAsia="zh-CN" w:bidi="ar"/>
                    </w:rPr>
                    <w:t>82.86</w:t>
                  </w:r>
                </w:p>
              </w:tc>
              <w:tc>
                <w:tcPr>
                  <w:tcW w:w="760" w:type="dxa"/>
                  <w:noWrap w:val="0"/>
                  <w:vAlign w:val="center"/>
                </w:tcPr>
                <w:p w14:paraId="40E8CB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w:t>
                  </w:r>
                </w:p>
              </w:tc>
              <w:tc>
                <w:tcPr>
                  <w:tcW w:w="792" w:type="dxa"/>
                  <w:noWrap w:val="0"/>
                  <w:vAlign w:val="center"/>
                </w:tcPr>
                <w:p w14:paraId="77A772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w:t>
                  </w:r>
                </w:p>
              </w:tc>
              <w:tc>
                <w:tcPr>
                  <w:tcW w:w="658" w:type="dxa"/>
                  <w:noWrap w:val="0"/>
                  <w:vAlign w:val="center"/>
                </w:tcPr>
                <w:p w14:paraId="63C2EED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u w:val="none" w:color="auto"/>
                      <w:lang w:bidi="ar"/>
                    </w:rPr>
                  </w:pPr>
                  <w:r>
                    <w:rPr>
                      <w:rFonts w:hint="default" w:ascii="Times New Roman" w:hAnsi="Times New Roman" w:eastAsia="宋体" w:cs="Times New Roman"/>
                      <w:color w:val="auto"/>
                      <w:kern w:val="0"/>
                      <w:sz w:val="21"/>
                      <w:szCs w:val="21"/>
                      <w:highlight w:val="none"/>
                      <w:u w:val="none" w:color="auto"/>
                      <w:lang w:bidi="ar"/>
                    </w:rPr>
                    <w:t>达标</w:t>
                  </w:r>
                </w:p>
              </w:tc>
            </w:tr>
          </w:tbl>
          <w:p w14:paraId="116DA67F">
            <w:pPr>
              <w:pStyle w:val="85"/>
              <w:rPr>
                <w:rFonts w:hint="default" w:ascii="Times New Roman" w:hAnsi="Times New Roman" w:cs="Times New Roman"/>
                <w:color w:val="auto"/>
                <w:highlight w:val="none"/>
              </w:rPr>
            </w:pPr>
            <w:r>
              <w:rPr>
                <w:rFonts w:hint="default" w:ascii="Times New Roman" w:hAnsi="Times New Roman" w:cs="Times New Roman"/>
                <w:color w:val="auto"/>
                <w:highlight w:val="none"/>
              </w:rPr>
              <w:t>由上表可知，</w:t>
            </w:r>
            <w:r>
              <w:rPr>
                <w:rFonts w:hint="eastAsia" w:ascii="Times New Roman" w:hAnsi="Times New Roman" w:cs="Times New Roman"/>
                <w:color w:val="auto"/>
                <w:highlight w:val="none"/>
                <w:lang w:eastAsia="zh-CN"/>
              </w:rPr>
              <w:t>本项目</w:t>
            </w:r>
            <w:r>
              <w:rPr>
                <w:rFonts w:hint="default" w:ascii="Times New Roman" w:hAnsi="Times New Roman" w:cs="Times New Roman"/>
                <w:color w:val="auto"/>
                <w:highlight w:val="none"/>
              </w:rPr>
              <w:t>所在区域基准年（202</w:t>
            </w:r>
            <w:r>
              <w:rPr>
                <w:rFonts w:hint="default" w:ascii="Times New Roman" w:hAnsi="Times New Roman" w:cs="Times New Roman"/>
                <w:color w:val="auto"/>
                <w:highlight w:val="none"/>
                <w:lang w:val="en-US" w:eastAsia="zh-CN"/>
              </w:rPr>
              <w:t>3</w:t>
            </w:r>
            <w:r>
              <w:rPr>
                <w:rFonts w:hint="default" w:ascii="Times New Roman" w:hAnsi="Times New Roman" w:cs="Times New Roman"/>
                <w:color w:val="auto"/>
                <w:highlight w:val="none"/>
              </w:rPr>
              <w:t>年）中SO</w:t>
            </w:r>
            <w:r>
              <w:rPr>
                <w:rFonts w:hint="default" w:ascii="Times New Roman" w:hAnsi="Times New Roman" w:cs="Times New Roman"/>
                <w:color w:val="auto"/>
                <w:highlight w:val="none"/>
                <w:vertAlign w:val="subscript"/>
              </w:rPr>
              <w:t>2</w:t>
            </w:r>
            <w:r>
              <w:rPr>
                <w:rFonts w:hint="default" w:ascii="Times New Roman" w:hAnsi="Times New Roman" w:cs="Times New Roman"/>
                <w:color w:val="auto"/>
                <w:highlight w:val="none"/>
              </w:rPr>
              <w:t>、NO</w:t>
            </w:r>
            <w:r>
              <w:rPr>
                <w:rFonts w:hint="default" w:ascii="Times New Roman" w:hAnsi="Times New Roman" w:cs="Times New Roman"/>
                <w:color w:val="auto"/>
                <w:highlight w:val="none"/>
                <w:vertAlign w:val="subscript"/>
              </w:rPr>
              <w:t>2</w:t>
            </w:r>
            <w:r>
              <w:rPr>
                <w:rFonts w:hint="default" w:ascii="Times New Roman" w:hAnsi="Times New Roman" w:cs="Times New Roman"/>
                <w:color w:val="auto"/>
                <w:highlight w:val="none"/>
              </w:rPr>
              <w:t>、PM</w:t>
            </w:r>
            <w:r>
              <w:rPr>
                <w:rFonts w:hint="default" w:ascii="Times New Roman" w:hAnsi="Times New Roman" w:cs="Times New Roman"/>
                <w:color w:val="auto"/>
                <w:highlight w:val="none"/>
                <w:vertAlign w:val="subscript"/>
              </w:rPr>
              <w:t>10</w:t>
            </w:r>
            <w:r>
              <w:rPr>
                <w:rFonts w:hint="default" w:ascii="Times New Roman" w:hAnsi="Times New Roman" w:cs="Times New Roman"/>
                <w:color w:val="auto"/>
                <w:highlight w:val="none"/>
              </w:rPr>
              <w:t>、PM</w:t>
            </w:r>
            <w:r>
              <w:rPr>
                <w:rFonts w:hint="default" w:ascii="Times New Roman" w:hAnsi="Times New Roman" w:cs="Times New Roman"/>
                <w:color w:val="auto"/>
                <w:highlight w:val="none"/>
                <w:vertAlign w:val="subscript"/>
              </w:rPr>
              <w:t>2.5</w:t>
            </w:r>
            <w:r>
              <w:rPr>
                <w:rFonts w:hint="default" w:ascii="Times New Roman" w:hAnsi="Times New Roman" w:cs="Times New Roman"/>
                <w:color w:val="auto"/>
                <w:highlight w:val="none"/>
              </w:rPr>
              <w:t>年平均质量浓度全部达到《环境空气质量标准》（GB3095-2012）及其修改单中的二级标准；CO日平均浓度第95百分位数和O</w:t>
            </w:r>
            <w:r>
              <w:rPr>
                <w:rFonts w:hint="default" w:ascii="Times New Roman" w:hAnsi="Times New Roman" w:cs="Times New Roman"/>
                <w:color w:val="auto"/>
                <w:highlight w:val="none"/>
                <w:vertAlign w:val="subscript"/>
              </w:rPr>
              <w:t>3</w:t>
            </w:r>
            <w:r>
              <w:rPr>
                <w:rFonts w:hint="default" w:ascii="Times New Roman" w:hAnsi="Times New Roman" w:cs="Times New Roman"/>
                <w:color w:val="auto"/>
                <w:highlight w:val="none"/>
              </w:rPr>
              <w:t>日最大8h第90百分位数全部达到《环境空气质量标准》（GB3095-2012）及其修改单中的二级标准，故</w:t>
            </w:r>
            <w:r>
              <w:rPr>
                <w:rFonts w:hint="eastAsia" w:ascii="Times New Roman" w:hAnsi="Times New Roman" w:cs="Times New Roman"/>
                <w:color w:val="auto"/>
                <w:highlight w:val="none"/>
                <w:lang w:val="en-US" w:eastAsia="zh-CN"/>
              </w:rPr>
              <w:t>本项目</w:t>
            </w:r>
            <w:r>
              <w:rPr>
                <w:rFonts w:hint="default" w:ascii="Times New Roman" w:hAnsi="Times New Roman" w:cs="Times New Roman"/>
                <w:color w:val="auto"/>
                <w:highlight w:val="none"/>
              </w:rPr>
              <w:t>所在区域为达标区。</w:t>
            </w:r>
          </w:p>
          <w:p w14:paraId="4CC31591">
            <w:pPr>
              <w:shd w:val="clear" w:color="auto" w:fill="auto"/>
              <w:spacing w:line="360" w:lineRule="auto"/>
              <w:ind w:firstLine="482" w:firstLineChars="200"/>
              <w:jc w:val="lef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（2）</w:t>
            </w:r>
            <w:r>
              <w:rPr>
                <w:rFonts w:hint="eastAsia" w:cs="Times New Roman"/>
                <w:b/>
                <w:bCs/>
                <w:color w:val="auto"/>
                <w:sz w:val="24"/>
                <w:szCs w:val="24"/>
                <w:highlight w:val="none"/>
                <w:lang w:val="en-US" w:eastAsia="zh-CN"/>
              </w:rPr>
              <w:t>其他污染物环境质量现状</w:t>
            </w:r>
          </w:p>
          <w:p w14:paraId="0BEE7953">
            <w:pPr>
              <w:spacing w:line="360" w:lineRule="auto"/>
              <w:ind w:firstLine="480" w:firstLineChars="200"/>
              <w:jc w:val="left"/>
              <w:rPr>
                <w:rFonts w:hint="eastAsia" w:ascii="Times New Roman" w:hAnsi="Times New Roman" w:cs="Times New Roman"/>
                <w:color w:val="auto"/>
                <w:sz w:val="24"/>
                <w:highlight w:val="none"/>
                <w:lang w:eastAsia="zh-CN"/>
              </w:rPr>
            </w:pPr>
            <w:r>
              <w:rPr>
                <w:color w:val="auto"/>
                <w:sz w:val="24"/>
              </w:rPr>
              <w:t>项目特征因子TSP、非甲烷总烃引用</w:t>
            </w:r>
            <w:r>
              <w:rPr>
                <w:rFonts w:hint="eastAsia" w:ascii="Times New Roman" w:hAnsi="Times New Roman" w:cs="Times New Roman"/>
                <w:color w:val="auto"/>
                <w:sz w:val="24"/>
                <w:highlight w:val="none"/>
                <w:lang w:val="en-US" w:eastAsia="zh-CN"/>
              </w:rPr>
              <w:t>路飞镁业科技（安徽）</w:t>
            </w:r>
            <w:r>
              <w:rPr>
                <w:rFonts w:hint="default" w:ascii="Times New Roman" w:hAnsi="Times New Roman" w:cs="Times New Roman"/>
                <w:color w:val="auto"/>
                <w:sz w:val="24"/>
                <w:highlight w:val="none"/>
              </w:rPr>
              <w:t>有限公司2023年</w:t>
            </w:r>
            <w:r>
              <w:rPr>
                <w:rFonts w:hint="eastAsia" w:ascii="Times New Roman" w:hAnsi="Times New Roman" w:cs="Times New Roman"/>
                <w:color w:val="auto"/>
                <w:sz w:val="24"/>
                <w:highlight w:val="none"/>
                <w:lang w:val="en-US" w:eastAsia="zh-CN"/>
              </w:rPr>
              <w:t>7</w:t>
            </w:r>
            <w:r>
              <w:rPr>
                <w:rFonts w:hint="default" w:ascii="Times New Roman" w:hAnsi="Times New Roman" w:cs="Times New Roman"/>
                <w:color w:val="auto"/>
                <w:sz w:val="24"/>
                <w:highlight w:val="none"/>
              </w:rPr>
              <w:t>月</w:t>
            </w:r>
            <w:r>
              <w:rPr>
                <w:rFonts w:hint="eastAsia" w:ascii="Times New Roman" w:hAnsi="Times New Roman" w:cs="Times New Roman"/>
                <w:color w:val="auto"/>
                <w:sz w:val="24"/>
                <w:highlight w:val="none"/>
                <w:lang w:val="en-US" w:eastAsia="zh-CN"/>
              </w:rPr>
              <w:t>2</w:t>
            </w:r>
            <w:r>
              <w:rPr>
                <w:rFonts w:hint="default" w:ascii="Times New Roman" w:hAnsi="Times New Roman" w:cs="Times New Roman"/>
                <w:color w:val="auto"/>
                <w:sz w:val="24"/>
                <w:highlight w:val="none"/>
              </w:rPr>
              <w:t>日-</w:t>
            </w:r>
            <w:r>
              <w:rPr>
                <w:rFonts w:hint="eastAsia" w:ascii="Times New Roman" w:hAnsi="Times New Roman" w:cs="Times New Roman"/>
                <w:color w:val="auto"/>
                <w:sz w:val="24"/>
                <w:highlight w:val="none"/>
                <w:lang w:val="en-US" w:eastAsia="zh-CN"/>
              </w:rPr>
              <w:t>4</w:t>
            </w:r>
            <w:r>
              <w:rPr>
                <w:rFonts w:hint="default" w:ascii="Times New Roman" w:hAnsi="Times New Roman" w:cs="Times New Roman"/>
                <w:color w:val="auto"/>
                <w:sz w:val="24"/>
                <w:highlight w:val="none"/>
              </w:rPr>
              <w:t>日对</w:t>
            </w:r>
            <w:r>
              <w:rPr>
                <w:rFonts w:hint="eastAsia" w:ascii="Times New Roman" w:hAnsi="Times New Roman" w:cs="Times New Roman"/>
                <w:color w:val="auto"/>
                <w:sz w:val="24"/>
                <w:highlight w:val="none"/>
                <w:lang w:val="en-US" w:eastAsia="zh-CN"/>
              </w:rPr>
              <w:t>年产800万件新能源汽车及电动车镁铝合金配件项目环境质量现状监测</w:t>
            </w:r>
            <w:r>
              <w:rPr>
                <w:rFonts w:hint="default" w:ascii="Times New Roman" w:hAnsi="Times New Roman" w:cs="Times New Roman"/>
                <w:color w:val="auto"/>
                <w:sz w:val="24"/>
                <w:highlight w:val="none"/>
              </w:rPr>
              <w:t>中空气环境质量</w:t>
            </w:r>
            <w:r>
              <w:rPr>
                <w:rFonts w:hint="eastAsia" w:ascii="Times New Roman" w:hAnsi="Times New Roman" w:cs="Times New Roman"/>
                <w:color w:val="auto"/>
                <w:sz w:val="24"/>
                <w:highlight w:val="none"/>
                <w:lang w:val="en-US" w:eastAsia="zh-CN"/>
              </w:rPr>
              <w:t>监测</w:t>
            </w:r>
            <w:r>
              <w:rPr>
                <w:rFonts w:hint="default" w:ascii="Times New Roman" w:hAnsi="Times New Roman" w:cs="Times New Roman"/>
                <w:color w:val="auto"/>
                <w:sz w:val="24"/>
                <w:highlight w:val="none"/>
              </w:rPr>
              <w:t>数据</w:t>
            </w:r>
            <w:r>
              <w:rPr>
                <w:rFonts w:hint="eastAsia" w:ascii="Times New Roman" w:hAnsi="Times New Roman" w:cs="Times New Roman"/>
                <w:color w:val="auto"/>
                <w:sz w:val="24"/>
                <w:highlight w:val="none"/>
                <w:lang w:eastAsia="zh-CN"/>
              </w:rPr>
              <w:t>。</w:t>
            </w:r>
          </w:p>
          <w:p w14:paraId="6F8FD15C">
            <w:pPr>
              <w:spacing w:line="360" w:lineRule="auto"/>
              <w:ind w:firstLine="480" w:firstLineChars="200"/>
              <w:jc w:val="left"/>
              <w:rPr>
                <w:bCs/>
                <w:color w:val="auto"/>
                <w:sz w:val="24"/>
              </w:rPr>
            </w:pPr>
            <w:r>
              <w:rPr>
                <w:color w:val="auto"/>
                <w:sz w:val="24"/>
              </w:rPr>
              <w:t>引用数据可行性：</w:t>
            </w:r>
          </w:p>
          <w:p w14:paraId="4EC1DB3D">
            <w:pPr>
              <w:spacing w:line="360" w:lineRule="auto"/>
              <w:ind w:firstLine="480" w:firstLineChars="200"/>
              <w:jc w:val="left"/>
              <w:rPr>
                <w:color w:val="auto"/>
                <w:sz w:val="24"/>
              </w:rPr>
            </w:pPr>
            <w:r>
              <w:rPr>
                <w:color w:val="auto"/>
                <w:sz w:val="24"/>
              </w:rPr>
              <w:t>引用监测点位位于本项目南侧</w:t>
            </w:r>
            <w:r>
              <w:rPr>
                <w:rFonts w:hint="eastAsia"/>
                <w:color w:val="auto"/>
                <w:sz w:val="24"/>
                <w:lang w:val="en-US" w:eastAsia="zh-CN"/>
              </w:rPr>
              <w:t>400</w:t>
            </w:r>
            <w:r>
              <w:rPr>
                <w:color w:val="auto"/>
                <w:sz w:val="24"/>
              </w:rPr>
              <w:t>m处，监测时间为2023年</w:t>
            </w:r>
            <w:r>
              <w:rPr>
                <w:rFonts w:hint="eastAsia"/>
                <w:color w:val="auto"/>
                <w:sz w:val="24"/>
                <w:lang w:val="en-US" w:eastAsia="zh-CN"/>
              </w:rPr>
              <w:t>7</w:t>
            </w:r>
            <w:r>
              <w:rPr>
                <w:color w:val="auto"/>
                <w:sz w:val="24"/>
              </w:rPr>
              <w:t>月</w:t>
            </w:r>
            <w:r>
              <w:rPr>
                <w:rFonts w:hint="eastAsia"/>
                <w:color w:val="auto"/>
                <w:sz w:val="24"/>
                <w:lang w:val="en-US" w:eastAsia="zh-CN"/>
              </w:rPr>
              <w:t>2</w:t>
            </w:r>
            <w:r>
              <w:rPr>
                <w:color w:val="auto"/>
                <w:sz w:val="24"/>
              </w:rPr>
              <w:t>日至</w:t>
            </w:r>
            <w:r>
              <w:rPr>
                <w:rFonts w:hint="eastAsia"/>
                <w:color w:val="auto"/>
                <w:sz w:val="24"/>
                <w:lang w:val="en-US" w:eastAsia="zh-CN"/>
              </w:rPr>
              <w:t>4</w:t>
            </w:r>
            <w:r>
              <w:rPr>
                <w:color w:val="auto"/>
                <w:sz w:val="24"/>
              </w:rPr>
              <w:t>日，监测因子为TSP、非甲烷总烃。根据《建设项目环境影响报告表编制技术指南（污染影响型）》中“排放国家、地方环境空气质量标准中有标准限值要求的特征污染物时，引用建设项目周边5千米范围内近3年的现有监测数据”。本次项目引用数据符合“5千米范围内近3年”的要求，引用数据可行。</w:t>
            </w:r>
          </w:p>
          <w:p w14:paraId="2FD64FAD">
            <w:pPr>
              <w:spacing w:line="360" w:lineRule="auto"/>
              <w:ind w:firstLine="480" w:firstLineChars="200"/>
              <w:jc w:val="left"/>
              <w:rPr>
                <w:color w:val="auto"/>
                <w:sz w:val="24"/>
              </w:rPr>
            </w:pPr>
            <w:r>
              <w:rPr>
                <w:color w:val="auto"/>
                <w:sz w:val="24"/>
              </w:rPr>
              <w:t>（1）监测点位</w:t>
            </w:r>
          </w:p>
          <w:p w14:paraId="78FF7CE2">
            <w:pPr>
              <w:pStyle w:val="88"/>
              <w:ind w:firstLine="480"/>
              <w:rPr>
                <w:rFonts w:ascii="Times New Roman" w:hAnsi="Times New Roman" w:cs="Times New Roman"/>
                <w:color w:val="auto"/>
                <w:kern w:val="2"/>
              </w:rPr>
            </w:pPr>
            <w:r>
              <w:rPr>
                <w:rFonts w:ascii="Times New Roman" w:hAnsi="Times New Roman" w:cs="Times New Roman"/>
                <w:color w:val="auto"/>
              </w:rPr>
              <w:t>引用1个监测点位，</w:t>
            </w:r>
            <w:r>
              <w:rPr>
                <w:rFonts w:ascii="Times New Roman" w:hAnsi="Times New Roman" w:cs="Times New Roman"/>
                <w:color w:val="auto"/>
                <w:kern w:val="2"/>
              </w:rPr>
              <w:t>监测点的具体情况见表3-2。</w:t>
            </w:r>
          </w:p>
          <w:p w14:paraId="2D4A8EE5">
            <w:pPr>
              <w:pStyle w:val="57"/>
              <w:spacing w:line="240" w:lineRule="auto"/>
              <w:rPr>
                <w:rFonts w:hint="default" w:ascii="Times New Roman" w:hAnsi="Times New Roman" w:eastAsia="宋体" w:cs="Times New Roman"/>
                <w:color w:val="auto"/>
                <w:szCs w:val="21"/>
                <w:lang w:bidi="ar"/>
              </w:rPr>
            </w:pPr>
            <w:r>
              <w:rPr>
                <w:rFonts w:hint="default" w:ascii="Times New Roman" w:hAnsi="Times New Roman" w:eastAsia="宋体" w:cs="Times New Roman"/>
                <w:color w:val="auto"/>
                <w:szCs w:val="21"/>
                <w:lang w:bidi="ar"/>
              </w:rPr>
              <w:t>表3-2</w:t>
            </w:r>
            <w:r>
              <w:rPr>
                <w:rFonts w:hint="eastAsia" w:ascii="Times New Roman" w:hAnsi="Times New Roman" w:eastAsia="宋体" w:cs="Times New Roman"/>
                <w:color w:val="auto"/>
                <w:szCs w:val="21"/>
                <w:lang w:val="en-US" w:eastAsia="zh-CN" w:bidi="ar"/>
              </w:rPr>
              <w:t xml:space="preserve"> </w:t>
            </w:r>
            <w:r>
              <w:rPr>
                <w:rFonts w:hint="default" w:ascii="Times New Roman" w:hAnsi="Times New Roman" w:eastAsia="宋体" w:cs="Times New Roman"/>
                <w:color w:val="auto"/>
                <w:szCs w:val="21"/>
                <w:lang w:bidi="ar"/>
              </w:rPr>
              <w:t>环境空气质量现状监测布点</w:t>
            </w:r>
          </w:p>
          <w:tbl>
            <w:tblPr>
              <w:tblStyle w:val="27"/>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10"/>
              <w:gridCol w:w="1086"/>
              <w:gridCol w:w="1357"/>
              <w:gridCol w:w="4633"/>
            </w:tblGrid>
            <w:tr w14:paraId="07210DF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30" w:type="pct"/>
                  <w:noWrap w:val="0"/>
                  <w:vAlign w:val="center"/>
                </w:tcPr>
                <w:p w14:paraId="607CA529">
                  <w:pPr>
                    <w:pStyle w:val="74"/>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color w:val="auto"/>
                      <w:sz w:val="21"/>
                      <w:szCs w:val="21"/>
                    </w:rPr>
                  </w:pPr>
                  <w:r>
                    <w:rPr>
                      <w:color w:val="auto"/>
                      <w:sz w:val="21"/>
                      <w:szCs w:val="21"/>
                    </w:rPr>
                    <w:t>测点名称</w:t>
                  </w:r>
                </w:p>
              </w:tc>
              <w:tc>
                <w:tcPr>
                  <w:tcW w:w="655" w:type="pct"/>
                  <w:noWrap w:val="0"/>
                  <w:vAlign w:val="center"/>
                </w:tcPr>
                <w:p w14:paraId="5BB08458">
                  <w:pPr>
                    <w:pStyle w:val="74"/>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color w:val="auto"/>
                      <w:sz w:val="21"/>
                      <w:szCs w:val="21"/>
                    </w:rPr>
                  </w:pPr>
                  <w:r>
                    <w:rPr>
                      <w:color w:val="auto"/>
                      <w:sz w:val="21"/>
                      <w:szCs w:val="21"/>
                    </w:rPr>
                    <w:t>方位</w:t>
                  </w:r>
                </w:p>
              </w:tc>
              <w:tc>
                <w:tcPr>
                  <w:tcW w:w="819" w:type="pct"/>
                  <w:noWrap w:val="0"/>
                  <w:vAlign w:val="center"/>
                </w:tcPr>
                <w:p w14:paraId="7FBC2C6D">
                  <w:pPr>
                    <w:pStyle w:val="74"/>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color w:val="auto"/>
                      <w:sz w:val="21"/>
                      <w:szCs w:val="21"/>
                    </w:rPr>
                  </w:pPr>
                  <w:r>
                    <w:rPr>
                      <w:color w:val="auto"/>
                      <w:sz w:val="21"/>
                      <w:szCs w:val="21"/>
                    </w:rPr>
                    <w:t>监测指标</w:t>
                  </w:r>
                </w:p>
              </w:tc>
              <w:tc>
                <w:tcPr>
                  <w:tcW w:w="2795" w:type="pct"/>
                  <w:noWrap w:val="0"/>
                  <w:vAlign w:val="center"/>
                </w:tcPr>
                <w:p w14:paraId="297BC6F9">
                  <w:pPr>
                    <w:pStyle w:val="74"/>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color w:val="auto"/>
                      <w:sz w:val="21"/>
                      <w:szCs w:val="21"/>
                    </w:rPr>
                  </w:pPr>
                  <w:r>
                    <w:rPr>
                      <w:color w:val="auto"/>
                      <w:sz w:val="21"/>
                      <w:szCs w:val="21"/>
                    </w:rPr>
                    <w:t>数据来源</w:t>
                  </w:r>
                </w:p>
              </w:tc>
            </w:tr>
            <w:tr w14:paraId="303AEF0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87" w:hRule="atLeast"/>
                <w:jc w:val="center"/>
              </w:trPr>
              <w:tc>
                <w:tcPr>
                  <w:tcW w:w="730" w:type="pct"/>
                  <w:vMerge w:val="restart"/>
                  <w:noWrap w:val="0"/>
                  <w:vAlign w:val="center"/>
                </w:tcPr>
                <w:p w14:paraId="08BC191A">
                  <w:pPr>
                    <w:pStyle w:val="74"/>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color w:val="auto"/>
                      <w:sz w:val="21"/>
                      <w:szCs w:val="21"/>
                    </w:rPr>
                  </w:pPr>
                  <w:r>
                    <w:rPr>
                      <w:color w:val="auto"/>
                      <w:sz w:val="21"/>
                      <w:szCs w:val="21"/>
                    </w:rPr>
                    <w:t>太极墩</w:t>
                  </w:r>
                </w:p>
              </w:tc>
              <w:tc>
                <w:tcPr>
                  <w:tcW w:w="655" w:type="pct"/>
                  <w:vMerge w:val="restart"/>
                  <w:noWrap w:val="0"/>
                  <w:vAlign w:val="center"/>
                </w:tcPr>
                <w:p w14:paraId="3C19A43C">
                  <w:pPr>
                    <w:pStyle w:val="74"/>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eastAsia" w:eastAsia="宋体"/>
                      <w:color w:val="auto"/>
                      <w:sz w:val="21"/>
                      <w:szCs w:val="21"/>
                      <w:lang w:val="en-US" w:eastAsia="zh-CN"/>
                    </w:rPr>
                  </w:pPr>
                  <w:r>
                    <w:rPr>
                      <w:color w:val="auto"/>
                      <w:sz w:val="21"/>
                      <w:szCs w:val="21"/>
                    </w:rPr>
                    <w:t>西</w:t>
                  </w:r>
                  <w:r>
                    <w:rPr>
                      <w:rFonts w:hint="eastAsia"/>
                      <w:color w:val="auto"/>
                      <w:sz w:val="21"/>
                      <w:szCs w:val="21"/>
                      <w:lang w:val="en-US" w:eastAsia="zh-CN"/>
                    </w:rPr>
                    <w:t>南</w:t>
                  </w:r>
                </w:p>
                <w:p w14:paraId="7AF1402C">
                  <w:pPr>
                    <w:pStyle w:val="74"/>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color w:val="auto"/>
                      <w:sz w:val="21"/>
                      <w:szCs w:val="21"/>
                    </w:rPr>
                  </w:pPr>
                  <w:r>
                    <w:rPr>
                      <w:rFonts w:hint="eastAsia"/>
                      <w:color w:val="auto"/>
                      <w:sz w:val="21"/>
                      <w:szCs w:val="21"/>
                      <w:lang w:val="en-US" w:eastAsia="zh-CN"/>
                    </w:rPr>
                    <w:t>约400</w:t>
                  </w:r>
                  <w:r>
                    <w:rPr>
                      <w:color w:val="auto"/>
                      <w:sz w:val="21"/>
                      <w:szCs w:val="21"/>
                    </w:rPr>
                    <w:t>m</w:t>
                  </w:r>
                </w:p>
              </w:tc>
              <w:tc>
                <w:tcPr>
                  <w:tcW w:w="819" w:type="pct"/>
                  <w:noWrap w:val="0"/>
                  <w:vAlign w:val="center"/>
                </w:tcPr>
                <w:p w14:paraId="2F56A172">
                  <w:pPr>
                    <w:pStyle w:val="74"/>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color w:val="auto"/>
                      <w:sz w:val="21"/>
                      <w:szCs w:val="21"/>
                    </w:rPr>
                  </w:pPr>
                  <w:r>
                    <w:rPr>
                      <w:color w:val="auto"/>
                      <w:sz w:val="21"/>
                      <w:szCs w:val="21"/>
                    </w:rPr>
                    <w:t>TSP</w:t>
                  </w:r>
                </w:p>
              </w:tc>
              <w:tc>
                <w:tcPr>
                  <w:tcW w:w="2795" w:type="pct"/>
                  <w:vMerge w:val="restart"/>
                  <w:noWrap w:val="0"/>
                  <w:vAlign w:val="center"/>
                </w:tcPr>
                <w:p w14:paraId="084AB656">
                  <w:pPr>
                    <w:pStyle w:val="74"/>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color w:val="auto"/>
                      <w:sz w:val="21"/>
                      <w:szCs w:val="21"/>
                    </w:rPr>
                  </w:pPr>
                  <w:r>
                    <w:rPr>
                      <w:rFonts w:hint="eastAsia"/>
                      <w:color w:val="auto"/>
                      <w:sz w:val="21"/>
                      <w:szCs w:val="21"/>
                      <w:lang w:val="en-US" w:eastAsia="zh-CN"/>
                    </w:rPr>
                    <w:t>路飞镁业科技（安徽）</w:t>
                  </w:r>
                  <w:r>
                    <w:rPr>
                      <w:rFonts w:hint="default"/>
                      <w:color w:val="auto"/>
                      <w:sz w:val="21"/>
                      <w:szCs w:val="21"/>
                    </w:rPr>
                    <w:t>有限公司2023年</w:t>
                  </w:r>
                  <w:r>
                    <w:rPr>
                      <w:rFonts w:hint="eastAsia"/>
                      <w:color w:val="auto"/>
                      <w:sz w:val="21"/>
                      <w:szCs w:val="21"/>
                      <w:lang w:val="en-US" w:eastAsia="zh-CN"/>
                    </w:rPr>
                    <w:t>7</w:t>
                  </w:r>
                  <w:r>
                    <w:rPr>
                      <w:rFonts w:hint="default"/>
                      <w:color w:val="auto"/>
                      <w:sz w:val="21"/>
                      <w:szCs w:val="21"/>
                    </w:rPr>
                    <w:t>月对</w:t>
                  </w:r>
                  <w:r>
                    <w:rPr>
                      <w:rFonts w:hint="eastAsia"/>
                      <w:color w:val="auto"/>
                      <w:sz w:val="21"/>
                      <w:szCs w:val="21"/>
                      <w:lang w:val="en-US" w:eastAsia="zh-CN"/>
                    </w:rPr>
                    <w:t>年产800万件新能源汽车及电动车镁铝合金配件项目环境质量现状监测</w:t>
                  </w:r>
                </w:p>
              </w:tc>
            </w:tr>
            <w:tr w14:paraId="3828C37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730" w:type="pct"/>
                  <w:vMerge w:val="continue"/>
                  <w:noWrap w:val="0"/>
                  <w:vAlign w:val="center"/>
                </w:tcPr>
                <w:p w14:paraId="613B06B0">
                  <w:pPr>
                    <w:pStyle w:val="74"/>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color w:val="auto"/>
                      <w:sz w:val="21"/>
                      <w:szCs w:val="21"/>
                    </w:rPr>
                  </w:pPr>
                </w:p>
              </w:tc>
              <w:tc>
                <w:tcPr>
                  <w:tcW w:w="655" w:type="pct"/>
                  <w:vMerge w:val="continue"/>
                  <w:noWrap w:val="0"/>
                  <w:vAlign w:val="center"/>
                </w:tcPr>
                <w:p w14:paraId="62A63858">
                  <w:pPr>
                    <w:pStyle w:val="74"/>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color w:val="auto"/>
                      <w:sz w:val="21"/>
                      <w:szCs w:val="21"/>
                    </w:rPr>
                  </w:pPr>
                </w:p>
              </w:tc>
              <w:tc>
                <w:tcPr>
                  <w:tcW w:w="819" w:type="pct"/>
                  <w:noWrap w:val="0"/>
                  <w:vAlign w:val="center"/>
                </w:tcPr>
                <w:p w14:paraId="7C558225">
                  <w:pPr>
                    <w:pStyle w:val="74"/>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color w:val="auto"/>
                      <w:sz w:val="21"/>
                      <w:szCs w:val="21"/>
                    </w:rPr>
                  </w:pPr>
                  <w:r>
                    <w:rPr>
                      <w:color w:val="auto"/>
                      <w:sz w:val="21"/>
                      <w:szCs w:val="21"/>
                    </w:rPr>
                    <w:t>非甲烷总烃</w:t>
                  </w:r>
                </w:p>
              </w:tc>
              <w:tc>
                <w:tcPr>
                  <w:tcW w:w="2795" w:type="pct"/>
                  <w:vMerge w:val="continue"/>
                  <w:noWrap w:val="0"/>
                  <w:vAlign w:val="center"/>
                </w:tcPr>
                <w:p w14:paraId="3A3BC9CA">
                  <w:pPr>
                    <w:pStyle w:val="74"/>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color w:val="auto"/>
                      <w:sz w:val="21"/>
                      <w:szCs w:val="21"/>
                    </w:rPr>
                  </w:pPr>
                </w:p>
              </w:tc>
            </w:tr>
          </w:tbl>
          <w:p w14:paraId="7EE6B7C9">
            <w:pPr>
              <w:spacing w:line="360" w:lineRule="auto"/>
              <w:ind w:firstLine="480" w:firstLineChars="200"/>
              <w:jc w:val="left"/>
              <w:rPr>
                <w:color w:val="auto"/>
                <w:sz w:val="24"/>
              </w:rPr>
            </w:pPr>
            <w:r>
              <w:rPr>
                <w:color w:val="auto"/>
                <w:sz w:val="24"/>
              </w:rPr>
              <w:t>（2）监测项目及其时间与频率</w:t>
            </w:r>
          </w:p>
          <w:p w14:paraId="73A03AF4">
            <w:pPr>
              <w:spacing w:line="360" w:lineRule="auto"/>
              <w:ind w:firstLine="480" w:firstLineChars="20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TSP：具体时间为2023年</w:t>
            </w:r>
            <w:r>
              <w:rPr>
                <w:rFonts w:hint="eastAsia" w:ascii="Times New Roman" w:hAnsi="Times New Roman" w:cs="Times New Roman"/>
                <w:color w:val="auto"/>
                <w:sz w:val="24"/>
                <w:highlight w:val="none"/>
                <w:lang w:val="en-US" w:eastAsia="zh-CN"/>
              </w:rPr>
              <w:t>7</w:t>
            </w:r>
            <w:r>
              <w:rPr>
                <w:rFonts w:hint="default" w:ascii="Times New Roman" w:hAnsi="Times New Roman" w:cs="Times New Roman"/>
                <w:color w:val="auto"/>
                <w:sz w:val="24"/>
                <w:highlight w:val="none"/>
              </w:rPr>
              <w:t>月</w:t>
            </w:r>
            <w:r>
              <w:rPr>
                <w:rFonts w:hint="eastAsia" w:ascii="Times New Roman" w:hAnsi="Times New Roman" w:cs="Times New Roman"/>
                <w:color w:val="auto"/>
                <w:sz w:val="24"/>
                <w:highlight w:val="none"/>
                <w:lang w:val="en-US" w:eastAsia="zh-CN"/>
              </w:rPr>
              <w:t>2</w:t>
            </w:r>
            <w:r>
              <w:rPr>
                <w:rFonts w:hint="default" w:ascii="Times New Roman" w:hAnsi="Times New Roman" w:cs="Times New Roman"/>
                <w:color w:val="auto"/>
                <w:sz w:val="24"/>
                <w:highlight w:val="none"/>
              </w:rPr>
              <w:t>日~</w:t>
            </w:r>
            <w:r>
              <w:rPr>
                <w:rFonts w:hint="eastAsia" w:ascii="Times New Roman" w:hAnsi="Times New Roman" w:cs="Times New Roman"/>
                <w:color w:val="auto"/>
                <w:sz w:val="24"/>
                <w:highlight w:val="none"/>
                <w:lang w:val="en-US" w:eastAsia="zh-CN"/>
              </w:rPr>
              <w:t>7</w:t>
            </w:r>
            <w:r>
              <w:rPr>
                <w:rFonts w:hint="default" w:ascii="Times New Roman" w:hAnsi="Times New Roman" w:cs="Times New Roman"/>
                <w:color w:val="auto"/>
                <w:sz w:val="24"/>
                <w:highlight w:val="none"/>
              </w:rPr>
              <w:t>月</w:t>
            </w:r>
            <w:r>
              <w:rPr>
                <w:rFonts w:hint="eastAsia" w:cs="Times New Roman"/>
                <w:color w:val="auto"/>
                <w:sz w:val="24"/>
                <w:highlight w:val="none"/>
                <w:lang w:val="en-US" w:eastAsia="zh-CN"/>
              </w:rPr>
              <w:t>4</w:t>
            </w:r>
            <w:r>
              <w:rPr>
                <w:rFonts w:hint="default" w:ascii="Times New Roman" w:hAnsi="Times New Roman" w:cs="Times New Roman"/>
                <w:color w:val="auto"/>
                <w:sz w:val="24"/>
                <w:highlight w:val="none"/>
              </w:rPr>
              <w:t>日，监测频率为每天1次</w:t>
            </w:r>
            <w:r>
              <w:rPr>
                <w:rFonts w:hint="eastAsia"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val="en-US" w:eastAsia="zh-CN"/>
              </w:rPr>
              <w:t>非甲烷总烃</w:t>
            </w:r>
            <w:r>
              <w:rPr>
                <w:rFonts w:hint="default" w:ascii="Times New Roman" w:hAnsi="Times New Roman" w:cs="Times New Roman"/>
                <w:color w:val="auto"/>
                <w:sz w:val="24"/>
                <w:highlight w:val="none"/>
              </w:rPr>
              <w:t>：具体时间为2023年</w:t>
            </w:r>
            <w:r>
              <w:rPr>
                <w:rFonts w:hint="eastAsia" w:ascii="Times New Roman" w:hAnsi="Times New Roman" w:cs="Times New Roman"/>
                <w:color w:val="auto"/>
                <w:sz w:val="24"/>
                <w:highlight w:val="none"/>
                <w:lang w:val="en-US" w:eastAsia="zh-CN"/>
              </w:rPr>
              <w:t>7</w:t>
            </w:r>
            <w:r>
              <w:rPr>
                <w:rFonts w:hint="default" w:ascii="Times New Roman" w:hAnsi="Times New Roman" w:cs="Times New Roman"/>
                <w:color w:val="auto"/>
                <w:sz w:val="24"/>
                <w:highlight w:val="none"/>
              </w:rPr>
              <w:t>月</w:t>
            </w:r>
            <w:r>
              <w:rPr>
                <w:rFonts w:hint="eastAsia" w:ascii="Times New Roman" w:hAnsi="Times New Roman" w:cs="Times New Roman"/>
                <w:color w:val="auto"/>
                <w:sz w:val="24"/>
                <w:highlight w:val="none"/>
                <w:lang w:val="en-US" w:eastAsia="zh-CN"/>
              </w:rPr>
              <w:t>2</w:t>
            </w:r>
            <w:r>
              <w:rPr>
                <w:rFonts w:hint="default" w:ascii="Times New Roman" w:hAnsi="Times New Roman" w:cs="Times New Roman"/>
                <w:color w:val="auto"/>
                <w:sz w:val="24"/>
                <w:highlight w:val="none"/>
              </w:rPr>
              <w:t>日~</w:t>
            </w:r>
            <w:r>
              <w:rPr>
                <w:rFonts w:hint="eastAsia" w:ascii="Times New Roman" w:hAnsi="Times New Roman" w:cs="Times New Roman"/>
                <w:color w:val="auto"/>
                <w:sz w:val="24"/>
                <w:highlight w:val="none"/>
                <w:lang w:val="en-US" w:eastAsia="zh-CN"/>
              </w:rPr>
              <w:t>7</w:t>
            </w:r>
            <w:r>
              <w:rPr>
                <w:rFonts w:hint="default" w:ascii="Times New Roman" w:hAnsi="Times New Roman" w:cs="Times New Roman"/>
                <w:color w:val="auto"/>
                <w:sz w:val="24"/>
                <w:highlight w:val="none"/>
              </w:rPr>
              <w:t>月</w:t>
            </w:r>
            <w:r>
              <w:rPr>
                <w:rFonts w:hint="eastAsia" w:cs="Times New Roman"/>
                <w:color w:val="auto"/>
                <w:sz w:val="24"/>
                <w:highlight w:val="none"/>
                <w:lang w:val="en-US" w:eastAsia="zh-CN"/>
              </w:rPr>
              <w:t>4</w:t>
            </w:r>
            <w:r>
              <w:rPr>
                <w:rFonts w:hint="default" w:ascii="Times New Roman" w:hAnsi="Times New Roman" w:cs="Times New Roman"/>
                <w:color w:val="auto"/>
                <w:sz w:val="24"/>
                <w:highlight w:val="none"/>
              </w:rPr>
              <w:t>日，监测频率为每天</w:t>
            </w:r>
            <w:r>
              <w:rPr>
                <w:rFonts w:hint="eastAsia" w:ascii="Times New Roman" w:hAnsi="Times New Roman" w:cs="Times New Roman"/>
                <w:color w:val="auto"/>
                <w:sz w:val="24"/>
                <w:highlight w:val="none"/>
                <w:lang w:val="en-US" w:eastAsia="zh-CN"/>
              </w:rPr>
              <w:t>4</w:t>
            </w:r>
            <w:r>
              <w:rPr>
                <w:rFonts w:hint="default" w:ascii="Times New Roman" w:hAnsi="Times New Roman" w:cs="Times New Roman"/>
                <w:color w:val="auto"/>
                <w:sz w:val="24"/>
                <w:highlight w:val="none"/>
              </w:rPr>
              <w:t>次。</w:t>
            </w:r>
          </w:p>
          <w:p w14:paraId="5EDA1EC5">
            <w:pPr>
              <w:pStyle w:val="5"/>
              <w:bidi w:val="0"/>
              <w:rPr>
                <w:color w:val="auto"/>
                <w:sz w:val="24"/>
              </w:rPr>
            </w:pPr>
            <w:r>
              <w:rPr>
                <w:b/>
                <w:bCs/>
                <w:sz w:val="24"/>
                <w:szCs w:val="24"/>
              </w:rPr>
              <w:drawing>
                <wp:anchor distT="0" distB="0" distL="114300" distR="114300" simplePos="0" relativeHeight="251663360" behindDoc="0" locked="0" layoutInCell="1" allowOverlap="1">
                  <wp:simplePos x="0" y="0"/>
                  <wp:positionH relativeFrom="column">
                    <wp:posOffset>4658360</wp:posOffset>
                  </wp:positionH>
                  <wp:positionV relativeFrom="paragraph">
                    <wp:posOffset>-5080</wp:posOffset>
                  </wp:positionV>
                  <wp:extent cx="602615" cy="688975"/>
                  <wp:effectExtent l="0" t="0" r="6985" b="9525"/>
                  <wp:wrapNone/>
                  <wp:docPr id="4" name="图片 15" descr="f13660726cb14516f37635d2cb536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5" descr="f13660726cb14516f37635d2cb5362b"/>
                          <pic:cNvPicPr>
                            <a:picLocks noChangeAspect="1"/>
                          </pic:cNvPicPr>
                        </pic:nvPicPr>
                        <pic:blipFill>
                          <a:blip r:embed="rId25"/>
                          <a:stretch>
                            <a:fillRect/>
                          </a:stretch>
                        </pic:blipFill>
                        <pic:spPr>
                          <a:xfrm>
                            <a:off x="0" y="0"/>
                            <a:ext cx="602615" cy="688975"/>
                          </a:xfrm>
                          <a:prstGeom prst="rect">
                            <a:avLst/>
                          </a:prstGeom>
                          <a:noFill/>
                          <a:ln>
                            <a:noFill/>
                          </a:ln>
                        </pic:spPr>
                      </pic:pic>
                    </a:graphicData>
                  </a:graphic>
                </wp:anchor>
              </w:drawing>
            </w:r>
            <w:r>
              <w:drawing>
                <wp:inline distT="0" distB="0" distL="114300" distR="114300">
                  <wp:extent cx="5263515" cy="4224655"/>
                  <wp:effectExtent l="0" t="0" r="6985" b="4445"/>
                  <wp:docPr id="4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
                          <pic:cNvPicPr>
                            <a:picLocks noChangeAspect="1"/>
                          </pic:cNvPicPr>
                        </pic:nvPicPr>
                        <pic:blipFill>
                          <a:blip r:embed="rId26"/>
                          <a:stretch>
                            <a:fillRect/>
                          </a:stretch>
                        </pic:blipFill>
                        <pic:spPr>
                          <a:xfrm>
                            <a:off x="0" y="0"/>
                            <a:ext cx="5263515" cy="4224655"/>
                          </a:xfrm>
                          <a:prstGeom prst="rect">
                            <a:avLst/>
                          </a:prstGeom>
                          <a:noFill/>
                          <a:ln>
                            <a:noFill/>
                          </a:ln>
                        </pic:spPr>
                      </pic:pic>
                    </a:graphicData>
                  </a:graphic>
                </wp:inline>
              </w:drawing>
            </w:r>
            <w:r>
              <w:rPr>
                <w:rFonts w:hint="eastAsia"/>
                <w:color w:val="auto"/>
                <w:highlight w:val="none"/>
              </w:rPr>
              <w:t xml:space="preserve">图3-1 </w:t>
            </w:r>
            <w:r>
              <w:rPr>
                <w:rFonts w:hint="eastAsia"/>
                <w:color w:val="auto"/>
                <w:highlight w:val="none"/>
                <w:lang w:val="en-US" w:eastAsia="zh-CN"/>
              </w:rPr>
              <w:t>环境空气质量</w:t>
            </w:r>
            <w:r>
              <w:rPr>
                <w:color w:val="auto"/>
                <w:highlight w:val="none"/>
              </w:rPr>
              <w:t>现状监测点位示意图</w:t>
            </w:r>
          </w:p>
          <w:p w14:paraId="25C6F96E">
            <w:pPr>
              <w:spacing w:line="360" w:lineRule="auto"/>
              <w:ind w:firstLine="480" w:firstLineChars="200"/>
              <w:jc w:val="left"/>
              <w:rPr>
                <w:color w:val="auto"/>
                <w:sz w:val="24"/>
              </w:rPr>
            </w:pPr>
            <w:r>
              <w:rPr>
                <w:color w:val="auto"/>
                <w:sz w:val="24"/>
              </w:rPr>
              <w:t>（4）监测方法</w:t>
            </w:r>
          </w:p>
          <w:p w14:paraId="052F2935">
            <w:pPr>
              <w:spacing w:line="360" w:lineRule="auto"/>
              <w:ind w:firstLine="480" w:firstLineChars="200"/>
              <w:jc w:val="left"/>
              <w:rPr>
                <w:sz w:val="24"/>
              </w:rPr>
            </w:pPr>
            <w:r>
              <w:rPr>
                <w:color w:val="auto"/>
                <w:sz w:val="24"/>
              </w:rPr>
              <w:t>监测方法：采样监测方法按《环境监测技术规范</w:t>
            </w:r>
            <w:r>
              <w:rPr>
                <w:sz w:val="24"/>
              </w:rPr>
              <w:t>》中大气部分要求进行，分析方法采用《环境空气质量浓度》（GB3095-2012）及修改单中推荐的方法进行。</w:t>
            </w:r>
          </w:p>
          <w:p w14:paraId="2A3256F5">
            <w:pPr>
              <w:spacing w:line="360" w:lineRule="auto"/>
              <w:ind w:firstLine="480" w:firstLineChars="200"/>
              <w:jc w:val="left"/>
              <w:rPr>
                <w:sz w:val="24"/>
              </w:rPr>
            </w:pPr>
            <w:r>
              <w:rPr>
                <w:sz w:val="24"/>
              </w:rPr>
              <w:t>（5）监测结果</w:t>
            </w:r>
          </w:p>
          <w:p w14:paraId="4177F6C6">
            <w:pPr>
              <w:spacing w:line="360" w:lineRule="auto"/>
              <w:ind w:firstLine="480" w:firstLineChars="200"/>
              <w:jc w:val="left"/>
              <w:rPr>
                <w:color w:val="auto"/>
                <w:szCs w:val="21"/>
              </w:rPr>
            </w:pPr>
            <w:r>
              <w:rPr>
                <w:sz w:val="24"/>
              </w:rPr>
              <w:t>环境空气质量</w:t>
            </w:r>
            <w:r>
              <w:rPr>
                <w:color w:val="auto"/>
                <w:sz w:val="24"/>
              </w:rPr>
              <w:t>现状监测结果见表3-3。</w:t>
            </w:r>
          </w:p>
          <w:p w14:paraId="0D55D79B">
            <w:pPr>
              <w:pStyle w:val="57"/>
              <w:spacing w:line="240" w:lineRule="auto"/>
              <w:rPr>
                <w:color w:val="auto"/>
                <w:szCs w:val="21"/>
              </w:rPr>
            </w:pPr>
            <w:r>
              <w:rPr>
                <w:rFonts w:hint="default" w:ascii="Times New Roman" w:hAnsi="Times New Roman" w:eastAsia="宋体" w:cs="Times New Roman"/>
                <w:color w:val="auto"/>
                <w:szCs w:val="21"/>
              </w:rPr>
              <w:t>表3-3</w:t>
            </w:r>
            <w:r>
              <w:rPr>
                <w:rFonts w:hint="eastAsia" w:ascii="Times New Roman" w:hAnsi="Times New Roman" w:eastAsia="宋体" w:cs="Times New Roman"/>
                <w:color w:val="auto"/>
                <w:szCs w:val="21"/>
                <w:lang w:val="en-US" w:eastAsia="zh-CN"/>
              </w:rPr>
              <w:t xml:space="preserve"> </w:t>
            </w:r>
            <w:r>
              <w:rPr>
                <w:rFonts w:hint="default" w:ascii="Times New Roman" w:hAnsi="Times New Roman" w:eastAsia="宋体" w:cs="Times New Roman"/>
                <w:color w:val="auto"/>
                <w:szCs w:val="21"/>
              </w:rPr>
              <w:t>环境空气质量现状监测结果统计</w:t>
            </w:r>
          </w:p>
          <w:tbl>
            <w:tblPr>
              <w:tblStyle w:val="27"/>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8" w:space="0"/>
              </w:tblBorders>
              <w:tblLayout w:type="fixed"/>
              <w:tblCellMar>
                <w:top w:w="0" w:type="dxa"/>
                <w:left w:w="108" w:type="dxa"/>
                <w:bottom w:w="0" w:type="dxa"/>
                <w:right w:w="108" w:type="dxa"/>
              </w:tblCellMar>
            </w:tblPr>
            <w:tblGrid>
              <w:gridCol w:w="1216"/>
              <w:gridCol w:w="1444"/>
              <w:gridCol w:w="1193"/>
              <w:gridCol w:w="1095"/>
              <w:gridCol w:w="1423"/>
              <w:gridCol w:w="716"/>
              <w:gridCol w:w="1179"/>
            </w:tblGrid>
            <w:tr w14:paraId="33C7BD08">
              <w:tblPrEx>
                <w:tblBorders>
                  <w:top w:val="single" w:color="auto" w:sz="8" w:space="0"/>
                  <w:left w:val="single" w:color="auto" w:sz="8" w:space="0"/>
                  <w:bottom w:val="single" w:color="auto" w:sz="8" w:space="0"/>
                  <w:right w:val="single" w:color="auto" w:sz="8" w:space="0"/>
                  <w:insideH w:val="single" w:color="auto" w:sz="4" w:space="0"/>
                  <w:insideV w:val="single" w:color="auto" w:sz="8" w:space="0"/>
                </w:tblBorders>
                <w:tblCellMar>
                  <w:top w:w="0" w:type="dxa"/>
                  <w:left w:w="108" w:type="dxa"/>
                  <w:bottom w:w="0" w:type="dxa"/>
                  <w:right w:w="108" w:type="dxa"/>
                </w:tblCellMar>
              </w:tblPrEx>
              <w:trPr>
                <w:cantSplit/>
                <w:trHeight w:val="454" w:hRule="atLeast"/>
                <w:jc w:val="center"/>
              </w:trPr>
              <w:tc>
                <w:tcPr>
                  <w:tcW w:w="735" w:type="pct"/>
                  <w:tcBorders>
                    <w:tl2br w:val="nil"/>
                    <w:tr2bl w:val="nil"/>
                  </w:tcBorders>
                  <w:noWrap w:val="0"/>
                  <w:vAlign w:val="center"/>
                </w:tcPr>
                <w:p w14:paraId="499DAC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lang w:eastAsia="zh-CN"/>
                    </w:rPr>
                    <w:t>监测</w:t>
                  </w:r>
                  <w:r>
                    <w:rPr>
                      <w:rFonts w:hint="default" w:ascii="Times New Roman" w:hAnsi="Times New Roman" w:eastAsia="宋体" w:cs="Times New Roman"/>
                      <w:b/>
                      <w:bCs/>
                      <w:color w:val="auto"/>
                      <w:kern w:val="0"/>
                      <w:sz w:val="21"/>
                      <w:szCs w:val="21"/>
                      <w:highlight w:val="none"/>
                    </w:rPr>
                    <w:t>点位</w:t>
                  </w:r>
                </w:p>
              </w:tc>
              <w:tc>
                <w:tcPr>
                  <w:tcW w:w="873" w:type="pct"/>
                  <w:tcBorders>
                    <w:tl2br w:val="nil"/>
                    <w:tr2bl w:val="nil"/>
                  </w:tcBorders>
                  <w:noWrap w:val="0"/>
                  <w:vAlign w:val="center"/>
                </w:tcPr>
                <w:p w14:paraId="168EAC7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监测项目</w:t>
                  </w:r>
                </w:p>
              </w:tc>
              <w:tc>
                <w:tcPr>
                  <w:tcW w:w="721" w:type="pct"/>
                  <w:tcBorders>
                    <w:tl2br w:val="nil"/>
                    <w:tr2bl w:val="nil"/>
                  </w:tcBorders>
                  <w:noWrap w:val="0"/>
                  <w:vAlign w:val="center"/>
                </w:tcPr>
                <w:p w14:paraId="7F1771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平均时间</w:t>
                  </w:r>
                </w:p>
              </w:tc>
              <w:tc>
                <w:tcPr>
                  <w:tcW w:w="662" w:type="pct"/>
                  <w:tcBorders>
                    <w:tl2br w:val="nil"/>
                    <w:tr2bl w:val="nil"/>
                  </w:tcBorders>
                  <w:noWrap w:val="0"/>
                  <w:vAlign w:val="center"/>
                </w:tcPr>
                <w:p w14:paraId="274A53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单位</w:t>
                  </w:r>
                </w:p>
              </w:tc>
              <w:tc>
                <w:tcPr>
                  <w:tcW w:w="860" w:type="pct"/>
                  <w:tcBorders>
                    <w:tl2br w:val="nil"/>
                    <w:tr2bl w:val="nil"/>
                  </w:tcBorders>
                  <w:noWrap w:val="0"/>
                  <w:vAlign w:val="center"/>
                </w:tcPr>
                <w:p w14:paraId="482E9E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监测结果</w:t>
                  </w:r>
                </w:p>
              </w:tc>
              <w:tc>
                <w:tcPr>
                  <w:tcW w:w="433" w:type="pct"/>
                  <w:tcBorders>
                    <w:tl2br w:val="nil"/>
                    <w:tr2bl w:val="nil"/>
                  </w:tcBorders>
                  <w:noWrap w:val="0"/>
                  <w:vAlign w:val="center"/>
                </w:tcPr>
                <w:p w14:paraId="56357A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标准</w:t>
                  </w:r>
                </w:p>
              </w:tc>
              <w:tc>
                <w:tcPr>
                  <w:tcW w:w="713" w:type="pct"/>
                  <w:tcBorders>
                    <w:tl2br w:val="nil"/>
                    <w:tr2bl w:val="nil"/>
                  </w:tcBorders>
                  <w:noWrap w:val="0"/>
                  <w:vAlign w:val="center"/>
                </w:tcPr>
                <w:p w14:paraId="7AEB7F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是否达标</w:t>
                  </w:r>
                </w:p>
              </w:tc>
            </w:tr>
            <w:tr w14:paraId="7B42D39A">
              <w:tblPrEx>
                <w:tblBorders>
                  <w:top w:val="single" w:color="auto" w:sz="8" w:space="0"/>
                  <w:left w:val="single" w:color="auto" w:sz="8" w:space="0"/>
                  <w:bottom w:val="single" w:color="auto" w:sz="8" w:space="0"/>
                  <w:right w:val="single" w:color="auto" w:sz="8" w:space="0"/>
                  <w:insideH w:val="single" w:color="auto" w:sz="4" w:space="0"/>
                  <w:insideV w:val="single" w:color="auto" w:sz="8" w:space="0"/>
                </w:tblBorders>
                <w:tblCellMar>
                  <w:top w:w="0" w:type="dxa"/>
                  <w:left w:w="108" w:type="dxa"/>
                  <w:bottom w:w="0" w:type="dxa"/>
                  <w:right w:w="108" w:type="dxa"/>
                </w:tblCellMar>
              </w:tblPrEx>
              <w:trPr>
                <w:cantSplit/>
                <w:trHeight w:val="454" w:hRule="atLeast"/>
                <w:jc w:val="center"/>
              </w:trPr>
              <w:tc>
                <w:tcPr>
                  <w:tcW w:w="735" w:type="pct"/>
                  <w:vMerge w:val="restart"/>
                  <w:tcBorders>
                    <w:tl2br w:val="nil"/>
                    <w:tr2bl w:val="nil"/>
                  </w:tcBorders>
                  <w:noWrap w:val="0"/>
                  <w:vAlign w:val="center"/>
                </w:tcPr>
                <w:p w14:paraId="6B9A47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eastAsia="zh-CN"/>
                    </w:rPr>
                    <w:t>太极墩</w:t>
                  </w:r>
                </w:p>
              </w:tc>
              <w:tc>
                <w:tcPr>
                  <w:tcW w:w="873" w:type="pct"/>
                  <w:tcBorders>
                    <w:tl2br w:val="nil"/>
                    <w:tr2bl w:val="nil"/>
                  </w:tcBorders>
                  <w:noWrap w:val="0"/>
                  <w:vAlign w:val="center"/>
                </w:tcPr>
                <w:p w14:paraId="5B06F8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TSP</w:t>
                  </w:r>
                </w:p>
              </w:tc>
              <w:tc>
                <w:tcPr>
                  <w:tcW w:w="721" w:type="pct"/>
                  <w:tcBorders>
                    <w:tl2br w:val="nil"/>
                    <w:tr2bl w:val="nil"/>
                  </w:tcBorders>
                  <w:noWrap w:val="0"/>
                  <w:vAlign w:val="center"/>
                </w:tcPr>
                <w:p w14:paraId="4ABEA6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日均值</w:t>
                  </w:r>
                </w:p>
              </w:tc>
              <w:tc>
                <w:tcPr>
                  <w:tcW w:w="662" w:type="pct"/>
                  <w:tcBorders>
                    <w:tl2br w:val="nil"/>
                    <w:tr2bl w:val="nil"/>
                  </w:tcBorders>
                  <w:noWrap w:val="0"/>
                  <w:vAlign w:val="center"/>
                </w:tcPr>
                <w:p w14:paraId="44640D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mg/m</w:t>
                  </w:r>
                  <w:r>
                    <w:rPr>
                      <w:rFonts w:hint="default" w:ascii="Times New Roman" w:hAnsi="Times New Roman" w:eastAsia="宋体" w:cs="Times New Roman"/>
                      <w:color w:val="auto"/>
                      <w:kern w:val="0"/>
                      <w:sz w:val="21"/>
                      <w:szCs w:val="21"/>
                      <w:highlight w:val="none"/>
                      <w:vertAlign w:val="superscript"/>
                    </w:rPr>
                    <w:t>3</w:t>
                  </w:r>
                </w:p>
              </w:tc>
              <w:tc>
                <w:tcPr>
                  <w:tcW w:w="860" w:type="pct"/>
                  <w:tcBorders>
                    <w:tl2br w:val="nil"/>
                    <w:tr2bl w:val="nil"/>
                  </w:tcBorders>
                  <w:noWrap w:val="0"/>
                  <w:vAlign w:val="center"/>
                </w:tcPr>
                <w:p w14:paraId="15E572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w:t>
                  </w:r>
                  <w:r>
                    <w:rPr>
                      <w:rFonts w:hint="eastAsia" w:cs="Times New Roman"/>
                      <w:color w:val="auto"/>
                      <w:kern w:val="0"/>
                      <w:sz w:val="21"/>
                      <w:szCs w:val="21"/>
                      <w:highlight w:val="none"/>
                      <w:lang w:val="en-US" w:eastAsia="zh-CN"/>
                    </w:rPr>
                    <w:t>079</w:t>
                  </w:r>
                  <w:r>
                    <w:rPr>
                      <w:rFonts w:hint="default" w:ascii="Times New Roman" w:hAnsi="Times New Roman" w:eastAsia="宋体" w:cs="Times New Roman"/>
                      <w:color w:val="auto"/>
                      <w:kern w:val="0"/>
                      <w:sz w:val="21"/>
                      <w:szCs w:val="21"/>
                      <w:highlight w:val="none"/>
                      <w:lang w:val="en-US" w:eastAsia="zh-CN"/>
                    </w:rPr>
                    <w:t>-0.1</w:t>
                  </w:r>
                  <w:r>
                    <w:rPr>
                      <w:rFonts w:hint="eastAsia" w:cs="Times New Roman"/>
                      <w:color w:val="auto"/>
                      <w:kern w:val="0"/>
                      <w:sz w:val="21"/>
                      <w:szCs w:val="21"/>
                      <w:highlight w:val="none"/>
                      <w:lang w:val="en-US" w:eastAsia="zh-CN"/>
                    </w:rPr>
                    <w:t>22</w:t>
                  </w:r>
                </w:p>
              </w:tc>
              <w:tc>
                <w:tcPr>
                  <w:tcW w:w="433" w:type="pct"/>
                  <w:tcBorders>
                    <w:tl2br w:val="nil"/>
                    <w:tr2bl w:val="nil"/>
                  </w:tcBorders>
                  <w:noWrap w:val="0"/>
                  <w:vAlign w:val="center"/>
                </w:tcPr>
                <w:p w14:paraId="515077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0.3</w:t>
                  </w:r>
                </w:p>
              </w:tc>
              <w:tc>
                <w:tcPr>
                  <w:tcW w:w="713" w:type="pct"/>
                  <w:tcBorders>
                    <w:tl2br w:val="nil"/>
                    <w:tr2bl w:val="nil"/>
                  </w:tcBorders>
                  <w:noWrap w:val="0"/>
                  <w:vAlign w:val="center"/>
                </w:tcPr>
                <w:p w14:paraId="55FDCC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达标</w:t>
                  </w:r>
                </w:p>
              </w:tc>
            </w:tr>
            <w:tr w14:paraId="658F7897">
              <w:tblPrEx>
                <w:tblBorders>
                  <w:top w:val="single" w:color="auto" w:sz="8" w:space="0"/>
                  <w:left w:val="single" w:color="auto" w:sz="8" w:space="0"/>
                  <w:bottom w:val="single" w:color="auto" w:sz="8" w:space="0"/>
                  <w:right w:val="single" w:color="auto" w:sz="8" w:space="0"/>
                  <w:insideH w:val="single" w:color="auto" w:sz="4" w:space="0"/>
                  <w:insideV w:val="single" w:color="auto" w:sz="8" w:space="0"/>
                </w:tblBorders>
                <w:tblCellMar>
                  <w:top w:w="0" w:type="dxa"/>
                  <w:left w:w="108" w:type="dxa"/>
                  <w:bottom w:w="0" w:type="dxa"/>
                  <w:right w:w="108" w:type="dxa"/>
                </w:tblCellMar>
              </w:tblPrEx>
              <w:trPr>
                <w:cantSplit/>
                <w:trHeight w:val="454" w:hRule="atLeast"/>
                <w:jc w:val="center"/>
              </w:trPr>
              <w:tc>
                <w:tcPr>
                  <w:tcW w:w="735" w:type="pct"/>
                  <w:vMerge w:val="continue"/>
                  <w:tcBorders>
                    <w:tl2br w:val="nil"/>
                    <w:tr2bl w:val="nil"/>
                  </w:tcBorders>
                  <w:noWrap w:val="0"/>
                  <w:vAlign w:val="center"/>
                </w:tcPr>
                <w:p w14:paraId="470514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eastAsia="zh-CN"/>
                    </w:rPr>
                  </w:pPr>
                </w:p>
              </w:tc>
              <w:tc>
                <w:tcPr>
                  <w:tcW w:w="873" w:type="pct"/>
                  <w:tcBorders>
                    <w:tl2br w:val="nil"/>
                    <w:tr2bl w:val="nil"/>
                  </w:tcBorders>
                  <w:noWrap w:val="0"/>
                  <w:vAlign w:val="center"/>
                </w:tcPr>
                <w:p w14:paraId="202C0E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非甲烷总烃</w:t>
                  </w:r>
                </w:p>
              </w:tc>
              <w:tc>
                <w:tcPr>
                  <w:tcW w:w="721" w:type="pct"/>
                  <w:tcBorders>
                    <w:tl2br w:val="nil"/>
                    <w:tr2bl w:val="nil"/>
                  </w:tcBorders>
                  <w:noWrap w:val="0"/>
                  <w:vAlign w:val="center"/>
                </w:tcPr>
                <w:p w14:paraId="64204D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sz w:val="21"/>
                      <w:szCs w:val="21"/>
                      <w:highlight w:val="none"/>
                    </w:rPr>
                    <w:t>小时均值</w:t>
                  </w:r>
                </w:p>
              </w:tc>
              <w:tc>
                <w:tcPr>
                  <w:tcW w:w="662" w:type="pct"/>
                  <w:tcBorders>
                    <w:tl2br w:val="nil"/>
                    <w:tr2bl w:val="nil"/>
                  </w:tcBorders>
                  <w:noWrap w:val="0"/>
                  <w:vAlign w:val="center"/>
                </w:tcPr>
                <w:p w14:paraId="4D70DA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mg/m</w:t>
                  </w:r>
                  <w:r>
                    <w:rPr>
                      <w:rFonts w:hint="default" w:ascii="Times New Roman" w:hAnsi="Times New Roman" w:eastAsia="宋体" w:cs="Times New Roman"/>
                      <w:color w:val="auto"/>
                      <w:kern w:val="0"/>
                      <w:sz w:val="21"/>
                      <w:szCs w:val="21"/>
                      <w:highlight w:val="none"/>
                      <w:vertAlign w:val="superscript"/>
                    </w:rPr>
                    <w:t>3</w:t>
                  </w:r>
                </w:p>
              </w:tc>
              <w:tc>
                <w:tcPr>
                  <w:tcW w:w="860" w:type="pct"/>
                  <w:tcBorders>
                    <w:tl2br w:val="nil"/>
                    <w:tr2bl w:val="nil"/>
                  </w:tcBorders>
                  <w:noWrap w:val="0"/>
                  <w:vAlign w:val="center"/>
                </w:tcPr>
                <w:p w14:paraId="442FDD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0.74-0.9</w:t>
                  </w:r>
                  <w:r>
                    <w:rPr>
                      <w:rFonts w:hint="eastAsia" w:cs="Times New Roman"/>
                      <w:color w:val="auto"/>
                      <w:kern w:val="0"/>
                      <w:sz w:val="21"/>
                      <w:szCs w:val="21"/>
                      <w:highlight w:val="none"/>
                      <w:lang w:val="en-US" w:eastAsia="zh-CN"/>
                    </w:rPr>
                    <w:t>7</w:t>
                  </w:r>
                </w:p>
              </w:tc>
              <w:tc>
                <w:tcPr>
                  <w:tcW w:w="433" w:type="pct"/>
                  <w:tcBorders>
                    <w:tl2br w:val="nil"/>
                    <w:tr2bl w:val="nil"/>
                  </w:tcBorders>
                  <w:noWrap w:val="0"/>
                  <w:vAlign w:val="center"/>
                </w:tcPr>
                <w:p w14:paraId="208A7D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2</w:t>
                  </w:r>
                </w:p>
              </w:tc>
              <w:tc>
                <w:tcPr>
                  <w:tcW w:w="713" w:type="pct"/>
                  <w:tcBorders>
                    <w:tl2br w:val="nil"/>
                    <w:tr2bl w:val="nil"/>
                  </w:tcBorders>
                  <w:noWrap w:val="0"/>
                  <w:vAlign w:val="center"/>
                </w:tcPr>
                <w:p w14:paraId="1C7FF57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达标</w:t>
                  </w:r>
                </w:p>
              </w:tc>
            </w:tr>
          </w:tbl>
          <w:p w14:paraId="19D09B8A">
            <w:pPr>
              <w:snapToGrid w:val="0"/>
              <w:spacing w:line="360" w:lineRule="auto"/>
              <w:ind w:firstLine="480"/>
              <w:rPr>
                <w:rFonts w:hint="eastAsia" w:eastAsia="宋体"/>
                <w:color w:val="auto"/>
                <w:highlight w:val="none"/>
                <w:lang w:eastAsia="zh-CN"/>
              </w:rPr>
            </w:pPr>
            <w:r>
              <w:rPr>
                <w:sz w:val="24"/>
              </w:rPr>
              <w:t>根据上述监测结果可知，区域TSP满足《环境空气质量标准》（GB3095-2012）及其修改单中二级标准限值要求，非甲烷总烃满足非甲烷总烃监测浓度满足《大气污染物综合排放标准详解》中要求。说明评价区域内环境空气质量现状总体良好。</w:t>
            </w:r>
          </w:p>
          <w:p w14:paraId="72776968">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kern w:val="0"/>
                <w:sz w:val="24"/>
                <w:szCs w:val="24"/>
                <w:highlight w:val="none"/>
                <w:lang w:val="en-US" w:eastAsia="zh-CN" w:bidi="ar"/>
              </w:rPr>
            </w:pPr>
            <w:r>
              <w:rPr>
                <w:rFonts w:hint="default" w:ascii="Times New Roman" w:hAnsi="Times New Roman" w:eastAsia="宋体" w:cs="Times New Roman"/>
                <w:b/>
                <w:bCs/>
                <w:color w:val="auto"/>
                <w:kern w:val="0"/>
                <w:sz w:val="24"/>
                <w:szCs w:val="24"/>
                <w:highlight w:val="none"/>
                <w:lang w:val="en-US" w:eastAsia="zh-CN" w:bidi="ar"/>
              </w:rPr>
              <w:t>2</w:t>
            </w:r>
            <w:r>
              <w:rPr>
                <w:rFonts w:hint="eastAsia" w:ascii="宋体" w:hAnsi="宋体" w:eastAsia="宋体" w:cs="宋体"/>
                <w:b/>
                <w:bCs/>
                <w:color w:val="auto"/>
                <w:kern w:val="0"/>
                <w:sz w:val="24"/>
                <w:szCs w:val="24"/>
                <w:highlight w:val="none"/>
                <w:lang w:val="en-US" w:eastAsia="zh-CN" w:bidi="ar"/>
              </w:rPr>
              <w:t>、水环境质量现状</w:t>
            </w:r>
          </w:p>
          <w:p w14:paraId="1D532DEC">
            <w:pPr>
              <w:outlineLvl w:val="1"/>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根据《环境影响评价技术导则</w:t>
            </w:r>
            <w:r>
              <w:rPr>
                <w:rFonts w:hint="eastAsia" w:cs="Times New Roman"/>
                <w:bCs/>
                <w:color w:val="auto"/>
                <w:highlight w:val="none"/>
                <w:lang w:eastAsia="zh-CN"/>
              </w:rPr>
              <w:t>－</w:t>
            </w:r>
            <w:r>
              <w:rPr>
                <w:rFonts w:hint="default" w:ascii="Times New Roman" w:hAnsi="Times New Roman" w:cs="Times New Roman"/>
                <w:bCs/>
                <w:color w:val="auto"/>
                <w:highlight w:val="none"/>
              </w:rPr>
              <w:t>地表水环境》（HJ2.3-2018）：</w:t>
            </w:r>
            <w:r>
              <w:rPr>
                <w:rFonts w:hint="default" w:ascii="Times New Roman" w:hAnsi="Times New Roman" w:cs="Times New Roman"/>
                <w:bCs/>
                <w:color w:val="auto"/>
                <w:highlight w:val="none"/>
                <w:lang w:eastAsia="zh-CN"/>
              </w:rPr>
              <w:t>“</w:t>
            </w:r>
            <w:r>
              <w:rPr>
                <w:rFonts w:hint="default" w:ascii="Times New Roman" w:hAnsi="Times New Roman" w:cs="Times New Roman"/>
                <w:bCs/>
                <w:color w:val="auto"/>
                <w:highlight w:val="none"/>
              </w:rPr>
              <w:t>6.6.3.2应优先采用国务院生态环境主管部门统一发布的水环境状况信息。</w:t>
            </w:r>
            <w:r>
              <w:rPr>
                <w:rFonts w:hint="default" w:ascii="Times New Roman" w:hAnsi="Times New Roman" w:cs="Times New Roman"/>
                <w:bCs/>
                <w:color w:val="auto"/>
                <w:highlight w:val="none"/>
                <w:lang w:eastAsia="zh-CN"/>
              </w:rPr>
              <w:t>”</w:t>
            </w:r>
            <w:r>
              <w:rPr>
                <w:rFonts w:hint="eastAsia" w:ascii="Times New Roman" w:hAnsi="Times New Roman" w:cs="Times New Roman"/>
                <w:bCs/>
                <w:color w:val="auto"/>
                <w:highlight w:val="none"/>
                <w:lang w:val="en-US" w:eastAsia="zh-CN"/>
              </w:rPr>
              <w:t>本项目</w:t>
            </w:r>
            <w:r>
              <w:rPr>
                <w:rFonts w:hint="default" w:ascii="Times New Roman" w:hAnsi="Times New Roman" w:cs="Times New Roman"/>
                <w:bCs/>
                <w:color w:val="auto"/>
                <w:highlight w:val="none"/>
              </w:rPr>
              <w:t>最近的地表水体为</w:t>
            </w:r>
            <w:r>
              <w:rPr>
                <w:rFonts w:hint="eastAsia" w:ascii="Times New Roman" w:hAnsi="Times New Roman" w:cs="Times New Roman"/>
                <w:bCs/>
                <w:color w:val="auto"/>
                <w:highlight w:val="none"/>
                <w:lang w:val="en-US" w:eastAsia="zh-CN"/>
              </w:rPr>
              <w:t>东</w:t>
            </w:r>
            <w:r>
              <w:rPr>
                <w:rFonts w:hint="default" w:ascii="Times New Roman" w:hAnsi="Times New Roman" w:cs="Times New Roman"/>
                <w:bCs/>
                <w:color w:val="auto"/>
                <w:highlight w:val="none"/>
                <w:lang w:val="en-US" w:eastAsia="zh-CN"/>
              </w:rPr>
              <w:t>河</w:t>
            </w:r>
            <w:r>
              <w:rPr>
                <w:rFonts w:hint="default" w:ascii="Times New Roman" w:hAnsi="Times New Roman" w:cs="Times New Roman"/>
                <w:bCs/>
                <w:color w:val="auto"/>
                <w:highlight w:val="none"/>
              </w:rPr>
              <w:t>，因此选用青阳县的《202</w:t>
            </w:r>
            <w:r>
              <w:rPr>
                <w:rFonts w:hint="eastAsia" w:cs="Times New Roman"/>
                <w:bCs/>
                <w:color w:val="auto"/>
                <w:highlight w:val="none"/>
                <w:lang w:val="en-US" w:eastAsia="zh-CN"/>
              </w:rPr>
              <w:t>4</w:t>
            </w:r>
            <w:r>
              <w:rPr>
                <w:rFonts w:hint="default" w:ascii="Times New Roman" w:hAnsi="Times New Roman" w:cs="Times New Roman"/>
                <w:bCs/>
                <w:color w:val="auto"/>
                <w:highlight w:val="none"/>
              </w:rPr>
              <w:t>年青阳县环境质量状况公报》中的结论。</w:t>
            </w:r>
          </w:p>
          <w:p w14:paraId="092339F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cs="Times New Roman"/>
                <w:bCs/>
                <w:color w:val="auto"/>
                <w:highlight w:val="none"/>
              </w:rPr>
            </w:pPr>
            <w:r>
              <w:rPr>
                <w:rFonts w:hint="eastAsia" w:cs="Times New Roman"/>
                <w:bCs/>
                <w:color w:val="auto"/>
                <w:highlight w:val="none"/>
                <w:lang w:eastAsia="zh-CN"/>
              </w:rPr>
              <w:t>根据</w:t>
            </w:r>
            <w:r>
              <w:rPr>
                <w:rFonts w:hint="eastAsia"/>
                <w:sz w:val="24"/>
              </w:rPr>
              <w:t>《</w:t>
            </w:r>
            <w:r>
              <w:rPr>
                <w:rFonts w:hint="eastAsia"/>
                <w:sz w:val="24"/>
                <w:lang w:val="en-US" w:eastAsia="zh-CN"/>
              </w:rPr>
              <w:t>2024年</w:t>
            </w:r>
            <w:r>
              <w:rPr>
                <w:rFonts w:hint="eastAsia"/>
                <w:sz w:val="24"/>
              </w:rPr>
              <w:t>青阳县</w:t>
            </w:r>
            <w:r>
              <w:rPr>
                <w:rFonts w:hint="eastAsia"/>
                <w:sz w:val="24"/>
                <w:lang w:val="en-US" w:eastAsia="zh-CN"/>
              </w:rPr>
              <w:t>生态环境监测工作方案</w:t>
            </w:r>
            <w:r>
              <w:rPr>
                <w:rFonts w:hint="eastAsia"/>
                <w:sz w:val="24"/>
              </w:rPr>
              <w:t>》，2024年1</w:t>
            </w:r>
            <w:r>
              <w:rPr>
                <w:rFonts w:hint="eastAsia"/>
                <w:sz w:val="24"/>
                <w:lang w:eastAsia="zh-CN"/>
              </w:rPr>
              <w:t>—</w:t>
            </w:r>
            <w:r>
              <w:rPr>
                <w:rFonts w:hint="eastAsia"/>
                <w:sz w:val="24"/>
              </w:rPr>
              <w:t>12月对境内湖泊和河流地表水开展监测（境内主要河流——青通河、七星河、东河、九华河、陵阳河、牛桥水库的共十三个断面：牛桥水库、青通河牛桥断面、青通河青山断面、青通河大桥断面、青通河元桥断面、青通河河口断面、东河杨田断面、东河元桥断面、七星河南河330国道断面、七星河河口断面、九华河三元桥断面、九华河庙前断面、陵阳河陵阳断面）。水质监测4次，共检测24项指标，青通河河口断面水质年均值符合《地表水环境质量标准》（GB3838-2002）中的Ⅱ类标准，其他断面水质年均值符合《地表水环境质量标准》（GB3838-2002）中的Ⅲ类标准，水质优良，达标率为100%，满足地表水功能要求。</w:t>
            </w:r>
          </w:p>
          <w:p w14:paraId="4B983310">
            <w:pPr>
              <w:bidi w:val="0"/>
              <w:rPr>
                <w:rFonts w:hint="eastAsia"/>
                <w:b/>
                <w:bCs/>
                <w:color w:val="auto"/>
                <w:highlight w:val="none"/>
              </w:rPr>
            </w:pPr>
            <w:r>
              <w:rPr>
                <w:rFonts w:hint="eastAsia"/>
                <w:b/>
                <w:bCs/>
                <w:color w:val="auto"/>
                <w:highlight w:val="none"/>
                <w:lang w:val="en-US" w:eastAsia="zh-CN"/>
              </w:rPr>
              <w:t>3、声环境质量现状</w:t>
            </w:r>
          </w:p>
          <w:p w14:paraId="3B842E7F">
            <w:pPr>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本项目</w:t>
            </w:r>
            <w:r>
              <w:rPr>
                <w:rFonts w:hint="default" w:ascii="Times New Roman" w:hAnsi="Times New Roman" w:cs="Times New Roman"/>
                <w:color w:val="auto"/>
                <w:highlight w:val="none"/>
              </w:rPr>
              <w:t>位于</w:t>
            </w:r>
            <w:r>
              <w:rPr>
                <w:rFonts w:hint="eastAsia" w:cs="Times New Roman"/>
                <w:color w:val="auto"/>
                <w:highlight w:val="none"/>
                <w:lang w:val="en-US" w:eastAsia="zh-CN"/>
              </w:rPr>
              <w:t>安徽省</w:t>
            </w:r>
            <w:r>
              <w:rPr>
                <w:rFonts w:hint="default" w:ascii="Times New Roman" w:hAnsi="Times New Roman" w:cs="Times New Roman"/>
                <w:color w:val="auto"/>
                <w:sz w:val="24"/>
                <w:szCs w:val="24"/>
                <w:highlight w:val="none"/>
                <w:u w:val="none"/>
                <w:lang w:eastAsia="zh-CN"/>
              </w:rPr>
              <w:t>青阳</w:t>
            </w:r>
            <w:r>
              <w:rPr>
                <w:rFonts w:hint="eastAsia" w:cs="Times New Roman"/>
                <w:color w:val="auto"/>
                <w:sz w:val="24"/>
                <w:szCs w:val="24"/>
                <w:highlight w:val="none"/>
                <w:u w:val="none"/>
                <w:lang w:val="en-US" w:eastAsia="zh-CN"/>
              </w:rPr>
              <w:t>经济开发区东河园</w:t>
            </w:r>
            <w:r>
              <w:rPr>
                <w:rFonts w:hint="default" w:ascii="Times New Roman" w:hAnsi="Times New Roman" w:cs="Times New Roman"/>
                <w:color w:val="auto"/>
                <w:highlight w:val="none"/>
              </w:rPr>
              <w:t>，厂界外周边50米范围内无声环境保护目标，因此，本评价不开展声环境质量现状监测。</w:t>
            </w:r>
          </w:p>
          <w:p w14:paraId="14D86A98">
            <w:pPr>
              <w:keepNext w:val="0"/>
              <w:keepLines w:val="0"/>
              <w:pageBreakBefore w:val="0"/>
              <w:kinsoku/>
              <w:overflowPunct/>
              <w:bidi w:val="0"/>
              <w:spacing w:line="360" w:lineRule="auto"/>
              <w:ind w:firstLine="482" w:firstLineChars="200"/>
              <w:rPr>
                <w:rFonts w:hint="default" w:ascii="Times New Roman" w:hAnsi="Times New Roman" w:eastAsia="宋体" w:cs="Times New Roman"/>
                <w:b/>
                <w:color w:val="auto"/>
                <w:sz w:val="24"/>
                <w:highlight w:val="none"/>
                <w:u w:val="none"/>
                <w:lang w:val="en-US" w:eastAsia="zh-CN"/>
              </w:rPr>
            </w:pPr>
            <w:r>
              <w:rPr>
                <w:rFonts w:hint="default" w:ascii="Times New Roman" w:hAnsi="Times New Roman" w:eastAsia="宋体" w:cs="Times New Roman"/>
                <w:b/>
                <w:color w:val="auto"/>
                <w:sz w:val="24"/>
                <w:highlight w:val="none"/>
                <w:u w:val="none"/>
                <w:lang w:val="en-US" w:eastAsia="zh-CN"/>
              </w:rPr>
              <w:t>4、生态环境现状</w:t>
            </w:r>
          </w:p>
          <w:p w14:paraId="348F7F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highlight w:val="none"/>
                <w:u w:val="none"/>
                <w:lang w:val="en-US" w:eastAsia="zh-CN" w:bidi="ar"/>
              </w:rPr>
            </w:pPr>
            <w:r>
              <w:rPr>
                <w:rFonts w:hint="eastAsia" w:ascii="Times New Roman" w:hAnsi="Times New Roman" w:eastAsia="宋体" w:cs="Times New Roman"/>
                <w:color w:val="auto"/>
                <w:sz w:val="24"/>
                <w:highlight w:val="none"/>
                <w:u w:val="none"/>
                <w:lang w:val="en-US" w:eastAsia="zh-CN" w:bidi="ar"/>
              </w:rPr>
              <w:t>本</w:t>
            </w:r>
            <w:r>
              <w:rPr>
                <w:rFonts w:hint="default" w:ascii="Times New Roman" w:hAnsi="Times New Roman" w:eastAsia="宋体" w:cs="Times New Roman"/>
                <w:color w:val="auto"/>
                <w:sz w:val="24"/>
                <w:highlight w:val="none"/>
                <w:u w:val="none"/>
                <w:lang w:val="en-US" w:eastAsia="zh-CN" w:bidi="ar"/>
              </w:rPr>
              <w:t>项目周边无风景名胜区和文物古迹等特殊保护对象，生态环境良好。</w:t>
            </w:r>
          </w:p>
          <w:p w14:paraId="63DD17BA">
            <w:pPr>
              <w:keepNext w:val="0"/>
              <w:keepLines w:val="0"/>
              <w:pageBreakBefore w:val="0"/>
              <w:kinsoku/>
              <w:overflowPunct/>
              <w:bidi w:val="0"/>
              <w:spacing w:line="360" w:lineRule="auto"/>
              <w:ind w:firstLine="482" w:firstLineChars="200"/>
              <w:rPr>
                <w:rFonts w:hint="default" w:ascii="Times New Roman" w:hAnsi="Times New Roman" w:eastAsia="宋体" w:cs="Times New Roman"/>
                <w:b/>
                <w:color w:val="auto"/>
                <w:sz w:val="24"/>
                <w:highlight w:val="none"/>
                <w:u w:val="none"/>
                <w:lang w:val="en-US" w:eastAsia="zh-CN"/>
              </w:rPr>
            </w:pPr>
            <w:r>
              <w:rPr>
                <w:rFonts w:hint="default" w:ascii="Times New Roman" w:hAnsi="Times New Roman" w:eastAsia="宋体" w:cs="Times New Roman"/>
                <w:b/>
                <w:color w:val="auto"/>
                <w:sz w:val="24"/>
                <w:highlight w:val="none"/>
                <w:u w:val="none"/>
                <w:lang w:val="en-US" w:eastAsia="zh-CN"/>
              </w:rPr>
              <w:t>5、电磁辐射</w:t>
            </w:r>
          </w:p>
          <w:p w14:paraId="76C2F5F8">
            <w:p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本项目不属于电磁辐射类项目，无需对电磁辐射现状开展监测与评价。</w:t>
            </w:r>
          </w:p>
          <w:p w14:paraId="5EE88E01">
            <w:pPr>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6、地下水、土壤环境质量现状</w:t>
            </w:r>
          </w:p>
          <w:p w14:paraId="424EA792">
            <w:pP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highlight w:val="none"/>
                <w:lang w:val="en-US" w:eastAsia="zh-CN"/>
              </w:rPr>
              <w:t>根据《建设项目环境影响报告表编制技术指南（污染影响类）（试行）》（</w:t>
            </w:r>
            <w:r>
              <w:rPr>
                <w:rFonts w:hint="default" w:ascii="Times New Roman" w:hAnsi="Times New Roman" w:eastAsia="宋体" w:cs="Times New Roman"/>
                <w:color w:val="auto"/>
                <w:highlight w:val="none"/>
                <w:lang w:val="en-US" w:eastAsia="zh-CN"/>
              </w:rPr>
              <w:t>2021</w:t>
            </w:r>
            <w:r>
              <w:rPr>
                <w:rFonts w:hint="eastAsia" w:ascii="Times New Roman" w:hAnsi="Times New Roman" w:eastAsia="宋体" w:cs="Times New Roman"/>
                <w:color w:val="auto"/>
                <w:highlight w:val="none"/>
                <w:lang w:val="en-US" w:eastAsia="zh-CN"/>
              </w:rPr>
              <w:t>年），本项目</w:t>
            </w:r>
            <w:r>
              <w:rPr>
                <w:rFonts w:hint="eastAsia" w:cs="Times New Roman"/>
                <w:color w:val="auto"/>
                <w:highlight w:val="none"/>
                <w:lang w:val="en-US" w:eastAsia="zh-CN"/>
              </w:rPr>
              <w:t>危废间</w:t>
            </w:r>
            <w:r>
              <w:rPr>
                <w:rFonts w:hint="eastAsia" w:ascii="Times New Roman" w:hAnsi="Times New Roman" w:eastAsia="宋体" w:cs="Times New Roman"/>
                <w:color w:val="auto"/>
                <w:highlight w:val="none"/>
                <w:lang w:val="en-US" w:eastAsia="zh-CN"/>
              </w:rPr>
              <w:t>等区域采取硬化、防渗措施，且外排废水</w:t>
            </w:r>
            <w:r>
              <w:rPr>
                <w:rFonts w:hint="eastAsia" w:cs="Times New Roman"/>
                <w:color w:val="auto"/>
                <w:highlight w:val="none"/>
                <w:lang w:val="en-US" w:eastAsia="zh-CN"/>
              </w:rPr>
              <w:t>达到</w:t>
            </w:r>
            <w:r>
              <w:rPr>
                <w:rFonts w:hint="eastAsia" w:ascii="Times New Roman" w:hAnsi="Times New Roman" w:eastAsia="宋体" w:cs="Times New Roman"/>
                <w:color w:val="auto"/>
                <w:highlight w:val="none"/>
                <w:lang w:val="en-US" w:eastAsia="zh-CN"/>
              </w:rPr>
              <w:t>青阳县污水处理厂</w:t>
            </w:r>
            <w:r>
              <w:rPr>
                <w:rFonts w:hint="default" w:ascii="Times New Roman" w:hAnsi="Times New Roman" w:eastAsia="宋体" w:cs="Times New Roman"/>
                <w:color w:val="auto"/>
                <w:highlight w:val="none"/>
                <w:lang w:val="en-US" w:eastAsia="zh-CN"/>
              </w:rPr>
              <w:t>纳管标准、《污水综合排放标准》（GB8978-1996）表4三级标准后纳入市政污水管网，进入</w:t>
            </w:r>
            <w:r>
              <w:rPr>
                <w:rFonts w:hint="eastAsia" w:ascii="Times New Roman" w:hAnsi="Times New Roman" w:eastAsia="宋体" w:cs="Times New Roman"/>
                <w:color w:val="auto"/>
                <w:highlight w:val="none"/>
                <w:lang w:val="en-US" w:eastAsia="zh-CN"/>
              </w:rPr>
              <w:t>青阳县污水处理厂</w:t>
            </w:r>
            <w:r>
              <w:rPr>
                <w:rFonts w:hint="default" w:ascii="Times New Roman" w:hAnsi="Times New Roman" w:eastAsia="宋体" w:cs="Times New Roman"/>
                <w:color w:val="auto"/>
                <w:highlight w:val="none"/>
                <w:lang w:val="en-US" w:eastAsia="zh-CN"/>
              </w:rPr>
              <w:t>集中处理</w:t>
            </w:r>
            <w:r>
              <w:rPr>
                <w:rFonts w:hint="eastAsia" w:ascii="Times New Roman" w:hAnsi="Times New Roman" w:eastAsia="宋体" w:cs="Times New Roman"/>
                <w:color w:val="auto"/>
                <w:highlight w:val="none"/>
                <w:lang w:val="en-US" w:eastAsia="zh-CN"/>
              </w:rPr>
              <w:t>，无地下水、土壤污染途径</w:t>
            </w:r>
            <w:r>
              <w:rPr>
                <w:rFonts w:hint="eastAsia" w:ascii="Times New Roman" w:hAnsi="Times New Roman" w:eastAsia="宋体" w:cs="Times New Roman"/>
                <w:color w:val="auto"/>
                <w:sz w:val="24"/>
                <w:szCs w:val="24"/>
                <w:highlight w:val="none"/>
                <w:lang w:val="en-US" w:eastAsia="zh-CN"/>
              </w:rPr>
              <w:t>，且项目厂界外</w:t>
            </w:r>
            <w:r>
              <w:rPr>
                <w:rFonts w:hint="default" w:ascii="Times New Roman" w:hAnsi="Times New Roman" w:eastAsia="宋体" w:cs="Times New Roman"/>
                <w:color w:val="auto"/>
                <w:sz w:val="24"/>
                <w:szCs w:val="24"/>
                <w:highlight w:val="none"/>
                <w:lang w:val="en-US" w:eastAsia="zh-CN"/>
              </w:rPr>
              <w:t>500m</w:t>
            </w:r>
            <w:r>
              <w:rPr>
                <w:rFonts w:hint="eastAsia" w:ascii="Times New Roman" w:hAnsi="Times New Roman" w:eastAsia="宋体" w:cs="Times New Roman"/>
                <w:color w:val="auto"/>
                <w:sz w:val="24"/>
                <w:szCs w:val="24"/>
                <w:highlight w:val="none"/>
                <w:lang w:val="en-US" w:eastAsia="zh-CN"/>
              </w:rPr>
              <w:t>范围内无地下水环境敏感保护目标，因此，本评价不开展地下水、土壤环境质量现状监测。</w:t>
            </w:r>
          </w:p>
        </w:tc>
      </w:tr>
      <w:tr w14:paraId="236585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807" w:hRule="atLeast"/>
          <w:jc w:val="center"/>
        </w:trPr>
        <w:tc>
          <w:tcPr>
            <w:tcW w:w="492" w:type="dxa"/>
            <w:noWrap w:val="0"/>
            <w:vAlign w:val="center"/>
          </w:tcPr>
          <w:p w14:paraId="2FFF1B53">
            <w:pPr>
              <w:pStyle w:val="10"/>
              <w:keepNext w:val="0"/>
              <w:keepLines w:val="0"/>
              <w:pageBreakBefore w:val="0"/>
              <w:widowControl/>
              <w:kinsoku/>
              <w:wordWrap/>
              <w:overflowPunct/>
              <w:topLinePunct w:val="0"/>
              <w:autoSpaceDE/>
              <w:autoSpaceDN/>
              <w:bidi w:val="0"/>
              <w:adjustRightInd w:val="0"/>
              <w:snapToGrid w:val="0"/>
              <w:ind w:firstLine="0" w:firstLineChars="0"/>
              <w:textAlignment w:val="auto"/>
              <w:rPr>
                <w:rFonts w:hint="eastAsia"/>
                <w:b/>
                <w:bCs/>
                <w:color w:val="auto"/>
                <w:sz w:val="24"/>
                <w:szCs w:val="24"/>
                <w:highlight w:val="none"/>
              </w:rPr>
            </w:pPr>
            <w:r>
              <w:rPr>
                <w:rFonts w:hint="eastAsia"/>
                <w:b/>
                <w:bCs/>
                <w:color w:val="auto"/>
                <w:sz w:val="24"/>
                <w:szCs w:val="24"/>
                <w:highlight w:val="none"/>
              </w:rPr>
              <w:t>环境</w:t>
            </w:r>
          </w:p>
          <w:p w14:paraId="6899BE9F">
            <w:pPr>
              <w:pStyle w:val="10"/>
              <w:keepNext w:val="0"/>
              <w:keepLines w:val="0"/>
              <w:pageBreakBefore w:val="0"/>
              <w:widowControl/>
              <w:kinsoku/>
              <w:wordWrap/>
              <w:overflowPunct/>
              <w:topLinePunct w:val="0"/>
              <w:autoSpaceDE/>
              <w:autoSpaceDN/>
              <w:bidi w:val="0"/>
              <w:adjustRightInd w:val="0"/>
              <w:snapToGrid w:val="0"/>
              <w:ind w:firstLine="0" w:firstLineChars="0"/>
              <w:textAlignment w:val="auto"/>
              <w:rPr>
                <w:rFonts w:hint="eastAsia"/>
                <w:b/>
                <w:bCs/>
                <w:color w:val="auto"/>
                <w:sz w:val="24"/>
                <w:szCs w:val="24"/>
                <w:highlight w:val="none"/>
              </w:rPr>
            </w:pPr>
            <w:r>
              <w:rPr>
                <w:rFonts w:hint="eastAsia"/>
                <w:b/>
                <w:bCs/>
                <w:color w:val="auto"/>
                <w:sz w:val="24"/>
                <w:szCs w:val="24"/>
                <w:highlight w:val="none"/>
              </w:rPr>
              <w:t>保护</w:t>
            </w:r>
          </w:p>
          <w:p w14:paraId="39EE2AE1">
            <w:pPr>
              <w:pStyle w:val="10"/>
              <w:keepNext w:val="0"/>
              <w:keepLines w:val="0"/>
              <w:pageBreakBefore w:val="0"/>
              <w:widowControl/>
              <w:kinsoku/>
              <w:wordWrap/>
              <w:overflowPunct/>
              <w:topLinePunct w:val="0"/>
              <w:autoSpaceDE/>
              <w:autoSpaceDN/>
              <w:bidi w:val="0"/>
              <w:adjustRightInd w:val="0"/>
              <w:snapToGrid w:val="0"/>
              <w:ind w:firstLine="0" w:firstLineChars="0"/>
              <w:textAlignment w:val="auto"/>
              <w:rPr>
                <w:rFonts w:hint="eastAsia"/>
                <w:b/>
                <w:bCs/>
                <w:color w:val="auto"/>
                <w:sz w:val="24"/>
                <w:szCs w:val="24"/>
                <w:highlight w:val="none"/>
              </w:rPr>
            </w:pPr>
            <w:r>
              <w:rPr>
                <w:rFonts w:hint="eastAsia"/>
                <w:b/>
                <w:bCs/>
                <w:color w:val="auto"/>
                <w:sz w:val="24"/>
                <w:szCs w:val="24"/>
                <w:highlight w:val="none"/>
              </w:rPr>
              <w:t>目标</w:t>
            </w:r>
          </w:p>
        </w:tc>
        <w:tc>
          <w:tcPr>
            <w:tcW w:w="8505" w:type="dxa"/>
            <w:noWrap w:val="0"/>
            <w:vAlign w:val="top"/>
          </w:tcPr>
          <w:p w14:paraId="025B8BEC">
            <w:pPr>
              <w:spacing w:line="360" w:lineRule="auto"/>
              <w:ind w:firstLine="482" w:firstLineChars="200"/>
              <w:outlineLvl w:val="1"/>
              <w:rPr>
                <w:rFonts w:hint="default" w:ascii="Times New Roman" w:hAnsi="Times New Roman" w:cs="Times New Roman"/>
                <w:b/>
                <w:bCs/>
                <w:color w:val="auto"/>
                <w:sz w:val="24"/>
                <w:szCs w:val="24"/>
                <w:highlight w:val="none"/>
                <w:lang w:eastAsia="zh-CN"/>
              </w:rPr>
            </w:pPr>
            <w:bookmarkStart w:id="7" w:name="_Toc25241"/>
            <w:bookmarkStart w:id="8" w:name="_Toc6746"/>
            <w:r>
              <w:rPr>
                <w:rFonts w:hint="eastAsia" w:ascii="Times New Roman" w:hAnsi="Times New Roman"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lang w:eastAsia="zh-CN"/>
              </w:rPr>
              <w:t>大气环境</w:t>
            </w:r>
            <w:bookmarkEnd w:id="7"/>
          </w:p>
          <w:p w14:paraId="2D73EC94">
            <w:pPr>
              <w:spacing w:line="360" w:lineRule="auto"/>
              <w:ind w:firstLine="480" w:firstLineChars="200"/>
              <w:outlineLvl w:val="1"/>
              <w:rPr>
                <w:rFonts w:hint="default" w:ascii="Times New Roman" w:hAnsi="Times New Roman" w:eastAsia="宋体" w:cs="Times New Roman"/>
                <w:color w:val="auto"/>
                <w:sz w:val="24"/>
                <w:szCs w:val="24"/>
                <w:highlight w:val="none"/>
                <w:lang w:eastAsia="zh-CN"/>
              </w:rPr>
            </w:pPr>
            <w:bookmarkStart w:id="9" w:name="_Toc27486"/>
            <w:r>
              <w:rPr>
                <w:rFonts w:hint="eastAsia" w:ascii="Times New Roman" w:hAnsi="Times New Roman" w:cs="Times New Roman"/>
                <w:color w:val="auto"/>
                <w:sz w:val="24"/>
                <w:szCs w:val="24"/>
                <w:highlight w:val="none"/>
                <w:lang w:eastAsia="zh-CN"/>
              </w:rPr>
              <w:t>本项目</w:t>
            </w:r>
            <w:r>
              <w:rPr>
                <w:rFonts w:hint="default" w:ascii="Times New Roman" w:hAnsi="Times New Roman" w:cs="Times New Roman"/>
                <w:color w:val="auto"/>
                <w:sz w:val="24"/>
                <w:szCs w:val="24"/>
                <w:highlight w:val="none"/>
                <w:lang w:eastAsia="zh-CN"/>
              </w:rPr>
              <w:t>厂界外500m范围内涉及的环境保护目标主要为</w:t>
            </w:r>
            <w:r>
              <w:rPr>
                <w:rFonts w:hint="eastAsia" w:cs="Times New Roman"/>
                <w:color w:val="auto"/>
                <w:sz w:val="24"/>
                <w:szCs w:val="24"/>
                <w:highlight w:val="none"/>
                <w:lang w:val="en-US" w:eastAsia="zh-CN"/>
              </w:rPr>
              <w:t>居民点</w:t>
            </w:r>
            <w:r>
              <w:rPr>
                <w:rFonts w:hint="default" w:ascii="Times New Roman" w:hAnsi="Times New Roman" w:cs="Times New Roman"/>
                <w:color w:val="auto"/>
                <w:sz w:val="24"/>
                <w:szCs w:val="24"/>
                <w:highlight w:val="none"/>
                <w:lang w:eastAsia="zh-CN"/>
              </w:rPr>
              <w:t>，其环境保护目标如下表</w:t>
            </w:r>
            <w:r>
              <w:rPr>
                <w:rFonts w:hint="default" w:ascii="Times New Roman" w:hAnsi="Times New Roman" w:cs="Times New Roman"/>
                <w:color w:val="auto"/>
                <w:sz w:val="24"/>
                <w:szCs w:val="24"/>
                <w:highlight w:val="none"/>
                <w:lang w:val="en-US" w:eastAsia="zh-CN"/>
              </w:rPr>
              <w:t>3-</w:t>
            </w:r>
            <w:r>
              <w:rPr>
                <w:rFonts w:hint="eastAsia" w:ascii="Times New Roman" w:hAnsi="Times New Roman" w:cs="Times New Roman"/>
                <w:color w:val="auto"/>
                <w:sz w:val="24"/>
                <w:szCs w:val="24"/>
                <w:highlight w:val="none"/>
                <w:lang w:val="en-US" w:eastAsia="zh-CN"/>
              </w:rPr>
              <w:t>3</w:t>
            </w:r>
            <w:r>
              <w:rPr>
                <w:rFonts w:hint="default" w:ascii="Times New Roman" w:hAnsi="Times New Roman" w:cs="Times New Roman"/>
                <w:color w:val="auto"/>
                <w:sz w:val="24"/>
                <w:szCs w:val="24"/>
                <w:highlight w:val="none"/>
                <w:lang w:eastAsia="zh-CN"/>
              </w:rPr>
              <w:t>，敏感保护目标位置见</w:t>
            </w:r>
            <w:r>
              <w:rPr>
                <w:rFonts w:hint="eastAsia" w:ascii="Times New Roman" w:hAnsi="Times New Roman" w:cs="Times New Roman"/>
                <w:color w:val="auto"/>
                <w:sz w:val="24"/>
                <w:szCs w:val="24"/>
                <w:highlight w:val="none"/>
                <w:lang w:val="en-US" w:eastAsia="zh-CN"/>
              </w:rPr>
              <w:t>附</w:t>
            </w:r>
            <w:r>
              <w:rPr>
                <w:rFonts w:hint="default" w:ascii="Times New Roman" w:hAnsi="Times New Roman" w:cs="Times New Roman"/>
                <w:color w:val="auto"/>
                <w:sz w:val="24"/>
                <w:szCs w:val="24"/>
                <w:highlight w:val="none"/>
                <w:lang w:eastAsia="zh-CN"/>
              </w:rPr>
              <w:t>图</w:t>
            </w:r>
            <w:r>
              <w:rPr>
                <w:rFonts w:hint="eastAsia" w:cs="Times New Roman"/>
                <w:color w:val="auto"/>
                <w:sz w:val="24"/>
                <w:szCs w:val="24"/>
                <w:highlight w:val="none"/>
                <w:lang w:val="en-US" w:eastAsia="zh-CN"/>
              </w:rPr>
              <w:t>3</w:t>
            </w:r>
            <w:r>
              <w:rPr>
                <w:rFonts w:hint="default" w:ascii="Times New Roman" w:hAnsi="Times New Roman" w:cs="Times New Roman"/>
                <w:color w:val="auto"/>
                <w:sz w:val="24"/>
                <w:szCs w:val="24"/>
                <w:highlight w:val="none"/>
                <w:lang w:eastAsia="zh-CN"/>
              </w:rPr>
              <w:t>。</w:t>
            </w:r>
            <w:bookmarkEnd w:id="9"/>
          </w:p>
          <w:p w14:paraId="03CE2D84">
            <w:pPr>
              <w:spacing w:line="360" w:lineRule="auto"/>
              <w:ind w:firstLine="482" w:firstLineChars="200"/>
              <w:outlineLvl w:val="1"/>
              <w:rPr>
                <w:rFonts w:hint="default" w:ascii="Times New Roman" w:hAnsi="Times New Roman" w:cs="Times New Roman"/>
                <w:b/>
                <w:bCs/>
                <w:color w:val="auto"/>
                <w:sz w:val="24"/>
                <w:szCs w:val="24"/>
                <w:highlight w:val="none"/>
                <w:lang w:eastAsia="zh-CN"/>
              </w:rPr>
            </w:pPr>
            <w:bookmarkStart w:id="10" w:name="_Toc16515"/>
            <w:r>
              <w:rPr>
                <w:rFonts w:hint="eastAsia" w:ascii="Times New Roman" w:hAnsi="Times New Roman" w:cs="Times New Roman"/>
                <w:b/>
                <w:bCs/>
                <w:color w:val="auto"/>
                <w:sz w:val="24"/>
                <w:szCs w:val="24"/>
                <w:highlight w:val="none"/>
                <w:lang w:val="en-US" w:eastAsia="zh-CN"/>
              </w:rPr>
              <w:t>2、</w:t>
            </w:r>
            <w:r>
              <w:rPr>
                <w:rFonts w:hint="default" w:ascii="Times New Roman" w:hAnsi="Times New Roman" w:cs="Times New Roman"/>
                <w:b/>
                <w:bCs/>
                <w:color w:val="auto"/>
                <w:sz w:val="24"/>
                <w:szCs w:val="24"/>
                <w:highlight w:val="none"/>
                <w:lang w:eastAsia="zh-CN"/>
              </w:rPr>
              <w:t>声环境</w:t>
            </w:r>
            <w:bookmarkEnd w:id="10"/>
          </w:p>
          <w:p w14:paraId="70102952">
            <w:pPr>
              <w:spacing w:line="360" w:lineRule="auto"/>
              <w:ind w:firstLine="480" w:firstLineChars="200"/>
              <w:outlineLvl w:val="1"/>
              <w:rPr>
                <w:rFonts w:hint="default" w:ascii="Times New Roman" w:hAnsi="Times New Roman" w:cs="Times New Roman"/>
                <w:color w:val="auto"/>
                <w:sz w:val="24"/>
                <w:szCs w:val="24"/>
                <w:highlight w:val="none"/>
              </w:rPr>
            </w:pPr>
            <w:bookmarkStart w:id="11" w:name="_Toc10408"/>
            <w:r>
              <w:rPr>
                <w:rFonts w:hint="eastAsia" w:ascii="Times New Roman" w:hAnsi="Times New Roman" w:cs="Times New Roman"/>
                <w:color w:val="auto"/>
                <w:sz w:val="24"/>
                <w:szCs w:val="24"/>
                <w:highlight w:val="none"/>
                <w:lang w:eastAsia="zh-CN"/>
              </w:rPr>
              <w:t>本项目</w:t>
            </w:r>
            <w:r>
              <w:rPr>
                <w:rFonts w:hint="default" w:ascii="Times New Roman" w:hAnsi="Times New Roman" w:cs="Times New Roman"/>
                <w:color w:val="auto"/>
                <w:sz w:val="24"/>
                <w:szCs w:val="24"/>
                <w:highlight w:val="none"/>
                <w:lang w:eastAsia="zh-CN"/>
              </w:rPr>
              <w:t>所在厂界50米范围内</w:t>
            </w:r>
            <w:r>
              <w:rPr>
                <w:rFonts w:hint="default" w:ascii="Times New Roman" w:hAnsi="Times New Roman" w:cs="Times New Roman"/>
                <w:color w:val="auto"/>
                <w:sz w:val="24"/>
                <w:szCs w:val="24"/>
                <w:highlight w:val="none"/>
                <w:lang w:val="en-US" w:eastAsia="zh-CN"/>
              </w:rPr>
              <w:t>无</w:t>
            </w:r>
            <w:r>
              <w:rPr>
                <w:rFonts w:hint="default" w:ascii="Times New Roman" w:hAnsi="Times New Roman" w:cs="Times New Roman"/>
                <w:color w:val="auto"/>
                <w:sz w:val="24"/>
                <w:szCs w:val="24"/>
                <w:highlight w:val="none"/>
                <w:lang w:eastAsia="zh-CN"/>
              </w:rPr>
              <w:t>声环境敏感保护目标。</w:t>
            </w:r>
            <w:bookmarkEnd w:id="8"/>
            <w:bookmarkEnd w:id="11"/>
          </w:p>
          <w:p w14:paraId="22D6FF70">
            <w:pPr>
              <w:spacing w:line="360" w:lineRule="auto"/>
              <w:ind w:firstLine="482" w:firstLineChars="200"/>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lang w:val="en-US" w:eastAsia="zh-CN"/>
              </w:rPr>
              <w:t>3、</w:t>
            </w:r>
            <w:r>
              <w:rPr>
                <w:rFonts w:hint="default" w:ascii="Times New Roman" w:hAnsi="Times New Roman" w:cs="Times New Roman"/>
                <w:b/>
                <w:color w:val="auto"/>
                <w:sz w:val="24"/>
                <w:szCs w:val="24"/>
                <w:highlight w:val="none"/>
              </w:rPr>
              <w:t>地下水环境</w:t>
            </w:r>
          </w:p>
          <w:p w14:paraId="48DE315C">
            <w:pPr>
              <w:keepNext w:val="0"/>
              <w:keepLines w:val="0"/>
              <w:widowControl/>
              <w:suppressLineNumbers w:val="0"/>
              <w:jc w:val="lef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eastAsia="zh-CN"/>
              </w:rPr>
              <w:t>本项目</w:t>
            </w:r>
            <w:r>
              <w:rPr>
                <w:rFonts w:hint="default" w:ascii="Times New Roman" w:hAnsi="Times New Roman" w:cs="Times New Roman"/>
                <w:color w:val="auto"/>
                <w:sz w:val="24"/>
                <w:szCs w:val="24"/>
                <w:highlight w:val="none"/>
              </w:rPr>
              <w:t>厂界外500米范围内不涉及地下水集中式饮用水水源和热水、矿泉水、温泉等特殊地下水资源</w:t>
            </w:r>
            <w:r>
              <w:rPr>
                <w:rFonts w:hint="default" w:ascii="Times New Roman" w:hAnsi="Times New Roman" w:cs="Times New Roman"/>
                <w:color w:val="auto"/>
                <w:sz w:val="24"/>
                <w:szCs w:val="24"/>
                <w:highlight w:val="none"/>
                <w:lang w:val="en-US" w:eastAsia="zh-CN"/>
              </w:rPr>
              <w:t>；周围主要地表水为</w:t>
            </w:r>
            <w:r>
              <w:rPr>
                <w:rFonts w:hint="eastAsia" w:ascii="Times New Roman" w:hAnsi="Times New Roman" w:cs="Times New Roman"/>
                <w:color w:val="auto"/>
                <w:sz w:val="24"/>
                <w:szCs w:val="24"/>
                <w:highlight w:val="none"/>
                <w:lang w:val="en-US" w:eastAsia="zh-CN"/>
              </w:rPr>
              <w:t>东</w:t>
            </w:r>
            <w:r>
              <w:rPr>
                <w:rFonts w:hint="default" w:ascii="Times New Roman" w:hAnsi="Times New Roman" w:cs="Times New Roman"/>
                <w:color w:val="auto"/>
                <w:sz w:val="24"/>
                <w:szCs w:val="24"/>
                <w:highlight w:val="none"/>
                <w:lang w:val="en-US" w:eastAsia="zh-CN"/>
              </w:rPr>
              <w:t>河。</w:t>
            </w:r>
          </w:p>
          <w:p w14:paraId="74F668DC">
            <w:pPr>
              <w:spacing w:line="360" w:lineRule="auto"/>
              <w:ind w:firstLine="482" w:firstLineChars="200"/>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lang w:val="en-US" w:eastAsia="zh-CN"/>
              </w:rPr>
              <w:t>4、</w:t>
            </w:r>
            <w:r>
              <w:rPr>
                <w:rFonts w:hint="default" w:ascii="Times New Roman" w:hAnsi="Times New Roman" w:cs="Times New Roman"/>
                <w:b/>
                <w:color w:val="auto"/>
                <w:sz w:val="24"/>
                <w:szCs w:val="24"/>
                <w:highlight w:val="none"/>
              </w:rPr>
              <w:t>生态环境</w:t>
            </w:r>
          </w:p>
          <w:p w14:paraId="1637A423">
            <w:pPr>
              <w:pStyle w:val="86"/>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不涉及生态环境保护目标。</w:t>
            </w:r>
          </w:p>
          <w:p w14:paraId="75FDF5D0">
            <w:pPr>
              <w:pStyle w:val="5"/>
              <w:tabs>
                <w:tab w:val="left" w:pos="1284"/>
              </w:tabs>
              <w:bidi w:val="0"/>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表3-</w:t>
            </w:r>
            <w:r>
              <w:rPr>
                <w:rFonts w:hint="eastAsia" w:cs="Times New Roman"/>
                <w:color w:val="auto"/>
                <w:sz w:val="21"/>
                <w:szCs w:val="21"/>
                <w:highlight w:val="none"/>
                <w:lang w:val="en-US" w:eastAsia="zh-CN"/>
              </w:rPr>
              <w:t>4</w:t>
            </w:r>
            <w:r>
              <w:rPr>
                <w:rFonts w:hint="default" w:ascii="Times New Roman" w:hAnsi="Times New Roman" w:cs="Times New Roman"/>
                <w:color w:val="auto"/>
                <w:sz w:val="21"/>
                <w:szCs w:val="21"/>
                <w:highlight w:val="none"/>
                <w:lang w:val="en-US" w:eastAsia="zh-CN"/>
              </w:rPr>
              <w:t xml:space="preserve"> 项目环境保护目标一览表</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860"/>
              <w:gridCol w:w="707"/>
              <w:gridCol w:w="700"/>
              <w:gridCol w:w="825"/>
              <w:gridCol w:w="762"/>
              <w:gridCol w:w="2000"/>
              <w:gridCol w:w="738"/>
              <w:gridCol w:w="968"/>
            </w:tblGrid>
            <w:tr w14:paraId="771BB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2" w:hRule="atLeast"/>
                <w:jc w:val="center"/>
              </w:trPr>
              <w:tc>
                <w:tcPr>
                  <w:tcW w:w="719" w:type="dxa"/>
                  <w:vMerge w:val="restart"/>
                  <w:noWrap w:val="0"/>
                  <w:vAlign w:val="center"/>
                </w:tcPr>
                <w:p w14:paraId="73AE745D">
                  <w:pPr>
                    <w:pStyle w:val="10"/>
                    <w:bidi w:val="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环境要素</w:t>
                  </w:r>
                </w:p>
              </w:tc>
              <w:tc>
                <w:tcPr>
                  <w:tcW w:w="860" w:type="dxa"/>
                  <w:vMerge w:val="restart"/>
                  <w:noWrap w:val="0"/>
                  <w:vAlign w:val="center"/>
                </w:tcPr>
                <w:p w14:paraId="5E2CB448">
                  <w:pPr>
                    <w:pStyle w:val="10"/>
                    <w:bidi w:val="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保护目标名称</w:t>
                  </w:r>
                </w:p>
              </w:tc>
              <w:tc>
                <w:tcPr>
                  <w:tcW w:w="1407" w:type="dxa"/>
                  <w:gridSpan w:val="2"/>
                  <w:noWrap w:val="0"/>
                  <w:vAlign w:val="center"/>
                </w:tcPr>
                <w:p w14:paraId="19B839FA">
                  <w:pPr>
                    <w:pStyle w:val="10"/>
                    <w:bidi w:val="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Cs w:val="24"/>
                      <w:highlight w:val="none"/>
                    </w:rPr>
                    <w:t>空间相对位置/m</w:t>
                  </w:r>
                </w:p>
              </w:tc>
              <w:tc>
                <w:tcPr>
                  <w:tcW w:w="825" w:type="dxa"/>
                  <w:vMerge w:val="restart"/>
                  <w:noWrap w:val="0"/>
                  <w:vAlign w:val="center"/>
                </w:tcPr>
                <w:p w14:paraId="115AA9A6">
                  <w:pPr>
                    <w:pStyle w:val="10"/>
                    <w:bidi w:val="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保护对象</w:t>
                  </w:r>
                </w:p>
              </w:tc>
              <w:tc>
                <w:tcPr>
                  <w:tcW w:w="762" w:type="dxa"/>
                  <w:vMerge w:val="restart"/>
                  <w:noWrap w:val="0"/>
                  <w:vAlign w:val="center"/>
                </w:tcPr>
                <w:p w14:paraId="432065F9">
                  <w:pPr>
                    <w:pStyle w:val="10"/>
                    <w:bidi w:val="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保护规模</w:t>
                  </w:r>
                </w:p>
              </w:tc>
              <w:tc>
                <w:tcPr>
                  <w:tcW w:w="2000" w:type="dxa"/>
                  <w:vMerge w:val="restart"/>
                  <w:noWrap w:val="0"/>
                  <w:vAlign w:val="center"/>
                </w:tcPr>
                <w:p w14:paraId="18847445">
                  <w:pPr>
                    <w:pStyle w:val="10"/>
                    <w:bidi w:val="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环境功能区</w:t>
                  </w:r>
                </w:p>
              </w:tc>
              <w:tc>
                <w:tcPr>
                  <w:tcW w:w="738" w:type="dxa"/>
                  <w:vMerge w:val="restart"/>
                  <w:noWrap w:val="0"/>
                  <w:vAlign w:val="center"/>
                </w:tcPr>
                <w:p w14:paraId="6BC430D4">
                  <w:pPr>
                    <w:pStyle w:val="10"/>
                    <w:bidi w:val="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Cs w:val="21"/>
                      <w:highlight w:val="none"/>
                    </w:rPr>
                    <w:t>相对厂址方位</w:t>
                  </w:r>
                </w:p>
              </w:tc>
              <w:tc>
                <w:tcPr>
                  <w:tcW w:w="968" w:type="dxa"/>
                  <w:vMerge w:val="restart"/>
                  <w:noWrap w:val="0"/>
                  <w:vAlign w:val="center"/>
                </w:tcPr>
                <w:p w14:paraId="55FB1659">
                  <w:pPr>
                    <w:pStyle w:val="10"/>
                    <w:bidi w:val="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相对厂界距离/m</w:t>
                  </w:r>
                </w:p>
              </w:tc>
            </w:tr>
            <w:tr w14:paraId="16E1B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719" w:type="dxa"/>
                  <w:vMerge w:val="continue"/>
                  <w:noWrap w:val="0"/>
                  <w:vAlign w:val="center"/>
                </w:tcPr>
                <w:p w14:paraId="1226A28E">
                  <w:pPr>
                    <w:pStyle w:val="10"/>
                    <w:bidi w:val="0"/>
                    <w:jc w:val="center"/>
                    <w:rPr>
                      <w:color w:val="auto"/>
                      <w:highlight w:val="none"/>
                    </w:rPr>
                  </w:pPr>
                </w:p>
              </w:tc>
              <w:tc>
                <w:tcPr>
                  <w:tcW w:w="860" w:type="dxa"/>
                  <w:vMerge w:val="continue"/>
                  <w:noWrap w:val="0"/>
                  <w:vAlign w:val="center"/>
                </w:tcPr>
                <w:p w14:paraId="3C8A5B5C">
                  <w:pPr>
                    <w:pStyle w:val="10"/>
                    <w:bidi w:val="0"/>
                    <w:jc w:val="center"/>
                    <w:rPr>
                      <w:color w:val="auto"/>
                      <w:highlight w:val="none"/>
                    </w:rPr>
                  </w:pPr>
                </w:p>
              </w:tc>
              <w:tc>
                <w:tcPr>
                  <w:tcW w:w="707" w:type="dxa"/>
                  <w:noWrap w:val="0"/>
                  <w:vAlign w:val="center"/>
                </w:tcPr>
                <w:p w14:paraId="57CABACE">
                  <w:pPr>
                    <w:pStyle w:val="10"/>
                    <w:ind w:right="0" w:rightChars="0" w:firstLine="0" w:firstLineChars="0"/>
                    <w:rPr>
                      <w:rFonts w:hint="default" w:ascii="Times New Roman" w:hAnsi="Times New Roman"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X</w:t>
                  </w:r>
                </w:p>
              </w:tc>
              <w:tc>
                <w:tcPr>
                  <w:tcW w:w="700" w:type="dxa"/>
                  <w:noWrap w:val="0"/>
                  <w:vAlign w:val="center"/>
                </w:tcPr>
                <w:p w14:paraId="2B80A0F9">
                  <w:pPr>
                    <w:pStyle w:val="10"/>
                    <w:ind w:right="0" w:rightChars="0" w:firstLine="0" w:firstLineChars="0"/>
                    <w:rPr>
                      <w:rFonts w:hint="default" w:ascii="Times New Roman" w:hAnsi="Times New Roman"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Y</w:t>
                  </w:r>
                </w:p>
              </w:tc>
              <w:tc>
                <w:tcPr>
                  <w:tcW w:w="825" w:type="dxa"/>
                  <w:vMerge w:val="continue"/>
                  <w:noWrap w:val="0"/>
                  <w:vAlign w:val="center"/>
                </w:tcPr>
                <w:p w14:paraId="4135DC8A">
                  <w:pPr>
                    <w:pStyle w:val="10"/>
                    <w:bidi w:val="0"/>
                    <w:jc w:val="center"/>
                    <w:rPr>
                      <w:rFonts w:hint="default" w:ascii="Times New Roman" w:hAnsi="Times New Roman" w:cs="Times New Roman"/>
                      <w:b/>
                      <w:bCs/>
                      <w:color w:val="auto"/>
                      <w:sz w:val="21"/>
                      <w:szCs w:val="21"/>
                      <w:highlight w:val="none"/>
                      <w:lang w:val="en-US" w:eastAsia="zh-CN"/>
                    </w:rPr>
                  </w:pPr>
                </w:p>
              </w:tc>
              <w:tc>
                <w:tcPr>
                  <w:tcW w:w="762" w:type="dxa"/>
                  <w:vMerge w:val="continue"/>
                  <w:noWrap w:val="0"/>
                  <w:vAlign w:val="center"/>
                </w:tcPr>
                <w:p w14:paraId="20F450F8">
                  <w:pPr>
                    <w:pStyle w:val="10"/>
                    <w:bidi w:val="0"/>
                    <w:jc w:val="center"/>
                    <w:rPr>
                      <w:rFonts w:hint="default" w:ascii="Times New Roman" w:hAnsi="Times New Roman" w:cs="Times New Roman"/>
                      <w:b/>
                      <w:bCs/>
                      <w:color w:val="auto"/>
                      <w:sz w:val="21"/>
                      <w:szCs w:val="21"/>
                      <w:highlight w:val="none"/>
                      <w:lang w:val="en-US" w:eastAsia="zh-CN"/>
                    </w:rPr>
                  </w:pPr>
                </w:p>
              </w:tc>
              <w:tc>
                <w:tcPr>
                  <w:tcW w:w="2000" w:type="dxa"/>
                  <w:vMerge w:val="continue"/>
                  <w:noWrap w:val="0"/>
                  <w:vAlign w:val="center"/>
                </w:tcPr>
                <w:p w14:paraId="32200886">
                  <w:pPr>
                    <w:pStyle w:val="10"/>
                    <w:bidi w:val="0"/>
                    <w:jc w:val="center"/>
                    <w:rPr>
                      <w:rFonts w:hint="default" w:ascii="Times New Roman" w:hAnsi="Times New Roman" w:cs="Times New Roman"/>
                      <w:b/>
                      <w:bCs/>
                      <w:color w:val="auto"/>
                      <w:sz w:val="21"/>
                      <w:szCs w:val="21"/>
                      <w:highlight w:val="none"/>
                      <w:lang w:val="en-US" w:eastAsia="zh-CN"/>
                    </w:rPr>
                  </w:pPr>
                </w:p>
              </w:tc>
              <w:tc>
                <w:tcPr>
                  <w:tcW w:w="738" w:type="dxa"/>
                  <w:vMerge w:val="continue"/>
                  <w:noWrap w:val="0"/>
                  <w:vAlign w:val="center"/>
                </w:tcPr>
                <w:p w14:paraId="7B39D85A">
                  <w:pPr>
                    <w:pStyle w:val="10"/>
                    <w:bidi w:val="0"/>
                    <w:jc w:val="center"/>
                    <w:rPr>
                      <w:rFonts w:hint="default" w:ascii="Times New Roman" w:hAnsi="Times New Roman" w:cs="Times New Roman"/>
                      <w:b/>
                      <w:bCs/>
                      <w:color w:val="auto"/>
                      <w:sz w:val="21"/>
                      <w:szCs w:val="21"/>
                      <w:highlight w:val="none"/>
                      <w:lang w:val="en-US" w:eastAsia="zh-CN"/>
                    </w:rPr>
                  </w:pPr>
                </w:p>
              </w:tc>
              <w:tc>
                <w:tcPr>
                  <w:tcW w:w="968" w:type="dxa"/>
                  <w:vMerge w:val="continue"/>
                  <w:noWrap w:val="0"/>
                  <w:vAlign w:val="center"/>
                </w:tcPr>
                <w:p w14:paraId="18EEB930">
                  <w:pPr>
                    <w:pStyle w:val="10"/>
                    <w:bidi w:val="0"/>
                    <w:jc w:val="center"/>
                    <w:rPr>
                      <w:rFonts w:hint="default" w:ascii="Times New Roman" w:hAnsi="Times New Roman" w:cs="Times New Roman"/>
                      <w:b/>
                      <w:bCs/>
                      <w:color w:val="auto"/>
                      <w:sz w:val="21"/>
                      <w:szCs w:val="21"/>
                      <w:highlight w:val="none"/>
                      <w:lang w:val="en-US" w:eastAsia="zh-CN"/>
                    </w:rPr>
                  </w:pPr>
                </w:p>
              </w:tc>
            </w:tr>
            <w:tr w14:paraId="4B605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9" w:type="dxa"/>
                  <w:noWrap w:val="0"/>
                  <w:vAlign w:val="center"/>
                </w:tcPr>
                <w:p w14:paraId="572B686F">
                  <w:pPr>
                    <w:pStyle w:val="10"/>
                    <w:bidi w:val="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大气环境</w:t>
                  </w:r>
                </w:p>
              </w:tc>
              <w:tc>
                <w:tcPr>
                  <w:tcW w:w="860" w:type="dxa"/>
                  <w:noWrap w:val="0"/>
                  <w:vAlign w:val="center"/>
                </w:tcPr>
                <w:p w14:paraId="6F9155A9">
                  <w:pPr>
                    <w:pStyle w:val="10"/>
                    <w:bidi w:val="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太极墩</w:t>
                  </w:r>
                </w:p>
              </w:tc>
              <w:tc>
                <w:tcPr>
                  <w:tcW w:w="707" w:type="dxa"/>
                  <w:noWrap w:val="0"/>
                  <w:vAlign w:val="center"/>
                </w:tcPr>
                <w:p w14:paraId="31473296">
                  <w:pPr>
                    <w:pStyle w:val="10"/>
                    <w:bidi w:val="0"/>
                    <w:ind w:right="0" w:rightChars="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-261</w:t>
                  </w:r>
                </w:p>
              </w:tc>
              <w:tc>
                <w:tcPr>
                  <w:tcW w:w="700" w:type="dxa"/>
                  <w:noWrap w:val="0"/>
                  <w:vAlign w:val="center"/>
                </w:tcPr>
                <w:p w14:paraId="5DA52C7C">
                  <w:pPr>
                    <w:pStyle w:val="10"/>
                    <w:bidi w:val="0"/>
                    <w:ind w:right="0" w:rightChars="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-259</w:t>
                  </w:r>
                </w:p>
              </w:tc>
              <w:tc>
                <w:tcPr>
                  <w:tcW w:w="825" w:type="dxa"/>
                  <w:noWrap w:val="0"/>
                  <w:vAlign w:val="center"/>
                </w:tcPr>
                <w:p w14:paraId="66A667D8">
                  <w:pPr>
                    <w:pStyle w:val="10"/>
                    <w:bidi w:val="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居民</w:t>
                  </w:r>
                </w:p>
              </w:tc>
              <w:tc>
                <w:tcPr>
                  <w:tcW w:w="762" w:type="dxa"/>
                  <w:noWrap w:val="0"/>
                  <w:vAlign w:val="center"/>
                </w:tcPr>
                <w:p w14:paraId="70D0DD5A">
                  <w:pPr>
                    <w:pStyle w:val="10"/>
                    <w:bidi w:val="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约</w:t>
                  </w:r>
                  <w:r>
                    <w:rPr>
                      <w:rFonts w:hint="eastAsia" w:cs="Times New Roman"/>
                      <w:color w:val="auto"/>
                      <w:sz w:val="21"/>
                      <w:szCs w:val="21"/>
                      <w:highlight w:val="none"/>
                      <w:lang w:val="en-US" w:eastAsia="zh-CN"/>
                    </w:rPr>
                    <w:t>30户</w:t>
                  </w:r>
                </w:p>
              </w:tc>
              <w:tc>
                <w:tcPr>
                  <w:tcW w:w="2000" w:type="dxa"/>
                  <w:noWrap w:val="0"/>
                  <w:vAlign w:val="center"/>
                </w:tcPr>
                <w:p w14:paraId="1E573F53">
                  <w:pPr>
                    <w:pStyle w:val="10"/>
                    <w:bidi w:val="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《环境空气质量标准》（GB3095-2012）中二级标准</w:t>
                  </w:r>
                </w:p>
              </w:tc>
              <w:tc>
                <w:tcPr>
                  <w:tcW w:w="738" w:type="dxa"/>
                  <w:noWrap w:val="0"/>
                  <w:vAlign w:val="center"/>
                </w:tcPr>
                <w:p w14:paraId="7229D843">
                  <w:pPr>
                    <w:pStyle w:val="10"/>
                    <w:bidi w:val="0"/>
                    <w:ind w:right="0" w:rightChars="0" w:firstLine="0" w:firstLineChars="0"/>
                    <w:jc w:val="center"/>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N</w:t>
                  </w:r>
                  <w:r>
                    <w:rPr>
                      <w:rFonts w:hint="eastAsia" w:cs="Times New Roman"/>
                      <w:color w:val="auto"/>
                      <w:sz w:val="21"/>
                      <w:szCs w:val="21"/>
                      <w:highlight w:val="none"/>
                      <w:lang w:val="en-US" w:eastAsia="zh-CN"/>
                    </w:rPr>
                    <w:t>W</w:t>
                  </w:r>
                </w:p>
              </w:tc>
              <w:tc>
                <w:tcPr>
                  <w:tcW w:w="968" w:type="dxa"/>
                  <w:noWrap w:val="0"/>
                  <w:vAlign w:val="center"/>
                </w:tcPr>
                <w:p w14:paraId="39633866">
                  <w:pPr>
                    <w:pStyle w:val="10"/>
                    <w:bidi w:val="0"/>
                    <w:ind w:right="0" w:rightChars="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约360</w:t>
                  </w:r>
                </w:p>
              </w:tc>
            </w:tr>
            <w:tr w14:paraId="7467A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719" w:type="dxa"/>
                  <w:noWrap w:val="0"/>
                  <w:vAlign w:val="center"/>
                </w:tcPr>
                <w:p w14:paraId="6F6EC189">
                  <w:pPr>
                    <w:pStyle w:val="10"/>
                    <w:bidi w:val="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地表水</w:t>
                  </w:r>
                </w:p>
              </w:tc>
              <w:tc>
                <w:tcPr>
                  <w:tcW w:w="860" w:type="dxa"/>
                  <w:noWrap w:val="0"/>
                  <w:vAlign w:val="center"/>
                </w:tcPr>
                <w:p w14:paraId="0A0B1A06">
                  <w:pPr>
                    <w:pStyle w:val="10"/>
                    <w:bidi w:val="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东</w:t>
                  </w:r>
                  <w:r>
                    <w:rPr>
                      <w:rFonts w:hint="default" w:ascii="Times New Roman" w:hAnsi="Times New Roman" w:cs="Times New Roman"/>
                      <w:color w:val="auto"/>
                      <w:sz w:val="21"/>
                      <w:szCs w:val="21"/>
                      <w:highlight w:val="none"/>
                      <w:lang w:val="en-US" w:eastAsia="zh-CN"/>
                    </w:rPr>
                    <w:t>河</w:t>
                  </w:r>
                </w:p>
              </w:tc>
              <w:tc>
                <w:tcPr>
                  <w:tcW w:w="707" w:type="dxa"/>
                  <w:noWrap w:val="0"/>
                  <w:vAlign w:val="center"/>
                </w:tcPr>
                <w:p w14:paraId="15E6FE04">
                  <w:pPr>
                    <w:pStyle w:val="10"/>
                    <w:bidi w:val="0"/>
                    <w:ind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-242</w:t>
                  </w:r>
                </w:p>
              </w:tc>
              <w:tc>
                <w:tcPr>
                  <w:tcW w:w="700" w:type="dxa"/>
                  <w:noWrap w:val="0"/>
                  <w:vAlign w:val="center"/>
                </w:tcPr>
                <w:p w14:paraId="63DA512B">
                  <w:pPr>
                    <w:pStyle w:val="10"/>
                    <w:bidi w:val="0"/>
                    <w:ind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-189</w:t>
                  </w:r>
                </w:p>
              </w:tc>
              <w:tc>
                <w:tcPr>
                  <w:tcW w:w="825" w:type="dxa"/>
                  <w:noWrap w:val="0"/>
                  <w:vAlign w:val="center"/>
                </w:tcPr>
                <w:p w14:paraId="265345CA">
                  <w:pPr>
                    <w:pStyle w:val="10"/>
                    <w:bidi w:val="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河流</w:t>
                  </w:r>
                </w:p>
              </w:tc>
              <w:tc>
                <w:tcPr>
                  <w:tcW w:w="762" w:type="dxa"/>
                  <w:noWrap w:val="0"/>
                  <w:vAlign w:val="center"/>
                </w:tcPr>
                <w:p w14:paraId="1ACB9B3E">
                  <w:pPr>
                    <w:pStyle w:val="10"/>
                    <w:bidi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w:t>
                  </w:r>
                </w:p>
              </w:tc>
              <w:tc>
                <w:tcPr>
                  <w:tcW w:w="2000" w:type="dxa"/>
                  <w:noWrap w:val="0"/>
                  <w:vAlign w:val="center"/>
                </w:tcPr>
                <w:p w14:paraId="570BD587">
                  <w:pPr>
                    <w:pStyle w:val="10"/>
                    <w:bidi w:val="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《地表水环境质量标准》（GB3838-2002）中的Ⅲ类标准</w:t>
                  </w:r>
                </w:p>
              </w:tc>
              <w:tc>
                <w:tcPr>
                  <w:tcW w:w="738" w:type="dxa"/>
                  <w:noWrap w:val="0"/>
                  <w:vAlign w:val="center"/>
                </w:tcPr>
                <w:p w14:paraId="1E109345">
                  <w:pPr>
                    <w:pStyle w:val="10"/>
                    <w:bidi w:val="0"/>
                    <w:ind w:right="0" w:rightChars="0" w:firstLine="0" w:firstLineChars="0"/>
                    <w:jc w:val="center"/>
                    <w:rPr>
                      <w:rFonts w:hint="default" w:ascii="Times New Roman" w:hAnsi="Times New Roman"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W</w:t>
                  </w:r>
                </w:p>
              </w:tc>
              <w:tc>
                <w:tcPr>
                  <w:tcW w:w="968" w:type="dxa"/>
                  <w:noWrap w:val="0"/>
                  <w:vAlign w:val="center"/>
                </w:tcPr>
                <w:p w14:paraId="67C0302D">
                  <w:pPr>
                    <w:pStyle w:val="10"/>
                    <w:bidi w:val="0"/>
                    <w:ind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约300</w:t>
                  </w:r>
                </w:p>
              </w:tc>
            </w:tr>
          </w:tbl>
          <w:p w14:paraId="513A275C">
            <w:pPr>
              <w:pStyle w:val="5"/>
              <w:keepNext/>
              <w:keepLines/>
              <w:pageBreakBefore w:val="0"/>
              <w:widowControl w:val="0"/>
              <w:kinsoku/>
              <w:wordWrap/>
              <w:overflowPunct/>
              <w:topLinePunct w:val="0"/>
              <w:autoSpaceDE/>
              <w:autoSpaceDN/>
              <w:bidi w:val="0"/>
              <w:adjustRightInd w:val="0"/>
              <w:snapToGrid w:val="0"/>
              <w:ind w:firstLine="0" w:firstLineChars="0"/>
              <w:jc w:val="both"/>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注：以厂区中心点（117°53′</w:t>
            </w:r>
            <w:r>
              <w:rPr>
                <w:rFonts w:hint="eastAsia" w:ascii="Times New Roman" w:hAnsi="Times New Roman" w:cs="Times New Roman"/>
                <w:b w:val="0"/>
                <w:bCs w:val="0"/>
                <w:color w:val="auto"/>
                <w:kern w:val="0"/>
                <w:sz w:val="21"/>
                <w:szCs w:val="21"/>
                <w:highlight w:val="none"/>
                <w:lang w:val="en-US" w:eastAsia="zh-CN" w:bidi="ar"/>
              </w:rPr>
              <w:t>15</w:t>
            </w:r>
            <w:r>
              <w:rPr>
                <w:rFonts w:hint="default" w:ascii="Times New Roman" w:hAnsi="Times New Roman" w:eastAsia="宋体" w:cs="Times New Roman"/>
                <w:b w:val="0"/>
                <w:bCs w:val="0"/>
                <w:color w:val="auto"/>
                <w:kern w:val="0"/>
                <w:sz w:val="21"/>
                <w:szCs w:val="21"/>
                <w:highlight w:val="none"/>
                <w:lang w:val="en-US" w:eastAsia="zh-CN" w:bidi="ar"/>
              </w:rPr>
              <w:t>.</w:t>
            </w:r>
            <w:r>
              <w:rPr>
                <w:rFonts w:hint="eastAsia" w:ascii="Times New Roman" w:hAnsi="Times New Roman" w:cs="Times New Roman"/>
                <w:b w:val="0"/>
                <w:bCs w:val="0"/>
                <w:color w:val="auto"/>
                <w:kern w:val="0"/>
                <w:sz w:val="21"/>
                <w:szCs w:val="21"/>
                <w:highlight w:val="none"/>
                <w:lang w:val="en-US" w:eastAsia="zh-CN" w:bidi="ar"/>
              </w:rPr>
              <w:t>255</w:t>
            </w:r>
            <w:r>
              <w:rPr>
                <w:rFonts w:hint="default" w:ascii="Times New Roman" w:hAnsi="Times New Roman" w:eastAsia="宋体" w:cs="Times New Roman"/>
                <w:b w:val="0"/>
                <w:bCs w:val="0"/>
                <w:color w:val="auto"/>
                <w:kern w:val="0"/>
                <w:sz w:val="21"/>
                <w:szCs w:val="21"/>
                <w:highlight w:val="none"/>
                <w:lang w:val="en-US" w:eastAsia="zh-CN" w:bidi="ar"/>
              </w:rPr>
              <w:t>″，30°3</w:t>
            </w:r>
            <w:r>
              <w:rPr>
                <w:rFonts w:hint="eastAsia" w:ascii="Times New Roman" w:hAnsi="Times New Roman" w:cs="Times New Roman"/>
                <w:b w:val="0"/>
                <w:bCs w:val="0"/>
                <w:color w:val="auto"/>
                <w:kern w:val="0"/>
                <w:sz w:val="21"/>
                <w:szCs w:val="21"/>
                <w:highlight w:val="none"/>
                <w:lang w:val="en-US" w:eastAsia="zh-CN" w:bidi="ar"/>
              </w:rPr>
              <w:t>7</w:t>
            </w:r>
            <w:r>
              <w:rPr>
                <w:rFonts w:hint="default" w:ascii="Times New Roman" w:hAnsi="Times New Roman" w:eastAsia="宋体" w:cs="Times New Roman"/>
                <w:b w:val="0"/>
                <w:bCs w:val="0"/>
                <w:color w:val="auto"/>
                <w:kern w:val="0"/>
                <w:sz w:val="21"/>
                <w:szCs w:val="21"/>
                <w:highlight w:val="none"/>
                <w:lang w:val="en-US" w:eastAsia="zh-CN" w:bidi="ar"/>
              </w:rPr>
              <w:t>′</w:t>
            </w:r>
            <w:r>
              <w:rPr>
                <w:rFonts w:hint="eastAsia" w:ascii="Times New Roman" w:hAnsi="Times New Roman" w:cs="Times New Roman"/>
                <w:b w:val="0"/>
                <w:bCs w:val="0"/>
                <w:color w:val="auto"/>
                <w:kern w:val="0"/>
                <w:sz w:val="21"/>
                <w:szCs w:val="21"/>
                <w:highlight w:val="none"/>
                <w:lang w:val="en-US" w:eastAsia="zh-CN" w:bidi="ar"/>
              </w:rPr>
              <w:t>56</w:t>
            </w:r>
            <w:r>
              <w:rPr>
                <w:rFonts w:hint="default" w:ascii="Times New Roman" w:hAnsi="Times New Roman" w:eastAsia="宋体" w:cs="Times New Roman"/>
                <w:b w:val="0"/>
                <w:bCs w:val="0"/>
                <w:color w:val="auto"/>
                <w:kern w:val="0"/>
                <w:sz w:val="21"/>
                <w:szCs w:val="21"/>
                <w:highlight w:val="none"/>
                <w:lang w:val="en-US" w:eastAsia="zh-CN" w:bidi="ar"/>
              </w:rPr>
              <w:t>.</w:t>
            </w:r>
            <w:r>
              <w:rPr>
                <w:rFonts w:hint="eastAsia" w:ascii="Times New Roman" w:hAnsi="Times New Roman" w:cs="Times New Roman"/>
                <w:b w:val="0"/>
                <w:bCs w:val="0"/>
                <w:color w:val="auto"/>
                <w:kern w:val="0"/>
                <w:sz w:val="21"/>
                <w:szCs w:val="21"/>
                <w:highlight w:val="none"/>
                <w:lang w:val="en-US" w:eastAsia="zh-CN" w:bidi="ar"/>
              </w:rPr>
              <w:t>610</w:t>
            </w:r>
            <w:r>
              <w:rPr>
                <w:rFonts w:hint="default" w:ascii="Times New Roman" w:hAnsi="Times New Roman" w:eastAsia="宋体" w:cs="Times New Roman"/>
                <w:b w:val="0"/>
                <w:bCs w:val="0"/>
                <w:color w:val="auto"/>
                <w:kern w:val="0"/>
                <w:sz w:val="21"/>
                <w:szCs w:val="21"/>
                <w:highlight w:val="none"/>
                <w:lang w:val="en-US" w:eastAsia="zh-CN" w:bidi="ar"/>
              </w:rPr>
              <w:t>″）为原点，东西向为X坐标、南北向为Y坐标，敏感保护目标距离为距离项目厂界最近一点。</w:t>
            </w:r>
          </w:p>
          <w:p w14:paraId="0275DFA8">
            <w:pPr>
              <w:pStyle w:val="5"/>
              <w:bidi w:val="0"/>
              <w:rPr>
                <w:rFonts w:hint="default" w:ascii="宋体" w:hAnsi="宋体" w:eastAsia="宋体" w:cs="宋体"/>
                <w:color w:val="auto"/>
                <w:kern w:val="0"/>
                <w:sz w:val="24"/>
                <w:szCs w:val="24"/>
                <w:highlight w:val="none"/>
                <w:lang w:val="en-US" w:eastAsia="zh-CN" w:bidi="ar"/>
              </w:rPr>
            </w:pPr>
          </w:p>
        </w:tc>
      </w:tr>
      <w:tr w14:paraId="5C5B3B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62" w:hRule="atLeast"/>
          <w:jc w:val="center"/>
        </w:trPr>
        <w:tc>
          <w:tcPr>
            <w:tcW w:w="492" w:type="dxa"/>
            <w:noWrap w:val="0"/>
            <w:tcMar>
              <w:left w:w="28" w:type="dxa"/>
              <w:right w:w="28" w:type="dxa"/>
            </w:tcMar>
            <w:vAlign w:val="center"/>
          </w:tcPr>
          <w:p w14:paraId="36B5EF2B">
            <w:pPr>
              <w:pStyle w:val="10"/>
              <w:keepNext w:val="0"/>
              <w:keepLines w:val="0"/>
              <w:pageBreakBefore w:val="0"/>
              <w:widowControl/>
              <w:kinsoku/>
              <w:wordWrap/>
              <w:overflowPunct/>
              <w:topLinePunct w:val="0"/>
              <w:autoSpaceDE/>
              <w:autoSpaceDN/>
              <w:bidi w:val="0"/>
              <w:adjustRightInd w:val="0"/>
              <w:snapToGrid w:val="0"/>
              <w:ind w:firstLine="0" w:firstLineChars="0"/>
              <w:textAlignment w:val="auto"/>
              <w:rPr>
                <w:rFonts w:hint="eastAsia"/>
                <w:b/>
                <w:bCs/>
                <w:color w:val="auto"/>
                <w:sz w:val="24"/>
                <w:szCs w:val="24"/>
                <w:highlight w:val="none"/>
              </w:rPr>
            </w:pPr>
            <w:r>
              <w:rPr>
                <w:rFonts w:hint="eastAsia"/>
                <w:b/>
                <w:bCs/>
                <w:color w:val="auto"/>
                <w:sz w:val="24"/>
                <w:szCs w:val="24"/>
                <w:highlight w:val="none"/>
              </w:rPr>
              <w:t>污染</w:t>
            </w:r>
          </w:p>
          <w:p w14:paraId="547DF643">
            <w:pPr>
              <w:pStyle w:val="10"/>
              <w:keepNext w:val="0"/>
              <w:keepLines w:val="0"/>
              <w:pageBreakBefore w:val="0"/>
              <w:widowControl/>
              <w:kinsoku/>
              <w:wordWrap/>
              <w:overflowPunct/>
              <w:topLinePunct w:val="0"/>
              <w:autoSpaceDE/>
              <w:autoSpaceDN/>
              <w:bidi w:val="0"/>
              <w:adjustRightInd w:val="0"/>
              <w:snapToGrid w:val="0"/>
              <w:ind w:firstLine="0" w:firstLineChars="0"/>
              <w:textAlignment w:val="auto"/>
              <w:rPr>
                <w:rFonts w:hint="eastAsia"/>
                <w:b/>
                <w:bCs/>
                <w:color w:val="auto"/>
                <w:sz w:val="24"/>
                <w:szCs w:val="24"/>
                <w:highlight w:val="none"/>
              </w:rPr>
            </w:pPr>
            <w:r>
              <w:rPr>
                <w:rFonts w:hint="eastAsia"/>
                <w:b/>
                <w:bCs/>
                <w:color w:val="auto"/>
                <w:sz w:val="24"/>
                <w:szCs w:val="24"/>
                <w:highlight w:val="none"/>
              </w:rPr>
              <w:t>物排</w:t>
            </w:r>
          </w:p>
          <w:p w14:paraId="4A8C48A9">
            <w:pPr>
              <w:pStyle w:val="10"/>
              <w:keepNext w:val="0"/>
              <w:keepLines w:val="0"/>
              <w:pageBreakBefore w:val="0"/>
              <w:widowControl/>
              <w:kinsoku/>
              <w:wordWrap/>
              <w:overflowPunct/>
              <w:topLinePunct w:val="0"/>
              <w:autoSpaceDE/>
              <w:autoSpaceDN/>
              <w:bidi w:val="0"/>
              <w:adjustRightInd w:val="0"/>
              <w:snapToGrid w:val="0"/>
              <w:ind w:firstLine="0" w:firstLineChars="0"/>
              <w:textAlignment w:val="auto"/>
              <w:rPr>
                <w:rFonts w:hint="eastAsia"/>
                <w:b/>
                <w:bCs/>
                <w:color w:val="auto"/>
                <w:sz w:val="24"/>
                <w:szCs w:val="24"/>
                <w:highlight w:val="none"/>
              </w:rPr>
            </w:pPr>
            <w:r>
              <w:rPr>
                <w:rFonts w:hint="eastAsia"/>
                <w:b/>
                <w:bCs/>
                <w:color w:val="auto"/>
                <w:sz w:val="24"/>
                <w:szCs w:val="24"/>
                <w:highlight w:val="none"/>
              </w:rPr>
              <w:t>放控</w:t>
            </w:r>
          </w:p>
          <w:p w14:paraId="78EF91D2">
            <w:pPr>
              <w:pStyle w:val="10"/>
              <w:keepNext w:val="0"/>
              <w:keepLines w:val="0"/>
              <w:pageBreakBefore w:val="0"/>
              <w:widowControl/>
              <w:kinsoku/>
              <w:wordWrap/>
              <w:overflowPunct/>
              <w:topLinePunct w:val="0"/>
              <w:autoSpaceDE/>
              <w:autoSpaceDN/>
              <w:bidi w:val="0"/>
              <w:adjustRightInd w:val="0"/>
              <w:snapToGrid w:val="0"/>
              <w:ind w:firstLine="0" w:firstLineChars="0"/>
              <w:textAlignment w:val="auto"/>
              <w:rPr>
                <w:rFonts w:hint="eastAsia"/>
                <w:b/>
                <w:bCs/>
                <w:color w:val="auto"/>
                <w:sz w:val="24"/>
                <w:szCs w:val="24"/>
                <w:highlight w:val="none"/>
              </w:rPr>
            </w:pPr>
            <w:r>
              <w:rPr>
                <w:rFonts w:hint="eastAsia"/>
                <w:b/>
                <w:bCs/>
                <w:color w:val="auto"/>
                <w:sz w:val="24"/>
                <w:szCs w:val="24"/>
                <w:highlight w:val="none"/>
              </w:rPr>
              <w:t>制标</w:t>
            </w:r>
          </w:p>
          <w:p w14:paraId="3CC23828">
            <w:pPr>
              <w:pStyle w:val="10"/>
              <w:keepNext w:val="0"/>
              <w:keepLines w:val="0"/>
              <w:pageBreakBefore w:val="0"/>
              <w:widowControl/>
              <w:kinsoku/>
              <w:wordWrap/>
              <w:overflowPunct/>
              <w:topLinePunct w:val="0"/>
              <w:autoSpaceDE/>
              <w:autoSpaceDN/>
              <w:bidi w:val="0"/>
              <w:adjustRightInd w:val="0"/>
              <w:snapToGrid w:val="0"/>
              <w:ind w:firstLine="0" w:firstLineChars="0"/>
              <w:textAlignment w:val="auto"/>
              <w:rPr>
                <w:b/>
                <w:bCs/>
                <w:color w:val="auto"/>
                <w:sz w:val="24"/>
                <w:szCs w:val="24"/>
                <w:highlight w:val="none"/>
              </w:rPr>
            </w:pPr>
            <w:r>
              <w:rPr>
                <w:rFonts w:hint="eastAsia"/>
                <w:b/>
                <w:bCs/>
                <w:color w:val="auto"/>
                <w:sz w:val="24"/>
                <w:szCs w:val="24"/>
                <w:highlight w:val="none"/>
              </w:rPr>
              <w:t>准</w:t>
            </w:r>
          </w:p>
        </w:tc>
        <w:tc>
          <w:tcPr>
            <w:tcW w:w="8505" w:type="dxa"/>
            <w:noWrap w:val="0"/>
            <w:vAlign w:val="top"/>
          </w:tcPr>
          <w:p w14:paraId="59824F68">
            <w:pPr>
              <w:bidi w:val="0"/>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lang w:val="en-US" w:eastAsia="zh-CN"/>
              </w:rPr>
              <w:t>废气排放控制标准</w:t>
            </w:r>
          </w:p>
          <w:p w14:paraId="19D3A9B5">
            <w:pPr>
              <w:bidi w:val="0"/>
              <w:rPr>
                <w:rFonts w:hint="default"/>
                <w:color w:val="auto"/>
                <w:highlight w:val="yellow"/>
              </w:rPr>
            </w:pPr>
            <w:r>
              <w:rPr>
                <w:rFonts w:hint="default"/>
                <w:color w:val="auto"/>
                <w:highlight w:val="none"/>
                <w:lang w:eastAsia="zh-CN"/>
              </w:rPr>
              <w:t>本项目非甲烷总烃</w:t>
            </w:r>
            <w:r>
              <w:rPr>
                <w:rFonts w:hint="eastAsia"/>
                <w:color w:val="auto"/>
                <w:highlight w:val="none"/>
                <w:lang w:val="en-US" w:eastAsia="zh-CN"/>
              </w:rPr>
              <w:t>和氯乙烯有组织</w:t>
            </w:r>
            <w:r>
              <w:rPr>
                <w:rFonts w:hint="default"/>
                <w:color w:val="auto"/>
                <w:highlight w:val="none"/>
                <w:lang w:eastAsia="zh-CN"/>
              </w:rPr>
              <w:t>排放</w:t>
            </w:r>
            <w:r>
              <w:rPr>
                <w:rFonts w:hint="eastAsia"/>
                <w:color w:val="auto"/>
                <w:highlight w:val="none"/>
                <w:lang w:eastAsia="zh-CN"/>
              </w:rPr>
              <w:t>、</w:t>
            </w:r>
            <w:r>
              <w:rPr>
                <w:rFonts w:hint="eastAsia"/>
                <w:color w:val="auto"/>
                <w:highlight w:val="none"/>
                <w:lang w:val="en-US" w:eastAsia="zh-CN"/>
              </w:rPr>
              <w:t>非甲烷总烃厂区内无组织和氯乙烯厂界无组织排放</w:t>
            </w:r>
            <w:r>
              <w:rPr>
                <w:rFonts w:hint="default"/>
                <w:color w:val="auto"/>
                <w:highlight w:val="none"/>
                <w:lang w:eastAsia="zh-CN"/>
              </w:rPr>
              <w:t>执行</w:t>
            </w:r>
            <w:r>
              <w:rPr>
                <w:rFonts w:hint="eastAsia"/>
                <w:color w:val="auto"/>
                <w:highlight w:val="none"/>
                <w:lang w:val="en-US" w:eastAsia="zh-CN"/>
              </w:rPr>
              <w:t>安徽省地方标准《固定源挥发性有机物综合排放标准 第6部分：其他行业》（DB 34/4812.6-2024）中限值要求，氯化氢有组织排放和厂界无组织排放执行</w:t>
            </w:r>
            <w:r>
              <w:rPr>
                <w:rFonts w:hint="eastAsia"/>
                <w:color w:val="auto"/>
                <w:sz w:val="24"/>
                <w:highlight w:val="none"/>
                <w:lang w:val="en-US" w:eastAsia="zh-CN"/>
              </w:rPr>
              <w:t>《大气污染物综合排放标准》（GB16297—1996）表2中排放限值要求；</w:t>
            </w:r>
            <w:r>
              <w:rPr>
                <w:rFonts w:hint="eastAsia"/>
                <w:color w:val="auto"/>
                <w:highlight w:val="none"/>
                <w:lang w:val="en-US" w:eastAsia="zh-CN"/>
              </w:rPr>
              <w:t>项目颗粒物有组织排放执行</w:t>
            </w:r>
            <w:r>
              <w:rPr>
                <w:rFonts w:hint="eastAsia"/>
                <w:color w:val="auto"/>
                <w:sz w:val="24"/>
                <w:highlight w:val="none"/>
                <w:lang w:val="en-US" w:eastAsia="zh-CN"/>
              </w:rPr>
              <w:t>《大气污染物综合排放标准》（GB16297—1996）表2中排放限值要求；</w:t>
            </w:r>
            <w:r>
              <w:rPr>
                <w:rFonts w:hint="eastAsia"/>
                <w:color w:val="auto"/>
                <w:highlight w:val="none"/>
                <w:lang w:val="en-US" w:eastAsia="zh-CN"/>
              </w:rPr>
              <w:t>非甲烷总烃、颗粒物、氯乙烯厂界无组织排放执行</w:t>
            </w:r>
            <w:r>
              <w:rPr>
                <w:rFonts w:hint="eastAsia"/>
                <w:color w:val="auto"/>
                <w:sz w:val="24"/>
                <w:highlight w:val="none"/>
                <w:lang w:val="en-US" w:eastAsia="zh-CN"/>
              </w:rPr>
              <w:t>《大气污染物综合排放标准》（GB16297—1996）表2中排放限值要求；臭气浓度有组织和无组织排放执行《恶臭污染物排放标准》（GB 14554-93）中限值要求。</w:t>
            </w:r>
            <w:r>
              <w:rPr>
                <w:rFonts w:hint="default"/>
                <w:color w:val="auto"/>
                <w:highlight w:val="none"/>
              </w:rPr>
              <w:t>具体</w:t>
            </w:r>
            <w:r>
              <w:rPr>
                <w:rFonts w:hint="eastAsia"/>
                <w:color w:val="auto"/>
                <w:highlight w:val="none"/>
                <w:lang w:val="en-US" w:eastAsia="zh-CN"/>
              </w:rPr>
              <w:t>标准</w:t>
            </w:r>
            <w:r>
              <w:rPr>
                <w:rFonts w:hint="default"/>
                <w:color w:val="auto"/>
                <w:highlight w:val="none"/>
              </w:rPr>
              <w:t>见</w:t>
            </w:r>
            <w:r>
              <w:rPr>
                <w:rFonts w:hint="eastAsia"/>
                <w:color w:val="auto"/>
                <w:highlight w:val="none"/>
                <w:lang w:val="en-US" w:eastAsia="zh-CN"/>
              </w:rPr>
              <w:t>下</w:t>
            </w:r>
            <w:r>
              <w:rPr>
                <w:rFonts w:hint="default"/>
                <w:color w:val="auto"/>
                <w:highlight w:val="none"/>
              </w:rPr>
              <w:t>表。</w:t>
            </w:r>
          </w:p>
          <w:p w14:paraId="10B311CF">
            <w:pPr>
              <w:pStyle w:val="5"/>
              <w:bidi w:val="0"/>
              <w:rPr>
                <w:color w:val="auto"/>
                <w:highlight w:val="none"/>
              </w:rPr>
            </w:pPr>
            <w:r>
              <w:rPr>
                <w:rFonts w:hint="default"/>
                <w:color w:val="auto"/>
                <w:highlight w:val="none"/>
              </w:rPr>
              <w:t>表3-</w:t>
            </w:r>
            <w:r>
              <w:rPr>
                <w:rFonts w:hint="eastAsia"/>
                <w:color w:val="auto"/>
                <w:highlight w:val="none"/>
                <w:lang w:val="en-US" w:eastAsia="zh-CN"/>
              </w:rPr>
              <w:t>5 废气</w:t>
            </w:r>
            <w:r>
              <w:rPr>
                <w:rFonts w:hint="default"/>
                <w:color w:val="auto"/>
                <w:highlight w:val="none"/>
              </w:rPr>
              <w:t>排放标准</w:t>
            </w:r>
          </w:p>
          <w:tbl>
            <w:tblPr>
              <w:tblStyle w:val="6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9"/>
              <w:gridCol w:w="790"/>
              <w:gridCol w:w="1020"/>
              <w:gridCol w:w="1978"/>
              <w:gridCol w:w="3712"/>
            </w:tblGrid>
            <w:tr w14:paraId="54135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470" w:type="pct"/>
                  <w:tcBorders>
                    <w:tl2br w:val="nil"/>
                    <w:tr2bl w:val="nil"/>
                  </w:tcBorders>
                  <w:noWrap w:val="0"/>
                  <w:vAlign w:val="center"/>
                </w:tcPr>
                <w:p w14:paraId="7485D416">
                  <w:pPr>
                    <w:pStyle w:val="10"/>
                    <w:bidi w:val="0"/>
                    <w:rPr>
                      <w:rFonts w:hint="eastAsia" w:eastAsia="宋体"/>
                      <w:b/>
                      <w:bCs/>
                      <w:color w:val="auto"/>
                      <w:highlight w:val="none"/>
                      <w:lang w:eastAsia="zh-CN"/>
                    </w:rPr>
                  </w:pPr>
                  <w:r>
                    <w:rPr>
                      <w:rFonts w:hint="eastAsia"/>
                      <w:b/>
                      <w:bCs/>
                      <w:color w:val="auto"/>
                      <w:highlight w:val="none"/>
                      <w:lang w:val="en-US" w:eastAsia="zh-CN"/>
                    </w:rPr>
                    <w:t>排放源</w:t>
                  </w:r>
                </w:p>
              </w:tc>
              <w:tc>
                <w:tcPr>
                  <w:tcW w:w="1093" w:type="pct"/>
                  <w:gridSpan w:val="2"/>
                  <w:tcBorders>
                    <w:tl2br w:val="nil"/>
                    <w:tr2bl w:val="nil"/>
                  </w:tcBorders>
                  <w:noWrap w:val="0"/>
                  <w:vAlign w:val="center"/>
                </w:tcPr>
                <w:p w14:paraId="1810F725">
                  <w:pPr>
                    <w:pStyle w:val="10"/>
                    <w:bidi w:val="0"/>
                    <w:rPr>
                      <w:rFonts w:hint="eastAsia" w:eastAsia="宋体"/>
                      <w:b/>
                      <w:bCs/>
                      <w:color w:val="auto"/>
                      <w:highlight w:val="none"/>
                      <w:lang w:eastAsia="zh-CN"/>
                    </w:rPr>
                  </w:pPr>
                  <w:r>
                    <w:rPr>
                      <w:rFonts w:hint="eastAsia"/>
                      <w:b/>
                      <w:bCs/>
                      <w:color w:val="auto"/>
                      <w:highlight w:val="none"/>
                      <w:lang w:val="en-US" w:eastAsia="zh-CN"/>
                    </w:rPr>
                    <w:t>污染物</w:t>
                  </w:r>
                </w:p>
              </w:tc>
              <w:tc>
                <w:tcPr>
                  <w:tcW w:w="1194" w:type="pct"/>
                  <w:tcBorders>
                    <w:tl2br w:val="nil"/>
                    <w:tr2bl w:val="nil"/>
                  </w:tcBorders>
                  <w:noWrap w:val="0"/>
                  <w:vAlign w:val="center"/>
                </w:tcPr>
                <w:p w14:paraId="49C90C7B">
                  <w:pPr>
                    <w:pStyle w:val="10"/>
                    <w:bidi w:val="0"/>
                    <w:rPr>
                      <w:rFonts w:hint="default" w:eastAsia="宋体"/>
                      <w:b/>
                      <w:bCs/>
                      <w:color w:val="auto"/>
                      <w:highlight w:val="none"/>
                      <w:lang w:val="en-US" w:eastAsia="zh-CN"/>
                    </w:rPr>
                  </w:pPr>
                  <w:r>
                    <w:rPr>
                      <w:rFonts w:hint="eastAsia"/>
                      <w:b/>
                      <w:bCs/>
                      <w:color w:val="auto"/>
                      <w:highlight w:val="none"/>
                      <w:lang w:val="en-US" w:eastAsia="zh-CN"/>
                    </w:rPr>
                    <w:t>标准限值（</w:t>
                  </w:r>
                  <w:r>
                    <w:rPr>
                      <w:rFonts w:hint="eastAsia"/>
                      <w:color w:val="auto"/>
                      <w:highlight w:val="none"/>
                      <w:lang w:val="en-US" w:eastAsia="zh-CN"/>
                    </w:rPr>
                    <w:t>mg/m</w:t>
                  </w:r>
                  <w:r>
                    <w:rPr>
                      <w:rFonts w:hint="eastAsia"/>
                      <w:color w:val="auto"/>
                      <w:highlight w:val="none"/>
                      <w:vertAlign w:val="superscript"/>
                      <w:lang w:val="en-US" w:eastAsia="zh-CN"/>
                    </w:rPr>
                    <w:t>3</w:t>
                  </w:r>
                  <w:r>
                    <w:rPr>
                      <w:rFonts w:hint="eastAsia"/>
                      <w:b/>
                      <w:bCs/>
                      <w:color w:val="auto"/>
                      <w:highlight w:val="none"/>
                      <w:lang w:val="en-US" w:eastAsia="zh-CN"/>
                    </w:rPr>
                    <w:t>）</w:t>
                  </w:r>
                </w:p>
              </w:tc>
              <w:tc>
                <w:tcPr>
                  <w:tcW w:w="2241" w:type="pct"/>
                  <w:tcBorders>
                    <w:tl2br w:val="nil"/>
                    <w:tr2bl w:val="nil"/>
                  </w:tcBorders>
                  <w:noWrap w:val="0"/>
                  <w:vAlign w:val="center"/>
                </w:tcPr>
                <w:p w14:paraId="5CC89171">
                  <w:pPr>
                    <w:pStyle w:val="10"/>
                    <w:bidi w:val="0"/>
                    <w:rPr>
                      <w:rFonts w:hint="default"/>
                      <w:b/>
                      <w:bCs/>
                      <w:color w:val="auto"/>
                      <w:highlight w:val="none"/>
                    </w:rPr>
                  </w:pPr>
                  <w:r>
                    <w:rPr>
                      <w:rFonts w:hint="default"/>
                      <w:b/>
                      <w:bCs/>
                      <w:color w:val="auto"/>
                      <w:highlight w:val="none"/>
                    </w:rPr>
                    <w:t>标准来源</w:t>
                  </w:r>
                </w:p>
              </w:tc>
            </w:tr>
            <w:tr w14:paraId="4306E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470" w:type="pct"/>
                  <w:vMerge w:val="restart"/>
                  <w:tcBorders>
                    <w:tl2br w:val="nil"/>
                    <w:tr2bl w:val="nil"/>
                  </w:tcBorders>
                  <w:noWrap w:val="0"/>
                  <w:vAlign w:val="center"/>
                </w:tcPr>
                <w:p w14:paraId="3EFD86B1">
                  <w:pPr>
                    <w:pStyle w:val="10"/>
                    <w:bidi w:val="0"/>
                    <w:rPr>
                      <w:rFonts w:hint="default" w:eastAsia="宋体"/>
                      <w:color w:val="auto"/>
                      <w:highlight w:val="none"/>
                      <w:lang w:val="en-US" w:eastAsia="zh-CN"/>
                    </w:rPr>
                  </w:pPr>
                  <w:r>
                    <w:rPr>
                      <w:rFonts w:hint="eastAsia"/>
                      <w:color w:val="auto"/>
                      <w:highlight w:val="none"/>
                      <w:lang w:val="en-US" w:eastAsia="zh-CN"/>
                    </w:rPr>
                    <w:t>有组织废气</w:t>
                  </w:r>
                </w:p>
              </w:tc>
              <w:tc>
                <w:tcPr>
                  <w:tcW w:w="1093" w:type="pct"/>
                  <w:gridSpan w:val="2"/>
                  <w:tcBorders>
                    <w:tl2br w:val="nil"/>
                    <w:tr2bl w:val="nil"/>
                  </w:tcBorders>
                  <w:noWrap w:val="0"/>
                  <w:vAlign w:val="center"/>
                </w:tcPr>
                <w:p w14:paraId="5DEF9283">
                  <w:pPr>
                    <w:pStyle w:val="10"/>
                    <w:bidi w:val="0"/>
                    <w:rPr>
                      <w:rFonts w:hint="default"/>
                      <w:color w:val="auto"/>
                      <w:highlight w:val="none"/>
                      <w:lang w:val="en-US" w:eastAsia="zh-CN"/>
                    </w:rPr>
                  </w:pPr>
                  <w:r>
                    <w:rPr>
                      <w:rFonts w:hint="eastAsia"/>
                      <w:color w:val="auto"/>
                      <w:highlight w:val="none"/>
                      <w:lang w:val="en-US" w:eastAsia="zh-CN"/>
                    </w:rPr>
                    <w:t>非甲烷总烃</w:t>
                  </w:r>
                </w:p>
              </w:tc>
              <w:tc>
                <w:tcPr>
                  <w:tcW w:w="1194" w:type="pct"/>
                  <w:tcBorders>
                    <w:tl2br w:val="nil"/>
                    <w:tr2bl w:val="nil"/>
                  </w:tcBorders>
                  <w:noWrap w:val="0"/>
                  <w:vAlign w:val="center"/>
                </w:tcPr>
                <w:p w14:paraId="69AB6F2B">
                  <w:pPr>
                    <w:pStyle w:val="10"/>
                    <w:bidi w:val="0"/>
                    <w:rPr>
                      <w:rFonts w:hint="default"/>
                      <w:color w:val="auto"/>
                      <w:highlight w:val="none"/>
                      <w:lang w:val="en-US" w:eastAsia="zh-CN"/>
                    </w:rPr>
                  </w:pPr>
                  <w:r>
                    <w:rPr>
                      <w:rFonts w:hint="eastAsia"/>
                      <w:color w:val="auto"/>
                      <w:highlight w:val="none"/>
                      <w:lang w:val="en-US" w:eastAsia="zh-CN"/>
                    </w:rPr>
                    <w:t>40</w:t>
                  </w:r>
                </w:p>
              </w:tc>
              <w:tc>
                <w:tcPr>
                  <w:tcW w:w="2241" w:type="pct"/>
                  <w:tcBorders>
                    <w:tl2br w:val="nil"/>
                    <w:tr2bl w:val="nil"/>
                  </w:tcBorders>
                  <w:noWrap w:val="0"/>
                  <w:vAlign w:val="center"/>
                </w:tcPr>
                <w:p w14:paraId="25387E71">
                  <w:pPr>
                    <w:pStyle w:val="10"/>
                    <w:bidi w:val="0"/>
                    <w:rPr>
                      <w:rFonts w:hint="default"/>
                      <w:color w:val="auto"/>
                      <w:highlight w:val="none"/>
                      <w:lang w:val="en-US"/>
                    </w:rPr>
                  </w:pPr>
                  <w:r>
                    <w:rPr>
                      <w:rFonts w:hint="eastAsia"/>
                      <w:color w:val="auto"/>
                      <w:highlight w:val="none"/>
                      <w:lang w:val="en-US" w:eastAsia="zh-CN"/>
                    </w:rPr>
                    <w:t>《固定源挥发性有机物综合排放标准 第6部分：其他行业》（DB 34/4812.6-2024）表1</w:t>
                  </w:r>
                </w:p>
              </w:tc>
            </w:tr>
            <w:tr w14:paraId="40C12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470" w:type="pct"/>
                  <w:vMerge w:val="continue"/>
                  <w:tcBorders>
                    <w:tl2br w:val="nil"/>
                    <w:tr2bl w:val="nil"/>
                  </w:tcBorders>
                  <w:noWrap w:val="0"/>
                  <w:vAlign w:val="center"/>
                </w:tcPr>
                <w:p w14:paraId="52F66B7C">
                  <w:pPr>
                    <w:pStyle w:val="10"/>
                    <w:bidi w:val="0"/>
                    <w:rPr>
                      <w:rFonts w:hint="eastAsia"/>
                      <w:color w:val="auto"/>
                      <w:highlight w:val="none"/>
                      <w:lang w:val="en-US" w:eastAsia="zh-CN"/>
                    </w:rPr>
                  </w:pPr>
                </w:p>
              </w:tc>
              <w:tc>
                <w:tcPr>
                  <w:tcW w:w="1093" w:type="pct"/>
                  <w:gridSpan w:val="2"/>
                  <w:tcBorders>
                    <w:tl2br w:val="nil"/>
                    <w:tr2bl w:val="nil"/>
                  </w:tcBorders>
                  <w:noWrap w:val="0"/>
                  <w:vAlign w:val="center"/>
                </w:tcPr>
                <w:p w14:paraId="3926CFF9">
                  <w:pPr>
                    <w:pStyle w:val="10"/>
                    <w:bidi w:val="0"/>
                    <w:rPr>
                      <w:rFonts w:hint="default"/>
                      <w:color w:val="auto"/>
                      <w:highlight w:val="none"/>
                      <w:lang w:val="en-US" w:eastAsia="zh-CN"/>
                    </w:rPr>
                  </w:pPr>
                  <w:r>
                    <w:rPr>
                      <w:rFonts w:hint="eastAsia"/>
                      <w:color w:val="auto"/>
                      <w:highlight w:val="none"/>
                      <w:lang w:val="en-US" w:eastAsia="zh-CN"/>
                    </w:rPr>
                    <w:t>颗粒物</w:t>
                  </w:r>
                </w:p>
              </w:tc>
              <w:tc>
                <w:tcPr>
                  <w:tcW w:w="1194" w:type="pct"/>
                  <w:tcBorders>
                    <w:tl2br w:val="nil"/>
                    <w:tr2bl w:val="nil"/>
                  </w:tcBorders>
                  <w:noWrap w:val="0"/>
                  <w:vAlign w:val="center"/>
                </w:tcPr>
                <w:p w14:paraId="50ADFCD9">
                  <w:pPr>
                    <w:pStyle w:val="10"/>
                    <w:bidi w:val="0"/>
                    <w:rPr>
                      <w:rFonts w:hint="default"/>
                      <w:color w:val="auto"/>
                      <w:highlight w:val="none"/>
                      <w:lang w:val="en-US" w:eastAsia="zh-CN"/>
                    </w:rPr>
                  </w:pPr>
                  <w:r>
                    <w:rPr>
                      <w:rFonts w:hint="eastAsia"/>
                      <w:color w:val="auto"/>
                      <w:highlight w:val="none"/>
                      <w:lang w:val="en-US" w:eastAsia="zh-CN"/>
                    </w:rPr>
                    <w:t>120</w:t>
                  </w:r>
                </w:p>
              </w:tc>
              <w:tc>
                <w:tcPr>
                  <w:tcW w:w="2241" w:type="pct"/>
                  <w:tcBorders>
                    <w:tl2br w:val="nil"/>
                    <w:tr2bl w:val="nil"/>
                  </w:tcBorders>
                  <w:noWrap w:val="0"/>
                  <w:vAlign w:val="center"/>
                </w:tcPr>
                <w:p w14:paraId="0D840CF9">
                  <w:pPr>
                    <w:pStyle w:val="10"/>
                    <w:bidi w:val="0"/>
                    <w:rPr>
                      <w:rFonts w:hint="eastAsia"/>
                      <w:color w:val="auto"/>
                      <w:highlight w:val="none"/>
                      <w:lang w:val="en-US" w:eastAsia="zh-CN"/>
                    </w:rPr>
                  </w:pPr>
                  <w:r>
                    <w:rPr>
                      <w:rFonts w:hint="default"/>
                      <w:color w:val="auto"/>
                      <w:highlight w:val="none"/>
                    </w:rPr>
                    <w:t>《大气污染物综合排放标准》（GB16297-1996）</w:t>
                  </w:r>
                  <w:r>
                    <w:rPr>
                      <w:rFonts w:hint="eastAsia"/>
                      <w:color w:val="auto"/>
                      <w:highlight w:val="none"/>
                      <w:lang w:val="en-US" w:eastAsia="zh-CN"/>
                    </w:rPr>
                    <w:t>表2</w:t>
                  </w:r>
                </w:p>
              </w:tc>
            </w:tr>
            <w:tr w14:paraId="2DFA5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470" w:type="pct"/>
                  <w:vMerge w:val="continue"/>
                  <w:tcBorders>
                    <w:tl2br w:val="nil"/>
                    <w:tr2bl w:val="nil"/>
                  </w:tcBorders>
                  <w:noWrap w:val="0"/>
                  <w:vAlign w:val="center"/>
                </w:tcPr>
                <w:p w14:paraId="290175B1">
                  <w:pPr>
                    <w:pStyle w:val="10"/>
                    <w:bidi w:val="0"/>
                    <w:rPr>
                      <w:rFonts w:hint="eastAsia"/>
                      <w:color w:val="auto"/>
                      <w:highlight w:val="none"/>
                      <w:lang w:val="en-US" w:eastAsia="zh-CN"/>
                    </w:rPr>
                  </w:pPr>
                </w:p>
              </w:tc>
              <w:tc>
                <w:tcPr>
                  <w:tcW w:w="1093" w:type="pct"/>
                  <w:gridSpan w:val="2"/>
                  <w:tcBorders>
                    <w:tl2br w:val="nil"/>
                    <w:tr2bl w:val="nil"/>
                  </w:tcBorders>
                  <w:noWrap w:val="0"/>
                  <w:vAlign w:val="center"/>
                </w:tcPr>
                <w:p w14:paraId="22E0C721">
                  <w:pPr>
                    <w:pStyle w:val="10"/>
                    <w:bidi w:val="0"/>
                    <w:rPr>
                      <w:rFonts w:hint="default"/>
                      <w:color w:val="auto"/>
                      <w:highlight w:val="none"/>
                      <w:lang w:val="en-US" w:eastAsia="zh-CN"/>
                    </w:rPr>
                  </w:pPr>
                  <w:r>
                    <w:rPr>
                      <w:rFonts w:hint="eastAsia"/>
                      <w:color w:val="auto"/>
                      <w:highlight w:val="none"/>
                      <w:lang w:val="en-US" w:eastAsia="zh-CN"/>
                    </w:rPr>
                    <w:t>氯化氢</w:t>
                  </w:r>
                </w:p>
              </w:tc>
              <w:tc>
                <w:tcPr>
                  <w:tcW w:w="1194" w:type="pct"/>
                  <w:tcBorders>
                    <w:tl2br w:val="nil"/>
                    <w:tr2bl w:val="nil"/>
                  </w:tcBorders>
                  <w:noWrap w:val="0"/>
                  <w:vAlign w:val="center"/>
                </w:tcPr>
                <w:p w14:paraId="77E51E73">
                  <w:pPr>
                    <w:pStyle w:val="10"/>
                    <w:bidi w:val="0"/>
                    <w:rPr>
                      <w:rFonts w:hint="eastAsia"/>
                      <w:color w:val="auto"/>
                      <w:highlight w:val="none"/>
                      <w:lang w:val="en-US" w:eastAsia="zh-CN"/>
                    </w:rPr>
                  </w:pPr>
                  <w:r>
                    <w:rPr>
                      <w:rFonts w:hint="eastAsia"/>
                      <w:color w:val="auto"/>
                      <w:highlight w:val="none"/>
                      <w:lang w:val="en-US" w:eastAsia="zh-CN"/>
                    </w:rPr>
                    <w:t>100</w:t>
                  </w:r>
                </w:p>
              </w:tc>
              <w:tc>
                <w:tcPr>
                  <w:tcW w:w="2241" w:type="pct"/>
                  <w:tcBorders>
                    <w:tl2br w:val="nil"/>
                    <w:tr2bl w:val="nil"/>
                  </w:tcBorders>
                  <w:noWrap w:val="0"/>
                  <w:vAlign w:val="center"/>
                </w:tcPr>
                <w:p w14:paraId="0C7F66B9">
                  <w:pPr>
                    <w:pStyle w:val="10"/>
                    <w:bidi w:val="0"/>
                    <w:rPr>
                      <w:rFonts w:hint="default"/>
                      <w:color w:val="auto"/>
                      <w:highlight w:val="none"/>
                    </w:rPr>
                  </w:pPr>
                  <w:r>
                    <w:rPr>
                      <w:rFonts w:hint="default"/>
                      <w:color w:val="auto"/>
                      <w:highlight w:val="none"/>
                    </w:rPr>
                    <w:t>《大气污染物综合排放标准》（GB16297-1996）</w:t>
                  </w:r>
                  <w:r>
                    <w:rPr>
                      <w:rFonts w:hint="eastAsia"/>
                      <w:color w:val="auto"/>
                      <w:highlight w:val="none"/>
                      <w:lang w:val="en-US" w:eastAsia="zh-CN"/>
                    </w:rPr>
                    <w:t>表2</w:t>
                  </w:r>
                </w:p>
              </w:tc>
            </w:tr>
            <w:tr w14:paraId="7DE91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470" w:type="pct"/>
                  <w:vMerge w:val="continue"/>
                  <w:tcBorders>
                    <w:tl2br w:val="nil"/>
                    <w:tr2bl w:val="nil"/>
                  </w:tcBorders>
                  <w:noWrap w:val="0"/>
                  <w:vAlign w:val="center"/>
                </w:tcPr>
                <w:p w14:paraId="7EC39BDF">
                  <w:pPr>
                    <w:pStyle w:val="10"/>
                    <w:bidi w:val="0"/>
                    <w:rPr>
                      <w:rFonts w:hint="eastAsia"/>
                      <w:color w:val="auto"/>
                      <w:highlight w:val="none"/>
                      <w:lang w:val="en-US" w:eastAsia="zh-CN"/>
                    </w:rPr>
                  </w:pPr>
                </w:p>
              </w:tc>
              <w:tc>
                <w:tcPr>
                  <w:tcW w:w="1093" w:type="pct"/>
                  <w:gridSpan w:val="2"/>
                  <w:tcBorders>
                    <w:tl2br w:val="nil"/>
                    <w:tr2bl w:val="nil"/>
                  </w:tcBorders>
                  <w:noWrap w:val="0"/>
                  <w:vAlign w:val="center"/>
                </w:tcPr>
                <w:p w14:paraId="113DAF9B">
                  <w:pPr>
                    <w:pStyle w:val="10"/>
                    <w:bidi w:val="0"/>
                    <w:rPr>
                      <w:rFonts w:hint="default"/>
                      <w:color w:val="auto"/>
                      <w:highlight w:val="none"/>
                      <w:lang w:val="en-US" w:eastAsia="zh-CN"/>
                    </w:rPr>
                  </w:pPr>
                  <w:r>
                    <w:rPr>
                      <w:rFonts w:hint="eastAsia"/>
                      <w:color w:val="auto"/>
                      <w:highlight w:val="none"/>
                      <w:lang w:val="en-US" w:eastAsia="zh-CN"/>
                    </w:rPr>
                    <w:t>氯乙烯</w:t>
                  </w:r>
                </w:p>
              </w:tc>
              <w:tc>
                <w:tcPr>
                  <w:tcW w:w="1194" w:type="pct"/>
                  <w:tcBorders>
                    <w:tl2br w:val="nil"/>
                    <w:tr2bl w:val="nil"/>
                  </w:tcBorders>
                  <w:noWrap w:val="0"/>
                  <w:vAlign w:val="center"/>
                </w:tcPr>
                <w:p w14:paraId="7E49D896">
                  <w:pPr>
                    <w:pStyle w:val="10"/>
                    <w:bidi w:val="0"/>
                    <w:rPr>
                      <w:rFonts w:hint="default"/>
                      <w:color w:val="auto"/>
                      <w:highlight w:val="none"/>
                      <w:lang w:val="en-US" w:eastAsia="zh-CN"/>
                    </w:rPr>
                  </w:pPr>
                  <w:r>
                    <w:rPr>
                      <w:rFonts w:hint="eastAsia"/>
                      <w:color w:val="auto"/>
                      <w:highlight w:val="none"/>
                      <w:lang w:val="en-US" w:eastAsia="zh-CN"/>
                    </w:rPr>
                    <w:t>5</w:t>
                  </w:r>
                </w:p>
              </w:tc>
              <w:tc>
                <w:tcPr>
                  <w:tcW w:w="2241" w:type="pct"/>
                  <w:tcBorders>
                    <w:tl2br w:val="nil"/>
                    <w:tr2bl w:val="nil"/>
                  </w:tcBorders>
                  <w:noWrap w:val="0"/>
                  <w:vAlign w:val="center"/>
                </w:tcPr>
                <w:p w14:paraId="20A1C09C">
                  <w:pPr>
                    <w:pStyle w:val="10"/>
                    <w:bidi w:val="0"/>
                    <w:rPr>
                      <w:rFonts w:hint="default"/>
                      <w:color w:val="auto"/>
                      <w:highlight w:val="none"/>
                    </w:rPr>
                  </w:pPr>
                  <w:r>
                    <w:rPr>
                      <w:rFonts w:hint="eastAsia"/>
                      <w:color w:val="auto"/>
                      <w:highlight w:val="none"/>
                      <w:lang w:val="en-US" w:eastAsia="zh-CN"/>
                    </w:rPr>
                    <w:t>《固定源挥发性有机物综合排放标准 第6部分：其他行业》（DB 34/4812.6-2024）表1</w:t>
                  </w:r>
                </w:p>
              </w:tc>
            </w:tr>
            <w:tr w14:paraId="4AF36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470" w:type="pct"/>
                  <w:vMerge w:val="continue"/>
                  <w:tcBorders>
                    <w:tl2br w:val="nil"/>
                    <w:tr2bl w:val="nil"/>
                  </w:tcBorders>
                  <w:noWrap w:val="0"/>
                  <w:vAlign w:val="center"/>
                </w:tcPr>
                <w:p w14:paraId="6D7BC571">
                  <w:pPr>
                    <w:pStyle w:val="10"/>
                    <w:bidi w:val="0"/>
                    <w:rPr>
                      <w:rFonts w:hint="eastAsia"/>
                      <w:color w:val="auto"/>
                      <w:highlight w:val="none"/>
                      <w:lang w:val="en-US" w:eastAsia="zh-CN"/>
                    </w:rPr>
                  </w:pPr>
                </w:p>
              </w:tc>
              <w:tc>
                <w:tcPr>
                  <w:tcW w:w="1093" w:type="pct"/>
                  <w:gridSpan w:val="2"/>
                  <w:tcBorders>
                    <w:tl2br w:val="nil"/>
                    <w:tr2bl w:val="nil"/>
                  </w:tcBorders>
                  <w:noWrap w:val="0"/>
                  <w:vAlign w:val="center"/>
                </w:tcPr>
                <w:p w14:paraId="4795E0ED">
                  <w:pPr>
                    <w:pStyle w:val="10"/>
                    <w:bidi w:val="0"/>
                    <w:rPr>
                      <w:rFonts w:hint="default"/>
                      <w:color w:val="auto"/>
                      <w:highlight w:val="none"/>
                      <w:lang w:val="en-US" w:eastAsia="zh-CN"/>
                    </w:rPr>
                  </w:pPr>
                  <w:r>
                    <w:rPr>
                      <w:rFonts w:hint="eastAsia"/>
                      <w:color w:val="auto"/>
                      <w:highlight w:val="none"/>
                      <w:lang w:val="en-US" w:eastAsia="zh-CN"/>
                    </w:rPr>
                    <w:t>臭气浓度</w:t>
                  </w:r>
                </w:p>
              </w:tc>
              <w:tc>
                <w:tcPr>
                  <w:tcW w:w="1194" w:type="pct"/>
                  <w:tcBorders>
                    <w:tl2br w:val="nil"/>
                    <w:tr2bl w:val="nil"/>
                  </w:tcBorders>
                  <w:noWrap w:val="0"/>
                  <w:vAlign w:val="center"/>
                </w:tcPr>
                <w:p w14:paraId="4AF40705">
                  <w:pPr>
                    <w:pStyle w:val="10"/>
                    <w:bidi w:val="0"/>
                    <w:rPr>
                      <w:rFonts w:hint="default"/>
                      <w:color w:val="auto"/>
                      <w:highlight w:val="none"/>
                      <w:lang w:val="en-US" w:eastAsia="zh-CN"/>
                    </w:rPr>
                  </w:pPr>
                  <w:r>
                    <w:rPr>
                      <w:rFonts w:hint="eastAsia"/>
                      <w:color w:val="auto"/>
                      <w:highlight w:val="none"/>
                      <w:lang w:val="en-US" w:eastAsia="zh-CN"/>
                    </w:rPr>
                    <w:t>2000（无量纲）</w:t>
                  </w:r>
                </w:p>
              </w:tc>
              <w:tc>
                <w:tcPr>
                  <w:tcW w:w="2241" w:type="pct"/>
                  <w:tcBorders>
                    <w:tl2br w:val="nil"/>
                    <w:tr2bl w:val="nil"/>
                  </w:tcBorders>
                  <w:noWrap w:val="0"/>
                  <w:vAlign w:val="center"/>
                </w:tcPr>
                <w:p w14:paraId="6F7C2782">
                  <w:pPr>
                    <w:pStyle w:val="10"/>
                    <w:bidi w:val="0"/>
                    <w:rPr>
                      <w:rFonts w:hint="default"/>
                      <w:color w:val="auto"/>
                      <w:highlight w:val="none"/>
                      <w:lang w:val="en-US" w:eastAsia="zh-CN"/>
                    </w:rPr>
                  </w:pPr>
                  <w:r>
                    <w:rPr>
                      <w:rFonts w:hint="eastAsia"/>
                      <w:color w:val="auto"/>
                      <w:highlight w:val="none"/>
                      <w:lang w:val="en-US" w:eastAsia="zh-CN"/>
                    </w:rPr>
                    <w:t>《恶臭污染物排放标准》（GB 14554-93）表2</w:t>
                  </w:r>
                </w:p>
              </w:tc>
            </w:tr>
            <w:tr w14:paraId="3FE7A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jc w:val="center"/>
              </w:trPr>
              <w:tc>
                <w:tcPr>
                  <w:tcW w:w="470" w:type="pct"/>
                  <w:vMerge w:val="restart"/>
                  <w:tcBorders>
                    <w:tl2br w:val="nil"/>
                    <w:tr2bl w:val="nil"/>
                  </w:tcBorders>
                  <w:noWrap w:val="0"/>
                  <w:vAlign w:val="center"/>
                </w:tcPr>
                <w:p w14:paraId="1FCE23C1">
                  <w:pPr>
                    <w:pStyle w:val="10"/>
                    <w:bidi w:val="0"/>
                    <w:rPr>
                      <w:rFonts w:hint="eastAsia" w:eastAsia="宋体"/>
                      <w:color w:val="auto"/>
                      <w:highlight w:val="none"/>
                      <w:lang w:val="en-US" w:eastAsia="zh-CN"/>
                    </w:rPr>
                  </w:pPr>
                  <w:r>
                    <w:rPr>
                      <w:rFonts w:hint="eastAsia"/>
                      <w:color w:val="auto"/>
                      <w:highlight w:val="none"/>
                      <w:lang w:val="en-US" w:eastAsia="zh-CN"/>
                    </w:rPr>
                    <w:t>无组织废气</w:t>
                  </w:r>
                </w:p>
              </w:tc>
              <w:tc>
                <w:tcPr>
                  <w:tcW w:w="477" w:type="pct"/>
                  <w:vMerge w:val="restart"/>
                  <w:tcBorders>
                    <w:tl2br w:val="nil"/>
                    <w:tr2bl w:val="nil"/>
                  </w:tcBorders>
                  <w:noWrap w:val="0"/>
                  <w:vAlign w:val="center"/>
                </w:tcPr>
                <w:p w14:paraId="326B1E49">
                  <w:pPr>
                    <w:pStyle w:val="10"/>
                    <w:bidi w:val="0"/>
                    <w:rPr>
                      <w:rFonts w:hint="default" w:eastAsia="宋体"/>
                      <w:color w:val="auto"/>
                      <w:highlight w:val="none"/>
                      <w:lang w:val="en-US" w:eastAsia="zh-CN"/>
                    </w:rPr>
                  </w:pPr>
                  <w:r>
                    <w:rPr>
                      <w:rFonts w:hint="eastAsia"/>
                      <w:color w:val="auto"/>
                      <w:highlight w:val="none"/>
                      <w:lang w:val="en-US" w:eastAsia="zh-CN"/>
                    </w:rPr>
                    <w:t>厂区</w:t>
                  </w:r>
                </w:p>
              </w:tc>
              <w:tc>
                <w:tcPr>
                  <w:tcW w:w="616" w:type="pct"/>
                  <w:vMerge w:val="restart"/>
                  <w:tcBorders>
                    <w:tl2br w:val="nil"/>
                    <w:tr2bl w:val="nil"/>
                  </w:tcBorders>
                  <w:noWrap w:val="0"/>
                  <w:vAlign w:val="center"/>
                </w:tcPr>
                <w:p w14:paraId="6A3A67BB">
                  <w:pPr>
                    <w:pStyle w:val="10"/>
                    <w:bidi w:val="0"/>
                    <w:rPr>
                      <w:rFonts w:hint="eastAsia"/>
                      <w:color w:val="auto"/>
                      <w:highlight w:val="none"/>
                      <w:lang w:val="en-US" w:eastAsia="zh-CN"/>
                    </w:rPr>
                  </w:pPr>
                  <w:r>
                    <w:rPr>
                      <w:rFonts w:hint="eastAsia"/>
                      <w:color w:val="auto"/>
                      <w:highlight w:val="none"/>
                      <w:lang w:val="en-US" w:eastAsia="zh-CN"/>
                    </w:rPr>
                    <w:t>非甲烷总烃</w:t>
                  </w:r>
                </w:p>
              </w:tc>
              <w:tc>
                <w:tcPr>
                  <w:tcW w:w="1194" w:type="pct"/>
                  <w:tcBorders>
                    <w:tl2br w:val="nil"/>
                    <w:tr2bl w:val="nil"/>
                  </w:tcBorders>
                  <w:noWrap w:val="0"/>
                  <w:vAlign w:val="center"/>
                </w:tcPr>
                <w:p w14:paraId="599679B1">
                  <w:pPr>
                    <w:pStyle w:val="10"/>
                    <w:bidi w:val="0"/>
                    <w:rPr>
                      <w:rFonts w:hint="default"/>
                      <w:color w:val="auto"/>
                      <w:highlight w:val="none"/>
                    </w:rPr>
                  </w:pPr>
                  <w:r>
                    <w:rPr>
                      <w:rFonts w:hint="eastAsia"/>
                      <w:color w:val="auto"/>
                      <w:highlight w:val="none"/>
                      <w:lang w:val="en-US" w:eastAsia="zh-CN"/>
                    </w:rPr>
                    <w:t>6（监控点处1 h平均浓度值）</w:t>
                  </w:r>
                </w:p>
              </w:tc>
              <w:tc>
                <w:tcPr>
                  <w:tcW w:w="2241" w:type="pct"/>
                  <w:vMerge w:val="restart"/>
                  <w:tcBorders>
                    <w:tl2br w:val="nil"/>
                    <w:tr2bl w:val="nil"/>
                  </w:tcBorders>
                  <w:noWrap w:val="0"/>
                  <w:vAlign w:val="center"/>
                </w:tcPr>
                <w:p w14:paraId="26FE7123">
                  <w:pPr>
                    <w:pStyle w:val="10"/>
                    <w:bidi w:val="0"/>
                    <w:rPr>
                      <w:rFonts w:hint="default"/>
                      <w:color w:val="auto"/>
                      <w:highlight w:val="none"/>
                      <w:lang w:val="en-US"/>
                    </w:rPr>
                  </w:pPr>
                  <w:r>
                    <w:rPr>
                      <w:rFonts w:hint="eastAsia"/>
                      <w:color w:val="auto"/>
                      <w:highlight w:val="none"/>
                      <w:lang w:val="en-US" w:eastAsia="zh-CN"/>
                    </w:rPr>
                    <w:t>《固定源挥发性有机物综合排放标准 第6部分：其他行业》（DB 34/4812.6-2024）表1</w:t>
                  </w:r>
                </w:p>
              </w:tc>
            </w:tr>
            <w:tr w14:paraId="0B3FC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jc w:val="center"/>
              </w:trPr>
              <w:tc>
                <w:tcPr>
                  <w:tcW w:w="470" w:type="pct"/>
                  <w:vMerge w:val="continue"/>
                  <w:tcBorders>
                    <w:tl2br w:val="nil"/>
                    <w:tr2bl w:val="nil"/>
                  </w:tcBorders>
                  <w:noWrap w:val="0"/>
                  <w:vAlign w:val="center"/>
                </w:tcPr>
                <w:p w14:paraId="0A41AD49">
                  <w:pPr>
                    <w:pStyle w:val="10"/>
                    <w:bidi w:val="0"/>
                    <w:rPr>
                      <w:color w:val="auto"/>
                    </w:rPr>
                  </w:pPr>
                </w:p>
              </w:tc>
              <w:tc>
                <w:tcPr>
                  <w:tcW w:w="477" w:type="pct"/>
                  <w:vMerge w:val="continue"/>
                  <w:tcBorders>
                    <w:tl2br w:val="nil"/>
                    <w:tr2bl w:val="nil"/>
                  </w:tcBorders>
                  <w:noWrap w:val="0"/>
                  <w:vAlign w:val="center"/>
                </w:tcPr>
                <w:p w14:paraId="5E19751C">
                  <w:pPr>
                    <w:pStyle w:val="10"/>
                    <w:bidi w:val="0"/>
                    <w:rPr>
                      <w:color w:val="auto"/>
                    </w:rPr>
                  </w:pPr>
                </w:p>
              </w:tc>
              <w:tc>
                <w:tcPr>
                  <w:tcW w:w="616" w:type="pct"/>
                  <w:vMerge w:val="continue"/>
                  <w:tcBorders>
                    <w:tl2br w:val="nil"/>
                    <w:tr2bl w:val="nil"/>
                  </w:tcBorders>
                  <w:noWrap w:val="0"/>
                  <w:vAlign w:val="center"/>
                </w:tcPr>
                <w:p w14:paraId="413711A5">
                  <w:pPr>
                    <w:pStyle w:val="10"/>
                    <w:bidi w:val="0"/>
                    <w:rPr>
                      <w:color w:val="auto"/>
                    </w:rPr>
                  </w:pPr>
                </w:p>
              </w:tc>
              <w:tc>
                <w:tcPr>
                  <w:tcW w:w="1194" w:type="pct"/>
                  <w:tcBorders>
                    <w:tl2br w:val="nil"/>
                    <w:tr2bl w:val="nil"/>
                  </w:tcBorders>
                  <w:noWrap w:val="0"/>
                  <w:vAlign w:val="center"/>
                </w:tcPr>
                <w:p w14:paraId="4EB58E2C">
                  <w:pPr>
                    <w:pStyle w:val="10"/>
                    <w:bidi w:val="0"/>
                    <w:rPr>
                      <w:rFonts w:hint="default"/>
                      <w:color w:val="auto"/>
                      <w:highlight w:val="none"/>
                      <w:lang w:val="en-US" w:eastAsia="zh-CN"/>
                    </w:rPr>
                  </w:pPr>
                  <w:r>
                    <w:rPr>
                      <w:rFonts w:hint="eastAsia"/>
                      <w:color w:val="auto"/>
                      <w:highlight w:val="none"/>
                      <w:lang w:val="en-US" w:eastAsia="zh-CN"/>
                    </w:rPr>
                    <w:t>20（监控点处任意一次浓度值）</w:t>
                  </w:r>
                </w:p>
              </w:tc>
              <w:tc>
                <w:tcPr>
                  <w:tcW w:w="2241" w:type="pct"/>
                  <w:vMerge w:val="continue"/>
                  <w:tcBorders>
                    <w:tl2br w:val="nil"/>
                    <w:tr2bl w:val="nil"/>
                  </w:tcBorders>
                  <w:noWrap w:val="0"/>
                  <w:vAlign w:val="center"/>
                </w:tcPr>
                <w:p w14:paraId="78891F6F">
                  <w:pPr>
                    <w:pStyle w:val="10"/>
                    <w:bidi w:val="0"/>
                    <w:rPr>
                      <w:rFonts w:hint="eastAsia"/>
                      <w:color w:val="auto"/>
                      <w:highlight w:val="none"/>
                      <w:lang w:val="en-US" w:eastAsia="zh-CN"/>
                    </w:rPr>
                  </w:pPr>
                </w:p>
              </w:tc>
            </w:tr>
            <w:tr w14:paraId="786E9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470" w:type="pct"/>
                  <w:vMerge w:val="continue"/>
                  <w:tcBorders>
                    <w:tl2br w:val="nil"/>
                    <w:tr2bl w:val="nil"/>
                  </w:tcBorders>
                  <w:noWrap w:val="0"/>
                  <w:vAlign w:val="center"/>
                </w:tcPr>
                <w:p w14:paraId="65F9591E">
                  <w:pPr>
                    <w:pStyle w:val="10"/>
                    <w:bidi w:val="0"/>
                    <w:rPr>
                      <w:rFonts w:hint="default"/>
                      <w:color w:val="auto"/>
                      <w:highlight w:val="none"/>
                    </w:rPr>
                  </w:pPr>
                </w:p>
              </w:tc>
              <w:tc>
                <w:tcPr>
                  <w:tcW w:w="477" w:type="pct"/>
                  <w:vMerge w:val="restart"/>
                  <w:tcBorders>
                    <w:tl2br w:val="nil"/>
                    <w:tr2bl w:val="nil"/>
                  </w:tcBorders>
                  <w:noWrap w:val="0"/>
                  <w:vAlign w:val="center"/>
                </w:tcPr>
                <w:p w14:paraId="0528A364">
                  <w:pPr>
                    <w:pStyle w:val="10"/>
                    <w:bidi w:val="0"/>
                    <w:ind w:right="0" w:rightChars="0" w:firstLine="0" w:firstLineChars="0"/>
                    <w:rPr>
                      <w:rFonts w:hint="default" w:eastAsia="宋体"/>
                      <w:color w:val="auto"/>
                      <w:highlight w:val="none"/>
                      <w:lang w:val="en-US" w:eastAsia="zh-CN"/>
                    </w:rPr>
                  </w:pPr>
                  <w:r>
                    <w:rPr>
                      <w:rFonts w:hint="eastAsia"/>
                      <w:color w:val="auto"/>
                      <w:highlight w:val="none"/>
                      <w:lang w:val="en-US" w:eastAsia="zh-CN"/>
                    </w:rPr>
                    <w:t>厂界</w:t>
                  </w:r>
                </w:p>
              </w:tc>
              <w:tc>
                <w:tcPr>
                  <w:tcW w:w="616" w:type="pct"/>
                  <w:tcBorders>
                    <w:tl2br w:val="nil"/>
                    <w:tr2bl w:val="nil"/>
                  </w:tcBorders>
                  <w:noWrap w:val="0"/>
                  <w:vAlign w:val="center"/>
                </w:tcPr>
                <w:p w14:paraId="60CFDFA8">
                  <w:pPr>
                    <w:pStyle w:val="10"/>
                    <w:bidi w:val="0"/>
                    <w:ind w:right="0" w:rightChars="0" w:firstLine="0" w:firstLineChars="0"/>
                    <w:rPr>
                      <w:rFonts w:hint="eastAsia"/>
                      <w:color w:val="auto"/>
                      <w:highlight w:val="none"/>
                      <w:lang w:val="en-US" w:eastAsia="zh-CN"/>
                    </w:rPr>
                  </w:pPr>
                  <w:r>
                    <w:rPr>
                      <w:rFonts w:hint="eastAsia"/>
                      <w:color w:val="auto"/>
                      <w:highlight w:val="none"/>
                      <w:lang w:val="en-US" w:eastAsia="zh-CN"/>
                    </w:rPr>
                    <w:t>非甲烷总烃</w:t>
                  </w:r>
                </w:p>
              </w:tc>
              <w:tc>
                <w:tcPr>
                  <w:tcW w:w="1194" w:type="pct"/>
                  <w:tcBorders>
                    <w:tl2br w:val="nil"/>
                    <w:tr2bl w:val="nil"/>
                  </w:tcBorders>
                  <w:noWrap w:val="0"/>
                  <w:vAlign w:val="center"/>
                </w:tcPr>
                <w:p w14:paraId="65B33171">
                  <w:pPr>
                    <w:pStyle w:val="10"/>
                    <w:bidi w:val="0"/>
                    <w:rPr>
                      <w:rFonts w:hint="default" w:eastAsia="宋体"/>
                      <w:color w:val="auto"/>
                      <w:highlight w:val="none"/>
                      <w:lang w:val="en-US" w:eastAsia="zh-CN"/>
                    </w:rPr>
                  </w:pPr>
                  <w:r>
                    <w:rPr>
                      <w:rFonts w:hint="eastAsia"/>
                      <w:color w:val="auto"/>
                      <w:highlight w:val="none"/>
                      <w:lang w:val="en-US" w:eastAsia="zh-CN"/>
                    </w:rPr>
                    <w:t>4.0</w:t>
                  </w:r>
                </w:p>
              </w:tc>
              <w:tc>
                <w:tcPr>
                  <w:tcW w:w="2241" w:type="pct"/>
                  <w:vMerge w:val="restart"/>
                  <w:tcBorders>
                    <w:tl2br w:val="nil"/>
                    <w:tr2bl w:val="nil"/>
                  </w:tcBorders>
                  <w:noWrap w:val="0"/>
                  <w:vAlign w:val="center"/>
                </w:tcPr>
                <w:p w14:paraId="24D58401">
                  <w:pPr>
                    <w:pStyle w:val="10"/>
                    <w:bidi w:val="0"/>
                    <w:rPr>
                      <w:rFonts w:hint="default" w:eastAsia="宋体"/>
                      <w:color w:val="auto"/>
                      <w:highlight w:val="none"/>
                      <w:lang w:val="en-US" w:eastAsia="zh-CN"/>
                    </w:rPr>
                  </w:pPr>
                  <w:r>
                    <w:rPr>
                      <w:rFonts w:hint="default"/>
                      <w:color w:val="auto"/>
                      <w:highlight w:val="none"/>
                    </w:rPr>
                    <w:t>《大气污染物综合排放标准》（GB16297-1996）</w:t>
                  </w:r>
                  <w:r>
                    <w:rPr>
                      <w:rFonts w:hint="eastAsia"/>
                      <w:color w:val="auto"/>
                      <w:highlight w:val="none"/>
                      <w:lang w:val="en-US" w:eastAsia="zh-CN"/>
                    </w:rPr>
                    <w:t>表2</w:t>
                  </w:r>
                </w:p>
              </w:tc>
            </w:tr>
            <w:tr w14:paraId="67584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470" w:type="pct"/>
                  <w:vMerge w:val="continue"/>
                  <w:tcBorders>
                    <w:tl2br w:val="nil"/>
                    <w:tr2bl w:val="nil"/>
                  </w:tcBorders>
                  <w:noWrap w:val="0"/>
                  <w:vAlign w:val="center"/>
                </w:tcPr>
                <w:p w14:paraId="20AC63F3">
                  <w:pPr>
                    <w:pStyle w:val="10"/>
                    <w:bidi w:val="0"/>
                    <w:rPr>
                      <w:rFonts w:hint="default"/>
                      <w:color w:val="auto"/>
                      <w:highlight w:val="none"/>
                    </w:rPr>
                  </w:pPr>
                </w:p>
              </w:tc>
              <w:tc>
                <w:tcPr>
                  <w:tcW w:w="477" w:type="pct"/>
                  <w:vMerge w:val="continue"/>
                  <w:tcBorders>
                    <w:tl2br w:val="nil"/>
                    <w:tr2bl w:val="nil"/>
                  </w:tcBorders>
                  <w:noWrap w:val="0"/>
                  <w:vAlign w:val="center"/>
                </w:tcPr>
                <w:p w14:paraId="7E3EB421">
                  <w:pPr>
                    <w:pStyle w:val="10"/>
                    <w:bidi w:val="0"/>
                    <w:ind w:right="0" w:rightChars="0" w:firstLine="0" w:firstLineChars="0"/>
                    <w:rPr>
                      <w:rFonts w:hint="eastAsia" w:eastAsia="宋体"/>
                      <w:color w:val="auto"/>
                      <w:highlight w:val="none"/>
                      <w:lang w:val="en-US" w:eastAsia="zh-CN"/>
                    </w:rPr>
                  </w:pPr>
                </w:p>
              </w:tc>
              <w:tc>
                <w:tcPr>
                  <w:tcW w:w="616" w:type="pct"/>
                  <w:tcBorders>
                    <w:tl2br w:val="nil"/>
                    <w:tr2bl w:val="nil"/>
                  </w:tcBorders>
                  <w:noWrap w:val="0"/>
                  <w:vAlign w:val="center"/>
                </w:tcPr>
                <w:p w14:paraId="230FC922">
                  <w:pPr>
                    <w:pStyle w:val="10"/>
                    <w:bidi w:val="0"/>
                    <w:ind w:right="0" w:rightChars="0" w:firstLine="0" w:firstLineChars="0"/>
                    <w:rPr>
                      <w:rFonts w:hint="eastAsia"/>
                      <w:color w:val="auto"/>
                      <w:highlight w:val="none"/>
                      <w:lang w:val="en-US" w:eastAsia="zh-CN"/>
                    </w:rPr>
                  </w:pPr>
                  <w:r>
                    <w:rPr>
                      <w:rFonts w:hint="eastAsia"/>
                      <w:color w:val="auto"/>
                      <w:highlight w:val="none"/>
                      <w:lang w:val="en-US" w:eastAsia="zh-CN"/>
                    </w:rPr>
                    <w:t>颗粒物</w:t>
                  </w:r>
                </w:p>
              </w:tc>
              <w:tc>
                <w:tcPr>
                  <w:tcW w:w="1194" w:type="pct"/>
                  <w:tcBorders>
                    <w:tl2br w:val="nil"/>
                    <w:tr2bl w:val="nil"/>
                  </w:tcBorders>
                  <w:noWrap w:val="0"/>
                  <w:vAlign w:val="center"/>
                </w:tcPr>
                <w:p w14:paraId="371BA35A">
                  <w:pPr>
                    <w:pStyle w:val="10"/>
                    <w:bidi w:val="0"/>
                    <w:rPr>
                      <w:rFonts w:hint="default"/>
                      <w:color w:val="auto"/>
                      <w:highlight w:val="none"/>
                      <w:lang w:val="en-US" w:eastAsia="zh-CN"/>
                    </w:rPr>
                  </w:pPr>
                  <w:r>
                    <w:rPr>
                      <w:rFonts w:hint="eastAsia"/>
                      <w:color w:val="auto"/>
                      <w:highlight w:val="none"/>
                      <w:lang w:val="en-US" w:eastAsia="zh-CN"/>
                    </w:rPr>
                    <w:t>0.4</w:t>
                  </w:r>
                </w:p>
              </w:tc>
              <w:tc>
                <w:tcPr>
                  <w:tcW w:w="2241" w:type="pct"/>
                  <w:vMerge w:val="continue"/>
                  <w:tcBorders>
                    <w:tl2br w:val="nil"/>
                    <w:tr2bl w:val="nil"/>
                  </w:tcBorders>
                  <w:noWrap w:val="0"/>
                  <w:vAlign w:val="center"/>
                </w:tcPr>
                <w:p w14:paraId="66043AD5">
                  <w:pPr>
                    <w:pStyle w:val="10"/>
                    <w:bidi w:val="0"/>
                    <w:rPr>
                      <w:rFonts w:hint="default"/>
                      <w:color w:val="auto"/>
                      <w:highlight w:val="none"/>
                    </w:rPr>
                  </w:pPr>
                </w:p>
              </w:tc>
            </w:tr>
            <w:tr w14:paraId="5E8EB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470" w:type="pct"/>
                  <w:vMerge w:val="continue"/>
                  <w:tcBorders>
                    <w:tl2br w:val="nil"/>
                    <w:tr2bl w:val="nil"/>
                  </w:tcBorders>
                  <w:noWrap w:val="0"/>
                  <w:vAlign w:val="center"/>
                </w:tcPr>
                <w:p w14:paraId="198A6915">
                  <w:pPr>
                    <w:pStyle w:val="10"/>
                    <w:bidi w:val="0"/>
                    <w:rPr>
                      <w:rFonts w:hint="default"/>
                      <w:color w:val="auto"/>
                      <w:highlight w:val="none"/>
                    </w:rPr>
                  </w:pPr>
                </w:p>
              </w:tc>
              <w:tc>
                <w:tcPr>
                  <w:tcW w:w="477" w:type="pct"/>
                  <w:vMerge w:val="continue"/>
                  <w:tcBorders>
                    <w:tl2br w:val="nil"/>
                    <w:tr2bl w:val="nil"/>
                  </w:tcBorders>
                  <w:noWrap w:val="0"/>
                  <w:vAlign w:val="center"/>
                </w:tcPr>
                <w:p w14:paraId="419F9F90">
                  <w:pPr>
                    <w:pStyle w:val="10"/>
                    <w:bidi w:val="0"/>
                    <w:ind w:right="0" w:rightChars="0" w:firstLine="0" w:firstLineChars="0"/>
                    <w:rPr>
                      <w:rFonts w:hint="eastAsia" w:eastAsia="宋体"/>
                      <w:color w:val="auto"/>
                      <w:highlight w:val="none"/>
                      <w:lang w:val="en-US" w:eastAsia="zh-CN"/>
                    </w:rPr>
                  </w:pPr>
                </w:p>
              </w:tc>
              <w:tc>
                <w:tcPr>
                  <w:tcW w:w="616" w:type="pct"/>
                  <w:tcBorders>
                    <w:tl2br w:val="nil"/>
                    <w:tr2bl w:val="nil"/>
                  </w:tcBorders>
                  <w:noWrap w:val="0"/>
                  <w:vAlign w:val="center"/>
                </w:tcPr>
                <w:p w14:paraId="2085CCA8">
                  <w:pPr>
                    <w:pStyle w:val="10"/>
                    <w:bidi w:val="0"/>
                    <w:ind w:right="0" w:rightChars="0" w:firstLine="0" w:firstLineChars="0"/>
                    <w:rPr>
                      <w:rFonts w:hint="default"/>
                      <w:color w:val="auto"/>
                      <w:highlight w:val="none"/>
                      <w:lang w:val="en-US" w:eastAsia="zh-CN"/>
                    </w:rPr>
                  </w:pPr>
                  <w:r>
                    <w:rPr>
                      <w:rFonts w:hint="eastAsia"/>
                      <w:color w:val="auto"/>
                      <w:highlight w:val="none"/>
                      <w:lang w:val="en-US" w:eastAsia="zh-CN"/>
                    </w:rPr>
                    <w:t>氯化氢</w:t>
                  </w:r>
                </w:p>
              </w:tc>
              <w:tc>
                <w:tcPr>
                  <w:tcW w:w="1194" w:type="pct"/>
                  <w:tcBorders>
                    <w:tl2br w:val="nil"/>
                    <w:tr2bl w:val="nil"/>
                  </w:tcBorders>
                  <w:noWrap w:val="0"/>
                  <w:vAlign w:val="center"/>
                </w:tcPr>
                <w:p w14:paraId="79157675">
                  <w:pPr>
                    <w:pStyle w:val="10"/>
                    <w:bidi w:val="0"/>
                    <w:rPr>
                      <w:rFonts w:hint="default"/>
                      <w:color w:val="auto"/>
                      <w:highlight w:val="none"/>
                      <w:lang w:val="en-US" w:eastAsia="zh-CN"/>
                    </w:rPr>
                  </w:pPr>
                  <w:r>
                    <w:rPr>
                      <w:rFonts w:hint="eastAsia"/>
                      <w:color w:val="auto"/>
                      <w:highlight w:val="none"/>
                      <w:lang w:val="en-US" w:eastAsia="zh-CN"/>
                    </w:rPr>
                    <w:t>0.2</w:t>
                  </w:r>
                </w:p>
              </w:tc>
              <w:tc>
                <w:tcPr>
                  <w:tcW w:w="2241" w:type="pct"/>
                  <w:vMerge w:val="continue"/>
                  <w:tcBorders>
                    <w:tl2br w:val="nil"/>
                    <w:tr2bl w:val="nil"/>
                  </w:tcBorders>
                  <w:noWrap w:val="0"/>
                  <w:vAlign w:val="center"/>
                </w:tcPr>
                <w:p w14:paraId="6FCA80AA">
                  <w:pPr>
                    <w:pStyle w:val="10"/>
                    <w:bidi w:val="0"/>
                    <w:rPr>
                      <w:rFonts w:hint="default"/>
                      <w:color w:val="auto"/>
                      <w:highlight w:val="none"/>
                    </w:rPr>
                  </w:pPr>
                </w:p>
              </w:tc>
            </w:tr>
            <w:tr w14:paraId="0B5E0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470" w:type="pct"/>
                  <w:vMerge w:val="continue"/>
                  <w:tcBorders>
                    <w:tl2br w:val="nil"/>
                    <w:tr2bl w:val="nil"/>
                  </w:tcBorders>
                  <w:noWrap w:val="0"/>
                  <w:vAlign w:val="center"/>
                </w:tcPr>
                <w:p w14:paraId="712B4F46">
                  <w:pPr>
                    <w:pStyle w:val="10"/>
                    <w:bidi w:val="0"/>
                    <w:rPr>
                      <w:rFonts w:hint="default"/>
                      <w:color w:val="auto"/>
                      <w:highlight w:val="none"/>
                    </w:rPr>
                  </w:pPr>
                </w:p>
              </w:tc>
              <w:tc>
                <w:tcPr>
                  <w:tcW w:w="477" w:type="pct"/>
                  <w:vMerge w:val="continue"/>
                  <w:tcBorders>
                    <w:tl2br w:val="nil"/>
                    <w:tr2bl w:val="nil"/>
                  </w:tcBorders>
                  <w:noWrap w:val="0"/>
                  <w:vAlign w:val="center"/>
                </w:tcPr>
                <w:p w14:paraId="59B05FD6">
                  <w:pPr>
                    <w:pStyle w:val="10"/>
                    <w:bidi w:val="0"/>
                    <w:ind w:right="0" w:rightChars="0" w:firstLine="0" w:firstLineChars="0"/>
                    <w:rPr>
                      <w:rFonts w:hint="eastAsia" w:eastAsia="宋体"/>
                      <w:color w:val="auto"/>
                      <w:highlight w:val="none"/>
                      <w:lang w:val="en-US" w:eastAsia="zh-CN"/>
                    </w:rPr>
                  </w:pPr>
                </w:p>
              </w:tc>
              <w:tc>
                <w:tcPr>
                  <w:tcW w:w="616" w:type="pct"/>
                  <w:tcBorders>
                    <w:tl2br w:val="nil"/>
                    <w:tr2bl w:val="nil"/>
                  </w:tcBorders>
                  <w:noWrap w:val="0"/>
                  <w:vAlign w:val="center"/>
                </w:tcPr>
                <w:p w14:paraId="3547331E">
                  <w:pPr>
                    <w:pStyle w:val="10"/>
                    <w:bidi w:val="0"/>
                    <w:ind w:right="0" w:rightChars="0" w:firstLine="0" w:firstLineChars="0"/>
                    <w:rPr>
                      <w:rFonts w:hint="default"/>
                      <w:color w:val="auto"/>
                      <w:highlight w:val="none"/>
                      <w:lang w:val="en-US" w:eastAsia="zh-CN"/>
                    </w:rPr>
                  </w:pPr>
                  <w:r>
                    <w:rPr>
                      <w:rFonts w:hint="eastAsia"/>
                      <w:color w:val="auto"/>
                      <w:highlight w:val="none"/>
                      <w:lang w:val="en-US" w:eastAsia="zh-CN"/>
                    </w:rPr>
                    <w:t>氯乙烯</w:t>
                  </w:r>
                </w:p>
              </w:tc>
              <w:tc>
                <w:tcPr>
                  <w:tcW w:w="1194" w:type="pct"/>
                  <w:tcBorders>
                    <w:tl2br w:val="nil"/>
                    <w:tr2bl w:val="nil"/>
                  </w:tcBorders>
                  <w:noWrap w:val="0"/>
                  <w:vAlign w:val="center"/>
                </w:tcPr>
                <w:p w14:paraId="015BC0E4">
                  <w:pPr>
                    <w:pStyle w:val="10"/>
                    <w:bidi w:val="0"/>
                    <w:rPr>
                      <w:rFonts w:hint="default"/>
                      <w:color w:val="auto"/>
                      <w:highlight w:val="none"/>
                      <w:lang w:val="en-US" w:eastAsia="zh-CN"/>
                    </w:rPr>
                  </w:pPr>
                  <w:r>
                    <w:rPr>
                      <w:rFonts w:hint="eastAsia"/>
                      <w:color w:val="auto"/>
                      <w:highlight w:val="none"/>
                      <w:lang w:val="en-US" w:eastAsia="zh-CN"/>
                    </w:rPr>
                    <w:t>0.15</w:t>
                  </w:r>
                </w:p>
              </w:tc>
              <w:tc>
                <w:tcPr>
                  <w:tcW w:w="2241" w:type="pct"/>
                  <w:tcBorders>
                    <w:tl2br w:val="nil"/>
                    <w:tr2bl w:val="nil"/>
                  </w:tcBorders>
                  <w:noWrap w:val="0"/>
                  <w:vAlign w:val="center"/>
                </w:tcPr>
                <w:p w14:paraId="0810FF67">
                  <w:pPr>
                    <w:pStyle w:val="10"/>
                    <w:bidi w:val="0"/>
                    <w:rPr>
                      <w:rFonts w:hint="default"/>
                      <w:color w:val="auto"/>
                      <w:highlight w:val="none"/>
                      <w:lang w:val="en-US"/>
                    </w:rPr>
                  </w:pPr>
                  <w:r>
                    <w:rPr>
                      <w:rFonts w:hint="eastAsia"/>
                      <w:color w:val="auto"/>
                      <w:highlight w:val="none"/>
                      <w:lang w:val="en-US" w:eastAsia="zh-CN"/>
                    </w:rPr>
                    <w:t>《固定源挥发性有机物综合排放标准 第6部分：其他行业》（DB 34/4812.6-2024）表5</w:t>
                  </w:r>
                </w:p>
              </w:tc>
            </w:tr>
            <w:tr w14:paraId="70570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470" w:type="pct"/>
                  <w:tcBorders>
                    <w:tl2br w:val="nil"/>
                    <w:tr2bl w:val="nil"/>
                  </w:tcBorders>
                  <w:noWrap w:val="0"/>
                  <w:vAlign w:val="center"/>
                </w:tcPr>
                <w:p w14:paraId="2D8A8D8F">
                  <w:pPr>
                    <w:pStyle w:val="10"/>
                    <w:bidi w:val="0"/>
                    <w:rPr>
                      <w:rFonts w:hint="default"/>
                      <w:color w:val="auto"/>
                      <w:highlight w:val="none"/>
                    </w:rPr>
                  </w:pPr>
                </w:p>
              </w:tc>
              <w:tc>
                <w:tcPr>
                  <w:tcW w:w="477" w:type="pct"/>
                  <w:vMerge w:val="continue"/>
                  <w:tcBorders>
                    <w:tl2br w:val="nil"/>
                    <w:tr2bl w:val="nil"/>
                  </w:tcBorders>
                  <w:noWrap w:val="0"/>
                  <w:vAlign w:val="center"/>
                </w:tcPr>
                <w:p w14:paraId="1BEC4389">
                  <w:pPr>
                    <w:pStyle w:val="10"/>
                    <w:bidi w:val="0"/>
                    <w:ind w:right="0" w:rightChars="0" w:firstLine="0" w:firstLineChars="0"/>
                    <w:rPr>
                      <w:rFonts w:hint="eastAsia" w:eastAsia="宋体"/>
                      <w:color w:val="auto"/>
                      <w:highlight w:val="none"/>
                      <w:lang w:val="en-US" w:eastAsia="zh-CN"/>
                    </w:rPr>
                  </w:pPr>
                </w:p>
              </w:tc>
              <w:tc>
                <w:tcPr>
                  <w:tcW w:w="616" w:type="pct"/>
                  <w:tcBorders>
                    <w:tl2br w:val="nil"/>
                    <w:tr2bl w:val="nil"/>
                  </w:tcBorders>
                  <w:noWrap w:val="0"/>
                  <w:vAlign w:val="center"/>
                </w:tcPr>
                <w:p w14:paraId="468686EC">
                  <w:pPr>
                    <w:pStyle w:val="10"/>
                    <w:bidi w:val="0"/>
                    <w:ind w:right="0" w:rightChars="0" w:firstLine="0" w:firstLineChars="0"/>
                    <w:rPr>
                      <w:rFonts w:hint="default"/>
                      <w:color w:val="auto"/>
                      <w:highlight w:val="none"/>
                      <w:lang w:val="en-US" w:eastAsia="zh-CN"/>
                    </w:rPr>
                  </w:pPr>
                  <w:r>
                    <w:rPr>
                      <w:rFonts w:hint="eastAsia"/>
                      <w:color w:val="auto"/>
                      <w:highlight w:val="none"/>
                      <w:lang w:val="en-US" w:eastAsia="zh-CN"/>
                    </w:rPr>
                    <w:t>臭气浓度</w:t>
                  </w:r>
                </w:p>
              </w:tc>
              <w:tc>
                <w:tcPr>
                  <w:tcW w:w="1194" w:type="pct"/>
                  <w:tcBorders>
                    <w:tl2br w:val="nil"/>
                    <w:tr2bl w:val="nil"/>
                  </w:tcBorders>
                  <w:noWrap w:val="0"/>
                  <w:vAlign w:val="center"/>
                </w:tcPr>
                <w:p w14:paraId="12C6A332">
                  <w:pPr>
                    <w:pStyle w:val="10"/>
                    <w:bidi w:val="0"/>
                    <w:rPr>
                      <w:rFonts w:hint="default"/>
                      <w:color w:val="auto"/>
                      <w:highlight w:val="none"/>
                      <w:lang w:val="en-US" w:eastAsia="zh-CN"/>
                    </w:rPr>
                  </w:pPr>
                  <w:r>
                    <w:rPr>
                      <w:rFonts w:hint="eastAsia"/>
                      <w:color w:val="auto"/>
                      <w:highlight w:val="none"/>
                      <w:lang w:val="en-US" w:eastAsia="zh-CN"/>
                    </w:rPr>
                    <w:t>20（无量纲）</w:t>
                  </w:r>
                </w:p>
              </w:tc>
              <w:tc>
                <w:tcPr>
                  <w:tcW w:w="2241" w:type="pct"/>
                  <w:tcBorders>
                    <w:tl2br w:val="nil"/>
                    <w:tr2bl w:val="nil"/>
                  </w:tcBorders>
                  <w:noWrap w:val="0"/>
                  <w:vAlign w:val="center"/>
                </w:tcPr>
                <w:p w14:paraId="42070A4B">
                  <w:pPr>
                    <w:pStyle w:val="10"/>
                    <w:bidi w:val="0"/>
                    <w:rPr>
                      <w:rFonts w:hint="default"/>
                      <w:color w:val="auto"/>
                      <w:highlight w:val="none"/>
                      <w:lang w:val="en-US" w:eastAsia="zh-CN"/>
                    </w:rPr>
                  </w:pPr>
                  <w:r>
                    <w:rPr>
                      <w:rFonts w:hint="eastAsia"/>
                      <w:color w:val="auto"/>
                      <w:highlight w:val="none"/>
                      <w:lang w:val="en-US" w:eastAsia="zh-CN"/>
                    </w:rPr>
                    <w:t>《恶臭污染物排放标准》（GB 14554-93）表1</w:t>
                  </w:r>
                </w:p>
              </w:tc>
            </w:tr>
          </w:tbl>
          <w:p w14:paraId="4D1B6C27">
            <w:pPr>
              <w:bidi w:val="0"/>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2、</w:t>
            </w:r>
            <w:r>
              <w:rPr>
                <w:rFonts w:hint="default" w:ascii="Times New Roman" w:hAnsi="Times New Roman" w:cs="Times New Roman"/>
                <w:b/>
                <w:bCs/>
                <w:color w:val="auto"/>
                <w:sz w:val="24"/>
                <w:szCs w:val="24"/>
                <w:highlight w:val="none"/>
                <w:lang w:val="en-US" w:eastAsia="zh-CN"/>
              </w:rPr>
              <w:t>废</w:t>
            </w:r>
            <w:r>
              <w:rPr>
                <w:rFonts w:hint="eastAsia" w:ascii="Times New Roman" w:hAnsi="Times New Roman" w:cs="Times New Roman"/>
                <w:b/>
                <w:bCs/>
                <w:color w:val="auto"/>
                <w:sz w:val="24"/>
                <w:szCs w:val="24"/>
                <w:highlight w:val="none"/>
                <w:lang w:val="en-US" w:eastAsia="zh-CN"/>
              </w:rPr>
              <w:t>水</w:t>
            </w:r>
            <w:r>
              <w:rPr>
                <w:rFonts w:hint="default" w:ascii="Times New Roman" w:hAnsi="Times New Roman" w:cs="Times New Roman"/>
                <w:b/>
                <w:bCs/>
                <w:color w:val="auto"/>
                <w:sz w:val="24"/>
                <w:szCs w:val="24"/>
                <w:highlight w:val="none"/>
                <w:lang w:val="en-US" w:eastAsia="zh-CN"/>
              </w:rPr>
              <w:t>排放控制标准</w:t>
            </w:r>
          </w:p>
          <w:p w14:paraId="2DA2E82E">
            <w:pPr>
              <w:bidi w:val="0"/>
              <w:rPr>
                <w:rFonts w:hint="default" w:ascii="Times New Roman" w:hAnsi="Times New Roman" w:cs="Times New Roman"/>
                <w:color w:val="auto"/>
                <w:highlight w:val="none"/>
              </w:rPr>
            </w:pPr>
            <w:r>
              <w:rPr>
                <w:rFonts w:hint="eastAsia"/>
                <w:color w:val="auto"/>
                <w:highlight w:val="none"/>
                <w:lang w:val="en-US" w:eastAsia="zh-CN"/>
              </w:rPr>
              <w:t>生活污水经化粪池处理后汇同经隔油池处理后的餐饮废水一同与冷却水定期排水汇合后达到青阳县污水处理厂</w:t>
            </w:r>
            <w:r>
              <w:rPr>
                <w:rFonts w:hint="default"/>
                <w:color w:val="auto"/>
                <w:highlight w:val="none"/>
                <w:lang w:val="en-US" w:eastAsia="zh-CN"/>
              </w:rPr>
              <w:t>纳管标准、《污水综合排放标准》（GB8978-1996）表4三级标准后</w:t>
            </w:r>
            <w:r>
              <w:rPr>
                <w:rFonts w:hint="eastAsia"/>
                <w:color w:val="auto"/>
                <w:lang w:val="en-US" w:eastAsia="zh-CN"/>
              </w:rPr>
              <w:t>排入</w:t>
            </w:r>
            <w:r>
              <w:rPr>
                <w:rFonts w:hint="default"/>
                <w:color w:val="auto"/>
                <w:highlight w:val="none"/>
                <w:lang w:val="en-US" w:eastAsia="zh-CN"/>
              </w:rPr>
              <w:t>市政污水管网，进入</w:t>
            </w:r>
            <w:r>
              <w:rPr>
                <w:rFonts w:hint="eastAsia"/>
                <w:color w:val="auto"/>
                <w:highlight w:val="none"/>
                <w:lang w:val="en-US" w:eastAsia="zh-CN"/>
              </w:rPr>
              <w:t>青阳县污水处理厂</w:t>
            </w:r>
            <w:r>
              <w:rPr>
                <w:rFonts w:hint="default"/>
                <w:color w:val="auto"/>
                <w:highlight w:val="none"/>
                <w:lang w:val="en-US"/>
              </w:rPr>
              <w:t>集中处理，</w:t>
            </w:r>
            <w:r>
              <w:rPr>
                <w:rFonts w:hint="eastAsia"/>
                <w:color w:val="auto"/>
                <w:highlight w:val="none"/>
                <w:lang w:val="en-US" w:eastAsia="zh-CN"/>
              </w:rPr>
              <w:t>达到《</w:t>
            </w:r>
            <w:r>
              <w:rPr>
                <w:rFonts w:hint="default"/>
                <w:color w:val="auto"/>
                <w:highlight w:val="none"/>
                <w:lang w:val="en-US"/>
              </w:rPr>
              <w:t>城镇污水处理厂污染物排放标准</w:t>
            </w:r>
            <w:r>
              <w:rPr>
                <w:rFonts w:hint="eastAsia"/>
                <w:color w:val="auto"/>
                <w:highlight w:val="none"/>
                <w:lang w:val="en-US" w:eastAsia="zh-CN"/>
              </w:rPr>
              <w:t>》</w:t>
            </w:r>
            <w:r>
              <w:rPr>
                <w:rFonts w:hint="default"/>
                <w:color w:val="auto"/>
                <w:highlight w:val="none"/>
                <w:lang w:val="en-US"/>
              </w:rPr>
              <w:t>（GB18918-2002）一级A标准后尾水排入青通河</w:t>
            </w:r>
            <w:r>
              <w:rPr>
                <w:rFonts w:hint="eastAsia"/>
                <w:color w:val="auto"/>
                <w:highlight w:val="none"/>
                <w:lang w:val="en-US" w:eastAsia="zh-CN"/>
              </w:rPr>
              <w:t>。</w:t>
            </w:r>
            <w:r>
              <w:rPr>
                <w:color w:val="auto"/>
                <w:highlight w:val="none"/>
              </w:rPr>
              <w:t>相关限值详见下表。</w:t>
            </w:r>
          </w:p>
          <w:p w14:paraId="51179A38">
            <w:pPr>
              <w:pStyle w:val="5"/>
              <w:tabs>
                <w:tab w:val="left" w:pos="1284"/>
              </w:tabs>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表</w:t>
            </w:r>
            <w:r>
              <w:rPr>
                <w:rFonts w:hint="default" w:ascii="Times New Roman" w:hAnsi="Times New Roman" w:cs="Times New Roman"/>
                <w:color w:val="auto"/>
                <w:highlight w:val="none"/>
                <w:lang w:val="en-US" w:eastAsia="zh-CN"/>
              </w:rPr>
              <w:t>3</w:t>
            </w:r>
            <w:r>
              <w:rPr>
                <w:rFonts w:hint="default"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7</w:t>
            </w:r>
            <w:r>
              <w:rPr>
                <w:rFonts w:hint="default" w:ascii="Times New Roman" w:hAnsi="Times New Roman" w:cs="Times New Roman"/>
                <w:color w:val="auto"/>
                <w:highlight w:val="none"/>
                <w:lang w:val="en-US" w:eastAsia="zh-CN"/>
              </w:rPr>
              <w:t xml:space="preserve"> 废水污染物排放标准  单位：mg/L（pH除外）</w:t>
            </w: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0"/>
              <w:gridCol w:w="792"/>
              <w:gridCol w:w="771"/>
              <w:gridCol w:w="814"/>
              <w:gridCol w:w="600"/>
              <w:gridCol w:w="922"/>
              <w:gridCol w:w="474"/>
              <w:gridCol w:w="926"/>
            </w:tblGrid>
            <w:tr w14:paraId="43C83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98" w:type="pct"/>
                  <w:tcBorders>
                    <w:tl2br w:val="nil"/>
                    <w:tr2bl w:val="nil"/>
                  </w:tcBorders>
                  <w:noWrap w:val="0"/>
                  <w:vAlign w:val="center"/>
                </w:tcPr>
                <w:p w14:paraId="774EA43F">
                  <w:pPr>
                    <w:spacing w:line="240" w:lineRule="auto"/>
                    <w:ind w:firstLine="0" w:firstLineChars="0"/>
                    <w:jc w:val="center"/>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指标</w:t>
                  </w:r>
                </w:p>
              </w:tc>
              <w:tc>
                <w:tcPr>
                  <w:tcW w:w="478" w:type="pct"/>
                  <w:tcBorders>
                    <w:tl2br w:val="nil"/>
                    <w:tr2bl w:val="nil"/>
                  </w:tcBorders>
                  <w:noWrap w:val="0"/>
                  <w:vAlign w:val="center"/>
                </w:tcPr>
                <w:p w14:paraId="5E5E5F4C">
                  <w:pPr>
                    <w:widowControl/>
                    <w:spacing w:line="240" w:lineRule="auto"/>
                    <w:ind w:firstLine="0" w:firstLineChars="0"/>
                    <w:jc w:val="center"/>
                    <w:rPr>
                      <w:rFonts w:hint="default" w:ascii="Times New Roman" w:hAnsi="Times New Roman" w:eastAsia="宋体" w:cs="Times New Roman"/>
                      <w:b/>
                      <w:bCs w:val="0"/>
                      <w:color w:val="auto"/>
                      <w:kern w:val="0"/>
                      <w:sz w:val="21"/>
                      <w:szCs w:val="21"/>
                      <w:highlight w:val="none"/>
                    </w:rPr>
                  </w:pPr>
                  <w:r>
                    <w:rPr>
                      <w:rFonts w:hint="default" w:ascii="Times New Roman" w:hAnsi="Times New Roman" w:eastAsia="宋体" w:cs="Times New Roman"/>
                      <w:b/>
                      <w:bCs w:val="0"/>
                      <w:color w:val="auto"/>
                      <w:kern w:val="0"/>
                      <w:sz w:val="21"/>
                      <w:szCs w:val="21"/>
                      <w:highlight w:val="none"/>
                    </w:rPr>
                    <w:t>pH</w:t>
                  </w:r>
                </w:p>
              </w:tc>
              <w:tc>
                <w:tcPr>
                  <w:tcW w:w="465" w:type="pct"/>
                  <w:tcBorders>
                    <w:tl2br w:val="nil"/>
                    <w:tr2bl w:val="nil"/>
                  </w:tcBorders>
                  <w:noWrap w:val="0"/>
                  <w:vAlign w:val="center"/>
                </w:tcPr>
                <w:p w14:paraId="31DAC3BF">
                  <w:pPr>
                    <w:widowControl/>
                    <w:spacing w:line="240" w:lineRule="auto"/>
                    <w:ind w:firstLine="0" w:firstLineChars="0"/>
                    <w:jc w:val="center"/>
                    <w:rPr>
                      <w:rFonts w:hint="default" w:ascii="Times New Roman" w:hAnsi="Times New Roman" w:eastAsia="宋体" w:cs="Times New Roman"/>
                      <w:b/>
                      <w:bCs w:val="0"/>
                      <w:color w:val="auto"/>
                      <w:kern w:val="0"/>
                      <w:sz w:val="21"/>
                      <w:szCs w:val="21"/>
                      <w:highlight w:val="none"/>
                    </w:rPr>
                  </w:pPr>
                  <w:r>
                    <w:rPr>
                      <w:rFonts w:hint="default" w:ascii="Times New Roman" w:hAnsi="Times New Roman" w:eastAsia="宋体" w:cs="Times New Roman"/>
                      <w:b/>
                      <w:bCs w:val="0"/>
                      <w:color w:val="auto"/>
                      <w:kern w:val="0"/>
                      <w:sz w:val="21"/>
                      <w:szCs w:val="21"/>
                      <w:highlight w:val="none"/>
                    </w:rPr>
                    <w:t>COD</w:t>
                  </w:r>
                </w:p>
              </w:tc>
              <w:tc>
                <w:tcPr>
                  <w:tcW w:w="491" w:type="pct"/>
                  <w:tcBorders>
                    <w:tl2br w:val="nil"/>
                    <w:tr2bl w:val="nil"/>
                  </w:tcBorders>
                  <w:noWrap w:val="0"/>
                  <w:vAlign w:val="center"/>
                </w:tcPr>
                <w:p w14:paraId="7356B290">
                  <w:pPr>
                    <w:widowControl/>
                    <w:spacing w:line="240" w:lineRule="auto"/>
                    <w:ind w:firstLine="0" w:firstLineChars="0"/>
                    <w:jc w:val="center"/>
                    <w:rPr>
                      <w:rFonts w:hint="default" w:ascii="Times New Roman" w:hAnsi="Times New Roman" w:eastAsia="宋体" w:cs="Times New Roman"/>
                      <w:b/>
                      <w:bCs w:val="0"/>
                      <w:color w:val="auto"/>
                      <w:kern w:val="0"/>
                      <w:sz w:val="21"/>
                      <w:szCs w:val="21"/>
                      <w:highlight w:val="none"/>
                      <w:vertAlign w:val="subscript"/>
                    </w:rPr>
                  </w:pPr>
                  <w:r>
                    <w:rPr>
                      <w:rFonts w:hint="default" w:ascii="Times New Roman" w:hAnsi="Times New Roman" w:eastAsia="宋体" w:cs="Times New Roman"/>
                      <w:b/>
                      <w:bCs w:val="0"/>
                      <w:color w:val="auto"/>
                      <w:kern w:val="0"/>
                      <w:sz w:val="21"/>
                      <w:szCs w:val="21"/>
                      <w:highlight w:val="none"/>
                    </w:rPr>
                    <w:t>BOD</w:t>
                  </w:r>
                  <w:r>
                    <w:rPr>
                      <w:rFonts w:hint="default" w:ascii="Times New Roman" w:hAnsi="Times New Roman" w:eastAsia="宋体" w:cs="Times New Roman"/>
                      <w:b/>
                      <w:bCs w:val="0"/>
                      <w:color w:val="auto"/>
                      <w:kern w:val="0"/>
                      <w:sz w:val="21"/>
                      <w:szCs w:val="21"/>
                      <w:highlight w:val="none"/>
                      <w:vertAlign w:val="subscript"/>
                    </w:rPr>
                    <w:t>5</w:t>
                  </w:r>
                </w:p>
              </w:tc>
              <w:tc>
                <w:tcPr>
                  <w:tcW w:w="362" w:type="pct"/>
                  <w:tcBorders>
                    <w:tl2br w:val="nil"/>
                    <w:tr2bl w:val="nil"/>
                  </w:tcBorders>
                  <w:noWrap w:val="0"/>
                  <w:vAlign w:val="center"/>
                </w:tcPr>
                <w:p w14:paraId="13228D4E">
                  <w:pPr>
                    <w:widowControl/>
                    <w:spacing w:line="240" w:lineRule="auto"/>
                    <w:ind w:firstLine="0" w:firstLineChars="0"/>
                    <w:jc w:val="center"/>
                    <w:rPr>
                      <w:rFonts w:hint="default" w:ascii="Times New Roman" w:hAnsi="Times New Roman" w:eastAsia="宋体" w:cs="Times New Roman"/>
                      <w:b/>
                      <w:bCs w:val="0"/>
                      <w:color w:val="auto"/>
                      <w:kern w:val="0"/>
                      <w:sz w:val="21"/>
                      <w:szCs w:val="21"/>
                      <w:highlight w:val="none"/>
                    </w:rPr>
                  </w:pPr>
                  <w:r>
                    <w:rPr>
                      <w:rFonts w:hint="default" w:ascii="Times New Roman" w:hAnsi="Times New Roman" w:eastAsia="宋体" w:cs="Times New Roman"/>
                      <w:b/>
                      <w:bCs w:val="0"/>
                      <w:color w:val="auto"/>
                      <w:kern w:val="0"/>
                      <w:sz w:val="21"/>
                      <w:szCs w:val="21"/>
                      <w:highlight w:val="none"/>
                    </w:rPr>
                    <w:t>SS</w:t>
                  </w:r>
                </w:p>
              </w:tc>
              <w:tc>
                <w:tcPr>
                  <w:tcW w:w="556" w:type="pct"/>
                  <w:tcBorders>
                    <w:tl2br w:val="nil"/>
                    <w:tr2bl w:val="nil"/>
                  </w:tcBorders>
                  <w:noWrap w:val="0"/>
                  <w:vAlign w:val="center"/>
                </w:tcPr>
                <w:p w14:paraId="2E845432">
                  <w:pPr>
                    <w:widowControl/>
                    <w:spacing w:line="240" w:lineRule="auto"/>
                    <w:ind w:firstLine="0" w:firstLineChars="0"/>
                    <w:jc w:val="center"/>
                    <w:rPr>
                      <w:rFonts w:hint="default" w:ascii="Times New Roman" w:hAnsi="Times New Roman" w:eastAsia="宋体" w:cs="Times New Roman"/>
                      <w:b/>
                      <w:bCs w:val="0"/>
                      <w:color w:val="auto"/>
                      <w:kern w:val="0"/>
                      <w:sz w:val="21"/>
                      <w:szCs w:val="21"/>
                      <w:highlight w:val="none"/>
                    </w:rPr>
                  </w:pPr>
                  <w:r>
                    <w:rPr>
                      <w:rFonts w:hint="default" w:ascii="Times New Roman" w:hAnsi="Times New Roman" w:eastAsia="宋体" w:cs="Times New Roman"/>
                      <w:b/>
                      <w:bCs w:val="0"/>
                      <w:color w:val="auto"/>
                      <w:kern w:val="0"/>
                      <w:sz w:val="21"/>
                      <w:szCs w:val="21"/>
                      <w:highlight w:val="none"/>
                    </w:rPr>
                    <w:t>NH</w:t>
                  </w:r>
                  <w:r>
                    <w:rPr>
                      <w:rFonts w:hint="default" w:ascii="Times New Roman" w:hAnsi="Times New Roman" w:eastAsia="宋体" w:cs="Times New Roman"/>
                      <w:b/>
                      <w:bCs w:val="0"/>
                      <w:color w:val="auto"/>
                      <w:kern w:val="0"/>
                      <w:sz w:val="21"/>
                      <w:szCs w:val="21"/>
                      <w:highlight w:val="none"/>
                      <w:vertAlign w:val="subscript"/>
                    </w:rPr>
                    <w:t>3</w:t>
                  </w:r>
                  <w:r>
                    <w:rPr>
                      <w:rFonts w:hint="default" w:ascii="Times New Roman" w:hAnsi="Times New Roman" w:eastAsia="宋体" w:cs="Times New Roman"/>
                      <w:b/>
                      <w:bCs w:val="0"/>
                      <w:color w:val="auto"/>
                      <w:kern w:val="0"/>
                      <w:sz w:val="21"/>
                      <w:szCs w:val="21"/>
                      <w:highlight w:val="none"/>
                    </w:rPr>
                    <w:t>-N</w:t>
                  </w:r>
                </w:p>
              </w:tc>
              <w:tc>
                <w:tcPr>
                  <w:tcW w:w="286" w:type="pct"/>
                  <w:tcBorders>
                    <w:tl2br w:val="nil"/>
                    <w:tr2bl w:val="nil"/>
                  </w:tcBorders>
                  <w:noWrap w:val="0"/>
                  <w:tcMar>
                    <w:left w:w="28" w:type="dxa"/>
                    <w:right w:w="28" w:type="dxa"/>
                  </w:tcMar>
                  <w:vAlign w:val="center"/>
                </w:tcPr>
                <w:p w14:paraId="32421836">
                  <w:pPr>
                    <w:widowControl/>
                    <w:spacing w:line="240" w:lineRule="auto"/>
                    <w:ind w:firstLine="0" w:firstLineChars="0"/>
                    <w:jc w:val="center"/>
                    <w:rPr>
                      <w:rFonts w:hint="default" w:ascii="Times New Roman" w:hAnsi="Times New Roman" w:eastAsia="宋体" w:cs="Times New Roman"/>
                      <w:b/>
                      <w:bCs w:val="0"/>
                      <w:color w:val="auto"/>
                      <w:kern w:val="0"/>
                      <w:sz w:val="21"/>
                      <w:szCs w:val="21"/>
                      <w:highlight w:val="none"/>
                    </w:rPr>
                  </w:pPr>
                  <w:r>
                    <w:rPr>
                      <w:rFonts w:hint="default" w:ascii="Times New Roman" w:hAnsi="Times New Roman" w:eastAsia="宋体" w:cs="Times New Roman"/>
                      <w:b/>
                      <w:bCs w:val="0"/>
                      <w:color w:val="auto"/>
                      <w:kern w:val="0"/>
                      <w:sz w:val="21"/>
                      <w:szCs w:val="21"/>
                      <w:highlight w:val="none"/>
                    </w:rPr>
                    <w:t>TP</w:t>
                  </w:r>
                </w:p>
              </w:tc>
              <w:tc>
                <w:tcPr>
                  <w:tcW w:w="559" w:type="pct"/>
                  <w:tcBorders>
                    <w:tl2br w:val="nil"/>
                    <w:tr2bl w:val="nil"/>
                  </w:tcBorders>
                  <w:noWrap w:val="0"/>
                  <w:tcMar>
                    <w:left w:w="28" w:type="dxa"/>
                    <w:right w:w="28" w:type="dxa"/>
                  </w:tcMar>
                  <w:vAlign w:val="center"/>
                </w:tcPr>
                <w:p w14:paraId="43CC966C">
                  <w:pPr>
                    <w:widowControl/>
                    <w:spacing w:line="240" w:lineRule="auto"/>
                    <w:ind w:firstLine="0" w:firstLineChars="0"/>
                    <w:jc w:val="center"/>
                    <w:rPr>
                      <w:rFonts w:hint="default" w:ascii="Times New Roman" w:hAnsi="Times New Roman" w:eastAsia="宋体" w:cs="Times New Roman"/>
                      <w:b/>
                      <w:bCs w:val="0"/>
                      <w:color w:val="auto"/>
                      <w:kern w:val="0"/>
                      <w:sz w:val="21"/>
                      <w:szCs w:val="21"/>
                      <w:highlight w:val="none"/>
                    </w:rPr>
                  </w:pPr>
                  <w:r>
                    <w:rPr>
                      <w:rFonts w:hint="default" w:ascii="Times New Roman" w:hAnsi="Times New Roman" w:eastAsia="宋体" w:cs="Times New Roman"/>
                      <w:b/>
                      <w:bCs w:val="0"/>
                      <w:color w:val="auto"/>
                      <w:kern w:val="0"/>
                      <w:sz w:val="21"/>
                      <w:szCs w:val="21"/>
                      <w:highlight w:val="none"/>
                    </w:rPr>
                    <w:t>动植物油</w:t>
                  </w:r>
                </w:p>
              </w:tc>
            </w:tr>
            <w:tr w14:paraId="11D83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98" w:type="pct"/>
                  <w:tcBorders>
                    <w:tl2br w:val="nil"/>
                    <w:tr2bl w:val="nil"/>
                  </w:tcBorders>
                  <w:noWrap w:val="0"/>
                  <w:vAlign w:val="center"/>
                </w:tcPr>
                <w:p w14:paraId="6341C8A3">
                  <w:pPr>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青阳县污水处理厂纳管标准</w:t>
                  </w:r>
                </w:p>
              </w:tc>
              <w:tc>
                <w:tcPr>
                  <w:tcW w:w="478" w:type="pct"/>
                  <w:tcBorders>
                    <w:tl2br w:val="nil"/>
                    <w:tr2bl w:val="nil"/>
                  </w:tcBorders>
                  <w:noWrap w:val="0"/>
                  <w:vAlign w:val="center"/>
                </w:tcPr>
                <w:p w14:paraId="262264B5">
                  <w:pPr>
                    <w:widowControl/>
                    <w:spacing w:line="240" w:lineRule="auto"/>
                    <w:ind w:firstLine="0" w:firstLineChars="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bCs/>
                      <w:color w:val="auto"/>
                      <w:sz w:val="21"/>
                      <w:szCs w:val="21"/>
                      <w:highlight w:val="none"/>
                    </w:rPr>
                    <w:t>6</w:t>
                  </w:r>
                  <w:r>
                    <w:rPr>
                      <w:rFonts w:hint="eastAsia" w:cs="Times New Roman"/>
                      <w:bCs/>
                      <w:color w:val="auto"/>
                      <w:sz w:val="21"/>
                      <w:szCs w:val="21"/>
                      <w:highlight w:val="none"/>
                      <w:lang w:eastAsia="zh-CN"/>
                    </w:rPr>
                    <w:t>~</w:t>
                  </w:r>
                  <w:r>
                    <w:rPr>
                      <w:rFonts w:hint="default" w:ascii="Times New Roman" w:hAnsi="Times New Roman" w:eastAsia="宋体" w:cs="Times New Roman"/>
                      <w:bCs/>
                      <w:color w:val="auto"/>
                      <w:sz w:val="21"/>
                      <w:szCs w:val="21"/>
                      <w:highlight w:val="none"/>
                    </w:rPr>
                    <w:t>9</w:t>
                  </w:r>
                </w:p>
              </w:tc>
              <w:tc>
                <w:tcPr>
                  <w:tcW w:w="465" w:type="pct"/>
                  <w:tcBorders>
                    <w:tl2br w:val="nil"/>
                    <w:tr2bl w:val="nil"/>
                  </w:tcBorders>
                  <w:noWrap w:val="0"/>
                  <w:vAlign w:val="center"/>
                </w:tcPr>
                <w:p w14:paraId="37F136A1">
                  <w:pPr>
                    <w:spacing w:line="240" w:lineRule="auto"/>
                    <w:ind w:firstLine="0" w:firstLineChars="0"/>
                    <w:jc w:val="center"/>
                    <w:rPr>
                      <w:rFonts w:hint="default" w:ascii="Times New Roman" w:hAnsi="Times New Roman" w:eastAsia="宋体" w:cs="Times New Roman"/>
                      <w:bCs/>
                      <w:color w:val="auto"/>
                      <w:sz w:val="21"/>
                      <w:szCs w:val="21"/>
                      <w:highlight w:val="none"/>
                    </w:rPr>
                  </w:pPr>
                  <w:r>
                    <w:rPr>
                      <w:rFonts w:hint="eastAsia" w:cs="Times New Roman"/>
                      <w:bCs/>
                      <w:color w:val="auto"/>
                      <w:sz w:val="21"/>
                      <w:szCs w:val="21"/>
                      <w:highlight w:val="none"/>
                      <w:lang w:val="en-US" w:eastAsia="zh-CN"/>
                    </w:rPr>
                    <w:t>3</w:t>
                  </w:r>
                  <w:r>
                    <w:rPr>
                      <w:rFonts w:hint="default" w:ascii="Times New Roman" w:hAnsi="Times New Roman" w:eastAsia="宋体" w:cs="Times New Roman"/>
                      <w:bCs/>
                      <w:color w:val="auto"/>
                      <w:sz w:val="21"/>
                      <w:szCs w:val="21"/>
                      <w:highlight w:val="none"/>
                    </w:rPr>
                    <w:t>00</w:t>
                  </w:r>
                </w:p>
              </w:tc>
              <w:tc>
                <w:tcPr>
                  <w:tcW w:w="491" w:type="pct"/>
                  <w:tcBorders>
                    <w:tl2br w:val="nil"/>
                    <w:tr2bl w:val="nil"/>
                  </w:tcBorders>
                  <w:noWrap w:val="0"/>
                  <w:vAlign w:val="center"/>
                </w:tcPr>
                <w:p w14:paraId="05645F14">
                  <w:pPr>
                    <w:spacing w:line="240" w:lineRule="auto"/>
                    <w:ind w:firstLine="0" w:firstLineChars="0"/>
                    <w:jc w:val="center"/>
                    <w:rPr>
                      <w:rFonts w:hint="default" w:ascii="Times New Roman" w:hAnsi="Times New Roman" w:eastAsia="宋体" w:cs="Times New Roman"/>
                      <w:bCs/>
                      <w:color w:val="auto"/>
                      <w:sz w:val="21"/>
                      <w:szCs w:val="21"/>
                      <w:highlight w:val="none"/>
                      <w:lang w:val="en-US" w:eastAsia="zh-CN"/>
                    </w:rPr>
                  </w:pPr>
                  <w:r>
                    <w:rPr>
                      <w:rFonts w:hint="eastAsia" w:cs="Times New Roman"/>
                      <w:bCs/>
                      <w:color w:val="auto"/>
                      <w:sz w:val="21"/>
                      <w:szCs w:val="21"/>
                      <w:highlight w:val="none"/>
                      <w:lang w:val="en-US" w:eastAsia="zh-CN"/>
                    </w:rPr>
                    <w:t>150</w:t>
                  </w:r>
                </w:p>
              </w:tc>
              <w:tc>
                <w:tcPr>
                  <w:tcW w:w="362" w:type="pct"/>
                  <w:tcBorders>
                    <w:tl2br w:val="nil"/>
                    <w:tr2bl w:val="nil"/>
                  </w:tcBorders>
                  <w:noWrap w:val="0"/>
                  <w:vAlign w:val="center"/>
                </w:tcPr>
                <w:p w14:paraId="4FB12A3C">
                  <w:pPr>
                    <w:spacing w:line="240" w:lineRule="auto"/>
                    <w:ind w:firstLine="0" w:firstLineChars="0"/>
                    <w:jc w:val="center"/>
                    <w:rPr>
                      <w:rFonts w:hint="default" w:ascii="Times New Roman" w:hAnsi="Times New Roman" w:eastAsia="宋体" w:cs="Times New Roman"/>
                      <w:bCs/>
                      <w:color w:val="auto"/>
                      <w:sz w:val="21"/>
                      <w:szCs w:val="21"/>
                      <w:highlight w:val="none"/>
                      <w:lang w:val="en-US" w:eastAsia="zh-CN"/>
                    </w:rPr>
                  </w:pPr>
                  <w:r>
                    <w:rPr>
                      <w:rFonts w:hint="eastAsia" w:cs="Times New Roman"/>
                      <w:bCs/>
                      <w:color w:val="auto"/>
                      <w:sz w:val="21"/>
                      <w:szCs w:val="21"/>
                      <w:highlight w:val="none"/>
                      <w:lang w:val="en-US" w:eastAsia="zh-CN"/>
                    </w:rPr>
                    <w:t>250</w:t>
                  </w:r>
                </w:p>
              </w:tc>
              <w:tc>
                <w:tcPr>
                  <w:tcW w:w="556" w:type="pct"/>
                  <w:tcBorders>
                    <w:tl2br w:val="nil"/>
                    <w:tr2bl w:val="nil"/>
                  </w:tcBorders>
                  <w:noWrap w:val="0"/>
                  <w:vAlign w:val="center"/>
                </w:tcPr>
                <w:p w14:paraId="4FAE0613">
                  <w:pPr>
                    <w:widowControl/>
                    <w:spacing w:line="240" w:lineRule="auto"/>
                    <w:ind w:firstLine="0" w:firstLineChars="0"/>
                    <w:jc w:val="center"/>
                    <w:rPr>
                      <w:rFonts w:hint="default" w:ascii="Times New Roman" w:hAnsi="Times New Roman" w:eastAsia="宋体" w:cs="Times New Roman"/>
                      <w:bCs/>
                      <w:color w:val="auto"/>
                      <w:sz w:val="21"/>
                      <w:szCs w:val="21"/>
                      <w:highlight w:val="none"/>
                      <w:lang w:val="en-US" w:eastAsia="zh-CN"/>
                    </w:rPr>
                  </w:pPr>
                  <w:r>
                    <w:rPr>
                      <w:rFonts w:hint="eastAsia" w:cs="Times New Roman"/>
                      <w:bCs/>
                      <w:color w:val="auto"/>
                      <w:sz w:val="21"/>
                      <w:szCs w:val="21"/>
                      <w:highlight w:val="none"/>
                      <w:lang w:val="en-US" w:eastAsia="zh-CN"/>
                    </w:rPr>
                    <w:t>25</w:t>
                  </w:r>
                </w:p>
              </w:tc>
              <w:tc>
                <w:tcPr>
                  <w:tcW w:w="286" w:type="pct"/>
                  <w:tcBorders>
                    <w:tl2br w:val="nil"/>
                    <w:tr2bl w:val="nil"/>
                  </w:tcBorders>
                  <w:noWrap w:val="0"/>
                  <w:tcMar>
                    <w:left w:w="28" w:type="dxa"/>
                    <w:right w:w="28" w:type="dxa"/>
                  </w:tcMar>
                  <w:vAlign w:val="center"/>
                </w:tcPr>
                <w:p w14:paraId="0C1F9BB0">
                  <w:pPr>
                    <w:widowControl/>
                    <w:spacing w:line="240" w:lineRule="auto"/>
                    <w:ind w:firstLine="0" w:firstLineChars="0"/>
                    <w:jc w:val="center"/>
                    <w:rPr>
                      <w:rFonts w:hint="default" w:ascii="Times New Roman" w:hAnsi="Times New Roman" w:eastAsia="宋体" w:cs="Times New Roman"/>
                      <w:bCs/>
                      <w:color w:val="auto"/>
                      <w:sz w:val="21"/>
                      <w:szCs w:val="21"/>
                      <w:highlight w:val="none"/>
                      <w:lang w:val="en-US" w:eastAsia="zh-CN"/>
                    </w:rPr>
                  </w:pPr>
                  <w:r>
                    <w:rPr>
                      <w:rFonts w:hint="eastAsia" w:cs="Times New Roman"/>
                      <w:bCs/>
                      <w:color w:val="auto"/>
                      <w:sz w:val="21"/>
                      <w:szCs w:val="21"/>
                      <w:highlight w:val="none"/>
                      <w:lang w:val="en-US" w:eastAsia="zh-CN"/>
                    </w:rPr>
                    <w:t>2.5</w:t>
                  </w:r>
                </w:p>
              </w:tc>
              <w:tc>
                <w:tcPr>
                  <w:tcW w:w="559" w:type="pct"/>
                  <w:tcBorders>
                    <w:tl2br w:val="nil"/>
                    <w:tr2bl w:val="nil"/>
                  </w:tcBorders>
                  <w:noWrap w:val="0"/>
                  <w:tcMar>
                    <w:left w:w="28" w:type="dxa"/>
                    <w:right w:w="28" w:type="dxa"/>
                  </w:tcMar>
                  <w:vAlign w:val="center"/>
                </w:tcPr>
                <w:p w14:paraId="1051B0DC">
                  <w:pPr>
                    <w:widowControl/>
                    <w:spacing w:line="240" w:lineRule="auto"/>
                    <w:ind w:firstLine="0" w:firstLineChars="0"/>
                    <w:jc w:val="center"/>
                    <w:rPr>
                      <w:rFonts w:hint="eastAsia" w:ascii="Times New Roman" w:hAnsi="Times New Roman" w:eastAsia="宋体" w:cs="Times New Roman"/>
                      <w:bCs/>
                      <w:color w:val="auto"/>
                      <w:sz w:val="21"/>
                      <w:szCs w:val="21"/>
                      <w:highlight w:val="none"/>
                      <w:lang w:eastAsia="zh-CN"/>
                    </w:rPr>
                  </w:pPr>
                  <w:r>
                    <w:rPr>
                      <w:rFonts w:hint="eastAsia" w:cs="Times New Roman"/>
                      <w:bCs/>
                      <w:color w:val="auto"/>
                      <w:sz w:val="21"/>
                      <w:szCs w:val="21"/>
                      <w:highlight w:val="none"/>
                      <w:lang w:val="en-US" w:eastAsia="zh-CN"/>
                    </w:rPr>
                    <w:t>/</w:t>
                  </w:r>
                </w:p>
              </w:tc>
            </w:tr>
            <w:tr w14:paraId="58C36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98" w:type="pct"/>
                  <w:tcBorders>
                    <w:tl2br w:val="nil"/>
                    <w:tr2bl w:val="nil"/>
                  </w:tcBorders>
                  <w:noWrap w:val="0"/>
                  <w:vAlign w:val="center"/>
                </w:tcPr>
                <w:p w14:paraId="1EDDACB0">
                  <w:pPr>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GB8978-1996</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三级标准</w:t>
                  </w:r>
                </w:p>
              </w:tc>
              <w:tc>
                <w:tcPr>
                  <w:tcW w:w="478" w:type="pct"/>
                  <w:tcBorders>
                    <w:tl2br w:val="nil"/>
                    <w:tr2bl w:val="nil"/>
                  </w:tcBorders>
                  <w:noWrap w:val="0"/>
                  <w:vAlign w:val="center"/>
                </w:tcPr>
                <w:p w14:paraId="19977032">
                  <w:pPr>
                    <w:widowControl/>
                    <w:spacing w:line="240" w:lineRule="auto"/>
                    <w:ind w:firstLine="0" w:firstLine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6</w:t>
                  </w:r>
                  <w:r>
                    <w:rPr>
                      <w:rFonts w:hint="eastAsia" w:cs="Times New Roman"/>
                      <w:bCs/>
                      <w:color w:val="auto"/>
                      <w:sz w:val="21"/>
                      <w:szCs w:val="21"/>
                      <w:highlight w:val="none"/>
                      <w:lang w:eastAsia="zh-CN"/>
                    </w:rPr>
                    <w:t>~</w:t>
                  </w:r>
                  <w:r>
                    <w:rPr>
                      <w:rFonts w:hint="default" w:ascii="Times New Roman" w:hAnsi="Times New Roman" w:eastAsia="宋体" w:cs="Times New Roman"/>
                      <w:bCs/>
                      <w:color w:val="auto"/>
                      <w:sz w:val="21"/>
                      <w:szCs w:val="21"/>
                      <w:highlight w:val="none"/>
                    </w:rPr>
                    <w:t>9</w:t>
                  </w:r>
                </w:p>
              </w:tc>
              <w:tc>
                <w:tcPr>
                  <w:tcW w:w="465" w:type="pct"/>
                  <w:tcBorders>
                    <w:tl2br w:val="nil"/>
                    <w:tr2bl w:val="nil"/>
                  </w:tcBorders>
                  <w:noWrap w:val="0"/>
                  <w:vAlign w:val="center"/>
                </w:tcPr>
                <w:p w14:paraId="4D536287">
                  <w:pPr>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sz w:val="21"/>
                      <w:szCs w:val="21"/>
                      <w:highlight w:val="none"/>
                    </w:rPr>
                    <w:t>500</w:t>
                  </w:r>
                </w:p>
              </w:tc>
              <w:tc>
                <w:tcPr>
                  <w:tcW w:w="491" w:type="pct"/>
                  <w:tcBorders>
                    <w:tl2br w:val="nil"/>
                    <w:tr2bl w:val="nil"/>
                  </w:tcBorders>
                  <w:noWrap w:val="0"/>
                  <w:vAlign w:val="center"/>
                </w:tcPr>
                <w:p w14:paraId="13FE41B1">
                  <w:pPr>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sz w:val="21"/>
                      <w:szCs w:val="21"/>
                      <w:highlight w:val="none"/>
                    </w:rPr>
                    <w:t>300</w:t>
                  </w:r>
                </w:p>
              </w:tc>
              <w:tc>
                <w:tcPr>
                  <w:tcW w:w="362" w:type="pct"/>
                  <w:tcBorders>
                    <w:tl2br w:val="nil"/>
                    <w:tr2bl w:val="nil"/>
                  </w:tcBorders>
                  <w:noWrap w:val="0"/>
                  <w:vAlign w:val="center"/>
                </w:tcPr>
                <w:p w14:paraId="19C2F31E">
                  <w:pPr>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sz w:val="21"/>
                      <w:szCs w:val="21"/>
                      <w:highlight w:val="none"/>
                    </w:rPr>
                    <w:t>400</w:t>
                  </w:r>
                </w:p>
              </w:tc>
              <w:tc>
                <w:tcPr>
                  <w:tcW w:w="556" w:type="pct"/>
                  <w:tcBorders>
                    <w:tl2br w:val="nil"/>
                    <w:tr2bl w:val="nil"/>
                  </w:tcBorders>
                  <w:noWrap w:val="0"/>
                  <w:vAlign w:val="center"/>
                </w:tcPr>
                <w:p w14:paraId="68DE188F">
                  <w:pPr>
                    <w:widowControl/>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rPr>
                    <w:t>/</w:t>
                  </w:r>
                </w:p>
              </w:tc>
              <w:tc>
                <w:tcPr>
                  <w:tcW w:w="286" w:type="pct"/>
                  <w:tcBorders>
                    <w:tl2br w:val="nil"/>
                    <w:tr2bl w:val="nil"/>
                  </w:tcBorders>
                  <w:noWrap w:val="0"/>
                  <w:tcMar>
                    <w:left w:w="28" w:type="dxa"/>
                    <w:right w:w="28" w:type="dxa"/>
                  </w:tcMar>
                  <w:vAlign w:val="center"/>
                </w:tcPr>
                <w:p w14:paraId="6C3FF0D8">
                  <w:pPr>
                    <w:widowControl/>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sz w:val="21"/>
                      <w:szCs w:val="21"/>
                      <w:highlight w:val="none"/>
                    </w:rPr>
                    <w:t>3</w:t>
                  </w:r>
                </w:p>
              </w:tc>
              <w:tc>
                <w:tcPr>
                  <w:tcW w:w="559" w:type="pct"/>
                  <w:tcBorders>
                    <w:tl2br w:val="nil"/>
                    <w:tr2bl w:val="nil"/>
                  </w:tcBorders>
                  <w:noWrap w:val="0"/>
                  <w:tcMar>
                    <w:left w:w="28" w:type="dxa"/>
                    <w:right w:w="28" w:type="dxa"/>
                  </w:tcMar>
                  <w:vAlign w:val="center"/>
                </w:tcPr>
                <w:p w14:paraId="7D55CFC9">
                  <w:pPr>
                    <w:widowControl/>
                    <w:spacing w:line="240" w:lineRule="auto"/>
                    <w:ind w:firstLine="0" w:firstLine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sz w:val="21"/>
                      <w:szCs w:val="21"/>
                      <w:highlight w:val="none"/>
                    </w:rPr>
                    <w:t>100</w:t>
                  </w:r>
                </w:p>
              </w:tc>
            </w:tr>
            <w:tr w14:paraId="39627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98" w:type="pct"/>
                  <w:tcBorders>
                    <w:tl2br w:val="nil"/>
                    <w:tr2bl w:val="nil"/>
                  </w:tcBorders>
                  <w:noWrap w:val="0"/>
                  <w:vAlign w:val="center"/>
                </w:tcPr>
                <w:p w14:paraId="615EED68">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（GB18918-2002）一级A标准</w:t>
                  </w:r>
                </w:p>
              </w:tc>
              <w:tc>
                <w:tcPr>
                  <w:tcW w:w="478" w:type="pct"/>
                  <w:tcBorders>
                    <w:tl2br w:val="nil"/>
                    <w:tr2bl w:val="nil"/>
                  </w:tcBorders>
                  <w:noWrap w:val="0"/>
                  <w:vAlign w:val="center"/>
                </w:tcPr>
                <w:p w14:paraId="558446EE">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6</w:t>
                  </w:r>
                  <w:r>
                    <w:rPr>
                      <w:rFonts w:hint="eastAsia"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9</w:t>
                  </w:r>
                </w:p>
              </w:tc>
              <w:tc>
                <w:tcPr>
                  <w:tcW w:w="465" w:type="pct"/>
                  <w:tcBorders>
                    <w:tl2br w:val="nil"/>
                    <w:tr2bl w:val="nil"/>
                  </w:tcBorders>
                  <w:noWrap w:val="0"/>
                  <w:vAlign w:val="center"/>
                </w:tcPr>
                <w:p w14:paraId="3903FE76">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50</w:t>
                  </w:r>
                </w:p>
              </w:tc>
              <w:tc>
                <w:tcPr>
                  <w:tcW w:w="491" w:type="pct"/>
                  <w:tcBorders>
                    <w:tl2br w:val="nil"/>
                    <w:tr2bl w:val="nil"/>
                  </w:tcBorders>
                  <w:noWrap w:val="0"/>
                  <w:vAlign w:val="center"/>
                </w:tcPr>
                <w:p w14:paraId="5C5DD4DA">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w:t>
                  </w:r>
                </w:p>
              </w:tc>
              <w:tc>
                <w:tcPr>
                  <w:tcW w:w="362" w:type="pct"/>
                  <w:tcBorders>
                    <w:tl2br w:val="nil"/>
                    <w:tr2bl w:val="nil"/>
                  </w:tcBorders>
                  <w:noWrap w:val="0"/>
                  <w:vAlign w:val="center"/>
                </w:tcPr>
                <w:p w14:paraId="6988F771">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w:t>
                  </w:r>
                </w:p>
              </w:tc>
              <w:tc>
                <w:tcPr>
                  <w:tcW w:w="556" w:type="pct"/>
                  <w:tcBorders>
                    <w:tl2br w:val="nil"/>
                    <w:tr2bl w:val="nil"/>
                  </w:tcBorders>
                  <w:noWrap w:val="0"/>
                  <w:vAlign w:val="center"/>
                </w:tcPr>
                <w:p w14:paraId="58363B5B">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w:t>
                  </w:r>
                </w:p>
              </w:tc>
              <w:tc>
                <w:tcPr>
                  <w:tcW w:w="286" w:type="pct"/>
                  <w:tcBorders>
                    <w:tl2br w:val="nil"/>
                    <w:tr2bl w:val="nil"/>
                  </w:tcBorders>
                  <w:noWrap w:val="0"/>
                  <w:tcMar>
                    <w:left w:w="28" w:type="dxa"/>
                    <w:right w:w="28" w:type="dxa"/>
                  </w:tcMar>
                  <w:vAlign w:val="center"/>
                </w:tcPr>
                <w:p w14:paraId="1CB6B50D">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559" w:type="pct"/>
                  <w:tcBorders>
                    <w:tl2br w:val="nil"/>
                    <w:tr2bl w:val="nil"/>
                  </w:tcBorders>
                  <w:noWrap w:val="0"/>
                  <w:tcMar>
                    <w:left w:w="28" w:type="dxa"/>
                    <w:right w:w="28" w:type="dxa"/>
                  </w:tcMar>
                  <w:vAlign w:val="center"/>
                </w:tcPr>
                <w:p w14:paraId="073F2743">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r>
          </w:tbl>
          <w:p w14:paraId="33348033">
            <w:pPr>
              <w:bidi w:val="0"/>
              <w:rPr>
                <w:rFonts w:hint="default" w:ascii="Times New Roman" w:hAnsi="Times New Roman" w:cs="Times New Roman"/>
                <w:b/>
                <w:bCs/>
                <w:color w:val="auto"/>
                <w:highlight w:val="none"/>
                <w:lang w:val="en-US" w:eastAsia="zh-CN"/>
              </w:rPr>
            </w:pPr>
            <w:r>
              <w:rPr>
                <w:rFonts w:hint="eastAsia" w:ascii="Times New Roman" w:hAnsi="Times New Roman" w:cs="Times New Roman"/>
                <w:b/>
                <w:bCs/>
                <w:color w:val="auto"/>
                <w:highlight w:val="none"/>
                <w:lang w:val="en-US" w:eastAsia="zh-CN"/>
              </w:rPr>
              <w:t>3、</w:t>
            </w:r>
            <w:r>
              <w:rPr>
                <w:rFonts w:hint="default" w:ascii="Times New Roman" w:hAnsi="Times New Roman" w:cs="Times New Roman"/>
                <w:b/>
                <w:bCs/>
                <w:color w:val="auto"/>
                <w:highlight w:val="none"/>
                <w:lang w:val="en-US" w:eastAsia="zh-CN"/>
              </w:rPr>
              <w:t>噪声排放控制标准</w:t>
            </w:r>
          </w:p>
          <w:p w14:paraId="54BE2DC0">
            <w:pPr>
              <w:bidi w:val="0"/>
              <w:ind w:firstLine="480"/>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highlight w:val="none"/>
              </w:rPr>
              <w:t>运营期</w:t>
            </w:r>
            <w:r>
              <w:rPr>
                <w:rFonts w:hint="default" w:ascii="Times New Roman" w:hAnsi="Times New Roman" w:cs="Times New Roman"/>
                <w:color w:val="auto"/>
                <w:highlight w:val="none"/>
                <w:lang w:val="en-US" w:eastAsia="zh-CN"/>
              </w:rPr>
              <w:t>厂界</w:t>
            </w:r>
            <w:r>
              <w:rPr>
                <w:rFonts w:hint="default" w:ascii="Times New Roman" w:hAnsi="Times New Roman" w:cs="Times New Roman"/>
                <w:color w:val="auto"/>
                <w:highlight w:val="none"/>
              </w:rPr>
              <w:t>噪声执行《工业企业厂界环境噪声排放标准》（GB12348-2008）中的</w:t>
            </w:r>
            <w:r>
              <w:rPr>
                <w:rFonts w:hint="eastAsia" w:cs="Times New Roman"/>
                <w:color w:val="auto"/>
                <w:highlight w:val="none"/>
                <w:lang w:val="en-US" w:eastAsia="zh-CN"/>
              </w:rPr>
              <w:t>3</w:t>
            </w:r>
            <w:r>
              <w:rPr>
                <w:rFonts w:hint="default" w:ascii="Times New Roman" w:hAnsi="Times New Roman" w:cs="Times New Roman"/>
                <w:color w:val="auto"/>
                <w:highlight w:val="none"/>
              </w:rPr>
              <w:t>类标准</w:t>
            </w:r>
            <w:r>
              <w:rPr>
                <w:rFonts w:hint="default" w:ascii="Times New Roman" w:hAnsi="Times New Roman" w:cs="Times New Roman"/>
                <w:color w:val="auto"/>
                <w:highlight w:val="none"/>
                <w:lang w:eastAsia="zh-CN"/>
              </w:rPr>
              <w:t>。</w:t>
            </w:r>
          </w:p>
          <w:p w14:paraId="042F164D">
            <w:pPr>
              <w:pStyle w:val="5"/>
              <w:tabs>
                <w:tab w:val="left" w:pos="1284"/>
              </w:tabs>
              <w:bidi w:val="0"/>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表</w:t>
            </w:r>
            <w:r>
              <w:rPr>
                <w:rFonts w:hint="default" w:ascii="Times New Roman" w:hAnsi="Times New Roman" w:cs="Times New Roman"/>
                <w:color w:val="auto"/>
                <w:highlight w:val="none"/>
                <w:lang w:val="en-US" w:eastAsia="zh-CN"/>
              </w:rPr>
              <w:t>3-</w:t>
            </w:r>
            <w:r>
              <w:rPr>
                <w:rFonts w:hint="eastAsia" w:ascii="Times New Roman" w:hAnsi="Times New Roman" w:cs="Times New Roman"/>
                <w:color w:val="auto"/>
                <w:highlight w:val="none"/>
                <w:lang w:val="en-US" w:eastAsia="zh-CN"/>
              </w:rPr>
              <w:t>8</w:t>
            </w:r>
            <w:r>
              <w:rPr>
                <w:rFonts w:hint="default" w:ascii="Times New Roman" w:hAnsi="Times New Roman" w:cs="Times New Roman"/>
                <w:color w:val="auto"/>
                <w:highlight w:val="none"/>
                <w:lang w:val="zh-CN"/>
              </w:rPr>
              <w:t xml:space="preserve"> 工业企业厂界环境噪声排放标准  单位：dB（A）</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8"/>
              <w:gridCol w:w="1584"/>
              <w:gridCol w:w="3159"/>
              <w:gridCol w:w="1325"/>
              <w:gridCol w:w="1293"/>
            </w:tblGrid>
            <w:tr w14:paraId="5B5FB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 w:type="dxa"/>
                  <w:noWrap w:val="0"/>
                  <w:vAlign w:val="center"/>
                </w:tcPr>
                <w:p w14:paraId="78B8DB8A">
                  <w:pPr>
                    <w:pStyle w:val="10"/>
                    <w:bidi w:val="0"/>
                    <w:ind w:right="0" w:rightChars="0" w:firstLine="0" w:firstLineChars="0"/>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cs="Times New Roman"/>
                      <w:b/>
                      <w:bCs/>
                      <w:color w:val="auto"/>
                      <w:sz w:val="21"/>
                      <w:szCs w:val="21"/>
                      <w:highlight w:val="none"/>
                      <w:lang w:val="en-US" w:eastAsia="zh-CN"/>
                    </w:rPr>
                    <w:t>时段</w:t>
                  </w:r>
                </w:p>
              </w:tc>
              <w:tc>
                <w:tcPr>
                  <w:tcW w:w="1584" w:type="dxa"/>
                  <w:noWrap w:val="0"/>
                  <w:vAlign w:val="center"/>
                </w:tcPr>
                <w:p w14:paraId="7D931F4C">
                  <w:pPr>
                    <w:pStyle w:val="10"/>
                    <w:bidi w:val="0"/>
                    <w:ind w:right="0" w:rightChars="0" w:firstLine="0" w:firstLineChars="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位置</w:t>
                  </w:r>
                </w:p>
              </w:tc>
              <w:tc>
                <w:tcPr>
                  <w:tcW w:w="3159" w:type="dxa"/>
                  <w:noWrap w:val="0"/>
                  <w:vAlign w:val="center"/>
                </w:tcPr>
                <w:p w14:paraId="09990BEC">
                  <w:pPr>
                    <w:pStyle w:val="10"/>
                    <w:bidi w:val="0"/>
                    <w:ind w:right="0" w:rightChars="0" w:firstLine="0" w:firstLineChars="0"/>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cs="Times New Roman"/>
                      <w:b/>
                      <w:bCs/>
                      <w:color w:val="auto"/>
                      <w:sz w:val="21"/>
                      <w:szCs w:val="21"/>
                      <w:highlight w:val="none"/>
                    </w:rPr>
                    <w:t>标准名称</w:t>
                  </w:r>
                </w:p>
              </w:tc>
              <w:tc>
                <w:tcPr>
                  <w:tcW w:w="1325" w:type="dxa"/>
                  <w:noWrap w:val="0"/>
                  <w:vAlign w:val="center"/>
                </w:tcPr>
                <w:p w14:paraId="52BF8F7D">
                  <w:pPr>
                    <w:pStyle w:val="10"/>
                    <w:bidi w:val="0"/>
                    <w:ind w:right="0" w:rightChars="0" w:firstLine="0" w:firstLineChars="0"/>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cs="Times New Roman"/>
                      <w:b/>
                      <w:bCs/>
                      <w:color w:val="auto"/>
                      <w:sz w:val="21"/>
                      <w:szCs w:val="21"/>
                      <w:highlight w:val="none"/>
                    </w:rPr>
                    <w:t>昼间</w:t>
                  </w:r>
                </w:p>
              </w:tc>
              <w:tc>
                <w:tcPr>
                  <w:tcW w:w="1293" w:type="dxa"/>
                  <w:noWrap w:val="0"/>
                  <w:vAlign w:val="center"/>
                </w:tcPr>
                <w:p w14:paraId="3967F6CB">
                  <w:pPr>
                    <w:pStyle w:val="10"/>
                    <w:bidi w:val="0"/>
                    <w:ind w:right="0" w:rightChars="0" w:firstLine="0" w:firstLineChars="0"/>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cs="Times New Roman"/>
                      <w:b/>
                      <w:bCs/>
                      <w:color w:val="auto"/>
                      <w:sz w:val="21"/>
                      <w:szCs w:val="21"/>
                      <w:highlight w:val="none"/>
                    </w:rPr>
                    <w:t>夜间</w:t>
                  </w:r>
                </w:p>
              </w:tc>
            </w:tr>
            <w:tr w14:paraId="5A2DF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 w:type="dxa"/>
                  <w:noWrap w:val="0"/>
                  <w:vAlign w:val="center"/>
                </w:tcPr>
                <w:p w14:paraId="63E82464">
                  <w:pPr>
                    <w:pStyle w:val="10"/>
                    <w:bidi w:val="0"/>
                    <w:ind w:right="0" w:rightChars="0" w:firstLine="0" w:firstLineChars="0"/>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营运期</w:t>
                  </w:r>
                </w:p>
              </w:tc>
              <w:tc>
                <w:tcPr>
                  <w:tcW w:w="1584" w:type="dxa"/>
                  <w:noWrap w:val="0"/>
                  <w:vAlign w:val="center"/>
                </w:tcPr>
                <w:p w14:paraId="70613A23">
                  <w:pPr>
                    <w:pStyle w:val="10"/>
                    <w:bidi w:val="0"/>
                    <w:ind w:right="0" w:rightChars="0" w:firstLine="0" w:firstLine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厂界四周</w:t>
                  </w:r>
                </w:p>
              </w:tc>
              <w:tc>
                <w:tcPr>
                  <w:tcW w:w="3159" w:type="dxa"/>
                  <w:noWrap w:val="0"/>
                  <w:vAlign w:val="center"/>
                </w:tcPr>
                <w:p w14:paraId="3C5BF2CB">
                  <w:pPr>
                    <w:pStyle w:val="10"/>
                    <w:bidi w:val="0"/>
                    <w:ind w:right="0" w:rightChars="0" w:firstLine="0" w:firstLineChars="0"/>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sz w:val="21"/>
                      <w:szCs w:val="21"/>
                      <w:highlight w:val="none"/>
                    </w:rPr>
                    <w:t>《工业企业厂界</w:t>
                  </w:r>
                  <w:r>
                    <w:rPr>
                      <w:rFonts w:hint="eastAsia" w:ascii="Times New Roman" w:hAnsi="Times New Roman" w:cs="Times New Roman"/>
                      <w:color w:val="auto"/>
                      <w:sz w:val="21"/>
                      <w:szCs w:val="21"/>
                      <w:highlight w:val="none"/>
                      <w:lang w:val="en-US" w:eastAsia="zh-CN"/>
                    </w:rPr>
                    <w:t>环境</w:t>
                  </w:r>
                  <w:r>
                    <w:rPr>
                      <w:rFonts w:hint="default" w:ascii="Times New Roman" w:hAnsi="Times New Roman" w:cs="Times New Roman"/>
                      <w:color w:val="auto"/>
                      <w:sz w:val="21"/>
                      <w:szCs w:val="21"/>
                      <w:highlight w:val="none"/>
                    </w:rPr>
                    <w:t>噪声排放标准》（</w:t>
                  </w:r>
                  <w:r>
                    <w:rPr>
                      <w:rFonts w:hint="default" w:ascii="Times New Roman" w:hAnsi="Times New Roman" w:cs="Times New Roman"/>
                      <w:color w:val="auto"/>
                      <w:kern w:val="0"/>
                      <w:sz w:val="21"/>
                      <w:szCs w:val="21"/>
                      <w:highlight w:val="none"/>
                    </w:rPr>
                    <w:t>GB12348-2008</w:t>
                  </w:r>
                  <w:r>
                    <w:rPr>
                      <w:rFonts w:hint="default" w:ascii="Times New Roman" w:hAnsi="Times New Roman" w:cs="Times New Roman"/>
                      <w:color w:val="auto"/>
                      <w:sz w:val="21"/>
                      <w:szCs w:val="21"/>
                      <w:highlight w:val="none"/>
                    </w:rPr>
                    <w:t>）</w:t>
                  </w:r>
                  <w:r>
                    <w:rPr>
                      <w:rFonts w:hint="eastAsia" w:cs="Times New Roman"/>
                      <w:color w:val="auto"/>
                      <w:sz w:val="21"/>
                      <w:szCs w:val="21"/>
                      <w:highlight w:val="none"/>
                      <w:lang w:val="en-US" w:eastAsia="zh-CN"/>
                    </w:rPr>
                    <w:t>3</w:t>
                  </w:r>
                  <w:r>
                    <w:rPr>
                      <w:rFonts w:hint="default" w:ascii="Times New Roman" w:hAnsi="Times New Roman" w:cs="Times New Roman"/>
                      <w:color w:val="auto"/>
                      <w:sz w:val="21"/>
                      <w:szCs w:val="21"/>
                      <w:highlight w:val="none"/>
                    </w:rPr>
                    <w:t>类标准</w:t>
                  </w:r>
                </w:p>
              </w:tc>
              <w:tc>
                <w:tcPr>
                  <w:tcW w:w="1325" w:type="dxa"/>
                  <w:noWrap w:val="0"/>
                  <w:vAlign w:val="center"/>
                </w:tcPr>
                <w:p w14:paraId="451CA3A0">
                  <w:pPr>
                    <w:pStyle w:val="10"/>
                    <w:bidi w:val="0"/>
                    <w:ind w:right="0" w:rightChars="0" w:firstLine="0" w:firstLineChars="0"/>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sz w:val="21"/>
                      <w:szCs w:val="21"/>
                      <w:highlight w:val="none"/>
                      <w:lang w:val="en-US" w:eastAsia="zh-CN"/>
                    </w:rPr>
                    <w:t>65</w:t>
                  </w:r>
                </w:p>
              </w:tc>
              <w:tc>
                <w:tcPr>
                  <w:tcW w:w="1293" w:type="dxa"/>
                  <w:noWrap w:val="0"/>
                  <w:vAlign w:val="center"/>
                </w:tcPr>
                <w:p w14:paraId="50E06148">
                  <w:pPr>
                    <w:pStyle w:val="10"/>
                    <w:bidi w:val="0"/>
                    <w:ind w:right="0" w:rightChars="0" w:firstLine="0" w:firstLineChars="0"/>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sz w:val="21"/>
                      <w:szCs w:val="21"/>
                      <w:highlight w:val="none"/>
                      <w:lang w:val="en-US" w:eastAsia="zh-CN"/>
                    </w:rPr>
                    <w:t>55</w:t>
                  </w:r>
                </w:p>
              </w:tc>
            </w:tr>
          </w:tbl>
          <w:p w14:paraId="7A5F2D5D">
            <w:pPr>
              <w:bidi w:val="0"/>
              <w:rPr>
                <w:rFonts w:hint="default" w:ascii="Times New Roman" w:hAnsi="Times New Roman" w:cs="Times New Roman"/>
                <w:b/>
                <w:bCs/>
                <w:color w:val="auto"/>
                <w:highlight w:val="none"/>
                <w:lang w:val="en-US" w:eastAsia="zh-CN"/>
              </w:rPr>
            </w:pPr>
            <w:bookmarkStart w:id="12" w:name="_Toc22451"/>
            <w:r>
              <w:rPr>
                <w:rFonts w:hint="eastAsia" w:ascii="Times New Roman" w:hAnsi="Times New Roman" w:cs="Times New Roman"/>
                <w:b/>
                <w:bCs/>
                <w:color w:val="auto"/>
                <w:highlight w:val="none"/>
                <w:lang w:val="en-US" w:eastAsia="zh-CN"/>
              </w:rPr>
              <w:t>4、</w:t>
            </w:r>
            <w:r>
              <w:rPr>
                <w:rFonts w:hint="default" w:ascii="Times New Roman" w:hAnsi="Times New Roman" w:cs="Times New Roman"/>
                <w:b/>
                <w:bCs/>
                <w:color w:val="auto"/>
                <w:highlight w:val="none"/>
                <w:lang w:val="en-US" w:eastAsia="zh-CN"/>
              </w:rPr>
              <w:t>固体废物污染控制标准</w:t>
            </w:r>
            <w:bookmarkEnd w:id="12"/>
          </w:p>
          <w:p w14:paraId="5413E217">
            <w:pPr>
              <w:pStyle w:val="63"/>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default" w:ascii="Times New Roman" w:hAnsi="Times New Roman" w:eastAsia="宋体" w:cs="Times New Roman"/>
                <w:b/>
                <w:bCs/>
                <w:color w:val="auto"/>
                <w:highlight w:val="none"/>
              </w:rPr>
            </w:pPr>
            <w:r>
              <w:rPr>
                <w:rFonts w:hint="default" w:ascii="Times New Roman" w:hAnsi="Times New Roman" w:eastAsia="宋体" w:cs="Times New Roman"/>
                <w:color w:val="auto"/>
                <w:sz w:val="24"/>
                <w:szCs w:val="24"/>
                <w:highlight w:val="none"/>
              </w:rPr>
              <w:t>一般工业</w:t>
            </w:r>
            <w:r>
              <w:rPr>
                <w:rFonts w:hint="default" w:ascii="Times New Roman" w:hAnsi="Times New Roman" w:eastAsia="宋体" w:cs="Times New Roman"/>
                <w:color w:val="auto"/>
                <w:sz w:val="24"/>
                <w:szCs w:val="24"/>
                <w:highlight w:val="none"/>
                <w:lang w:val="en-US" w:eastAsia="zh-CN"/>
              </w:rPr>
              <w:t>固体废物排放参照《一般工业固体废物贮存和填埋污染控制标准》（GB18599-2020）的有关规定和《中华人民共和国固体废物污染环境防治法》中的有关规定</w:t>
            </w:r>
            <w:r>
              <w:rPr>
                <w:rFonts w:hint="default" w:ascii="Times New Roman" w:hAnsi="Times New Roman" w:eastAsia="宋体" w:cs="Times New Roman"/>
                <w:color w:val="auto"/>
                <w:sz w:val="24"/>
                <w:szCs w:val="24"/>
                <w:highlight w:val="none"/>
              </w:rPr>
              <w:t>；危险废物贮存执行《危险废物贮存污染控制标准》（GB18597</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2023）。</w:t>
            </w:r>
          </w:p>
        </w:tc>
      </w:tr>
      <w:tr w14:paraId="4887042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92" w:type="dxa"/>
            <w:noWrap w:val="0"/>
            <w:vAlign w:val="center"/>
          </w:tcPr>
          <w:p w14:paraId="1677C621">
            <w:pPr>
              <w:pStyle w:val="10"/>
              <w:keepNext w:val="0"/>
              <w:keepLines w:val="0"/>
              <w:pageBreakBefore w:val="0"/>
              <w:widowControl/>
              <w:kinsoku/>
              <w:wordWrap/>
              <w:overflowPunct/>
              <w:topLinePunct w:val="0"/>
              <w:autoSpaceDE/>
              <w:autoSpaceDN/>
              <w:bidi w:val="0"/>
              <w:adjustRightInd w:val="0"/>
              <w:snapToGrid w:val="0"/>
              <w:ind w:firstLine="0" w:firstLineChars="0"/>
              <w:textAlignment w:val="auto"/>
              <w:rPr>
                <w:rFonts w:hint="eastAsia"/>
                <w:b/>
                <w:bCs/>
                <w:color w:val="auto"/>
                <w:sz w:val="24"/>
                <w:szCs w:val="24"/>
                <w:highlight w:val="none"/>
              </w:rPr>
            </w:pPr>
            <w:r>
              <w:rPr>
                <w:rFonts w:hint="eastAsia"/>
                <w:b/>
                <w:bCs/>
                <w:color w:val="auto"/>
                <w:sz w:val="24"/>
                <w:szCs w:val="24"/>
                <w:highlight w:val="none"/>
              </w:rPr>
              <w:t>总量</w:t>
            </w:r>
          </w:p>
          <w:p w14:paraId="6895B0B8">
            <w:pPr>
              <w:pStyle w:val="10"/>
              <w:keepNext w:val="0"/>
              <w:keepLines w:val="0"/>
              <w:pageBreakBefore w:val="0"/>
              <w:widowControl/>
              <w:kinsoku/>
              <w:wordWrap/>
              <w:overflowPunct/>
              <w:topLinePunct w:val="0"/>
              <w:autoSpaceDE/>
              <w:autoSpaceDN/>
              <w:bidi w:val="0"/>
              <w:adjustRightInd w:val="0"/>
              <w:snapToGrid w:val="0"/>
              <w:ind w:firstLine="0" w:firstLineChars="0"/>
              <w:textAlignment w:val="auto"/>
              <w:rPr>
                <w:rFonts w:hint="eastAsia"/>
                <w:b/>
                <w:bCs/>
                <w:color w:val="auto"/>
                <w:sz w:val="24"/>
                <w:szCs w:val="24"/>
                <w:highlight w:val="none"/>
              </w:rPr>
            </w:pPr>
            <w:r>
              <w:rPr>
                <w:rFonts w:hint="eastAsia"/>
                <w:b/>
                <w:bCs/>
                <w:color w:val="auto"/>
                <w:sz w:val="24"/>
                <w:szCs w:val="24"/>
                <w:highlight w:val="none"/>
              </w:rPr>
              <w:t>控制</w:t>
            </w:r>
          </w:p>
          <w:p w14:paraId="6B834EE6">
            <w:pPr>
              <w:pStyle w:val="10"/>
              <w:keepNext w:val="0"/>
              <w:keepLines w:val="0"/>
              <w:pageBreakBefore w:val="0"/>
              <w:widowControl/>
              <w:kinsoku/>
              <w:wordWrap/>
              <w:overflowPunct/>
              <w:topLinePunct w:val="0"/>
              <w:autoSpaceDE/>
              <w:autoSpaceDN/>
              <w:bidi w:val="0"/>
              <w:adjustRightInd w:val="0"/>
              <w:snapToGrid w:val="0"/>
              <w:ind w:firstLine="0" w:firstLineChars="0"/>
              <w:textAlignment w:val="auto"/>
              <w:rPr>
                <w:b/>
                <w:bCs/>
                <w:color w:val="auto"/>
                <w:sz w:val="24"/>
                <w:szCs w:val="24"/>
                <w:highlight w:val="none"/>
              </w:rPr>
            </w:pPr>
            <w:r>
              <w:rPr>
                <w:rFonts w:hint="eastAsia"/>
                <w:b/>
                <w:bCs/>
                <w:color w:val="auto"/>
                <w:sz w:val="24"/>
                <w:szCs w:val="24"/>
                <w:highlight w:val="none"/>
              </w:rPr>
              <w:t>指标</w:t>
            </w:r>
          </w:p>
        </w:tc>
        <w:tc>
          <w:tcPr>
            <w:tcW w:w="8505" w:type="dxa"/>
            <w:noWrap w:val="0"/>
            <w:vAlign w:val="center"/>
          </w:tcPr>
          <w:p w14:paraId="6FCB96F9">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b/>
                <w:bCs/>
                <w:color w:val="auto"/>
                <w:highlight w:val="none"/>
                <w:lang w:val="en-US" w:eastAsia="zh-CN"/>
              </w:rPr>
              <w:t>废水总量：</w:t>
            </w:r>
            <w:r>
              <w:rPr>
                <w:rFonts w:hint="default" w:ascii="Times New Roman" w:hAnsi="Times New Roman" w:cs="Times New Roman"/>
                <w:b w:val="0"/>
                <w:bCs w:val="0"/>
                <w:color w:val="auto"/>
                <w:highlight w:val="none"/>
                <w:lang w:val="en-US" w:eastAsia="zh-CN"/>
              </w:rPr>
              <w:t>生活污水经化粪池处理后汇同经隔油池处理后的餐饮废水一同与冷却水定期排水</w:t>
            </w:r>
            <w:r>
              <w:rPr>
                <w:rFonts w:hint="eastAsia"/>
                <w:color w:val="auto"/>
                <w:highlight w:val="none"/>
                <w:lang w:val="en-US" w:eastAsia="zh-CN"/>
              </w:rPr>
              <w:t>汇合后达到青阳县污水处理厂</w:t>
            </w:r>
            <w:r>
              <w:rPr>
                <w:rFonts w:hint="default"/>
                <w:color w:val="auto"/>
                <w:highlight w:val="none"/>
                <w:lang w:val="en-US" w:eastAsia="zh-CN"/>
              </w:rPr>
              <w:t>纳管标准、《污水综合排放标准》（GB8978-1996）表4三级标准后</w:t>
            </w:r>
            <w:r>
              <w:rPr>
                <w:rFonts w:hint="eastAsia"/>
                <w:color w:val="auto"/>
                <w:highlight w:val="none"/>
                <w:lang w:val="en-US" w:eastAsia="zh-CN"/>
              </w:rPr>
              <w:t>排入</w:t>
            </w:r>
            <w:r>
              <w:rPr>
                <w:rFonts w:hint="default"/>
                <w:color w:val="auto"/>
                <w:highlight w:val="none"/>
                <w:lang w:val="en-US" w:eastAsia="zh-CN"/>
              </w:rPr>
              <w:t>市政污水管网进入</w:t>
            </w:r>
            <w:r>
              <w:rPr>
                <w:rFonts w:hint="eastAsia"/>
                <w:color w:val="auto"/>
                <w:highlight w:val="none"/>
                <w:lang w:val="en-US" w:eastAsia="zh-CN"/>
              </w:rPr>
              <w:t>青阳县污水处理厂</w:t>
            </w:r>
            <w:r>
              <w:rPr>
                <w:rFonts w:hint="default"/>
                <w:color w:val="auto"/>
                <w:highlight w:val="none"/>
                <w:lang w:val="en-US"/>
              </w:rPr>
              <w:t>集中处理，</w:t>
            </w:r>
            <w:r>
              <w:rPr>
                <w:rFonts w:hint="eastAsia"/>
                <w:color w:val="auto"/>
                <w:highlight w:val="none"/>
                <w:lang w:val="en-US" w:eastAsia="zh-CN"/>
              </w:rPr>
              <w:t>达到《</w:t>
            </w:r>
            <w:r>
              <w:rPr>
                <w:rFonts w:hint="default"/>
                <w:color w:val="auto"/>
                <w:highlight w:val="none"/>
                <w:lang w:val="en-US"/>
              </w:rPr>
              <w:t>城镇污水处理厂污染物排放标准</w:t>
            </w:r>
            <w:r>
              <w:rPr>
                <w:rFonts w:hint="eastAsia"/>
                <w:color w:val="auto"/>
                <w:highlight w:val="none"/>
                <w:lang w:val="en-US" w:eastAsia="zh-CN"/>
              </w:rPr>
              <w:t>》</w:t>
            </w:r>
            <w:r>
              <w:rPr>
                <w:rFonts w:hint="default"/>
                <w:color w:val="auto"/>
                <w:highlight w:val="none"/>
                <w:lang w:val="en-US"/>
              </w:rPr>
              <w:t>（GB18918-2002）一级A标准后尾水排入青通河</w:t>
            </w:r>
            <w:r>
              <w:rPr>
                <w:rFonts w:hint="eastAsia"/>
                <w:color w:val="auto"/>
                <w:highlight w:val="none"/>
                <w:lang w:val="en-US" w:eastAsia="zh-CN"/>
              </w:rPr>
              <w:t>。本项目通过青阳县污水处理厂排入外环境COD：0.055t/a、氨氮：0.005t/a、TP：0.001t/a，</w:t>
            </w:r>
            <w:r>
              <w:rPr>
                <w:rFonts w:hint="default" w:ascii="Times New Roman" w:hAnsi="Times New Roman" w:eastAsia="宋体" w:cs="Times New Roman"/>
                <w:b w:val="0"/>
                <w:bCs/>
                <w:color w:val="auto"/>
                <w:sz w:val="24"/>
                <w:szCs w:val="24"/>
                <w:highlight w:val="none"/>
                <w:vertAlign w:val="baseline"/>
                <w:lang w:val="en-US" w:eastAsia="zh-CN"/>
              </w:rPr>
              <w:t>由于</w:t>
            </w:r>
            <w:r>
              <w:rPr>
                <w:rFonts w:hint="eastAsia" w:ascii="Times New Roman" w:hAnsi="Times New Roman" w:eastAsia="宋体" w:cs="Times New Roman"/>
                <w:b w:val="0"/>
                <w:bCs/>
                <w:color w:val="auto"/>
                <w:sz w:val="24"/>
                <w:szCs w:val="24"/>
                <w:highlight w:val="none"/>
                <w:vertAlign w:val="baseline"/>
                <w:lang w:val="en-US" w:eastAsia="zh-CN"/>
              </w:rPr>
              <w:t>本项目</w:t>
            </w:r>
            <w:r>
              <w:rPr>
                <w:rFonts w:hint="default" w:ascii="Times New Roman" w:hAnsi="Times New Roman" w:eastAsia="宋体" w:cs="Times New Roman"/>
                <w:b w:val="0"/>
                <w:bCs/>
                <w:color w:val="auto"/>
                <w:sz w:val="24"/>
                <w:szCs w:val="24"/>
                <w:highlight w:val="none"/>
                <w:vertAlign w:val="baseline"/>
                <w:lang w:val="en-US" w:eastAsia="zh-CN"/>
              </w:rPr>
              <w:t>为</w:t>
            </w:r>
            <w:r>
              <w:rPr>
                <w:rFonts w:hint="eastAsia" w:ascii="Times New Roman" w:hAnsi="Times New Roman" w:eastAsia="宋体" w:cs="Times New Roman"/>
                <w:b w:val="0"/>
                <w:bCs/>
                <w:color w:val="auto"/>
                <w:sz w:val="24"/>
                <w:szCs w:val="24"/>
                <w:highlight w:val="none"/>
                <w:vertAlign w:val="baseline"/>
                <w:lang w:val="en-US" w:eastAsia="zh-CN"/>
              </w:rPr>
              <w:t>新建项目</w:t>
            </w:r>
            <w:r>
              <w:rPr>
                <w:rFonts w:hint="default" w:ascii="Times New Roman" w:hAnsi="Times New Roman" w:eastAsia="宋体" w:cs="Times New Roman"/>
                <w:b w:val="0"/>
                <w:bCs/>
                <w:color w:val="auto"/>
                <w:sz w:val="24"/>
                <w:szCs w:val="24"/>
                <w:highlight w:val="none"/>
                <w:vertAlign w:val="baseline"/>
                <w:lang w:val="en-US" w:eastAsia="zh-CN"/>
              </w:rPr>
              <w:t>，需要申请总量。本次评价建议申请总量为</w:t>
            </w:r>
            <w:r>
              <w:rPr>
                <w:rFonts w:hint="eastAsia"/>
                <w:color w:val="auto"/>
                <w:highlight w:val="none"/>
                <w:lang w:val="en-US" w:eastAsia="zh-CN"/>
              </w:rPr>
              <w:t>COD：0.055t/a、氨氮：0.005t/a、TP：0.001t/a。</w:t>
            </w:r>
          </w:p>
          <w:p w14:paraId="3A86FD32">
            <w:pPr>
              <w:bidi w:val="0"/>
              <w:jc w:val="both"/>
              <w:rPr>
                <w:rFonts w:hint="default"/>
                <w:color w:val="auto"/>
                <w:highlight w:val="none"/>
                <w:lang w:val="en-US" w:eastAsia="zh-CN"/>
              </w:rPr>
            </w:pPr>
            <w:r>
              <w:rPr>
                <w:rFonts w:hint="default" w:ascii="Times New Roman" w:hAnsi="Times New Roman" w:cs="Times New Roman"/>
                <w:b/>
                <w:bCs/>
                <w:color w:val="auto"/>
                <w:sz w:val="24"/>
                <w:szCs w:val="24"/>
                <w:highlight w:val="none"/>
                <w:lang w:val="en-US" w:eastAsia="zh-CN"/>
              </w:rPr>
              <w:t>废气总量：</w:t>
            </w:r>
            <w:r>
              <w:rPr>
                <w:rFonts w:hint="eastAsia" w:ascii="Times New Roman" w:hAnsi="Times New Roman" w:eastAsia="宋体" w:cs="Times New Roman"/>
                <w:b w:val="0"/>
                <w:bCs/>
                <w:color w:val="auto"/>
                <w:sz w:val="24"/>
                <w:szCs w:val="24"/>
                <w:highlight w:val="none"/>
                <w:vertAlign w:val="baseline"/>
                <w:lang w:val="en-US" w:eastAsia="zh-CN"/>
              </w:rPr>
              <w:t>本项目污染物有组织</w:t>
            </w:r>
            <w:r>
              <w:rPr>
                <w:rFonts w:hint="default" w:ascii="Times New Roman" w:hAnsi="Times New Roman" w:eastAsia="宋体" w:cs="Times New Roman"/>
                <w:b w:val="0"/>
                <w:bCs/>
                <w:color w:val="auto"/>
                <w:sz w:val="24"/>
                <w:szCs w:val="24"/>
                <w:highlight w:val="none"/>
                <w:vertAlign w:val="baseline"/>
                <w:lang w:val="en-US" w:eastAsia="zh-CN"/>
              </w:rPr>
              <w:t>排放量为：</w:t>
            </w:r>
            <w:r>
              <w:rPr>
                <w:rFonts w:hint="eastAsia" w:cs="Times New Roman"/>
                <w:b w:val="0"/>
                <w:bCs/>
                <w:color w:val="auto"/>
                <w:sz w:val="24"/>
                <w:szCs w:val="24"/>
                <w:highlight w:val="none"/>
                <w:vertAlign w:val="baseline"/>
                <w:lang w:val="en-US" w:eastAsia="zh-CN"/>
              </w:rPr>
              <w:t>VOCs：0.63t/a</w:t>
            </w:r>
            <w:r>
              <w:rPr>
                <w:rFonts w:hint="eastAsia" w:ascii="Times New Roman" w:hAnsi="Times New Roman" w:eastAsia="宋体" w:cs="Times New Roman"/>
                <w:color w:val="auto"/>
                <w:kern w:val="0"/>
                <w:sz w:val="24"/>
                <w:szCs w:val="24"/>
                <w:highlight w:val="none"/>
                <w:lang w:val="en-US" w:eastAsia="zh-CN" w:bidi="ar-SA"/>
              </w:rPr>
              <w:t>。</w:t>
            </w:r>
            <w:r>
              <w:rPr>
                <w:rFonts w:hint="default" w:ascii="Times New Roman" w:hAnsi="Times New Roman" w:eastAsia="宋体" w:cs="Times New Roman"/>
                <w:b w:val="0"/>
                <w:bCs/>
                <w:color w:val="auto"/>
                <w:sz w:val="24"/>
                <w:szCs w:val="24"/>
                <w:highlight w:val="none"/>
                <w:vertAlign w:val="baseline"/>
                <w:lang w:val="en-US" w:eastAsia="zh-CN"/>
              </w:rPr>
              <w:t>由于</w:t>
            </w:r>
            <w:r>
              <w:rPr>
                <w:rFonts w:hint="eastAsia" w:ascii="Times New Roman" w:hAnsi="Times New Roman" w:eastAsia="宋体" w:cs="Times New Roman"/>
                <w:b w:val="0"/>
                <w:bCs/>
                <w:color w:val="auto"/>
                <w:sz w:val="24"/>
                <w:szCs w:val="24"/>
                <w:highlight w:val="none"/>
                <w:vertAlign w:val="baseline"/>
                <w:lang w:val="en-US" w:eastAsia="zh-CN"/>
              </w:rPr>
              <w:t>本项目</w:t>
            </w:r>
            <w:r>
              <w:rPr>
                <w:rFonts w:hint="default" w:ascii="Times New Roman" w:hAnsi="Times New Roman" w:eastAsia="宋体" w:cs="Times New Roman"/>
                <w:b w:val="0"/>
                <w:bCs/>
                <w:color w:val="auto"/>
                <w:sz w:val="24"/>
                <w:szCs w:val="24"/>
                <w:highlight w:val="none"/>
                <w:vertAlign w:val="baseline"/>
                <w:lang w:val="en-US" w:eastAsia="zh-CN"/>
              </w:rPr>
              <w:t>为</w:t>
            </w:r>
            <w:r>
              <w:rPr>
                <w:rFonts w:hint="eastAsia" w:ascii="Times New Roman" w:hAnsi="Times New Roman" w:eastAsia="宋体" w:cs="Times New Roman"/>
                <w:b w:val="0"/>
                <w:bCs/>
                <w:color w:val="auto"/>
                <w:sz w:val="24"/>
                <w:szCs w:val="24"/>
                <w:highlight w:val="none"/>
                <w:vertAlign w:val="baseline"/>
                <w:lang w:val="en-US" w:eastAsia="zh-CN"/>
              </w:rPr>
              <w:t>新建项目</w:t>
            </w:r>
            <w:r>
              <w:rPr>
                <w:rFonts w:hint="default" w:ascii="Times New Roman" w:hAnsi="Times New Roman" w:eastAsia="宋体" w:cs="Times New Roman"/>
                <w:b w:val="0"/>
                <w:bCs/>
                <w:color w:val="auto"/>
                <w:sz w:val="24"/>
                <w:szCs w:val="24"/>
                <w:highlight w:val="none"/>
                <w:vertAlign w:val="baseline"/>
                <w:lang w:val="en-US" w:eastAsia="zh-CN"/>
              </w:rPr>
              <w:t>，需要申请总量。本次评价建议申请总量为：</w:t>
            </w:r>
            <w:r>
              <w:rPr>
                <w:rFonts w:hint="eastAsia" w:cs="Times New Roman"/>
                <w:b w:val="0"/>
                <w:bCs/>
                <w:color w:val="auto"/>
                <w:sz w:val="24"/>
                <w:szCs w:val="24"/>
                <w:highlight w:val="none"/>
                <w:vertAlign w:val="baseline"/>
                <w:lang w:val="en-US" w:eastAsia="zh-CN"/>
              </w:rPr>
              <w:t>VOCs：0.63t/a。</w:t>
            </w:r>
          </w:p>
        </w:tc>
      </w:tr>
    </w:tbl>
    <w:p w14:paraId="03518114">
      <w:pPr>
        <w:pStyle w:val="24"/>
        <w:pageBreakBefore w:val="0"/>
        <w:kinsoku/>
        <w:wordWrap/>
        <w:topLinePunct w:val="0"/>
        <w:bidi w:val="0"/>
        <w:snapToGrid/>
        <w:ind w:left="0" w:leftChars="0" w:firstLine="0" w:firstLineChars="0"/>
        <w:jc w:val="center"/>
        <w:outlineLvl w:val="0"/>
        <w:rPr>
          <w:rFonts w:ascii="黑体" w:hAnsi="黑体" w:eastAsia="黑体"/>
          <w:snapToGrid w:val="0"/>
          <w:color w:val="auto"/>
          <w:sz w:val="30"/>
          <w:szCs w:val="30"/>
          <w:highlight w:val="none"/>
        </w:rPr>
      </w:pPr>
      <w:r>
        <w:rPr>
          <w:rFonts w:ascii="黑体" w:hAnsi="黑体" w:eastAsia="黑体"/>
          <w:snapToGrid w:val="0"/>
          <w:color w:val="auto"/>
          <w:sz w:val="36"/>
          <w:szCs w:val="36"/>
          <w:highlight w:val="none"/>
        </w:rPr>
        <w:br w:type="page"/>
      </w:r>
      <w:bookmarkStart w:id="13" w:name="_Toc14501"/>
      <w:bookmarkStart w:id="20" w:name="_GoBack"/>
      <w:bookmarkEnd w:id="20"/>
      <w:r>
        <w:rPr>
          <w:rFonts w:hint="eastAsia" w:ascii="黑体" w:hAnsi="黑体" w:eastAsia="黑体"/>
          <w:snapToGrid w:val="0"/>
          <w:color w:val="auto"/>
          <w:sz w:val="30"/>
          <w:szCs w:val="30"/>
          <w:highlight w:val="none"/>
        </w:rPr>
        <w:t>四、主要环境影响和保护措施</w:t>
      </w:r>
      <w:bookmarkEnd w:id="13"/>
    </w:p>
    <w:tbl>
      <w:tblPr>
        <w:tblStyle w:val="27"/>
        <w:tblW w:w="5176"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3"/>
        <w:gridCol w:w="8864"/>
      </w:tblGrid>
      <w:tr w14:paraId="2FB9B55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32" w:type="pct"/>
            <w:noWrap w:val="0"/>
            <w:tcMar>
              <w:left w:w="28" w:type="dxa"/>
              <w:right w:w="28" w:type="dxa"/>
            </w:tcMar>
            <w:vAlign w:val="center"/>
          </w:tcPr>
          <w:p w14:paraId="2BE6C940">
            <w:pPr>
              <w:pStyle w:val="10"/>
              <w:bidi w:val="0"/>
              <w:rPr>
                <w:rFonts w:hint="eastAsia"/>
                <w:b/>
                <w:bCs/>
                <w:color w:val="auto"/>
                <w:sz w:val="24"/>
                <w:szCs w:val="24"/>
                <w:highlight w:val="none"/>
              </w:rPr>
            </w:pPr>
            <w:r>
              <w:rPr>
                <w:rFonts w:hint="eastAsia"/>
                <w:b/>
                <w:bCs/>
                <w:color w:val="auto"/>
                <w:sz w:val="24"/>
                <w:szCs w:val="24"/>
                <w:highlight w:val="none"/>
              </w:rPr>
              <w:t>施工</w:t>
            </w:r>
          </w:p>
          <w:p w14:paraId="5B6F26F0">
            <w:pPr>
              <w:pStyle w:val="10"/>
              <w:bidi w:val="0"/>
              <w:rPr>
                <w:rFonts w:hint="eastAsia"/>
                <w:b/>
                <w:bCs/>
                <w:color w:val="auto"/>
                <w:sz w:val="24"/>
                <w:szCs w:val="24"/>
                <w:highlight w:val="none"/>
              </w:rPr>
            </w:pPr>
            <w:r>
              <w:rPr>
                <w:rFonts w:hint="eastAsia"/>
                <w:b/>
                <w:bCs/>
                <w:color w:val="auto"/>
                <w:sz w:val="24"/>
                <w:szCs w:val="24"/>
                <w:highlight w:val="none"/>
              </w:rPr>
              <w:t>期环</w:t>
            </w:r>
          </w:p>
          <w:p w14:paraId="346E8A99">
            <w:pPr>
              <w:pStyle w:val="10"/>
              <w:bidi w:val="0"/>
              <w:rPr>
                <w:rFonts w:hint="eastAsia"/>
                <w:b/>
                <w:bCs/>
                <w:color w:val="auto"/>
                <w:sz w:val="24"/>
                <w:szCs w:val="24"/>
                <w:highlight w:val="none"/>
              </w:rPr>
            </w:pPr>
            <w:r>
              <w:rPr>
                <w:rFonts w:hint="eastAsia"/>
                <w:b/>
                <w:bCs/>
                <w:color w:val="auto"/>
                <w:sz w:val="24"/>
                <w:szCs w:val="24"/>
                <w:highlight w:val="none"/>
              </w:rPr>
              <w:t>境保</w:t>
            </w:r>
          </w:p>
          <w:p w14:paraId="5A52F790">
            <w:pPr>
              <w:pStyle w:val="10"/>
              <w:bidi w:val="0"/>
              <w:rPr>
                <w:rFonts w:hint="eastAsia"/>
                <w:b/>
                <w:bCs/>
                <w:color w:val="auto"/>
                <w:sz w:val="24"/>
                <w:szCs w:val="24"/>
                <w:highlight w:val="none"/>
              </w:rPr>
            </w:pPr>
            <w:r>
              <w:rPr>
                <w:rFonts w:hint="eastAsia"/>
                <w:b/>
                <w:bCs/>
                <w:color w:val="auto"/>
                <w:sz w:val="24"/>
                <w:szCs w:val="24"/>
                <w:highlight w:val="none"/>
              </w:rPr>
              <w:t>护措</w:t>
            </w:r>
          </w:p>
          <w:p w14:paraId="27F93B68">
            <w:pPr>
              <w:pStyle w:val="10"/>
              <w:bidi w:val="0"/>
              <w:rPr>
                <w:rFonts w:hint="eastAsia"/>
                <w:b/>
                <w:bCs/>
                <w:color w:val="auto"/>
                <w:sz w:val="24"/>
                <w:szCs w:val="24"/>
                <w:highlight w:val="none"/>
              </w:rPr>
            </w:pPr>
            <w:r>
              <w:rPr>
                <w:rFonts w:hint="eastAsia"/>
                <w:b/>
                <w:bCs/>
                <w:color w:val="auto"/>
                <w:sz w:val="24"/>
                <w:szCs w:val="24"/>
                <w:highlight w:val="none"/>
              </w:rPr>
              <w:t>施</w:t>
            </w:r>
          </w:p>
        </w:tc>
        <w:tc>
          <w:tcPr>
            <w:tcW w:w="4767" w:type="pct"/>
            <w:noWrap w:val="0"/>
            <w:vAlign w:val="center"/>
          </w:tcPr>
          <w:p w14:paraId="6B31E4D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auto"/>
                <w:spacing w:val="0"/>
                <w:szCs w:val="24"/>
                <w:highlight w:val="none"/>
                <w:lang w:val="en-US" w:eastAsia="zh-CN"/>
              </w:rPr>
            </w:pPr>
            <w:r>
              <w:rPr>
                <w:rFonts w:hint="eastAsia" w:ascii="Times New Roman" w:hAnsi="Times New Roman" w:eastAsia="宋体" w:cs="Times New Roman"/>
                <w:color w:val="auto"/>
                <w:sz w:val="24"/>
                <w:szCs w:val="32"/>
                <w:highlight w:val="none"/>
                <w:u w:val="none" w:color="auto"/>
              </w:rPr>
              <w:t>本项目</w:t>
            </w:r>
            <w:r>
              <w:rPr>
                <w:rFonts w:hint="eastAsia" w:cs="Times New Roman"/>
                <w:color w:val="auto"/>
                <w:sz w:val="24"/>
                <w:szCs w:val="32"/>
                <w:highlight w:val="none"/>
                <w:u w:val="none" w:color="auto"/>
                <w:lang w:val="en-US" w:eastAsia="zh-CN"/>
              </w:rPr>
              <w:t>厂房租赁青阳县国有工业资产经营有限公司现有4#标准厂房</w:t>
            </w:r>
            <w:r>
              <w:rPr>
                <w:rFonts w:hint="eastAsia" w:ascii="Times New Roman" w:hAnsi="Times New Roman" w:eastAsia="宋体" w:cs="Times New Roman"/>
                <w:color w:val="auto"/>
                <w:sz w:val="24"/>
                <w:szCs w:val="32"/>
                <w:highlight w:val="none"/>
                <w:u w:val="none" w:color="auto"/>
              </w:rPr>
              <w:t>，</w:t>
            </w:r>
            <w:r>
              <w:rPr>
                <w:rFonts w:hint="eastAsia" w:cs="Times New Roman"/>
                <w:color w:val="auto"/>
                <w:sz w:val="24"/>
                <w:szCs w:val="32"/>
                <w:highlight w:val="none"/>
                <w:u w:val="none" w:color="auto"/>
                <w:lang w:val="en-US" w:eastAsia="zh-CN"/>
              </w:rPr>
              <w:t>本次项目仅需安装设备，</w:t>
            </w:r>
            <w:r>
              <w:rPr>
                <w:rFonts w:hint="eastAsia" w:ascii="Times New Roman" w:hAnsi="Times New Roman" w:eastAsia="宋体" w:cs="Times New Roman"/>
                <w:color w:val="auto"/>
                <w:sz w:val="24"/>
                <w:szCs w:val="32"/>
                <w:highlight w:val="none"/>
                <w:u w:val="none" w:color="auto"/>
              </w:rPr>
              <w:t>设置排气筒，安装环保设施等，无需开挖、清场、整地等工程。在安装设备过程中主要污染源为机械安装产生的噪声。主要防治措施有加强对安装机械设备的管理，以减轻</w:t>
            </w:r>
            <w:r>
              <w:rPr>
                <w:rFonts w:hint="eastAsia" w:ascii="Times New Roman" w:hAnsi="Times New Roman" w:eastAsia="宋体" w:cs="Times New Roman"/>
                <w:color w:val="auto"/>
                <w:sz w:val="24"/>
                <w:szCs w:val="32"/>
                <w:highlight w:val="none"/>
                <w:u w:val="none" w:color="auto"/>
                <w:lang w:val="en-US" w:eastAsia="zh-CN"/>
              </w:rPr>
              <w:t>安装</w:t>
            </w:r>
            <w:r>
              <w:rPr>
                <w:rFonts w:hint="eastAsia" w:ascii="Times New Roman" w:hAnsi="Times New Roman" w:eastAsia="宋体" w:cs="Times New Roman"/>
                <w:color w:val="auto"/>
                <w:sz w:val="24"/>
                <w:szCs w:val="32"/>
                <w:highlight w:val="none"/>
                <w:u w:val="none" w:color="auto"/>
              </w:rPr>
              <w:t>设备噪声的影响。安装设备的过程中会产生废包装材料，交由厂家回收带走或及时交由环卫部门清运。因此，施工期环境影响较小，故本评价不对施工期间进行分析。</w:t>
            </w:r>
          </w:p>
        </w:tc>
      </w:tr>
      <w:tr w14:paraId="6F636B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232" w:type="pct"/>
            <w:noWrap w:val="0"/>
            <w:tcMar>
              <w:left w:w="28" w:type="dxa"/>
              <w:right w:w="28" w:type="dxa"/>
            </w:tcMar>
            <w:vAlign w:val="center"/>
          </w:tcPr>
          <w:p w14:paraId="0242DFFF">
            <w:pPr>
              <w:pStyle w:val="10"/>
              <w:bidi w:val="0"/>
              <w:rPr>
                <w:b/>
                <w:bCs/>
                <w:color w:val="auto"/>
                <w:sz w:val="24"/>
                <w:szCs w:val="24"/>
                <w:highlight w:val="none"/>
              </w:rPr>
            </w:pPr>
            <w:r>
              <w:rPr>
                <w:rFonts w:hint="eastAsia"/>
                <w:b/>
                <w:bCs/>
                <w:color w:val="auto"/>
                <w:sz w:val="24"/>
                <w:szCs w:val="24"/>
                <w:highlight w:val="none"/>
              </w:rPr>
              <w:t>运营期环境影响和保护措施</w:t>
            </w:r>
          </w:p>
        </w:tc>
        <w:tc>
          <w:tcPr>
            <w:tcW w:w="4767" w:type="pct"/>
            <w:noWrap w:val="0"/>
            <w:vAlign w:val="center"/>
          </w:tcPr>
          <w:p w14:paraId="6A28A9D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eastAsia="宋体" w:cs="仿宋"/>
                <w:b/>
                <w:bCs w:val="0"/>
                <w:color w:val="auto"/>
                <w:spacing w:val="0"/>
                <w:kern w:val="2"/>
                <w:sz w:val="24"/>
                <w:szCs w:val="24"/>
                <w:highlight w:val="none"/>
                <w:lang w:val="en-US" w:eastAsia="zh-CN" w:bidi="ar-SA"/>
              </w:rPr>
            </w:pPr>
            <w:r>
              <w:rPr>
                <w:rFonts w:hint="default" w:ascii="Times New Roman" w:hAnsi="Times New Roman" w:cs="Times New Roman"/>
                <w:b/>
                <w:bCs w:val="0"/>
                <w:color w:val="auto"/>
                <w:highlight w:val="none"/>
                <w:lang w:val="en-US" w:eastAsia="zh-CN"/>
              </w:rPr>
              <w:t>一、废气环境影响和保护措施</w:t>
            </w:r>
          </w:p>
          <w:p w14:paraId="1AEB0135">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eastAsia="宋体" w:cs="仿宋"/>
                <w:b/>
                <w:bCs w:val="0"/>
                <w:color w:val="auto"/>
                <w:spacing w:val="0"/>
                <w:kern w:val="2"/>
                <w:sz w:val="24"/>
                <w:szCs w:val="24"/>
                <w:highlight w:val="none"/>
                <w:lang w:val="en-US" w:eastAsia="zh-CN" w:bidi="ar-SA"/>
              </w:rPr>
            </w:pPr>
            <w:r>
              <w:rPr>
                <w:rFonts w:hint="default" w:ascii="Times New Roman" w:hAnsi="Times New Roman" w:eastAsia="宋体" w:cs="仿宋"/>
                <w:b/>
                <w:bCs w:val="0"/>
                <w:color w:val="auto"/>
                <w:spacing w:val="0"/>
                <w:kern w:val="2"/>
                <w:sz w:val="24"/>
                <w:szCs w:val="24"/>
                <w:highlight w:val="none"/>
                <w:lang w:val="en-US" w:eastAsia="zh-CN" w:bidi="ar-SA"/>
              </w:rPr>
              <w:t>1、</w:t>
            </w:r>
            <w:r>
              <w:rPr>
                <w:rFonts w:hint="default" w:ascii="Times New Roman" w:hAnsi="Times New Roman" w:eastAsia="宋体" w:cs="Times New Roman"/>
                <w:b/>
                <w:bCs w:val="0"/>
                <w:color w:val="auto"/>
                <w:highlight w:val="none"/>
                <w:lang w:val="en-US" w:eastAsia="zh-CN"/>
              </w:rPr>
              <w:t>废气污染物源强核算过程</w:t>
            </w:r>
          </w:p>
          <w:p w14:paraId="3470C8E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仿宋"/>
                <w:color w:val="auto"/>
                <w:spacing w:val="0"/>
                <w:kern w:val="2"/>
                <w:sz w:val="24"/>
                <w:szCs w:val="24"/>
                <w:highlight w:val="none"/>
                <w:lang w:val="en-US" w:eastAsia="zh-CN" w:bidi="ar-SA"/>
              </w:rPr>
            </w:pPr>
            <w:r>
              <w:rPr>
                <w:rFonts w:hint="default" w:ascii="Times New Roman" w:hAnsi="Times New Roman" w:eastAsia="宋体" w:cs="仿宋"/>
                <w:color w:val="auto"/>
                <w:spacing w:val="0"/>
                <w:kern w:val="2"/>
                <w:sz w:val="24"/>
                <w:szCs w:val="24"/>
                <w:highlight w:val="none"/>
                <w:lang w:val="en-US" w:eastAsia="zh-CN" w:bidi="ar-SA"/>
              </w:rPr>
              <w:t>本项目产生的废气主要有</w:t>
            </w:r>
            <w:r>
              <w:rPr>
                <w:rFonts w:hint="eastAsia" w:cs="仿宋"/>
                <w:color w:val="auto"/>
                <w:spacing w:val="0"/>
                <w:kern w:val="2"/>
                <w:sz w:val="24"/>
                <w:szCs w:val="24"/>
                <w:highlight w:val="none"/>
                <w:lang w:val="en-US" w:eastAsia="zh-CN" w:bidi="ar-SA"/>
              </w:rPr>
              <w:t>挤出废气（G1）、喷码废气（G2）、投料粉尘（G3）、熔融造粒废气（G4）、旋风分离废气（G5）、注塑废气（G6）和食堂油烟</w:t>
            </w:r>
            <w:r>
              <w:rPr>
                <w:rFonts w:hint="eastAsia" w:ascii="Times New Roman" w:hAnsi="Times New Roman" w:eastAsia="宋体" w:cs="仿宋"/>
                <w:color w:val="auto"/>
                <w:spacing w:val="0"/>
                <w:kern w:val="2"/>
                <w:sz w:val="24"/>
                <w:szCs w:val="24"/>
                <w:highlight w:val="none"/>
                <w:lang w:val="en-US" w:eastAsia="zh-CN" w:bidi="ar-SA"/>
              </w:rPr>
              <w:t>。</w:t>
            </w:r>
            <w:r>
              <w:rPr>
                <w:rFonts w:hint="eastAsia" w:cs="仿宋"/>
                <w:color w:val="auto"/>
                <w:spacing w:val="0"/>
                <w:kern w:val="2"/>
                <w:sz w:val="24"/>
                <w:szCs w:val="24"/>
                <w:highlight w:val="none"/>
                <w:lang w:val="en-US" w:eastAsia="zh-CN" w:bidi="ar-SA"/>
              </w:rPr>
              <w:t xml:space="preserve"> </w:t>
            </w:r>
          </w:p>
          <w:p w14:paraId="5FBA10D7">
            <w:pPr>
              <w:numPr>
                <w:ilvl w:val="0"/>
                <w:numId w:val="0"/>
              </w:numPr>
              <w:bidi w:val="0"/>
              <w:ind w:firstLine="482" w:firstLineChars="200"/>
              <w:rPr>
                <w:rFonts w:hint="default"/>
                <w:b/>
                <w:bCs/>
                <w:color w:val="auto"/>
                <w:highlight w:val="none"/>
                <w:lang w:val="en-US"/>
              </w:rPr>
            </w:pPr>
            <w:r>
              <w:rPr>
                <w:rFonts w:hint="eastAsia" w:cs="Times New Roman"/>
                <w:b/>
                <w:bCs/>
                <w:color w:val="auto"/>
                <w:kern w:val="2"/>
                <w:sz w:val="24"/>
                <w:szCs w:val="24"/>
                <w:highlight w:val="none"/>
                <w:lang w:val="en-US" w:eastAsia="zh-CN" w:bidi="ar-SA"/>
              </w:rPr>
              <w:t>（</w:t>
            </w:r>
            <w:r>
              <w:rPr>
                <w:rFonts w:hint="default" w:ascii="Times New Roman" w:hAnsi="Times New Roman" w:eastAsia="宋体" w:cs="Times New Roman"/>
                <w:b/>
                <w:bCs/>
                <w:color w:val="auto"/>
                <w:kern w:val="2"/>
                <w:sz w:val="24"/>
                <w:szCs w:val="24"/>
                <w:highlight w:val="none"/>
                <w:lang w:val="en-US" w:eastAsia="zh-CN" w:bidi="ar-SA"/>
              </w:rPr>
              <w:t>1）</w:t>
            </w:r>
            <w:r>
              <w:rPr>
                <w:rFonts w:hint="eastAsia" w:cs="仿宋"/>
                <w:b/>
                <w:bCs/>
                <w:color w:val="auto"/>
                <w:spacing w:val="0"/>
                <w:kern w:val="2"/>
                <w:sz w:val="24"/>
                <w:szCs w:val="24"/>
                <w:highlight w:val="none"/>
                <w:lang w:val="en-US" w:eastAsia="zh-CN" w:bidi="ar-SA"/>
              </w:rPr>
              <w:t>DA001废气产生及排放情况</w:t>
            </w:r>
          </w:p>
          <w:p w14:paraId="698F20E1">
            <w:pPr>
              <w:numPr>
                <w:ilvl w:val="0"/>
                <w:numId w:val="0"/>
              </w:numPr>
              <w:bidi w:val="0"/>
              <w:ind w:firstLine="482" w:firstLineChars="200"/>
              <w:rPr>
                <w:rFonts w:hint="default"/>
                <w:color w:val="auto"/>
                <w:highlight w:val="none"/>
                <w:lang w:val="en-US" w:eastAsia="zh-CN"/>
              </w:rPr>
            </w:pPr>
            <w:r>
              <w:rPr>
                <w:rFonts w:hint="eastAsia"/>
                <w:b/>
                <w:bCs/>
                <w:color w:val="auto"/>
                <w:highlight w:val="none"/>
                <w:lang w:val="en-US" w:eastAsia="zh-CN"/>
              </w:rPr>
              <w:t>1）挤出废气</w:t>
            </w:r>
            <w:r>
              <w:rPr>
                <w:rFonts w:hint="eastAsia" w:cs="仿宋"/>
                <w:b/>
                <w:bCs/>
                <w:color w:val="auto"/>
                <w:spacing w:val="0"/>
                <w:kern w:val="2"/>
                <w:sz w:val="24"/>
                <w:szCs w:val="24"/>
                <w:highlight w:val="none"/>
                <w:lang w:val="en-US" w:eastAsia="zh-CN" w:bidi="ar-SA"/>
              </w:rPr>
              <w:t>（G1）</w:t>
            </w:r>
          </w:p>
          <w:p w14:paraId="25827929">
            <w:pPr>
              <w:numPr>
                <w:ilvl w:val="0"/>
                <w:numId w:val="0"/>
              </w:numPr>
              <w:bidi w:val="0"/>
              <w:ind w:firstLine="480" w:firstLineChars="200"/>
              <w:rPr>
                <w:rFonts w:hint="eastAsia"/>
                <w:color w:val="auto"/>
                <w:highlight w:val="none"/>
                <w:lang w:val="en-US" w:eastAsia="zh-CN"/>
              </w:rPr>
            </w:pPr>
            <w:r>
              <w:rPr>
                <w:rFonts w:hint="default" w:ascii="Times New Roman" w:hAnsi="Times New Roman" w:cs="Times New Roman"/>
                <w:color w:val="auto"/>
                <w:highlight w:val="none"/>
              </w:rPr>
              <w:t>本项目</w:t>
            </w:r>
            <w:r>
              <w:rPr>
                <w:rFonts w:hint="default" w:ascii="Times New Roman" w:hAnsi="Times New Roman" w:cs="Times New Roman"/>
                <w:color w:val="auto"/>
                <w:highlight w:val="none"/>
                <w:lang w:val="en-US" w:eastAsia="zh-CN"/>
              </w:rPr>
              <w:t>需</w:t>
            </w:r>
            <w:r>
              <w:rPr>
                <w:rFonts w:hint="default" w:ascii="Times New Roman" w:hAnsi="Times New Roman" w:cs="Times New Roman"/>
                <w:b w:val="0"/>
                <w:bCs/>
                <w:color w:val="auto"/>
                <w:szCs w:val="21"/>
                <w:lang w:val="en-US" w:eastAsia="zh-CN"/>
              </w:rPr>
              <w:t>根据客户需求将塑料电缆颗粒</w:t>
            </w:r>
            <w:r>
              <w:rPr>
                <w:rFonts w:hint="eastAsia" w:cs="Times New Roman"/>
                <w:b w:val="0"/>
                <w:bCs/>
                <w:color w:val="auto"/>
                <w:szCs w:val="21"/>
                <w:lang w:val="en-US" w:eastAsia="zh-CN"/>
              </w:rPr>
              <w:t>和</w:t>
            </w:r>
            <w:r>
              <w:rPr>
                <w:rFonts w:hint="default" w:ascii="Times New Roman" w:hAnsi="Times New Roman" w:cs="Times New Roman"/>
                <w:b w:val="0"/>
                <w:bCs/>
                <w:color w:val="auto"/>
                <w:szCs w:val="21"/>
                <w:lang w:val="en-US" w:eastAsia="zh-CN"/>
              </w:rPr>
              <w:t>热塑性弹性体材料</w:t>
            </w:r>
            <w:r>
              <w:rPr>
                <w:rFonts w:hint="eastAsia" w:ascii="Times New Roman" w:hAnsi="Times New Roman" w:cs="Times New Roman"/>
                <w:b w:val="0"/>
                <w:bCs/>
                <w:color w:val="auto"/>
                <w:szCs w:val="21"/>
                <w:lang w:val="en-US" w:eastAsia="zh-CN"/>
              </w:rPr>
              <w:t>（TPE）</w:t>
            </w:r>
            <w:r>
              <w:rPr>
                <w:rFonts w:hint="default" w:ascii="Times New Roman" w:hAnsi="Times New Roman" w:cs="Times New Roman"/>
                <w:b w:val="0"/>
                <w:bCs/>
                <w:color w:val="auto"/>
                <w:szCs w:val="21"/>
                <w:lang w:val="en-US" w:eastAsia="zh-CN"/>
              </w:rPr>
              <w:t>通过50芯线押出机</w:t>
            </w:r>
            <w:r>
              <w:rPr>
                <w:rFonts w:hint="eastAsia" w:cs="Times New Roman"/>
                <w:b w:val="0"/>
                <w:bCs/>
                <w:color w:val="auto"/>
                <w:szCs w:val="21"/>
                <w:lang w:val="en-US" w:eastAsia="zh-CN"/>
              </w:rPr>
              <w:t>和</w:t>
            </w:r>
            <w:r>
              <w:rPr>
                <w:rFonts w:hint="default" w:ascii="Times New Roman" w:hAnsi="Times New Roman" w:cs="Times New Roman"/>
                <w:b w:val="0"/>
                <w:bCs/>
                <w:color w:val="auto"/>
                <w:szCs w:val="21"/>
                <w:lang w:val="en-US" w:eastAsia="zh-CN"/>
              </w:rPr>
              <w:t>70护套押出机押出（电加热）</w:t>
            </w:r>
            <w:r>
              <w:rPr>
                <w:rFonts w:hint="eastAsia" w:ascii="Times New Roman" w:hAnsi="Times New Roman" w:cs="Times New Roman"/>
                <w:b w:val="0"/>
                <w:bCs/>
                <w:color w:val="auto"/>
                <w:szCs w:val="21"/>
                <w:lang w:val="en-US" w:eastAsia="zh-CN"/>
              </w:rPr>
              <w:t>，</w:t>
            </w:r>
            <w:r>
              <w:rPr>
                <w:rFonts w:hint="default" w:ascii="Times New Roman" w:hAnsi="Times New Roman" w:cs="Times New Roman"/>
                <w:b w:val="0"/>
                <w:bCs/>
                <w:color w:val="auto"/>
                <w:szCs w:val="21"/>
                <w:lang w:val="en-US" w:eastAsia="zh-CN"/>
              </w:rPr>
              <w:t>挤出包塑和挤护套的过程中会产生有机废气（以</w:t>
            </w:r>
            <w:r>
              <w:rPr>
                <w:rFonts w:hint="eastAsia" w:cs="Times New Roman"/>
                <w:b w:val="0"/>
                <w:bCs/>
                <w:color w:val="auto"/>
                <w:szCs w:val="21"/>
                <w:lang w:val="en-US" w:eastAsia="zh-CN"/>
              </w:rPr>
              <w:t>非甲烷总烃</w:t>
            </w:r>
            <w:r>
              <w:rPr>
                <w:rFonts w:hint="default" w:ascii="Times New Roman" w:hAnsi="Times New Roman" w:cs="Times New Roman"/>
                <w:b w:val="0"/>
                <w:bCs/>
                <w:color w:val="auto"/>
                <w:szCs w:val="21"/>
                <w:lang w:val="en-US" w:eastAsia="zh-CN"/>
              </w:rPr>
              <w:t>计）。</w:t>
            </w:r>
            <w:r>
              <w:rPr>
                <w:rFonts w:hint="eastAsia"/>
                <w:color w:val="auto"/>
                <w:highlight w:val="none"/>
                <w:lang w:val="en-US" w:eastAsia="zh-CN"/>
              </w:rPr>
              <w:t>根据</w:t>
            </w:r>
            <w:r>
              <w:rPr>
                <w:rFonts w:hint="eastAsia" w:hAnsi="宋体"/>
                <w:bCs/>
                <w:color w:val="auto"/>
                <w:highlight w:val="none"/>
              </w:rPr>
              <w:t>《排放源统计调查产排污核算方法和系数手册》</w:t>
            </w:r>
            <w:r>
              <w:rPr>
                <w:rFonts w:hint="eastAsia" w:hAnsi="宋体"/>
                <w:bCs/>
                <w:color w:val="auto"/>
                <w:highlight w:val="none"/>
                <w:lang w:eastAsia="zh-CN"/>
              </w:rPr>
              <w:t>（</w:t>
            </w:r>
            <w:r>
              <w:rPr>
                <w:rFonts w:hint="eastAsia" w:hAnsi="宋体"/>
                <w:bCs/>
                <w:color w:val="auto"/>
                <w:highlight w:val="none"/>
              </w:rPr>
              <w:t>33-37，431-434机械行业系数手册</w:t>
            </w:r>
            <w:r>
              <w:rPr>
                <w:rFonts w:hint="eastAsia" w:hAnsi="宋体"/>
                <w:bCs/>
                <w:color w:val="auto"/>
                <w:highlight w:val="none"/>
                <w:lang w:eastAsia="zh-CN"/>
              </w:rPr>
              <w:t>）、</w:t>
            </w:r>
            <w:r>
              <w:rPr>
                <w:rFonts w:hint="default"/>
                <w:color w:val="auto"/>
                <w:highlight w:val="none"/>
                <w:lang w:val="en-US" w:eastAsia="zh-CN"/>
              </w:rPr>
              <w:t xml:space="preserve">《排污许可证申请与核发技术规范 </w:t>
            </w:r>
            <w:r>
              <w:rPr>
                <w:rFonts w:hint="eastAsia"/>
                <w:color w:val="auto"/>
                <w:highlight w:val="none"/>
                <w:lang w:val="en-US" w:eastAsia="zh-CN"/>
              </w:rPr>
              <w:t>橡胶和塑料制品</w:t>
            </w:r>
            <w:r>
              <w:rPr>
                <w:rFonts w:hint="default"/>
                <w:color w:val="auto"/>
                <w:highlight w:val="none"/>
                <w:lang w:val="en-US" w:eastAsia="zh-CN"/>
              </w:rPr>
              <w:t>工业（HJ</w:t>
            </w:r>
            <w:r>
              <w:rPr>
                <w:rFonts w:hint="eastAsia"/>
                <w:color w:val="auto"/>
                <w:highlight w:val="none"/>
                <w:lang w:val="en-US" w:eastAsia="zh-CN"/>
              </w:rPr>
              <w:t xml:space="preserve"> </w:t>
            </w:r>
            <w:r>
              <w:rPr>
                <w:rFonts w:hint="default"/>
                <w:color w:val="auto"/>
                <w:highlight w:val="none"/>
                <w:lang w:val="en-US" w:eastAsia="zh-CN"/>
              </w:rPr>
              <w:t>1122</w:t>
            </w:r>
            <w:r>
              <w:rPr>
                <w:rFonts w:hint="eastAsia"/>
                <w:color w:val="auto"/>
                <w:highlight w:val="none"/>
                <w:lang w:val="en-US" w:eastAsia="zh-CN"/>
              </w:rPr>
              <w:t>-</w:t>
            </w:r>
            <w:r>
              <w:rPr>
                <w:rFonts w:hint="default"/>
                <w:color w:val="auto"/>
                <w:highlight w:val="none"/>
                <w:lang w:val="en-US" w:eastAsia="zh-CN"/>
              </w:rPr>
              <w:t>2020）》</w:t>
            </w:r>
            <w:r>
              <w:rPr>
                <w:rFonts w:hint="eastAsia"/>
                <w:color w:val="auto"/>
                <w:highlight w:val="none"/>
                <w:lang w:val="en-US" w:eastAsia="zh-CN"/>
              </w:rPr>
              <w:t>以及本次工程的特点、环境影响主要特征和环境功能要求可知</w:t>
            </w:r>
            <w:r>
              <w:rPr>
                <w:rFonts w:hint="default" w:ascii="Times New Roman" w:hAnsi="Times New Roman" w:cs="Times New Roman"/>
                <w:b w:val="0"/>
                <w:bCs/>
                <w:color w:val="auto"/>
                <w:szCs w:val="21"/>
                <w:lang w:val="en-US" w:eastAsia="zh-CN"/>
              </w:rPr>
              <w:t>热塑性弹性体材料</w:t>
            </w:r>
            <w:r>
              <w:rPr>
                <w:rFonts w:hint="eastAsia" w:ascii="Times New Roman" w:hAnsi="Times New Roman" w:cs="Times New Roman"/>
                <w:b w:val="0"/>
                <w:bCs/>
                <w:color w:val="auto"/>
                <w:szCs w:val="21"/>
                <w:lang w:val="en-US" w:eastAsia="zh-CN"/>
              </w:rPr>
              <w:t>（TPE）</w:t>
            </w:r>
            <w:r>
              <w:rPr>
                <w:rFonts w:hint="eastAsia"/>
                <w:color w:val="auto"/>
                <w:highlight w:val="none"/>
              </w:rPr>
              <w:t>会产生</w:t>
            </w:r>
            <w:r>
              <w:rPr>
                <w:rFonts w:hint="eastAsia"/>
                <w:color w:val="auto"/>
                <w:highlight w:val="none"/>
                <w:lang w:val="en-US" w:eastAsia="zh-CN"/>
              </w:rPr>
              <w:t>非甲烷总烃</w:t>
            </w:r>
            <w:r>
              <w:rPr>
                <w:rFonts w:hint="eastAsia"/>
                <w:color w:val="auto"/>
                <w:highlight w:val="none"/>
                <w:lang w:eastAsia="zh-CN"/>
              </w:rPr>
              <w:t>；</w:t>
            </w:r>
            <w:r>
              <w:rPr>
                <w:rFonts w:hint="default" w:ascii="Times New Roman" w:hAnsi="Times New Roman" w:cs="Times New Roman"/>
                <w:b w:val="0"/>
                <w:bCs/>
                <w:color w:val="auto"/>
                <w:szCs w:val="21"/>
                <w:lang w:val="en-US" w:eastAsia="zh-CN"/>
              </w:rPr>
              <w:t>塑料电缆颗粒</w:t>
            </w:r>
            <w:r>
              <w:rPr>
                <w:rFonts w:hint="eastAsia" w:ascii="Times New Roman" w:hAnsi="Times New Roman" w:cs="Times New Roman"/>
                <w:b w:val="0"/>
                <w:bCs/>
                <w:color w:val="auto"/>
                <w:szCs w:val="21"/>
                <w:lang w:val="en-US" w:eastAsia="zh-CN"/>
              </w:rPr>
              <w:t>主要</w:t>
            </w:r>
            <w:r>
              <w:rPr>
                <w:rFonts w:hint="eastAsia" w:cs="Times New Roman"/>
                <w:b w:val="0"/>
                <w:bCs/>
                <w:color w:val="auto"/>
                <w:szCs w:val="21"/>
                <w:lang w:val="en-US" w:eastAsia="zh-CN"/>
              </w:rPr>
              <w:t>原料</w:t>
            </w:r>
            <w:r>
              <w:rPr>
                <w:rFonts w:hint="eastAsia" w:ascii="Times New Roman" w:hAnsi="Times New Roman" w:cs="Times New Roman"/>
                <w:b w:val="0"/>
                <w:bCs/>
                <w:color w:val="auto"/>
                <w:szCs w:val="21"/>
                <w:lang w:val="en-US" w:eastAsia="zh-CN"/>
              </w:rPr>
              <w:t>为</w:t>
            </w:r>
            <w:r>
              <w:rPr>
                <w:rFonts w:hint="eastAsia"/>
                <w:color w:val="auto"/>
                <w:highlight w:val="none"/>
                <w:lang w:val="en-US" w:eastAsia="zh-CN"/>
              </w:rPr>
              <w:t>聚氯乙烯（PVC）以及DOTP和ESO油状物料，挤出过程中</w:t>
            </w:r>
            <w:r>
              <w:rPr>
                <w:rFonts w:hint="eastAsia"/>
                <w:color w:val="auto"/>
                <w:highlight w:val="none"/>
              </w:rPr>
              <w:t>会产生</w:t>
            </w:r>
            <w:r>
              <w:rPr>
                <w:rFonts w:hint="eastAsia"/>
                <w:color w:val="auto"/>
                <w:highlight w:val="none"/>
                <w:lang w:val="en-US" w:eastAsia="zh-CN"/>
              </w:rPr>
              <w:t>非甲烷总烃、油雾（以颗粒物计）、氯化氢、氯乙烯和臭气浓度</w:t>
            </w:r>
            <w:r>
              <w:rPr>
                <w:rFonts w:hint="eastAsia"/>
                <w:color w:val="auto"/>
                <w:highlight w:val="none"/>
                <w:lang w:eastAsia="zh-CN"/>
              </w:rPr>
              <w:t>。</w:t>
            </w:r>
          </w:p>
          <w:p w14:paraId="154CE173">
            <w:pPr>
              <w:numPr>
                <w:ilvl w:val="0"/>
                <w:numId w:val="0"/>
              </w:numPr>
              <w:bidi w:val="0"/>
              <w:ind w:firstLine="480" w:firstLineChars="200"/>
              <w:rPr>
                <w:rFonts w:hint="default" w:ascii="Times New Roman" w:hAnsi="Times New Roman" w:cs="Times New Roman"/>
                <w:color w:val="auto"/>
                <w:highlight w:val="none"/>
                <w:lang w:val="en-US"/>
              </w:rPr>
            </w:pPr>
            <w:r>
              <w:rPr>
                <w:rFonts w:hint="eastAsia"/>
                <w:color w:val="auto"/>
                <w:highlight w:val="none"/>
                <w:lang w:val="en-US" w:eastAsia="zh-CN"/>
              </w:rPr>
              <w:t>本项目挤出废气</w:t>
            </w:r>
            <w:r>
              <w:rPr>
                <w:rFonts w:hint="default" w:ascii="Times New Roman" w:hAnsi="Times New Roman" w:cs="Times New Roman"/>
                <w:b w:val="0"/>
                <w:bCs/>
                <w:color w:val="auto"/>
                <w:szCs w:val="21"/>
                <w:lang w:val="en-US" w:eastAsia="zh-CN"/>
              </w:rPr>
              <w:t>中</w:t>
            </w:r>
            <w:r>
              <w:rPr>
                <w:rFonts w:hint="default" w:ascii="Times New Roman" w:hAnsi="Times New Roman" w:cs="Times New Roman"/>
                <w:color w:val="auto"/>
                <w:highlight w:val="none"/>
                <w:lang w:val="en-US" w:eastAsia="zh-CN"/>
              </w:rPr>
              <w:t>挥发性有机物</w:t>
            </w:r>
            <w:r>
              <w:rPr>
                <w:rFonts w:hint="eastAsia" w:ascii="Times New Roman" w:hAnsi="Times New Roman" w:cs="Times New Roman"/>
                <w:color w:val="auto"/>
                <w:highlight w:val="none"/>
                <w:lang w:val="en-US" w:eastAsia="zh-CN"/>
              </w:rPr>
              <w:t>产污系数</w:t>
            </w:r>
            <w:r>
              <w:rPr>
                <w:rFonts w:hint="default" w:ascii="Times New Roman" w:hAnsi="Times New Roman" w:cs="Times New Roman"/>
                <w:color w:val="auto"/>
                <w:highlight w:val="none"/>
                <w:lang w:val="en-US" w:eastAsia="zh-CN"/>
              </w:rPr>
              <w:t>参照《排放源统计调查产排污核算方法和系数手册》中“292</w:t>
            </w:r>
            <w:r>
              <w:rPr>
                <w:rFonts w:hint="default" w:ascii="Times New Roman" w:hAnsi="Times New Roman" w:cs="Times New Roman"/>
                <w:color w:val="auto"/>
                <w:sz w:val="24"/>
                <w:szCs w:val="24"/>
                <w:lang w:val="en-US" w:eastAsia="zh-CN"/>
              </w:rPr>
              <w:t>塑料制品业</w:t>
            </w:r>
            <w:r>
              <w:rPr>
                <w:rFonts w:hint="default" w:ascii="Times New Roman" w:hAnsi="Times New Roman" w:eastAsia="宋体" w:cs="Times New Roman"/>
                <w:color w:val="auto"/>
                <w:sz w:val="24"/>
                <w:szCs w:val="24"/>
              </w:rPr>
              <w:t xml:space="preserve">系数手册 </w:t>
            </w:r>
            <w:r>
              <w:rPr>
                <w:rFonts w:hint="default" w:ascii="Times New Roman" w:hAnsi="Times New Roman" w:eastAsia="宋体" w:cs="Times New Roman"/>
                <w:color w:val="auto"/>
                <w:sz w:val="24"/>
                <w:szCs w:val="24"/>
                <w:lang w:val="en-US" w:eastAsia="zh-CN"/>
              </w:rPr>
              <w:t>-</w:t>
            </w:r>
            <w:r>
              <w:rPr>
                <w:rFonts w:hint="default" w:ascii="Times New Roman" w:hAnsi="Times New Roman" w:cs="Times New Roman"/>
                <w:color w:val="auto"/>
                <w:sz w:val="24"/>
                <w:szCs w:val="24"/>
                <w:lang w:val="en-US" w:eastAsia="zh-CN"/>
              </w:rPr>
              <w:t>2929</w:t>
            </w:r>
            <w:r>
              <w:rPr>
                <w:rFonts w:hint="default" w:ascii="Times New Roman" w:hAnsi="Times New Roman" w:eastAsia="宋体" w:cs="Times New Roman"/>
                <w:color w:val="auto"/>
                <w:sz w:val="24"/>
                <w:szCs w:val="24"/>
              </w:rPr>
              <w:t>塑料零件及其他塑料制品制造行业系数表</w:t>
            </w:r>
            <w:r>
              <w:rPr>
                <w:rFonts w:hint="eastAsia" w:cs="Times New Roman"/>
                <w:color w:val="auto"/>
                <w:sz w:val="24"/>
                <w:szCs w:val="24"/>
                <w:lang w:eastAsia="zh-CN"/>
              </w:rPr>
              <w:t>－</w:t>
            </w:r>
            <w:r>
              <w:rPr>
                <w:rFonts w:hint="default" w:ascii="Times New Roman" w:hAnsi="Times New Roman" w:eastAsia="宋体" w:cs="Times New Roman"/>
                <w:color w:val="auto"/>
                <w:sz w:val="24"/>
                <w:szCs w:val="24"/>
                <w:lang w:val="en-US" w:eastAsia="zh-CN"/>
              </w:rPr>
              <w:t>配料</w:t>
            </w:r>
            <w:r>
              <w:rPr>
                <w:rFonts w:hint="default" w:ascii="Times New Roman" w:hAnsi="Times New Roman"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混合</w:t>
            </w:r>
            <w:r>
              <w:rPr>
                <w:rFonts w:hint="default" w:ascii="Times New Roman" w:hAnsi="Times New Roman"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挤出</w:t>
            </w:r>
            <w:r>
              <w:rPr>
                <w:rFonts w:hint="default" w:ascii="Times New Roman" w:hAnsi="Times New Roman"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注塑</w:t>
            </w:r>
            <w:r>
              <w:rPr>
                <w:rFonts w:hint="default" w:ascii="Times New Roman" w:hAnsi="Times New Roman" w:cs="Times New Roman"/>
                <w:color w:val="auto"/>
                <w:highlight w:val="none"/>
                <w:lang w:val="en-US" w:eastAsia="zh-CN"/>
              </w:rPr>
              <w:t>”，挥发性有机物的产污系数为2.7千克</w:t>
            </w:r>
            <w:r>
              <w:rPr>
                <w:rFonts w:hint="default" w:ascii="Times New Roman" w:hAnsi="Times New Roman" w:cs="Times New Roman"/>
                <w:color w:val="auto"/>
                <w:highlight w:val="none"/>
              </w:rPr>
              <w:t>/</w:t>
            </w:r>
            <w:r>
              <w:rPr>
                <w:rFonts w:hint="default" w:ascii="Times New Roman" w:hAnsi="Times New Roman" w:cs="Times New Roman"/>
                <w:color w:val="auto"/>
                <w:highlight w:val="none"/>
                <w:lang w:val="en-US" w:eastAsia="zh-CN"/>
              </w:rPr>
              <w:t>吨</w:t>
            </w:r>
            <w:r>
              <w:rPr>
                <w:rFonts w:hint="eastAsia" w:cs="Times New Roman"/>
                <w:color w:val="auto"/>
                <w:highlight w:val="none"/>
                <w:lang w:val="en-US" w:eastAsia="zh-CN"/>
              </w:rPr>
              <w:t>－</w:t>
            </w:r>
            <w:r>
              <w:rPr>
                <w:rFonts w:hint="default" w:ascii="Times New Roman" w:hAnsi="Times New Roman" w:cs="Times New Roman"/>
                <w:color w:val="auto"/>
                <w:highlight w:val="none"/>
                <w:lang w:val="en-US" w:eastAsia="zh-CN"/>
              </w:rPr>
              <w:t>产品</w:t>
            </w:r>
            <w:r>
              <w:rPr>
                <w:rFonts w:hint="eastAsia" w:cs="Times New Roman"/>
                <w:color w:val="auto"/>
                <w:highlight w:val="none"/>
                <w:lang w:val="en-US" w:eastAsia="zh-CN"/>
              </w:rPr>
              <w:t>；氯化氢和氯乙烯参照《气相色谱-质谱法分析聚氯乙烯加热分解产物》（林华影，林瑶、张伟等，中国卫生检验杂志，2008年4月，18卷4期），氯化氢的产污系数为194.6mg/t-原料，氯乙烯的产污系数为228.4mg/t原料；油雾颗粒物参照根据《人造革/合成革材料及工艺学》 （范浩军、袁继新等编著、中国轻工业出版社）及《合成革工艺学》 （曲建波等编著、化学工业出版社） ，挤出和造粒过程中增塑剂受热产生的油烟废气约为增塑剂用量的 1%。</w:t>
            </w:r>
          </w:p>
          <w:p w14:paraId="3323ACCD">
            <w:pPr>
              <w:numPr>
                <w:ilvl w:val="0"/>
                <w:numId w:val="0"/>
              </w:numPr>
              <w:bidi w:val="0"/>
              <w:ind w:firstLine="480" w:firstLineChars="200"/>
              <w:rPr>
                <w:color w:val="auto"/>
                <w:spacing w:val="5"/>
                <w:highlight w:val="none"/>
              </w:rPr>
            </w:pPr>
            <w:r>
              <w:rPr>
                <w:rFonts w:hint="eastAsia" w:cs="Times New Roman"/>
                <w:b w:val="0"/>
                <w:bCs/>
                <w:color w:val="auto"/>
                <w:szCs w:val="21"/>
                <w:vertAlign w:val="baseline"/>
                <w:lang w:val="en-US" w:eastAsia="zh-CN"/>
              </w:rPr>
              <w:t>本次评价以原料零损失计，</w:t>
            </w:r>
            <w:r>
              <w:rPr>
                <w:rFonts w:hint="eastAsia" w:cs="Times New Roman"/>
                <w:color w:val="auto"/>
                <w:highlight w:val="none"/>
                <w:lang w:val="en-US" w:eastAsia="zh-CN"/>
              </w:rPr>
              <w:t>挤出工序使用成品</w:t>
            </w:r>
            <w:r>
              <w:rPr>
                <w:rFonts w:hint="default" w:ascii="Times New Roman" w:hAnsi="Times New Roman" w:cs="Times New Roman"/>
                <w:color w:val="auto"/>
                <w:highlight w:val="none"/>
                <w:lang w:val="en-US" w:eastAsia="zh-CN"/>
              </w:rPr>
              <w:t>塑料电缆颗粒和</w:t>
            </w:r>
            <w:r>
              <w:rPr>
                <w:rFonts w:hint="default" w:ascii="Times New Roman" w:hAnsi="Times New Roman" w:cs="Times New Roman"/>
                <w:b w:val="0"/>
                <w:bCs/>
                <w:color w:val="auto"/>
                <w:szCs w:val="21"/>
                <w:vertAlign w:val="baseline"/>
                <w:lang w:val="en-US" w:eastAsia="zh-CN"/>
              </w:rPr>
              <w:t>热塑性弹性体材料的年用量分别为</w:t>
            </w:r>
            <w:r>
              <w:rPr>
                <w:rFonts w:hint="eastAsia" w:cs="Times New Roman"/>
                <w:b w:val="0"/>
                <w:bCs/>
                <w:color w:val="auto"/>
                <w:szCs w:val="21"/>
                <w:vertAlign w:val="baseline"/>
                <w:lang w:val="en-US" w:eastAsia="zh-CN"/>
              </w:rPr>
              <w:t>698</w:t>
            </w:r>
            <w:r>
              <w:rPr>
                <w:rFonts w:hint="default" w:ascii="Times New Roman" w:hAnsi="Times New Roman" w:cs="Times New Roman"/>
                <w:b w:val="0"/>
                <w:bCs/>
                <w:color w:val="auto"/>
                <w:szCs w:val="21"/>
                <w:vertAlign w:val="baseline"/>
                <w:lang w:val="en-US" w:eastAsia="zh-CN"/>
              </w:rPr>
              <w:t>t/a和500t/a</w:t>
            </w:r>
            <w:r>
              <w:rPr>
                <w:rFonts w:hint="eastAsia" w:cs="Times New Roman"/>
                <w:b w:val="0"/>
                <w:bCs/>
                <w:color w:val="auto"/>
                <w:szCs w:val="21"/>
                <w:vertAlign w:val="baseline"/>
                <w:lang w:val="en-US" w:eastAsia="zh-CN"/>
              </w:rPr>
              <w:t>，塑料电缆颗粒中增塑剂约占24%，</w:t>
            </w:r>
            <w:r>
              <w:rPr>
                <w:rFonts w:hint="default" w:ascii="Times New Roman" w:hAnsi="Times New Roman" w:cs="Times New Roman"/>
                <w:b w:val="0"/>
                <w:bCs/>
                <w:color w:val="auto"/>
                <w:szCs w:val="21"/>
                <w:vertAlign w:val="baseline"/>
                <w:lang w:val="en-US" w:eastAsia="zh-CN"/>
              </w:rPr>
              <w:t>则挤出包塑、挤出保护套工序非甲烷总烃产生量为3.2</w:t>
            </w:r>
            <w:r>
              <w:rPr>
                <w:rFonts w:hint="eastAsia" w:cs="Times New Roman"/>
                <w:b w:val="0"/>
                <w:bCs/>
                <w:color w:val="auto"/>
                <w:szCs w:val="21"/>
                <w:vertAlign w:val="baseline"/>
                <w:lang w:val="en-US" w:eastAsia="zh-CN"/>
              </w:rPr>
              <w:t>3</w:t>
            </w:r>
            <w:r>
              <w:rPr>
                <w:rFonts w:hint="default" w:ascii="Times New Roman" w:hAnsi="Times New Roman" w:cs="Times New Roman"/>
                <w:b w:val="0"/>
                <w:bCs/>
                <w:color w:val="auto"/>
                <w:szCs w:val="21"/>
                <w:vertAlign w:val="baseline"/>
                <w:lang w:val="en-US" w:eastAsia="zh-CN"/>
              </w:rPr>
              <w:t>t/a</w:t>
            </w:r>
            <w:r>
              <w:rPr>
                <w:rFonts w:hint="eastAsia" w:cs="Times New Roman"/>
                <w:b w:val="0"/>
                <w:bCs/>
                <w:color w:val="auto"/>
                <w:szCs w:val="21"/>
                <w:vertAlign w:val="baseline"/>
                <w:lang w:val="en-US" w:eastAsia="zh-CN"/>
              </w:rPr>
              <w:t>，氯化氢产生量为0.000136t/a，氯乙烯产生量为0.000159t/a，颗粒物产生量为1.675t/a</w:t>
            </w:r>
            <w:r>
              <w:rPr>
                <w:rFonts w:hint="default" w:ascii="Times New Roman" w:hAnsi="Times New Roman" w:cs="Times New Roman"/>
                <w:b w:val="0"/>
                <w:bCs/>
                <w:color w:val="auto"/>
                <w:szCs w:val="21"/>
                <w:vertAlign w:val="baseline"/>
                <w:lang w:val="en-US" w:eastAsia="zh-CN"/>
              </w:rPr>
              <w:t>。</w:t>
            </w:r>
            <w:r>
              <w:rPr>
                <w:rFonts w:hint="eastAsia"/>
                <w:color w:val="auto"/>
                <w:spacing w:val="11"/>
                <w:highlight w:val="none"/>
                <w:lang w:val="en-US" w:eastAsia="zh-CN"/>
              </w:rPr>
              <w:t>根据建设单位提供的资料挤出包塑和挤护套工</w:t>
            </w:r>
            <w:r>
              <w:rPr>
                <w:color w:val="auto"/>
                <w:spacing w:val="12"/>
                <w:highlight w:val="none"/>
              </w:rPr>
              <w:t>序工作时间</w:t>
            </w:r>
            <w:r>
              <w:rPr>
                <w:rFonts w:hint="eastAsia"/>
                <w:color w:val="auto"/>
                <w:spacing w:val="12"/>
                <w:highlight w:val="none"/>
                <w:lang w:val="en-US" w:eastAsia="zh-CN"/>
              </w:rPr>
              <w:t>为</w:t>
            </w:r>
            <w:r>
              <w:rPr>
                <w:rFonts w:hint="eastAsia" w:cs="Times New Roman"/>
                <w:color w:val="auto"/>
                <w:spacing w:val="12"/>
                <w:highlight w:val="none"/>
                <w:lang w:val="en-US" w:eastAsia="zh-CN"/>
              </w:rPr>
              <w:t>2080</w:t>
            </w:r>
            <w:r>
              <w:rPr>
                <w:rFonts w:ascii="Times New Roman" w:hAnsi="Times New Roman" w:eastAsia="Times New Roman" w:cs="Times New Roman"/>
                <w:color w:val="auto"/>
                <w:spacing w:val="12"/>
                <w:highlight w:val="none"/>
              </w:rPr>
              <w:t>h/a</w:t>
            </w:r>
            <w:r>
              <w:rPr>
                <w:color w:val="auto"/>
                <w:spacing w:val="12"/>
                <w:highlight w:val="none"/>
              </w:rPr>
              <w:t>，</w:t>
            </w:r>
            <w:r>
              <w:rPr>
                <w:rFonts w:hint="eastAsia"/>
                <w:color w:val="auto"/>
                <w:spacing w:val="12"/>
                <w:highlight w:val="none"/>
                <w:lang w:val="en-US" w:eastAsia="zh-CN"/>
              </w:rPr>
              <w:t>则</w:t>
            </w:r>
            <w:r>
              <w:rPr>
                <w:rFonts w:hint="eastAsia"/>
                <w:color w:val="auto"/>
                <w:spacing w:val="11"/>
                <w:highlight w:val="none"/>
                <w:lang w:val="en-US" w:eastAsia="zh-CN"/>
              </w:rPr>
              <w:t>非甲烷总烃</w:t>
            </w:r>
            <w:r>
              <w:rPr>
                <w:color w:val="auto"/>
                <w:spacing w:val="11"/>
                <w:highlight w:val="none"/>
              </w:rPr>
              <w:t>产生速率为</w:t>
            </w:r>
            <w:r>
              <w:rPr>
                <w:rFonts w:hint="eastAsia" w:cs="Times New Roman"/>
                <w:color w:val="auto"/>
                <w:highlight w:val="none"/>
                <w:lang w:val="en-US" w:eastAsia="zh-CN"/>
              </w:rPr>
              <w:t>1.55</w:t>
            </w:r>
            <w:r>
              <w:rPr>
                <w:rFonts w:ascii="Times New Roman" w:hAnsi="Times New Roman" w:eastAsia="Times New Roman" w:cs="Times New Roman"/>
                <w:color w:val="auto"/>
                <w:highlight w:val="none"/>
              </w:rPr>
              <w:t>kg/h</w:t>
            </w:r>
            <w:r>
              <w:rPr>
                <w:rFonts w:hint="eastAsia" w:eastAsia="宋体" w:cs="Times New Roman"/>
                <w:color w:val="auto"/>
                <w:highlight w:val="none"/>
                <w:lang w:eastAsia="zh-CN"/>
              </w:rPr>
              <w:t>，</w:t>
            </w:r>
            <w:r>
              <w:rPr>
                <w:rFonts w:hint="eastAsia" w:eastAsia="宋体" w:cs="Times New Roman"/>
                <w:color w:val="auto"/>
                <w:highlight w:val="none"/>
                <w:lang w:val="en-US" w:eastAsia="zh-CN"/>
              </w:rPr>
              <w:t>氯化氢产生速率为0.00007kg/h，氯化氢产生速率为0.00008kg/h，颗粒物产生速率为0.807kg/h</w:t>
            </w:r>
            <w:r>
              <w:rPr>
                <w:color w:val="auto"/>
                <w:spacing w:val="5"/>
                <w:highlight w:val="none"/>
              </w:rPr>
              <w:t>。</w:t>
            </w:r>
          </w:p>
          <w:p w14:paraId="5014065B">
            <w:pPr>
              <w:pStyle w:val="7"/>
              <w:numPr>
                <w:ilvl w:val="0"/>
                <w:numId w:val="4"/>
              </w:numPr>
              <w:rPr>
                <w:rFonts w:hint="eastAsia" w:cs="仿宋"/>
                <w:b/>
                <w:bCs/>
                <w:color w:val="auto"/>
                <w:spacing w:val="0"/>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喷码废气</w:t>
            </w:r>
            <w:r>
              <w:rPr>
                <w:rFonts w:hint="eastAsia" w:cs="仿宋"/>
                <w:b/>
                <w:bCs/>
                <w:color w:val="auto"/>
                <w:spacing w:val="0"/>
                <w:kern w:val="2"/>
                <w:sz w:val="24"/>
                <w:szCs w:val="24"/>
                <w:highlight w:val="none"/>
                <w:lang w:val="en-US" w:eastAsia="zh-CN" w:bidi="ar-SA"/>
              </w:rPr>
              <w:t>（G2）</w:t>
            </w:r>
          </w:p>
          <w:p w14:paraId="21988766">
            <w:pPr>
              <w:keepNext w:val="0"/>
              <w:keepLines w:val="0"/>
              <w:pageBreakBefore w:val="0"/>
              <w:widowControl w:val="0"/>
              <w:kinsoku/>
              <w:wordWrap/>
              <w:overflowPunct/>
              <w:topLinePunct w:val="0"/>
              <w:autoSpaceDE/>
              <w:autoSpaceDN/>
              <w:bidi w:val="0"/>
              <w:adjustRightInd w:val="0"/>
              <w:snapToGrid w:val="0"/>
              <w:spacing w:line="360" w:lineRule="auto"/>
              <w:ind w:leftChars="0" w:firstLine="480" w:firstLineChars="200"/>
              <w:jc w:val="both"/>
              <w:textAlignment w:val="auto"/>
              <w:rPr>
                <w:snapToGrid w:val="0"/>
                <w:color w:val="auto"/>
                <w:kern w:val="0"/>
                <w:sz w:val="24"/>
              </w:rPr>
            </w:pPr>
            <w:r>
              <w:rPr>
                <w:snapToGrid w:val="0"/>
                <w:color w:val="auto"/>
                <w:kern w:val="0"/>
                <w:sz w:val="24"/>
              </w:rPr>
              <w:t>项目</w:t>
            </w:r>
            <w:r>
              <w:rPr>
                <w:rFonts w:hint="eastAsia"/>
                <w:snapToGrid w:val="0"/>
                <w:color w:val="auto"/>
                <w:kern w:val="0"/>
                <w:sz w:val="24"/>
                <w:lang w:val="en-US" w:eastAsia="zh-CN"/>
              </w:rPr>
              <w:t>喷码</w:t>
            </w:r>
            <w:r>
              <w:rPr>
                <w:snapToGrid w:val="0"/>
                <w:color w:val="auto"/>
                <w:kern w:val="0"/>
                <w:sz w:val="24"/>
              </w:rPr>
              <w:t>工序使用</w:t>
            </w:r>
            <w:r>
              <w:rPr>
                <w:rFonts w:hint="eastAsia"/>
                <w:snapToGrid w:val="0"/>
                <w:color w:val="auto"/>
                <w:kern w:val="0"/>
                <w:sz w:val="24"/>
                <w:lang w:val="en-US" w:eastAsia="zh-CN"/>
              </w:rPr>
              <w:t>喷码机在线缆表面打上标签</w:t>
            </w:r>
            <w:r>
              <w:rPr>
                <w:snapToGrid w:val="0"/>
                <w:color w:val="auto"/>
                <w:kern w:val="0"/>
                <w:sz w:val="24"/>
              </w:rPr>
              <w:t>，</w:t>
            </w:r>
            <w:r>
              <w:rPr>
                <w:rFonts w:hint="eastAsia"/>
                <w:snapToGrid w:val="0"/>
                <w:color w:val="auto"/>
                <w:kern w:val="0"/>
                <w:sz w:val="24"/>
                <w:lang w:val="en-US" w:eastAsia="zh-CN"/>
              </w:rPr>
              <w:t>该工序</w:t>
            </w:r>
            <w:r>
              <w:rPr>
                <w:snapToGrid w:val="0"/>
                <w:color w:val="auto"/>
                <w:kern w:val="0"/>
                <w:sz w:val="24"/>
              </w:rPr>
              <w:t>有</w:t>
            </w:r>
            <w:r>
              <w:rPr>
                <w:rFonts w:hint="eastAsia"/>
                <w:snapToGrid w:val="0"/>
                <w:color w:val="auto"/>
                <w:kern w:val="0"/>
                <w:sz w:val="24"/>
                <w:lang w:val="en-US" w:eastAsia="zh-CN"/>
              </w:rPr>
              <w:t>少量有机</w:t>
            </w:r>
            <w:r>
              <w:rPr>
                <w:snapToGrid w:val="0"/>
                <w:color w:val="auto"/>
                <w:kern w:val="0"/>
                <w:sz w:val="24"/>
              </w:rPr>
              <w:t>废气产生，以非甲烷总烃计。</w:t>
            </w:r>
          </w:p>
          <w:p w14:paraId="45134BEE">
            <w:pPr>
              <w:keepNext w:val="0"/>
              <w:keepLines w:val="0"/>
              <w:pageBreakBefore w:val="0"/>
              <w:widowControl w:val="0"/>
              <w:numPr>
                <w:ilvl w:val="0"/>
                <w:numId w:val="0"/>
              </w:numPr>
              <w:kinsoku/>
              <w:wordWrap/>
              <w:overflowPunct/>
              <w:topLinePunct w:val="0"/>
              <w:autoSpaceDE/>
              <w:autoSpaceDN/>
              <w:bidi w:val="0"/>
              <w:adjustRightInd w:val="0"/>
              <w:snapToGrid w:val="0"/>
              <w:ind w:firstLine="480" w:firstLineChars="200"/>
              <w:textAlignment w:val="auto"/>
              <w:rPr>
                <w:snapToGrid w:val="0"/>
                <w:color w:val="auto"/>
                <w:kern w:val="0"/>
                <w:sz w:val="24"/>
              </w:rPr>
            </w:pPr>
            <w:r>
              <w:rPr>
                <w:snapToGrid w:val="0"/>
                <w:color w:val="auto"/>
                <w:kern w:val="0"/>
                <w:sz w:val="24"/>
              </w:rPr>
              <w:t>项目年使用</w:t>
            </w:r>
            <w:r>
              <w:rPr>
                <w:rFonts w:hint="eastAsia"/>
                <w:snapToGrid w:val="0"/>
                <w:color w:val="auto"/>
                <w:kern w:val="0"/>
                <w:sz w:val="24"/>
                <w:lang w:val="en-US" w:eastAsia="zh-CN"/>
              </w:rPr>
              <w:t>油墨20.8kg</w:t>
            </w:r>
            <w:r>
              <w:rPr>
                <w:snapToGrid w:val="0"/>
                <w:color w:val="auto"/>
                <w:kern w:val="0"/>
                <w:sz w:val="24"/>
              </w:rPr>
              <w:t>，根据企业提供的</w:t>
            </w:r>
            <w:r>
              <w:rPr>
                <w:rFonts w:hint="eastAsia"/>
                <w:snapToGrid w:val="0"/>
                <w:color w:val="auto"/>
                <w:kern w:val="0"/>
                <w:sz w:val="24"/>
                <w:lang w:val="en-US" w:eastAsia="zh-CN"/>
              </w:rPr>
              <w:t>MSDS报告中显示</w:t>
            </w:r>
            <w:r>
              <w:rPr>
                <w:snapToGrid w:val="0"/>
                <w:color w:val="auto"/>
                <w:kern w:val="0"/>
                <w:sz w:val="24"/>
              </w:rPr>
              <w:t>，</w:t>
            </w:r>
            <w:r>
              <w:rPr>
                <w:rFonts w:hint="eastAsia"/>
                <w:snapToGrid w:val="0"/>
                <w:color w:val="auto"/>
                <w:kern w:val="0"/>
                <w:sz w:val="24"/>
                <w:lang w:val="en-US" w:eastAsia="zh-CN"/>
              </w:rPr>
              <w:t>油墨中挥发性有机物含量为5%—10%，本次评价按10%计，则非甲烷总烃产生量为2.08kg，产生速率为0.001kg/h。</w:t>
            </w:r>
          </w:p>
          <w:p w14:paraId="2E2C03C6">
            <w:pPr>
              <w:pStyle w:val="7"/>
              <w:numPr>
                <w:ilvl w:val="0"/>
                <w:numId w:val="4"/>
              </w:numPr>
              <w:ind w:left="0" w:leftChars="0" w:firstLine="482" w:firstLineChars="200"/>
              <w:rPr>
                <w:rFonts w:hint="eastAsia"/>
                <w:b/>
                <w:bCs/>
                <w:snapToGrid w:val="0"/>
                <w:color w:val="auto"/>
                <w:kern w:val="0"/>
                <w:sz w:val="24"/>
                <w:lang w:val="en-US" w:eastAsia="zh-CN"/>
              </w:rPr>
            </w:pPr>
            <w:r>
              <w:rPr>
                <w:rFonts w:hint="eastAsia"/>
                <w:b/>
                <w:bCs/>
                <w:snapToGrid w:val="0"/>
                <w:color w:val="auto"/>
                <w:kern w:val="0"/>
                <w:sz w:val="24"/>
                <w:lang w:val="en-US" w:eastAsia="zh-CN"/>
              </w:rPr>
              <w:t>注塑废气（G6）</w:t>
            </w:r>
          </w:p>
          <w:p w14:paraId="03E199DB">
            <w:pPr>
              <w:keepNext w:val="0"/>
              <w:keepLines w:val="0"/>
              <w:pageBreakBefore w:val="0"/>
              <w:widowControl w:val="0"/>
              <w:numPr>
                <w:ilvl w:val="0"/>
                <w:numId w:val="0"/>
              </w:numPr>
              <w:kinsoku/>
              <w:wordWrap/>
              <w:overflowPunct/>
              <w:topLinePunct w:val="0"/>
              <w:autoSpaceDE/>
              <w:autoSpaceDN/>
              <w:bidi w:val="0"/>
              <w:adjustRightInd w:val="0"/>
              <w:snapToGrid w:val="0"/>
              <w:ind w:leftChars="0" w:firstLine="480" w:firstLineChars="200"/>
              <w:textAlignment w:val="auto"/>
              <w:rPr>
                <w:rFonts w:hint="eastAsia"/>
                <w:color w:val="auto"/>
                <w:highlight w:val="none"/>
                <w:lang w:eastAsia="zh-CN"/>
              </w:rPr>
            </w:pPr>
            <w:r>
              <w:rPr>
                <w:rFonts w:hint="eastAsia"/>
                <w:color w:val="auto"/>
                <w:lang w:val="en-US" w:eastAsia="zh-CN"/>
              </w:rPr>
              <w:t>项目成品加工需使用注塑机在电缆两端制作塑料头部，该工序原料为塑料电缆颗粒，</w:t>
            </w:r>
            <w:r>
              <w:rPr>
                <w:rFonts w:hint="default" w:ascii="Times New Roman" w:hAnsi="Times New Roman" w:cs="Times New Roman"/>
                <w:b w:val="0"/>
                <w:bCs/>
                <w:color w:val="auto"/>
                <w:szCs w:val="21"/>
                <w:lang w:val="en-US" w:eastAsia="zh-CN"/>
              </w:rPr>
              <w:t>塑料电缆颗粒</w:t>
            </w:r>
            <w:r>
              <w:rPr>
                <w:rFonts w:hint="eastAsia" w:ascii="Times New Roman" w:hAnsi="Times New Roman" w:cs="Times New Roman"/>
                <w:b w:val="0"/>
                <w:bCs/>
                <w:color w:val="auto"/>
                <w:szCs w:val="21"/>
                <w:lang w:val="en-US" w:eastAsia="zh-CN"/>
              </w:rPr>
              <w:t>主要</w:t>
            </w:r>
            <w:r>
              <w:rPr>
                <w:rFonts w:hint="eastAsia" w:cs="Times New Roman"/>
                <w:b w:val="0"/>
                <w:bCs/>
                <w:color w:val="auto"/>
                <w:szCs w:val="21"/>
                <w:lang w:val="en-US" w:eastAsia="zh-CN"/>
              </w:rPr>
              <w:t>原料</w:t>
            </w:r>
            <w:r>
              <w:rPr>
                <w:rFonts w:hint="eastAsia" w:ascii="Times New Roman" w:hAnsi="Times New Roman" w:cs="Times New Roman"/>
                <w:b w:val="0"/>
                <w:bCs/>
                <w:color w:val="auto"/>
                <w:szCs w:val="21"/>
                <w:lang w:val="en-US" w:eastAsia="zh-CN"/>
              </w:rPr>
              <w:t>为</w:t>
            </w:r>
            <w:r>
              <w:rPr>
                <w:rFonts w:hint="eastAsia"/>
                <w:color w:val="auto"/>
                <w:highlight w:val="none"/>
                <w:lang w:val="en-US" w:eastAsia="zh-CN"/>
              </w:rPr>
              <w:t>聚氯乙烯（PVC）以及DOTP和ESO油状物料，挤出过程中</w:t>
            </w:r>
            <w:r>
              <w:rPr>
                <w:rFonts w:hint="eastAsia"/>
                <w:color w:val="auto"/>
                <w:highlight w:val="none"/>
              </w:rPr>
              <w:t>会产生</w:t>
            </w:r>
            <w:r>
              <w:rPr>
                <w:rFonts w:hint="eastAsia"/>
                <w:color w:val="auto"/>
                <w:highlight w:val="none"/>
                <w:lang w:val="en-US" w:eastAsia="zh-CN"/>
              </w:rPr>
              <w:t>非甲烷总烃、油雾（以颗粒物计）、氯化氢、氯乙烯和臭气浓度</w:t>
            </w:r>
            <w:r>
              <w:rPr>
                <w:rFonts w:hint="eastAsia"/>
                <w:color w:val="auto"/>
                <w:highlight w:val="none"/>
                <w:lang w:eastAsia="zh-CN"/>
              </w:rPr>
              <w:t>。</w:t>
            </w:r>
          </w:p>
          <w:p w14:paraId="4BAC52D6">
            <w:pPr>
              <w:keepNext w:val="0"/>
              <w:keepLines w:val="0"/>
              <w:pageBreakBefore w:val="0"/>
              <w:widowControl w:val="0"/>
              <w:numPr>
                <w:ilvl w:val="0"/>
                <w:numId w:val="0"/>
              </w:numPr>
              <w:kinsoku/>
              <w:wordWrap/>
              <w:overflowPunct/>
              <w:topLinePunct w:val="0"/>
              <w:autoSpaceDE/>
              <w:autoSpaceDN/>
              <w:bidi w:val="0"/>
              <w:adjustRightInd w:val="0"/>
              <w:snapToGrid w:val="0"/>
              <w:ind w:leftChars="0" w:firstLine="480" w:firstLineChars="200"/>
              <w:textAlignment w:val="auto"/>
              <w:rPr>
                <w:rFonts w:hint="eastAsia" w:cs="Times New Roman"/>
                <w:color w:val="auto"/>
                <w:highlight w:val="none"/>
                <w:lang w:val="en-US" w:eastAsia="zh-CN"/>
              </w:rPr>
            </w:pPr>
            <w:r>
              <w:rPr>
                <w:rFonts w:hint="eastAsia"/>
                <w:color w:val="auto"/>
                <w:highlight w:val="none"/>
                <w:lang w:val="en-US" w:eastAsia="zh-CN"/>
              </w:rPr>
              <w:t>非甲烷总烃</w:t>
            </w:r>
            <w:r>
              <w:rPr>
                <w:rFonts w:hint="eastAsia" w:ascii="Times New Roman" w:hAnsi="Times New Roman" w:cs="Times New Roman"/>
                <w:color w:val="auto"/>
                <w:highlight w:val="none"/>
                <w:lang w:val="en-US" w:eastAsia="zh-CN"/>
              </w:rPr>
              <w:t>系数</w:t>
            </w:r>
            <w:r>
              <w:rPr>
                <w:rFonts w:hint="default" w:ascii="Times New Roman" w:hAnsi="Times New Roman" w:cs="Times New Roman"/>
                <w:color w:val="auto"/>
                <w:highlight w:val="none"/>
                <w:lang w:val="en-US" w:eastAsia="zh-CN"/>
              </w:rPr>
              <w:t>参照《排放源统计调查产排污核算方法和系数手册》中“292</w:t>
            </w:r>
            <w:r>
              <w:rPr>
                <w:rFonts w:hint="default" w:ascii="Times New Roman" w:hAnsi="Times New Roman" w:cs="Times New Roman"/>
                <w:color w:val="auto"/>
                <w:sz w:val="24"/>
                <w:szCs w:val="24"/>
                <w:lang w:val="en-US" w:eastAsia="zh-CN"/>
              </w:rPr>
              <w:t>塑料制品业</w:t>
            </w:r>
            <w:r>
              <w:rPr>
                <w:rFonts w:hint="default" w:ascii="Times New Roman" w:hAnsi="Times New Roman" w:eastAsia="宋体" w:cs="Times New Roman"/>
                <w:color w:val="auto"/>
                <w:sz w:val="24"/>
                <w:szCs w:val="24"/>
              </w:rPr>
              <w:t xml:space="preserve">系数手册 </w:t>
            </w:r>
            <w:r>
              <w:rPr>
                <w:rFonts w:hint="default" w:ascii="Times New Roman" w:hAnsi="Times New Roman" w:eastAsia="宋体" w:cs="Times New Roman"/>
                <w:color w:val="auto"/>
                <w:sz w:val="24"/>
                <w:szCs w:val="24"/>
                <w:lang w:val="en-US" w:eastAsia="zh-CN"/>
              </w:rPr>
              <w:t>-</w:t>
            </w:r>
            <w:r>
              <w:rPr>
                <w:rFonts w:hint="default" w:ascii="Times New Roman" w:hAnsi="Times New Roman" w:cs="Times New Roman"/>
                <w:color w:val="auto"/>
                <w:sz w:val="24"/>
                <w:szCs w:val="24"/>
                <w:lang w:val="en-US" w:eastAsia="zh-CN"/>
              </w:rPr>
              <w:t>2929</w:t>
            </w:r>
            <w:r>
              <w:rPr>
                <w:rFonts w:hint="default" w:ascii="Times New Roman" w:hAnsi="Times New Roman" w:eastAsia="宋体" w:cs="Times New Roman"/>
                <w:color w:val="auto"/>
                <w:sz w:val="24"/>
                <w:szCs w:val="24"/>
              </w:rPr>
              <w:t>塑料零件及其他塑料制品制造行业系数表</w:t>
            </w:r>
            <w:r>
              <w:rPr>
                <w:rFonts w:hint="eastAsia" w:cs="Times New Roman"/>
                <w:color w:val="auto"/>
                <w:sz w:val="24"/>
                <w:szCs w:val="24"/>
                <w:lang w:eastAsia="zh-CN"/>
              </w:rPr>
              <w:t>－</w:t>
            </w:r>
            <w:r>
              <w:rPr>
                <w:rFonts w:hint="default" w:ascii="Times New Roman" w:hAnsi="Times New Roman" w:eastAsia="宋体" w:cs="Times New Roman"/>
                <w:color w:val="auto"/>
                <w:sz w:val="24"/>
                <w:szCs w:val="24"/>
                <w:lang w:val="en-US" w:eastAsia="zh-CN"/>
              </w:rPr>
              <w:t>配料</w:t>
            </w:r>
            <w:r>
              <w:rPr>
                <w:rFonts w:hint="default" w:ascii="Times New Roman" w:hAnsi="Times New Roman"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混合</w:t>
            </w:r>
            <w:r>
              <w:rPr>
                <w:rFonts w:hint="default" w:ascii="Times New Roman" w:hAnsi="Times New Roman"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挤出</w:t>
            </w:r>
            <w:r>
              <w:rPr>
                <w:rFonts w:hint="default" w:ascii="Times New Roman" w:hAnsi="Times New Roman"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注塑</w:t>
            </w:r>
            <w:r>
              <w:rPr>
                <w:rFonts w:hint="default" w:ascii="Times New Roman" w:hAnsi="Times New Roman" w:cs="Times New Roman"/>
                <w:color w:val="auto"/>
                <w:highlight w:val="none"/>
                <w:lang w:val="en-US" w:eastAsia="zh-CN"/>
              </w:rPr>
              <w:t>”，挥发性有机物的产污系数为2.7千克</w:t>
            </w:r>
            <w:r>
              <w:rPr>
                <w:rFonts w:hint="default" w:ascii="Times New Roman" w:hAnsi="Times New Roman" w:cs="Times New Roman"/>
                <w:color w:val="auto"/>
                <w:highlight w:val="none"/>
              </w:rPr>
              <w:t>/</w:t>
            </w:r>
            <w:r>
              <w:rPr>
                <w:rFonts w:hint="default" w:ascii="Times New Roman" w:hAnsi="Times New Roman" w:cs="Times New Roman"/>
                <w:color w:val="auto"/>
                <w:highlight w:val="none"/>
                <w:lang w:val="en-US" w:eastAsia="zh-CN"/>
              </w:rPr>
              <w:t>吨</w:t>
            </w:r>
            <w:r>
              <w:rPr>
                <w:rFonts w:hint="eastAsia" w:cs="Times New Roman"/>
                <w:color w:val="auto"/>
                <w:highlight w:val="none"/>
                <w:lang w:val="en-US" w:eastAsia="zh-CN"/>
              </w:rPr>
              <w:t>－</w:t>
            </w:r>
            <w:r>
              <w:rPr>
                <w:rFonts w:hint="default" w:ascii="Times New Roman" w:hAnsi="Times New Roman" w:cs="Times New Roman"/>
                <w:color w:val="auto"/>
                <w:highlight w:val="none"/>
                <w:lang w:val="en-US" w:eastAsia="zh-CN"/>
              </w:rPr>
              <w:t>产品</w:t>
            </w:r>
            <w:r>
              <w:rPr>
                <w:rFonts w:hint="eastAsia" w:cs="Times New Roman"/>
                <w:color w:val="auto"/>
                <w:highlight w:val="none"/>
                <w:lang w:val="en-US" w:eastAsia="zh-CN"/>
              </w:rPr>
              <w:t>；氯化氢和氯乙烯参照《气相色谱-质谱法分析聚氯乙烯加热分解产物》（林华影，林瑶、张伟等，中国卫生检验杂志，2008年4月，18卷4期），氯化氢的产污系数为194.6mg/t-原料，氯乙烯的产污系数为228.4mg/t原料；油雾颗粒物参照根据《人造革/合成革材料及工艺学》 （范浩军、袁继新等编著、中国轻工业出版社）及《合成革工艺学》 （曲建波等编著、化学工业出版社） 并结合建设单位的实验数据挤出和造粒过程中增塑剂受热产生的油烟废气约为增塑剂用量的 1%。</w:t>
            </w:r>
          </w:p>
          <w:p w14:paraId="69CF7BEE">
            <w:pPr>
              <w:keepNext w:val="0"/>
              <w:keepLines w:val="0"/>
              <w:pageBreakBefore w:val="0"/>
              <w:widowControl w:val="0"/>
              <w:numPr>
                <w:ilvl w:val="0"/>
                <w:numId w:val="0"/>
              </w:numPr>
              <w:kinsoku/>
              <w:wordWrap/>
              <w:overflowPunct/>
              <w:topLinePunct w:val="0"/>
              <w:autoSpaceDE/>
              <w:autoSpaceDN/>
              <w:bidi w:val="0"/>
              <w:adjustRightInd w:val="0"/>
              <w:snapToGrid w:val="0"/>
              <w:ind w:leftChars="0" w:firstLine="480" w:firstLineChars="200"/>
              <w:textAlignment w:val="auto"/>
              <w:rPr>
                <w:rFonts w:hint="default" w:eastAsia="宋体"/>
                <w:color w:val="auto"/>
                <w:lang w:val="en-US" w:eastAsia="zh-CN"/>
              </w:rPr>
            </w:pPr>
            <w:r>
              <w:rPr>
                <w:rFonts w:hint="eastAsia"/>
                <w:color w:val="auto"/>
                <w:lang w:val="en-US" w:eastAsia="zh-CN"/>
              </w:rPr>
              <w:t>根据建设单位提供的资料，注塑工序使用的成品塑料电缆颗粒年用量为2t，</w:t>
            </w:r>
            <w:r>
              <w:rPr>
                <w:rFonts w:hint="eastAsia" w:cs="Times New Roman"/>
                <w:b w:val="0"/>
                <w:bCs/>
                <w:color w:val="auto"/>
                <w:szCs w:val="21"/>
                <w:vertAlign w:val="baseline"/>
                <w:lang w:val="en-US" w:eastAsia="zh-CN"/>
              </w:rPr>
              <w:t>塑料电缆颗粒中增塑剂约占24%，</w:t>
            </w:r>
            <w:r>
              <w:rPr>
                <w:rFonts w:hint="eastAsia"/>
                <w:color w:val="auto"/>
                <w:lang w:val="en-US" w:eastAsia="zh-CN"/>
              </w:rPr>
              <w:t>则注塑工序非甲烷总烃产生量为0.0054吨，氯化氢产生量为0.000000389t/a，氯乙烯产生量为0.000000457t/a，颗粒物的产生量为0.02t/a。非甲烷总烃的产生速率为0.00259kg/h，氯化氢的产生速率为0.0000002kg/h，氯乙烯0.0000002kg/h，颗粒物的产生速率为0.0096kg/h。</w:t>
            </w:r>
          </w:p>
          <w:p w14:paraId="67765073">
            <w:pPr>
              <w:bidi w:val="0"/>
              <w:rPr>
                <w:color w:val="auto"/>
                <w:highlight w:val="none"/>
              </w:rPr>
            </w:pPr>
            <w:r>
              <w:rPr>
                <w:rFonts w:hint="eastAsia"/>
                <w:b/>
                <w:bCs/>
                <w:color w:val="auto"/>
                <w:highlight w:val="none"/>
                <w:lang w:val="en-US" w:eastAsia="zh-CN"/>
              </w:rPr>
              <w:t>4）废气</w:t>
            </w:r>
            <w:r>
              <w:rPr>
                <w:b/>
                <w:bCs/>
                <w:color w:val="auto"/>
                <w:highlight w:val="none"/>
              </w:rPr>
              <w:t>收集方式和收集效率</w:t>
            </w:r>
          </w:p>
          <w:p w14:paraId="30B6AA6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val="0"/>
                <w:color w:val="auto"/>
                <w:spacing w:val="0"/>
                <w:kern w:val="2"/>
                <w:sz w:val="24"/>
                <w:szCs w:val="24"/>
                <w:highlight w:val="none"/>
                <w:lang w:val="en-US" w:eastAsia="zh-CN" w:bidi="ar-SA"/>
              </w:rPr>
            </w:pPr>
            <w:r>
              <w:rPr>
                <w:rFonts w:hint="eastAsia" w:cs="仿宋"/>
                <w:b w:val="0"/>
                <w:bCs w:val="0"/>
                <w:color w:val="auto"/>
                <w:spacing w:val="0"/>
                <w:kern w:val="2"/>
                <w:sz w:val="24"/>
                <w:szCs w:val="24"/>
                <w:highlight w:val="none"/>
                <w:lang w:val="en-US" w:eastAsia="zh-CN" w:bidi="ar-SA"/>
              </w:rPr>
              <w:t>本</w:t>
            </w:r>
            <w:r>
              <w:rPr>
                <w:rFonts w:hint="default" w:ascii="Times New Roman" w:hAnsi="Times New Roman" w:cs="Times New Roman"/>
                <w:b w:val="0"/>
                <w:bCs w:val="0"/>
                <w:color w:val="auto"/>
                <w:spacing w:val="0"/>
                <w:kern w:val="2"/>
                <w:sz w:val="24"/>
                <w:szCs w:val="24"/>
                <w:highlight w:val="none"/>
                <w:lang w:val="en-US" w:eastAsia="zh-CN" w:bidi="ar-SA"/>
              </w:rPr>
              <w:t>项目设置3台</w:t>
            </w:r>
            <w:r>
              <w:rPr>
                <w:rFonts w:hint="default" w:ascii="Times New Roman" w:hAnsi="Times New Roman" w:cs="Times New Roman"/>
                <w:b w:val="0"/>
                <w:bCs/>
                <w:color w:val="auto"/>
                <w:szCs w:val="21"/>
                <w:lang w:val="en-US" w:eastAsia="zh-CN"/>
              </w:rPr>
              <w:t>50芯线押出机</w:t>
            </w:r>
            <w:r>
              <w:rPr>
                <w:rFonts w:hint="eastAsia" w:ascii="Times New Roman" w:hAnsi="Times New Roman" w:cs="Times New Roman"/>
                <w:b w:val="0"/>
                <w:bCs w:val="0"/>
                <w:color w:val="auto"/>
                <w:spacing w:val="0"/>
                <w:kern w:val="2"/>
                <w:sz w:val="24"/>
                <w:szCs w:val="24"/>
                <w:highlight w:val="none"/>
                <w:lang w:val="en-US" w:eastAsia="zh-CN" w:bidi="ar-SA"/>
              </w:rPr>
              <w:t>、</w:t>
            </w:r>
            <w:r>
              <w:rPr>
                <w:rFonts w:hint="default" w:ascii="Times New Roman" w:hAnsi="Times New Roman" w:cs="Times New Roman"/>
                <w:b w:val="0"/>
                <w:bCs w:val="0"/>
                <w:color w:val="auto"/>
                <w:spacing w:val="0"/>
                <w:kern w:val="2"/>
                <w:sz w:val="24"/>
                <w:szCs w:val="24"/>
                <w:highlight w:val="none"/>
                <w:lang w:val="en-US" w:eastAsia="zh-CN" w:bidi="ar-SA"/>
              </w:rPr>
              <w:t>2台</w:t>
            </w:r>
            <w:r>
              <w:rPr>
                <w:rFonts w:hint="default" w:ascii="Times New Roman" w:hAnsi="Times New Roman" w:cs="Times New Roman"/>
                <w:bCs/>
                <w:color w:val="auto"/>
                <w:szCs w:val="21"/>
                <w:vertAlign w:val="baseline"/>
                <w:lang w:val="en-US" w:eastAsia="zh-CN"/>
              </w:rPr>
              <w:t>70护套押出机</w:t>
            </w:r>
            <w:r>
              <w:rPr>
                <w:rFonts w:hint="eastAsia" w:ascii="Times New Roman" w:hAnsi="Times New Roman" w:cs="Times New Roman"/>
                <w:bCs/>
                <w:color w:val="auto"/>
                <w:szCs w:val="21"/>
                <w:vertAlign w:val="baseline"/>
                <w:lang w:val="en-US" w:eastAsia="zh-CN"/>
              </w:rPr>
              <w:t>、3台喷码机和3台注塑机</w:t>
            </w:r>
            <w:r>
              <w:rPr>
                <w:rFonts w:hint="default" w:ascii="Times New Roman" w:hAnsi="Times New Roman" w:cs="Times New Roman"/>
                <w:bCs/>
                <w:color w:val="auto"/>
                <w:szCs w:val="21"/>
                <w:vertAlign w:val="baseline"/>
                <w:lang w:val="en-US" w:eastAsia="zh-CN"/>
              </w:rPr>
              <w:t>。</w:t>
            </w:r>
            <w:r>
              <w:rPr>
                <w:rFonts w:hint="eastAsia" w:ascii="Times New Roman" w:hAnsi="Times New Roman" w:cs="Times New Roman"/>
                <w:bCs/>
                <w:color w:val="auto"/>
                <w:szCs w:val="21"/>
                <w:vertAlign w:val="baseline"/>
                <w:lang w:val="en-US" w:eastAsia="zh-CN"/>
              </w:rPr>
              <w:t>押出机、喷码机和注塑机均设置于200m</w:t>
            </w:r>
            <w:r>
              <w:rPr>
                <w:rFonts w:hint="eastAsia" w:ascii="Times New Roman" w:hAnsi="Times New Roman" w:cs="Times New Roman"/>
                <w:bCs/>
                <w:color w:val="auto"/>
                <w:szCs w:val="21"/>
                <w:vertAlign w:val="superscript"/>
                <w:lang w:val="en-US" w:eastAsia="zh-CN"/>
              </w:rPr>
              <w:t>2</w:t>
            </w:r>
            <w:r>
              <w:rPr>
                <w:rFonts w:hint="eastAsia" w:ascii="Times New Roman" w:hAnsi="Times New Roman" w:cs="Times New Roman"/>
                <w:bCs/>
                <w:color w:val="auto"/>
                <w:szCs w:val="21"/>
                <w:vertAlign w:val="baseline"/>
                <w:lang w:val="en-US" w:eastAsia="zh-CN"/>
              </w:rPr>
              <w:t>的密闭车间内，车间高6m，每小时换气次数按10计，则每小时车间换气量为12000m</w:t>
            </w:r>
            <w:r>
              <w:rPr>
                <w:rFonts w:hint="eastAsia" w:ascii="Times New Roman" w:hAnsi="Times New Roman" w:cs="Times New Roman"/>
                <w:bCs/>
                <w:color w:val="auto"/>
                <w:szCs w:val="21"/>
                <w:vertAlign w:val="superscript"/>
                <w:lang w:val="en-US" w:eastAsia="zh-CN"/>
              </w:rPr>
              <w:t>3</w:t>
            </w:r>
            <w:r>
              <w:rPr>
                <w:rFonts w:hint="eastAsia" w:ascii="Times New Roman" w:hAnsi="Times New Roman" w:cs="Times New Roman"/>
                <w:bCs/>
                <w:color w:val="auto"/>
                <w:szCs w:val="21"/>
                <w:vertAlign w:val="baseline"/>
                <w:lang w:val="en-US" w:eastAsia="zh-CN"/>
              </w:rPr>
              <w:t>。</w:t>
            </w:r>
            <w:r>
              <w:rPr>
                <w:rFonts w:hint="default" w:ascii="Times New Roman" w:hAnsi="Times New Roman" w:cs="Times New Roman"/>
                <w:b w:val="0"/>
                <w:bCs w:val="0"/>
                <w:color w:val="auto"/>
                <w:spacing w:val="0"/>
                <w:kern w:val="2"/>
                <w:sz w:val="24"/>
                <w:szCs w:val="24"/>
                <w:highlight w:val="none"/>
                <w:lang w:val="en-US" w:eastAsia="zh-CN" w:bidi="ar-SA"/>
              </w:rPr>
              <w:t>本环评要求</w:t>
            </w:r>
            <w:r>
              <w:rPr>
                <w:rFonts w:hint="eastAsia" w:ascii="Times New Roman" w:hAnsi="Times New Roman" w:cs="Times New Roman"/>
                <w:b w:val="0"/>
                <w:bCs w:val="0"/>
                <w:color w:val="auto"/>
                <w:spacing w:val="0"/>
                <w:kern w:val="2"/>
                <w:sz w:val="24"/>
                <w:szCs w:val="24"/>
                <w:highlight w:val="none"/>
                <w:lang w:val="en-US" w:eastAsia="zh-CN" w:bidi="ar-SA"/>
              </w:rPr>
              <w:t>同时</w:t>
            </w:r>
            <w:r>
              <w:rPr>
                <w:rFonts w:hint="default" w:ascii="Times New Roman" w:hAnsi="Times New Roman" w:cs="Times New Roman"/>
                <w:b w:val="0"/>
                <w:bCs w:val="0"/>
                <w:color w:val="auto"/>
                <w:spacing w:val="0"/>
                <w:kern w:val="2"/>
                <w:sz w:val="24"/>
                <w:szCs w:val="24"/>
                <w:highlight w:val="none"/>
                <w:lang w:val="en-US" w:eastAsia="zh-CN" w:bidi="ar-SA"/>
              </w:rPr>
              <w:t>在</w:t>
            </w:r>
            <w:r>
              <w:rPr>
                <w:rFonts w:hint="default" w:ascii="Times New Roman" w:hAnsi="Times New Roman" w:cs="Times New Roman"/>
                <w:b w:val="0"/>
                <w:bCs/>
                <w:color w:val="auto"/>
                <w:szCs w:val="21"/>
                <w:lang w:val="en-US" w:eastAsia="zh-CN"/>
              </w:rPr>
              <w:t>50芯线押出机</w:t>
            </w:r>
            <w:r>
              <w:rPr>
                <w:rFonts w:hint="default" w:ascii="Times New Roman" w:hAnsi="Times New Roman" w:cs="Times New Roman"/>
                <w:b w:val="0"/>
                <w:bCs w:val="0"/>
                <w:color w:val="auto"/>
                <w:spacing w:val="0"/>
                <w:kern w:val="2"/>
                <w:sz w:val="24"/>
                <w:szCs w:val="24"/>
                <w:highlight w:val="none"/>
                <w:lang w:val="en-US" w:eastAsia="zh-CN" w:bidi="ar-SA"/>
              </w:rPr>
              <w:t>、</w:t>
            </w:r>
            <w:r>
              <w:rPr>
                <w:rFonts w:hint="default" w:ascii="Times New Roman" w:hAnsi="Times New Roman" w:cs="Times New Roman"/>
                <w:bCs/>
                <w:color w:val="auto"/>
                <w:szCs w:val="21"/>
                <w:vertAlign w:val="baseline"/>
                <w:lang w:val="en-US" w:eastAsia="zh-CN"/>
              </w:rPr>
              <w:t>70护套押出机</w:t>
            </w:r>
            <w:r>
              <w:rPr>
                <w:rFonts w:hint="eastAsia" w:ascii="Times New Roman" w:hAnsi="Times New Roman" w:cs="Times New Roman"/>
                <w:bCs/>
                <w:color w:val="auto"/>
                <w:szCs w:val="21"/>
                <w:vertAlign w:val="baseline"/>
                <w:lang w:val="en-US" w:eastAsia="zh-CN"/>
              </w:rPr>
              <w:t>、喷码机和注塑机</w:t>
            </w:r>
            <w:r>
              <w:rPr>
                <w:rFonts w:hint="default" w:ascii="Times New Roman" w:hAnsi="Times New Roman" w:cs="Times New Roman"/>
                <w:b w:val="0"/>
                <w:bCs w:val="0"/>
                <w:color w:val="auto"/>
                <w:spacing w:val="0"/>
                <w:kern w:val="2"/>
                <w:sz w:val="24"/>
                <w:szCs w:val="24"/>
                <w:highlight w:val="none"/>
                <w:lang w:val="en-US" w:eastAsia="zh-CN" w:bidi="ar-SA"/>
              </w:rPr>
              <w:t>上方设置集气罩对废气进行收集，集气罩长为1m，宽为1m</w:t>
            </w:r>
            <w:r>
              <w:rPr>
                <w:rFonts w:hint="eastAsia" w:ascii="Times New Roman" w:hAnsi="Times New Roman" w:cs="Times New Roman"/>
                <w:b w:val="0"/>
                <w:bCs w:val="0"/>
                <w:color w:val="auto"/>
                <w:spacing w:val="0"/>
                <w:kern w:val="2"/>
                <w:sz w:val="24"/>
                <w:szCs w:val="24"/>
                <w:highlight w:val="none"/>
                <w:lang w:val="en-US" w:eastAsia="zh-CN" w:bidi="ar-SA"/>
              </w:rPr>
              <w:t>。废气总</w:t>
            </w:r>
            <w:r>
              <w:rPr>
                <w:rFonts w:hint="default" w:ascii="Times New Roman" w:hAnsi="Times New Roman" w:cs="Times New Roman"/>
                <w:b w:val="0"/>
                <w:bCs w:val="0"/>
                <w:color w:val="auto"/>
                <w:spacing w:val="0"/>
                <w:kern w:val="2"/>
                <w:sz w:val="24"/>
                <w:szCs w:val="24"/>
                <w:highlight w:val="none"/>
                <w:lang w:val="en-US" w:eastAsia="zh-CN" w:bidi="ar-SA"/>
              </w:rPr>
              <w:t>收集效率按9</w:t>
            </w:r>
            <w:r>
              <w:rPr>
                <w:rFonts w:hint="eastAsia" w:ascii="Times New Roman" w:hAnsi="Times New Roman" w:cs="Times New Roman"/>
                <w:b w:val="0"/>
                <w:bCs w:val="0"/>
                <w:color w:val="auto"/>
                <w:spacing w:val="0"/>
                <w:kern w:val="2"/>
                <w:sz w:val="24"/>
                <w:szCs w:val="24"/>
                <w:highlight w:val="none"/>
                <w:lang w:val="en-US" w:eastAsia="zh-CN" w:bidi="ar-SA"/>
              </w:rPr>
              <w:t>5</w:t>
            </w:r>
            <w:r>
              <w:rPr>
                <w:rFonts w:hint="default" w:ascii="Times New Roman" w:hAnsi="Times New Roman" w:cs="Times New Roman"/>
                <w:b w:val="0"/>
                <w:bCs w:val="0"/>
                <w:color w:val="auto"/>
                <w:spacing w:val="0"/>
                <w:kern w:val="2"/>
                <w:sz w:val="24"/>
                <w:szCs w:val="24"/>
                <w:highlight w:val="none"/>
                <w:lang w:val="en-US" w:eastAsia="zh-CN" w:bidi="ar-SA"/>
              </w:rPr>
              <w:t>%计算，废气收集后经静电式油雾净化器</w:t>
            </w:r>
            <w:r>
              <w:rPr>
                <w:rFonts w:hint="eastAsia" w:cs="Times New Roman"/>
                <w:b w:val="0"/>
                <w:bCs w:val="0"/>
                <w:color w:val="auto"/>
                <w:spacing w:val="0"/>
                <w:kern w:val="2"/>
                <w:sz w:val="24"/>
                <w:szCs w:val="24"/>
                <w:highlight w:val="none"/>
                <w:lang w:val="en-US" w:eastAsia="zh-CN" w:bidi="ar-SA"/>
              </w:rPr>
              <w:t>+</w:t>
            </w:r>
            <w:r>
              <w:rPr>
                <w:rFonts w:hint="default" w:ascii="Times New Roman" w:hAnsi="Times New Roman" w:cs="Times New Roman"/>
                <w:b w:val="0"/>
                <w:bCs w:val="0"/>
                <w:color w:val="auto"/>
                <w:spacing w:val="0"/>
                <w:kern w:val="2"/>
                <w:sz w:val="24"/>
                <w:szCs w:val="24"/>
                <w:highlight w:val="none"/>
                <w:lang w:val="en-US" w:eastAsia="zh-CN" w:bidi="ar-SA"/>
              </w:rPr>
              <w:t>两级活性炭吸附装置处理后通过15m高的排气筒排放（DA001），处理效率按90%计。</w:t>
            </w:r>
          </w:p>
          <w:p w14:paraId="2275811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default" w:ascii="Times New Roman" w:hAnsi="Times New Roman" w:cs="Times New Roman"/>
                <w:bCs/>
                <w:color w:val="auto"/>
                <w:sz w:val="24"/>
                <w:highlight w:val="none"/>
                <w:lang w:val="en-US" w:eastAsia="zh-CN"/>
              </w:rPr>
            </w:pPr>
            <w:r>
              <w:rPr>
                <w:rFonts w:hint="default" w:ascii="Times New Roman" w:hAnsi="Times New Roman" w:cs="Times New Roman"/>
                <w:b w:val="0"/>
                <w:bCs/>
                <w:color w:val="auto"/>
                <w:sz w:val="24"/>
                <w:szCs w:val="24"/>
                <w:highlight w:val="none"/>
                <w:vertAlign w:val="baseline"/>
                <w:lang w:val="en-US" w:eastAsia="zh-CN"/>
              </w:rPr>
              <w:t>集气罩风量计算参照《环境工程设计手册》中关于外部</w:t>
            </w:r>
            <w:r>
              <w:rPr>
                <w:rFonts w:hint="eastAsia" w:ascii="Times New Roman" w:hAnsi="Times New Roman" w:cs="Times New Roman"/>
                <w:b w:val="0"/>
                <w:bCs/>
                <w:color w:val="auto"/>
                <w:sz w:val="24"/>
                <w:szCs w:val="24"/>
                <w:highlight w:val="none"/>
                <w:vertAlign w:val="baseline"/>
                <w:lang w:val="en-US" w:eastAsia="zh-CN"/>
              </w:rPr>
              <w:t>顶吸式</w:t>
            </w:r>
            <w:r>
              <w:rPr>
                <w:rFonts w:hint="default" w:ascii="Times New Roman" w:hAnsi="Times New Roman" w:cs="Times New Roman"/>
                <w:b w:val="0"/>
                <w:bCs/>
                <w:color w:val="auto"/>
                <w:sz w:val="24"/>
                <w:szCs w:val="24"/>
                <w:highlight w:val="none"/>
                <w:vertAlign w:val="baseline"/>
                <w:lang w:val="en-US" w:eastAsia="zh-CN"/>
              </w:rPr>
              <w:t>集气罩风量的计算公式：</w:t>
            </w:r>
          </w:p>
          <w:p w14:paraId="1C91068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center"/>
              <w:textAlignment w:val="auto"/>
              <w:outlineLvl w:val="9"/>
              <w:rPr>
                <w:rFonts w:hint="default" w:ascii="Times New Roman" w:hAnsi="Times New Roman" w:cs="Times New Roman"/>
                <w:bCs/>
                <w:color w:val="auto"/>
                <w:sz w:val="24"/>
                <w:highlight w:val="none"/>
                <w:lang w:val="en-US" w:eastAsia="zh-CN"/>
              </w:rPr>
            </w:pPr>
            <w:r>
              <w:rPr>
                <w:rFonts w:hint="default" w:ascii="Times New Roman" w:hAnsi="Times New Roman" w:cs="Times New Roman"/>
                <w:bCs/>
                <w:color w:val="auto"/>
                <w:position w:val="-10"/>
                <w:sz w:val="24"/>
                <w:highlight w:val="none"/>
                <w:lang w:val="en-US" w:eastAsia="zh-CN"/>
              </w:rPr>
              <w:object>
                <v:shape id="_x0000_i1025" o:spt="75" type="#_x0000_t75" style="height:19.6pt;width:116pt;" o:ole="t" filled="f" o:preferrelative="t" stroked="f" coordsize="21600,21600">
                  <v:path/>
                  <v:fill on="f" focussize="0,0"/>
                  <v:stroke on="f"/>
                  <v:imagedata r:id="rId28" o:title=""/>
                  <o:lock v:ext="edit" aspectratio="t"/>
                  <w10:wrap type="none"/>
                  <w10:anchorlock/>
                </v:shape>
                <o:OLEObject Type="Embed" ProgID="Equation.KSEE3" ShapeID="_x0000_i1025" DrawAspect="Content" ObjectID="_1468075725" r:id="rId27">
                  <o:LockedField>false</o:LockedField>
                </o:OLEObject>
              </w:object>
            </w:r>
          </w:p>
          <w:p w14:paraId="25F16A8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default" w:ascii="Times New Roman" w:hAnsi="Times New Roman" w:cs="Times New Roman"/>
                <w:bCs/>
                <w:color w:val="auto"/>
                <w:sz w:val="24"/>
                <w:highlight w:val="none"/>
                <w:lang w:val="en-US" w:eastAsia="zh-CN"/>
              </w:rPr>
            </w:pPr>
            <w:r>
              <w:rPr>
                <w:rFonts w:hint="default" w:ascii="Times New Roman" w:hAnsi="Times New Roman" w:cs="Times New Roman"/>
                <w:bCs/>
                <w:color w:val="auto"/>
                <w:sz w:val="24"/>
                <w:highlight w:val="none"/>
                <w:lang w:val="en-US" w:eastAsia="zh-CN"/>
              </w:rPr>
              <w:t>其中：</w:t>
            </w:r>
          </w:p>
          <w:p w14:paraId="37ABFC0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default" w:ascii="Times New Roman" w:hAnsi="Times New Roman" w:cs="Times New Roman"/>
                <w:bCs/>
                <w:color w:val="auto"/>
                <w:sz w:val="24"/>
                <w:highlight w:val="none"/>
                <w:lang w:val="en-US" w:eastAsia="zh-CN"/>
              </w:rPr>
            </w:pPr>
            <w:r>
              <w:rPr>
                <w:rFonts w:hint="default" w:ascii="Times New Roman" w:hAnsi="Times New Roman" w:cs="Times New Roman"/>
                <w:bCs/>
                <w:color w:val="auto"/>
                <w:sz w:val="24"/>
                <w:highlight w:val="none"/>
                <w:lang w:val="en-US" w:eastAsia="zh-CN"/>
              </w:rPr>
              <w:t>X--集气罩至污染源的距离，m</w:t>
            </w:r>
            <w:r>
              <w:rPr>
                <w:rFonts w:hint="eastAsia" w:ascii="Times New Roman" w:hAnsi="Times New Roman" w:cs="Times New Roman"/>
                <w:bCs/>
                <w:color w:val="auto"/>
                <w:sz w:val="24"/>
                <w:highlight w:val="none"/>
                <w:lang w:val="en-US" w:eastAsia="zh-CN"/>
              </w:rPr>
              <w:t>，</w:t>
            </w:r>
            <w:r>
              <w:rPr>
                <w:rFonts w:hint="eastAsia" w:cs="Times New Roman"/>
                <w:bCs/>
                <w:color w:val="auto"/>
                <w:sz w:val="24"/>
                <w:highlight w:val="none"/>
                <w:lang w:val="en-US" w:eastAsia="zh-CN"/>
              </w:rPr>
              <w:t>本项目</w:t>
            </w:r>
            <w:r>
              <w:rPr>
                <w:rFonts w:hint="eastAsia" w:ascii="Times New Roman" w:hAnsi="Times New Roman" w:cs="Times New Roman"/>
                <w:bCs/>
                <w:color w:val="auto"/>
                <w:sz w:val="24"/>
                <w:highlight w:val="none"/>
                <w:lang w:val="en-US" w:eastAsia="zh-CN"/>
              </w:rPr>
              <w:t>取0.</w:t>
            </w:r>
            <w:r>
              <w:rPr>
                <w:rFonts w:hint="eastAsia" w:cs="Times New Roman"/>
                <w:bCs/>
                <w:color w:val="auto"/>
                <w:sz w:val="24"/>
                <w:highlight w:val="none"/>
                <w:lang w:val="en-US" w:eastAsia="zh-CN"/>
              </w:rPr>
              <w:t>4</w:t>
            </w:r>
            <w:r>
              <w:rPr>
                <w:rFonts w:hint="eastAsia" w:ascii="Times New Roman" w:hAnsi="Times New Roman" w:cs="Times New Roman"/>
                <w:bCs/>
                <w:color w:val="auto"/>
                <w:sz w:val="24"/>
                <w:highlight w:val="none"/>
                <w:lang w:val="en-US" w:eastAsia="zh-CN"/>
              </w:rPr>
              <w:t>m</w:t>
            </w:r>
            <w:r>
              <w:rPr>
                <w:rFonts w:hint="default" w:ascii="Times New Roman" w:hAnsi="Times New Roman" w:cs="Times New Roman"/>
                <w:bCs/>
                <w:color w:val="auto"/>
                <w:sz w:val="24"/>
                <w:highlight w:val="none"/>
                <w:lang w:val="en-US" w:eastAsia="zh-CN"/>
              </w:rPr>
              <w:t>；</w:t>
            </w:r>
          </w:p>
          <w:p w14:paraId="40C2879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default" w:ascii="Times New Roman" w:hAnsi="Times New Roman" w:cs="Times New Roman"/>
                <w:bCs/>
                <w:color w:val="auto"/>
                <w:sz w:val="24"/>
                <w:highlight w:val="none"/>
                <w:lang w:val="en-US" w:eastAsia="zh-CN"/>
              </w:rPr>
            </w:pPr>
            <w:r>
              <w:rPr>
                <w:rFonts w:hint="default" w:ascii="Times New Roman" w:hAnsi="Times New Roman" w:cs="Times New Roman"/>
                <w:bCs/>
                <w:color w:val="auto"/>
                <w:sz w:val="24"/>
                <w:highlight w:val="none"/>
                <w:lang w:val="en-US" w:eastAsia="zh-CN"/>
              </w:rPr>
              <w:t>F--集气罩口面积，m</w:t>
            </w:r>
            <w:r>
              <w:rPr>
                <w:rFonts w:hint="default" w:ascii="Times New Roman" w:hAnsi="Times New Roman" w:cs="Times New Roman"/>
                <w:bCs/>
                <w:color w:val="auto"/>
                <w:sz w:val="24"/>
                <w:highlight w:val="none"/>
                <w:vertAlign w:val="superscript"/>
                <w:lang w:val="en-US" w:eastAsia="zh-CN"/>
              </w:rPr>
              <w:t>2</w:t>
            </w:r>
            <w:r>
              <w:rPr>
                <w:rFonts w:hint="eastAsia" w:ascii="Times New Roman" w:hAnsi="Times New Roman" w:cs="Times New Roman"/>
                <w:bCs/>
                <w:color w:val="auto"/>
                <w:sz w:val="24"/>
                <w:highlight w:val="none"/>
                <w:vertAlign w:val="baseline"/>
                <w:lang w:val="en-US" w:eastAsia="zh-CN"/>
              </w:rPr>
              <w:t>，</w:t>
            </w:r>
            <w:r>
              <w:rPr>
                <w:rFonts w:hint="eastAsia" w:cs="Times New Roman"/>
                <w:bCs/>
                <w:color w:val="auto"/>
                <w:sz w:val="24"/>
                <w:highlight w:val="none"/>
                <w:vertAlign w:val="baseline"/>
                <w:lang w:val="en-US" w:eastAsia="zh-CN"/>
              </w:rPr>
              <w:t>本项目</w:t>
            </w:r>
            <w:r>
              <w:rPr>
                <w:rFonts w:hint="eastAsia" w:cs="Times New Roman"/>
                <w:color w:val="auto"/>
                <w:sz w:val="24"/>
                <w:szCs w:val="28"/>
                <w:highlight w:val="none"/>
                <w:vertAlign w:val="baseline"/>
                <w:lang w:val="en-US" w:eastAsia="zh-CN"/>
              </w:rPr>
              <w:t>取1</w:t>
            </w:r>
            <w:r>
              <w:rPr>
                <w:rFonts w:hint="default" w:ascii="Times New Roman" w:hAnsi="Times New Roman" w:eastAsia="宋体" w:cs="Times New Roman"/>
                <w:color w:val="auto"/>
                <w:sz w:val="24"/>
                <w:szCs w:val="28"/>
                <w:highlight w:val="none"/>
                <w:lang w:val="en-US" w:eastAsia="zh-CN"/>
              </w:rPr>
              <w:t>m</w:t>
            </w:r>
            <w:r>
              <w:rPr>
                <w:rFonts w:hint="default" w:ascii="Times New Roman" w:hAnsi="Times New Roman" w:eastAsia="宋体" w:cs="Times New Roman"/>
                <w:color w:val="auto"/>
                <w:sz w:val="24"/>
                <w:szCs w:val="28"/>
                <w:highlight w:val="none"/>
                <w:vertAlign w:val="superscript"/>
                <w:lang w:val="en-US" w:eastAsia="zh-CN"/>
              </w:rPr>
              <w:t>2</w:t>
            </w:r>
            <w:r>
              <w:rPr>
                <w:rFonts w:hint="default" w:ascii="Times New Roman" w:hAnsi="Times New Roman" w:cs="Times New Roman"/>
                <w:bCs/>
                <w:color w:val="auto"/>
                <w:sz w:val="24"/>
                <w:highlight w:val="none"/>
                <w:lang w:val="en-US" w:eastAsia="zh-CN"/>
              </w:rPr>
              <w:t>；</w:t>
            </w:r>
          </w:p>
          <w:p w14:paraId="540443C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default" w:ascii="Times New Roman" w:hAnsi="Times New Roman" w:cs="Times New Roman"/>
                <w:bCs/>
                <w:color w:val="auto"/>
                <w:sz w:val="24"/>
                <w:highlight w:val="none"/>
                <w:lang w:val="en-US" w:eastAsia="zh-CN"/>
              </w:rPr>
            </w:pPr>
            <w:r>
              <w:rPr>
                <w:rFonts w:hint="default" w:ascii="Times New Roman" w:hAnsi="Times New Roman" w:cs="Times New Roman"/>
                <w:bCs/>
                <w:color w:val="auto"/>
                <w:sz w:val="24"/>
                <w:highlight w:val="none"/>
                <w:lang w:val="en-US" w:eastAsia="zh-CN"/>
              </w:rPr>
              <w:t>Vx-</w:t>
            </w:r>
            <w:r>
              <w:rPr>
                <w:rFonts w:hint="eastAsia" w:cs="Times New Roman"/>
                <w:bCs/>
                <w:color w:val="auto"/>
                <w:sz w:val="24"/>
                <w:highlight w:val="none"/>
                <w:lang w:val="en-US" w:eastAsia="zh-CN"/>
              </w:rPr>
              <w:t>－</w:t>
            </w:r>
            <w:r>
              <w:rPr>
                <w:rFonts w:hint="default" w:ascii="Times New Roman" w:hAnsi="Times New Roman" w:cs="Times New Roman"/>
                <w:bCs/>
                <w:color w:val="auto"/>
                <w:sz w:val="24"/>
                <w:highlight w:val="none"/>
                <w:lang w:val="en-US" w:eastAsia="zh-CN"/>
              </w:rPr>
              <w:t>控制风速，m/s</w:t>
            </w:r>
            <w:r>
              <w:rPr>
                <w:rFonts w:hint="eastAsia" w:ascii="Times New Roman" w:hAnsi="Times New Roman" w:cs="Times New Roman"/>
                <w:bCs/>
                <w:color w:val="auto"/>
                <w:sz w:val="24"/>
                <w:highlight w:val="none"/>
                <w:lang w:val="en-US" w:eastAsia="zh-CN"/>
              </w:rPr>
              <w:t>，</w:t>
            </w:r>
            <w:r>
              <w:rPr>
                <w:rFonts w:hint="eastAsia" w:cs="Times New Roman"/>
                <w:bCs/>
                <w:color w:val="auto"/>
                <w:sz w:val="24"/>
                <w:highlight w:val="none"/>
                <w:lang w:val="en-US" w:eastAsia="zh-CN"/>
              </w:rPr>
              <w:t>本项目</w:t>
            </w:r>
            <w:r>
              <w:rPr>
                <w:rFonts w:hint="eastAsia" w:ascii="Times New Roman" w:hAnsi="Times New Roman" w:cs="Times New Roman"/>
                <w:bCs/>
                <w:color w:val="auto"/>
                <w:sz w:val="24"/>
                <w:highlight w:val="none"/>
                <w:lang w:val="en-US" w:eastAsia="zh-CN"/>
              </w:rPr>
              <w:t>取</w:t>
            </w:r>
            <w:r>
              <w:rPr>
                <w:rFonts w:hint="eastAsia" w:cs="Times New Roman"/>
                <w:b w:val="0"/>
                <w:bCs/>
                <w:color w:val="auto"/>
                <w:sz w:val="24"/>
                <w:szCs w:val="24"/>
                <w:highlight w:val="none"/>
                <w:vertAlign w:val="baseline"/>
                <w:lang w:val="en-US" w:eastAsia="zh-CN"/>
              </w:rPr>
              <w:t>0.6</w:t>
            </w:r>
            <w:r>
              <w:rPr>
                <w:rFonts w:hint="default" w:ascii="Times New Roman" w:hAnsi="Times New Roman" w:cs="Times New Roman"/>
                <w:b w:val="0"/>
                <w:bCs/>
                <w:color w:val="auto"/>
                <w:sz w:val="24"/>
                <w:szCs w:val="24"/>
                <w:highlight w:val="none"/>
                <w:vertAlign w:val="baseline"/>
                <w:lang w:val="en-US" w:eastAsia="zh-CN"/>
              </w:rPr>
              <w:t>m/s</w:t>
            </w:r>
            <w:r>
              <w:rPr>
                <w:rFonts w:hint="eastAsia" w:ascii="Times New Roman" w:hAnsi="Times New Roman" w:cs="Times New Roman"/>
                <w:b w:val="0"/>
                <w:bCs/>
                <w:color w:val="auto"/>
                <w:sz w:val="24"/>
                <w:szCs w:val="24"/>
                <w:highlight w:val="none"/>
                <w:vertAlign w:val="baseline"/>
                <w:lang w:val="en-US" w:eastAsia="zh-CN"/>
              </w:rPr>
              <w:t>。</w:t>
            </w:r>
          </w:p>
          <w:p w14:paraId="398D1645">
            <w:pPr>
              <w:bidi w:val="0"/>
              <w:rPr>
                <w:rFonts w:hint="eastAsia" w:ascii="Times New Roman" w:hAnsi="Times New Roman" w:cs="Times New Roman"/>
                <w:color w:val="auto"/>
                <w:sz w:val="24"/>
                <w:highlight w:val="none"/>
                <w:vertAlign w:val="baseline"/>
                <w:lang w:val="en-US" w:eastAsia="zh-CN"/>
              </w:rPr>
            </w:pPr>
            <w:r>
              <w:rPr>
                <w:rFonts w:hint="eastAsia" w:cs="Times New Roman"/>
                <w:color w:val="auto"/>
                <w:sz w:val="24"/>
                <w:szCs w:val="24"/>
                <w:highlight w:val="none"/>
                <w:lang w:val="en-US" w:eastAsia="zh-CN"/>
              </w:rPr>
              <w:t>则</w:t>
            </w:r>
            <w:r>
              <w:rPr>
                <w:rFonts w:hint="default" w:ascii="Times New Roman" w:hAnsi="Times New Roman" w:cs="Times New Roman"/>
                <w:color w:val="auto"/>
                <w:sz w:val="24"/>
                <w:szCs w:val="24"/>
                <w:highlight w:val="none"/>
                <w:lang w:val="en-US" w:eastAsia="zh-CN"/>
              </w:rPr>
              <w:t>项目单</w:t>
            </w:r>
            <w:r>
              <w:rPr>
                <w:rFonts w:hint="eastAsia" w:cs="Times New Roman"/>
                <w:color w:val="auto"/>
                <w:sz w:val="24"/>
                <w:szCs w:val="24"/>
                <w:highlight w:val="none"/>
                <w:lang w:val="en-US" w:eastAsia="zh-CN"/>
              </w:rPr>
              <w:t>个集气罩风量为3888</w:t>
            </w:r>
            <w:r>
              <w:rPr>
                <w:rFonts w:hint="default" w:ascii="Times New Roman" w:hAnsi="Times New Roman" w:cs="Times New Roman"/>
                <w:bCs/>
                <w:color w:val="auto"/>
                <w:sz w:val="24"/>
                <w:highlight w:val="none"/>
                <w:lang w:val="en-US" w:eastAsia="zh-CN"/>
              </w:rPr>
              <w:t>m</w:t>
            </w:r>
            <w:r>
              <w:rPr>
                <w:rFonts w:hint="default" w:ascii="Times New Roman" w:hAnsi="Times New Roman" w:cs="Times New Roman"/>
                <w:bCs/>
                <w:color w:val="auto"/>
                <w:sz w:val="24"/>
                <w:highlight w:val="none"/>
                <w:vertAlign w:val="superscript"/>
                <w:lang w:val="en-US" w:eastAsia="zh-CN"/>
              </w:rPr>
              <w:t>3</w:t>
            </w:r>
            <w:r>
              <w:rPr>
                <w:rFonts w:hint="default" w:ascii="Times New Roman" w:hAnsi="Times New Roman" w:cs="Times New Roman"/>
                <w:bCs/>
                <w:color w:val="auto"/>
                <w:sz w:val="24"/>
                <w:highlight w:val="none"/>
                <w:lang w:val="en-US" w:eastAsia="zh-CN"/>
              </w:rPr>
              <w:t>/h</w:t>
            </w:r>
            <w:r>
              <w:rPr>
                <w:rFonts w:hint="eastAsia" w:ascii="Times New Roman" w:hAnsi="Times New Roman" w:cs="Times New Roman"/>
                <w:bCs/>
                <w:color w:val="auto"/>
                <w:sz w:val="24"/>
                <w:highlight w:val="none"/>
                <w:lang w:val="en-US" w:eastAsia="zh-CN"/>
              </w:rPr>
              <w:t>，</w:t>
            </w:r>
            <w:r>
              <w:rPr>
                <w:rFonts w:hint="eastAsia" w:cs="Times New Roman"/>
                <w:bCs/>
                <w:color w:val="auto"/>
                <w:sz w:val="24"/>
                <w:highlight w:val="none"/>
                <w:lang w:val="en-US" w:eastAsia="zh-CN"/>
              </w:rPr>
              <w:t>考虑管道风量损失等因素，本项目设计风量取4000</w:t>
            </w:r>
            <w:r>
              <w:rPr>
                <w:rFonts w:hint="default" w:ascii="Times New Roman" w:hAnsi="Times New Roman" w:cs="Times New Roman"/>
                <w:bCs/>
                <w:color w:val="auto"/>
                <w:sz w:val="24"/>
                <w:highlight w:val="none"/>
                <w:lang w:val="en-US" w:eastAsia="zh-CN"/>
              </w:rPr>
              <w:t>m</w:t>
            </w:r>
            <w:r>
              <w:rPr>
                <w:rFonts w:hint="default" w:ascii="Times New Roman" w:hAnsi="Times New Roman" w:cs="Times New Roman"/>
                <w:bCs/>
                <w:color w:val="auto"/>
                <w:sz w:val="24"/>
                <w:highlight w:val="none"/>
                <w:vertAlign w:val="superscript"/>
                <w:lang w:val="en-US" w:eastAsia="zh-CN"/>
              </w:rPr>
              <w:t>3</w:t>
            </w:r>
            <w:r>
              <w:rPr>
                <w:rFonts w:hint="default" w:ascii="Times New Roman" w:hAnsi="Times New Roman" w:cs="Times New Roman"/>
                <w:bCs/>
                <w:color w:val="auto"/>
                <w:sz w:val="24"/>
                <w:highlight w:val="none"/>
                <w:lang w:val="en-US" w:eastAsia="zh-CN"/>
              </w:rPr>
              <w:t>/h</w:t>
            </w:r>
            <w:r>
              <w:rPr>
                <w:rFonts w:hint="eastAsia" w:cs="Times New Roman"/>
                <w:bCs/>
                <w:color w:val="auto"/>
                <w:sz w:val="24"/>
                <w:highlight w:val="none"/>
                <w:lang w:val="en-US" w:eastAsia="zh-CN"/>
              </w:rPr>
              <w:t>，</w:t>
            </w:r>
            <w:r>
              <w:rPr>
                <w:rFonts w:hint="eastAsia" w:ascii="Times New Roman" w:hAnsi="Times New Roman" w:cs="Times New Roman"/>
                <w:bCs/>
                <w:color w:val="auto"/>
                <w:sz w:val="24"/>
                <w:highlight w:val="none"/>
                <w:lang w:val="en-US" w:eastAsia="zh-CN"/>
              </w:rPr>
              <w:t>项目共</w:t>
            </w:r>
            <w:r>
              <w:rPr>
                <w:rFonts w:hint="eastAsia" w:cs="Times New Roman"/>
                <w:bCs/>
                <w:color w:val="auto"/>
                <w:sz w:val="24"/>
                <w:highlight w:val="none"/>
                <w:lang w:val="en-US" w:eastAsia="zh-CN"/>
              </w:rPr>
              <w:t>11个集气罩</w:t>
            </w:r>
            <w:r>
              <w:rPr>
                <w:rFonts w:hint="eastAsia" w:ascii="Times New Roman" w:hAnsi="Times New Roman" w:cs="Times New Roman"/>
                <w:bCs/>
                <w:color w:val="auto"/>
                <w:sz w:val="24"/>
                <w:highlight w:val="none"/>
                <w:lang w:val="en-US" w:eastAsia="zh-CN"/>
              </w:rPr>
              <w:t>，则</w:t>
            </w:r>
            <w:r>
              <w:rPr>
                <w:rFonts w:hint="default" w:ascii="Times New Roman" w:hAnsi="Times New Roman" w:cs="Times New Roman"/>
                <w:bCs/>
                <w:color w:val="auto"/>
                <w:sz w:val="24"/>
                <w:highlight w:val="none"/>
                <w:lang w:val="en-US" w:eastAsia="zh-CN"/>
              </w:rPr>
              <w:t>本项目</w:t>
            </w:r>
            <w:r>
              <w:rPr>
                <w:rFonts w:hint="eastAsia" w:ascii="Times New Roman" w:hAnsi="Times New Roman" w:cs="Times New Roman"/>
                <w:bCs/>
                <w:color w:val="auto"/>
                <w:sz w:val="24"/>
                <w:highlight w:val="none"/>
                <w:lang w:val="en-US" w:eastAsia="zh-CN"/>
              </w:rPr>
              <w:t>DA00</w:t>
            </w:r>
            <w:r>
              <w:rPr>
                <w:rFonts w:hint="eastAsia" w:cs="Times New Roman"/>
                <w:bCs/>
                <w:color w:val="auto"/>
                <w:sz w:val="24"/>
                <w:highlight w:val="none"/>
                <w:lang w:val="en-US" w:eastAsia="zh-CN"/>
              </w:rPr>
              <w:t>1</w:t>
            </w:r>
            <w:r>
              <w:rPr>
                <w:rFonts w:hint="eastAsia" w:ascii="Times New Roman" w:hAnsi="Times New Roman" w:cs="Times New Roman"/>
                <w:bCs/>
                <w:color w:val="auto"/>
                <w:sz w:val="24"/>
                <w:highlight w:val="none"/>
                <w:lang w:val="en-US" w:eastAsia="zh-CN"/>
              </w:rPr>
              <w:t>排气筒</w:t>
            </w:r>
            <w:r>
              <w:rPr>
                <w:rFonts w:hint="eastAsia" w:cs="Times New Roman"/>
                <w:bCs/>
                <w:color w:val="auto"/>
                <w:sz w:val="24"/>
                <w:highlight w:val="none"/>
                <w:lang w:val="en-US" w:eastAsia="zh-CN"/>
              </w:rPr>
              <w:t>设计</w:t>
            </w:r>
            <w:r>
              <w:rPr>
                <w:rFonts w:hint="eastAsia" w:ascii="Times New Roman" w:hAnsi="Times New Roman" w:cs="Times New Roman"/>
                <w:bCs/>
                <w:color w:val="auto"/>
                <w:sz w:val="24"/>
                <w:highlight w:val="none"/>
                <w:lang w:val="en-US" w:eastAsia="zh-CN"/>
              </w:rPr>
              <w:t>风量为</w:t>
            </w:r>
            <w:r>
              <w:rPr>
                <w:rFonts w:hint="eastAsia" w:cs="Times New Roman"/>
                <w:bCs/>
                <w:color w:val="auto"/>
                <w:sz w:val="24"/>
                <w:highlight w:val="none"/>
                <w:lang w:val="en-US" w:eastAsia="zh-CN"/>
              </w:rPr>
              <w:t>56000</w:t>
            </w:r>
            <w:r>
              <w:rPr>
                <w:rFonts w:hint="default" w:ascii="Times New Roman" w:hAnsi="Times New Roman" w:cs="Times New Roman"/>
                <w:bCs/>
                <w:color w:val="auto"/>
                <w:sz w:val="24"/>
                <w:highlight w:val="none"/>
                <w:lang w:val="en-US" w:eastAsia="zh-CN"/>
              </w:rPr>
              <w:t>m</w:t>
            </w:r>
            <w:r>
              <w:rPr>
                <w:rFonts w:hint="default" w:ascii="Times New Roman" w:hAnsi="Times New Roman" w:cs="Times New Roman"/>
                <w:bCs/>
                <w:color w:val="auto"/>
                <w:sz w:val="24"/>
                <w:highlight w:val="none"/>
                <w:vertAlign w:val="superscript"/>
                <w:lang w:val="en-US" w:eastAsia="zh-CN"/>
              </w:rPr>
              <w:t>3</w:t>
            </w:r>
            <w:r>
              <w:rPr>
                <w:rFonts w:hint="default" w:ascii="Times New Roman" w:hAnsi="Times New Roman" w:cs="Times New Roman"/>
                <w:bCs/>
                <w:color w:val="auto"/>
                <w:sz w:val="24"/>
                <w:highlight w:val="none"/>
                <w:lang w:val="en-US" w:eastAsia="zh-CN"/>
              </w:rPr>
              <w:t>/h</w:t>
            </w:r>
            <w:r>
              <w:rPr>
                <w:rFonts w:hint="eastAsia" w:ascii="Times New Roman" w:hAnsi="Times New Roman" w:cs="Times New Roman"/>
                <w:color w:val="auto"/>
                <w:sz w:val="24"/>
                <w:highlight w:val="none"/>
                <w:vertAlign w:val="baseline"/>
                <w:lang w:val="en-US" w:eastAsia="zh-CN"/>
              </w:rPr>
              <w:t>。</w:t>
            </w:r>
          </w:p>
          <w:p w14:paraId="75AD3EA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cs="仿宋"/>
                <w:b w:val="0"/>
                <w:bCs w:val="0"/>
                <w:color w:val="auto"/>
                <w:spacing w:val="0"/>
                <w:kern w:val="2"/>
                <w:sz w:val="24"/>
                <w:szCs w:val="24"/>
                <w:highlight w:val="none"/>
                <w:lang w:val="en-US" w:eastAsia="zh-CN" w:bidi="ar-SA"/>
              </w:rPr>
            </w:pPr>
            <w:r>
              <w:rPr>
                <w:rFonts w:hint="eastAsia" w:cs="仿宋"/>
                <w:b w:val="0"/>
                <w:bCs w:val="0"/>
                <w:color w:val="auto"/>
                <w:spacing w:val="0"/>
                <w:kern w:val="2"/>
                <w:sz w:val="24"/>
                <w:szCs w:val="24"/>
                <w:highlight w:val="none"/>
                <w:lang w:val="en-US" w:eastAsia="zh-CN" w:bidi="ar-SA"/>
              </w:rPr>
              <w:t>挤出包塑和挤护套、喷码、注塑工序非甲烷总烃产生量为3.237t/a，颗粒物产生量为1.695t/a，</w:t>
            </w:r>
            <w:r>
              <w:rPr>
                <w:rFonts w:hint="eastAsia"/>
                <w:color w:val="auto"/>
                <w:lang w:val="en-US" w:eastAsia="zh-CN"/>
              </w:rPr>
              <w:t>氯化氢产生量为</w:t>
            </w:r>
            <w:r>
              <w:rPr>
                <w:rFonts w:hint="eastAsia"/>
                <w:color w:val="auto"/>
                <w:highlight w:val="none"/>
                <w:lang w:val="en-US" w:eastAsia="zh-CN"/>
              </w:rPr>
              <w:t>0.000136389t/a，氯乙烯产生量为0.000159457t/a。</w:t>
            </w:r>
            <w:r>
              <w:rPr>
                <w:rFonts w:hint="eastAsia" w:cs="仿宋"/>
                <w:b w:val="0"/>
                <w:bCs w:val="0"/>
                <w:color w:val="auto"/>
                <w:spacing w:val="0"/>
                <w:kern w:val="2"/>
                <w:sz w:val="24"/>
                <w:szCs w:val="24"/>
                <w:highlight w:val="none"/>
                <w:lang w:val="en-US" w:eastAsia="zh-CN" w:bidi="ar-SA"/>
              </w:rPr>
              <w:t>该工序工作时间为2080h/a，废气收集效率按95%计，处理效率按90%计，则非甲烷总烃有组织排放量为0.308t/a，颗粒物有组织排放为0.161t/a，</w:t>
            </w:r>
            <w:r>
              <w:rPr>
                <w:rFonts w:hint="eastAsia"/>
                <w:color w:val="auto"/>
                <w:lang w:val="en-US" w:eastAsia="zh-CN"/>
              </w:rPr>
              <w:t>氯化氢有组织排放量为</w:t>
            </w:r>
            <w:r>
              <w:rPr>
                <w:rFonts w:hint="eastAsia"/>
                <w:color w:val="auto"/>
                <w:highlight w:val="none"/>
                <w:lang w:val="en-US" w:eastAsia="zh-CN"/>
              </w:rPr>
              <w:t>0.000136389t/a，氯乙烯有组织排放量为0.000159457t/a</w:t>
            </w:r>
            <w:r>
              <w:rPr>
                <w:rFonts w:hint="eastAsia" w:cs="仿宋"/>
                <w:b w:val="0"/>
                <w:bCs w:val="0"/>
                <w:color w:val="auto"/>
                <w:spacing w:val="0"/>
                <w:kern w:val="2"/>
                <w:sz w:val="24"/>
                <w:szCs w:val="24"/>
                <w:highlight w:val="none"/>
                <w:lang w:val="en-US" w:eastAsia="zh-CN" w:bidi="ar-SA"/>
              </w:rPr>
              <w:t>。</w:t>
            </w:r>
          </w:p>
          <w:p w14:paraId="3AC0BAAA">
            <w:pPr>
              <w:numPr>
                <w:ilvl w:val="0"/>
                <w:numId w:val="0"/>
              </w:numPr>
              <w:bidi w:val="0"/>
              <w:ind w:firstLine="482" w:firstLineChars="200"/>
              <w:rPr>
                <w:rFonts w:hint="default" w:ascii="Times New Roman" w:hAnsi="Times New Roman" w:eastAsia="宋体" w:cs="仿宋"/>
                <w:b/>
                <w:bCs/>
                <w:color w:val="auto"/>
                <w:spacing w:val="0"/>
                <w:kern w:val="2"/>
                <w:sz w:val="24"/>
                <w:szCs w:val="24"/>
                <w:highlight w:val="none"/>
                <w:lang w:val="en-US" w:eastAsia="zh-CN" w:bidi="ar-SA"/>
              </w:rPr>
            </w:pPr>
            <w:r>
              <w:rPr>
                <w:rFonts w:hint="eastAsia" w:ascii="Times New Roman" w:hAnsi="Times New Roman" w:eastAsia="宋体" w:cs="仿宋"/>
                <w:b/>
                <w:bCs/>
                <w:color w:val="auto"/>
                <w:spacing w:val="0"/>
                <w:kern w:val="2"/>
                <w:sz w:val="24"/>
                <w:szCs w:val="24"/>
                <w:highlight w:val="none"/>
                <w:lang w:val="en-US" w:eastAsia="zh-CN" w:bidi="ar-SA"/>
              </w:rPr>
              <w:t>（</w:t>
            </w:r>
            <w:r>
              <w:rPr>
                <w:rFonts w:hint="eastAsia" w:cs="仿宋"/>
                <w:b/>
                <w:bCs/>
                <w:color w:val="auto"/>
                <w:spacing w:val="0"/>
                <w:kern w:val="2"/>
                <w:sz w:val="24"/>
                <w:szCs w:val="24"/>
                <w:highlight w:val="none"/>
                <w:lang w:val="en-US" w:eastAsia="zh-CN" w:bidi="ar-SA"/>
              </w:rPr>
              <w:t>2</w:t>
            </w:r>
            <w:r>
              <w:rPr>
                <w:rFonts w:hint="eastAsia" w:ascii="Times New Roman" w:hAnsi="Times New Roman" w:eastAsia="宋体" w:cs="仿宋"/>
                <w:b/>
                <w:bCs/>
                <w:color w:val="auto"/>
                <w:spacing w:val="0"/>
                <w:kern w:val="2"/>
                <w:sz w:val="24"/>
                <w:szCs w:val="24"/>
                <w:highlight w:val="none"/>
                <w:lang w:val="en-US" w:eastAsia="zh-CN" w:bidi="ar-SA"/>
              </w:rPr>
              <w:t>）</w:t>
            </w:r>
            <w:r>
              <w:rPr>
                <w:rFonts w:hint="eastAsia" w:cs="仿宋"/>
                <w:b/>
                <w:bCs/>
                <w:color w:val="auto"/>
                <w:spacing w:val="0"/>
                <w:kern w:val="2"/>
                <w:sz w:val="24"/>
                <w:szCs w:val="24"/>
                <w:highlight w:val="none"/>
                <w:lang w:val="en-US" w:eastAsia="zh-CN" w:bidi="ar-SA"/>
              </w:rPr>
              <w:t>DA002废气产生及排放情况</w:t>
            </w:r>
          </w:p>
          <w:p w14:paraId="0F72002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jc w:val="both"/>
              <w:textAlignment w:val="auto"/>
              <w:rPr>
                <w:rFonts w:hint="default" w:cs="仿宋"/>
                <w:b/>
                <w:bCs/>
                <w:color w:val="auto"/>
                <w:spacing w:val="0"/>
                <w:kern w:val="2"/>
                <w:sz w:val="24"/>
                <w:szCs w:val="24"/>
                <w:highlight w:val="none"/>
                <w:lang w:val="en-US" w:eastAsia="zh-CN" w:bidi="ar-SA"/>
              </w:rPr>
            </w:pPr>
            <w:r>
              <w:rPr>
                <w:rFonts w:hint="eastAsia" w:cs="仿宋"/>
                <w:b/>
                <w:bCs/>
                <w:color w:val="auto"/>
                <w:spacing w:val="0"/>
                <w:kern w:val="2"/>
                <w:sz w:val="24"/>
                <w:szCs w:val="24"/>
                <w:highlight w:val="none"/>
                <w:lang w:val="en-US" w:eastAsia="zh-CN" w:bidi="ar-SA"/>
              </w:rPr>
              <w:t>1）投料废气（G3）</w:t>
            </w:r>
          </w:p>
          <w:p w14:paraId="69E9DB32">
            <w:pPr>
              <w:numPr>
                <w:ilvl w:val="0"/>
                <w:numId w:val="0"/>
              </w:numPr>
              <w:bidi w:val="0"/>
              <w:ind w:firstLine="480" w:firstLineChars="200"/>
              <w:rPr>
                <w:rFonts w:hint="default" w:ascii="Times New Roman" w:hAnsi="Times New Roman" w:cs="Times New Roman"/>
                <w:color w:val="auto"/>
                <w:highlight w:val="none"/>
              </w:rPr>
            </w:pPr>
            <w:r>
              <w:rPr>
                <w:rFonts w:hint="default" w:ascii="Times New Roman" w:hAnsi="Times New Roman" w:cs="Times New Roman"/>
                <w:b w:val="0"/>
                <w:bCs w:val="0"/>
                <w:color w:val="auto"/>
                <w:spacing w:val="0"/>
                <w:kern w:val="2"/>
                <w:sz w:val="24"/>
                <w:szCs w:val="24"/>
                <w:highlight w:val="none"/>
                <w:lang w:val="en-US" w:eastAsia="zh-CN" w:bidi="ar-SA"/>
              </w:rPr>
              <w:t>项目塑料电缆颗粒生产过程中需</w:t>
            </w:r>
            <w:r>
              <w:rPr>
                <w:rFonts w:hint="default" w:ascii="Times New Roman" w:hAnsi="Times New Roman" w:cs="Times New Roman"/>
                <w:bCs/>
                <w:color w:val="auto"/>
                <w:szCs w:val="21"/>
                <w:lang w:val="en-US" w:eastAsia="zh-CN"/>
              </w:rPr>
              <w:t>将PVC、ESO、DOTP、钙锌复合稳定剂</w:t>
            </w:r>
            <w:r>
              <w:rPr>
                <w:rFonts w:hint="eastAsia" w:cs="Times New Roman"/>
                <w:bCs/>
                <w:color w:val="auto"/>
                <w:szCs w:val="21"/>
                <w:lang w:val="en-US" w:eastAsia="zh-CN"/>
              </w:rPr>
              <w:t>、</w:t>
            </w:r>
            <w:r>
              <w:rPr>
                <w:rFonts w:hint="eastAsia" w:ascii="宋体" w:hAnsi="宋体" w:eastAsia="宋体" w:cs="宋体"/>
                <w:bCs/>
                <w:color w:val="auto"/>
                <w:kern w:val="2"/>
                <w:sz w:val="24"/>
                <w:szCs w:val="24"/>
              </w:rPr>
              <w:t>重质碳酸钙、纳米碳酸钙</w:t>
            </w:r>
            <w:r>
              <w:rPr>
                <w:rFonts w:hint="default" w:ascii="Times New Roman" w:hAnsi="Times New Roman" w:cs="Times New Roman"/>
                <w:bCs/>
                <w:color w:val="auto"/>
                <w:szCs w:val="21"/>
                <w:lang w:val="en-US" w:eastAsia="zh-CN"/>
              </w:rPr>
              <w:t>等原辅材料按照一定比例投料入双阶造粒机中，此过程</w:t>
            </w:r>
            <w:r>
              <w:rPr>
                <w:rFonts w:hint="eastAsia" w:ascii="Times New Roman" w:hAnsi="Times New Roman" w:cs="Times New Roman"/>
                <w:bCs/>
                <w:color w:val="auto"/>
                <w:szCs w:val="21"/>
                <w:lang w:val="en-US" w:eastAsia="zh-CN"/>
              </w:rPr>
              <w:t>中部分粉状原辅材料投料会产生</w:t>
            </w:r>
            <w:r>
              <w:rPr>
                <w:rFonts w:hint="default" w:ascii="Times New Roman" w:hAnsi="Times New Roman" w:cs="Times New Roman"/>
                <w:bCs/>
                <w:color w:val="auto"/>
                <w:szCs w:val="21"/>
                <w:lang w:val="en-US" w:eastAsia="zh-CN"/>
              </w:rPr>
              <w:t>粉尘。该工序粉尘</w:t>
            </w:r>
            <w:r>
              <w:rPr>
                <w:rFonts w:hint="default" w:ascii="Times New Roman" w:hAnsi="Times New Roman" w:cs="Times New Roman"/>
                <w:color w:val="auto"/>
                <w:highlight w:val="none"/>
                <w:lang w:val="en-US" w:eastAsia="zh-CN"/>
              </w:rPr>
              <w:t>产污系数参照《排放源统计调查产排污核算方法和系数手册》中“292</w:t>
            </w:r>
            <w:r>
              <w:rPr>
                <w:rFonts w:hint="default" w:ascii="Times New Roman" w:hAnsi="Times New Roman" w:cs="Times New Roman"/>
                <w:color w:val="auto"/>
                <w:sz w:val="24"/>
                <w:szCs w:val="24"/>
                <w:lang w:val="en-US" w:eastAsia="zh-CN"/>
              </w:rPr>
              <w:t>塑料制品业</w:t>
            </w:r>
            <w:r>
              <w:rPr>
                <w:rFonts w:hint="default" w:ascii="Times New Roman" w:hAnsi="Times New Roman" w:eastAsia="宋体" w:cs="Times New Roman"/>
                <w:color w:val="auto"/>
                <w:sz w:val="24"/>
                <w:szCs w:val="24"/>
              </w:rPr>
              <w:t xml:space="preserve">系数手册 </w:t>
            </w:r>
            <w:r>
              <w:rPr>
                <w:rFonts w:hint="default" w:ascii="Times New Roman" w:hAnsi="Times New Roman" w:eastAsia="宋体" w:cs="Times New Roman"/>
                <w:color w:val="auto"/>
                <w:sz w:val="24"/>
                <w:szCs w:val="24"/>
                <w:lang w:val="en-US" w:eastAsia="zh-CN"/>
              </w:rPr>
              <w:t>-</w:t>
            </w:r>
            <w:r>
              <w:rPr>
                <w:rFonts w:hint="default" w:ascii="Times New Roman" w:hAnsi="Times New Roman" w:cs="Times New Roman"/>
                <w:color w:val="auto"/>
                <w:sz w:val="24"/>
                <w:szCs w:val="24"/>
                <w:lang w:val="en-US" w:eastAsia="zh-CN"/>
              </w:rPr>
              <w:t>2922</w:t>
            </w:r>
            <w:r>
              <w:rPr>
                <w:rFonts w:hint="default" w:ascii="Times New Roman" w:hAnsi="Times New Roman" w:eastAsia="宋体" w:cs="Times New Roman"/>
                <w:color w:val="auto"/>
                <w:sz w:val="24"/>
                <w:szCs w:val="24"/>
              </w:rPr>
              <w:t>塑料板、管、型材制造行业系数表</w:t>
            </w:r>
            <w:r>
              <w:rPr>
                <w:rFonts w:hint="default" w:ascii="Times New Roman" w:hAnsi="Times New Roman" w:cs="Times New Roman"/>
                <w:color w:val="auto"/>
                <w:sz w:val="24"/>
                <w:szCs w:val="24"/>
                <w:lang w:eastAsia="zh-CN"/>
              </w:rPr>
              <w:t>－</w:t>
            </w:r>
            <w:r>
              <w:rPr>
                <w:rFonts w:hint="default" w:ascii="Times New Roman" w:hAnsi="Times New Roman" w:eastAsia="宋体" w:cs="Times New Roman"/>
                <w:color w:val="auto"/>
                <w:sz w:val="24"/>
                <w:szCs w:val="24"/>
                <w:lang w:val="en-US" w:eastAsia="zh-CN"/>
              </w:rPr>
              <w:t>配料</w:t>
            </w:r>
            <w:r>
              <w:rPr>
                <w:rFonts w:hint="default" w:ascii="Times New Roman" w:hAnsi="Times New Roman"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混合</w:t>
            </w:r>
            <w:r>
              <w:rPr>
                <w:rFonts w:hint="default" w:ascii="Times New Roman" w:hAnsi="Times New Roman"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挤出</w:t>
            </w:r>
            <w:r>
              <w:rPr>
                <w:rFonts w:hint="default" w:ascii="Times New Roman" w:hAnsi="Times New Roman" w:cs="Times New Roman"/>
                <w:color w:val="auto"/>
                <w:highlight w:val="none"/>
                <w:lang w:val="en-US" w:eastAsia="zh-CN"/>
              </w:rPr>
              <w:t>”，颗粒物的产污系数为6千克</w:t>
            </w:r>
            <w:r>
              <w:rPr>
                <w:rFonts w:hint="default" w:ascii="Times New Roman" w:hAnsi="Times New Roman" w:cs="Times New Roman"/>
                <w:color w:val="auto"/>
                <w:highlight w:val="none"/>
              </w:rPr>
              <w:t>/</w:t>
            </w:r>
            <w:r>
              <w:rPr>
                <w:rFonts w:hint="default" w:ascii="Times New Roman" w:hAnsi="Times New Roman" w:cs="Times New Roman"/>
                <w:color w:val="auto"/>
                <w:highlight w:val="none"/>
                <w:lang w:val="en-US" w:eastAsia="zh-CN"/>
              </w:rPr>
              <w:t>吨－产品</w:t>
            </w:r>
            <w:r>
              <w:rPr>
                <w:rFonts w:hint="default" w:ascii="Times New Roman" w:hAnsi="Times New Roman" w:cs="Times New Roman"/>
                <w:color w:val="auto"/>
                <w:highlight w:val="none"/>
              </w:rPr>
              <w:t>。</w:t>
            </w:r>
          </w:p>
          <w:p w14:paraId="4F88C844">
            <w:pPr>
              <w:numPr>
                <w:ilvl w:val="0"/>
                <w:numId w:val="0"/>
              </w:numPr>
              <w:bidi w:val="0"/>
              <w:ind w:firstLine="480" w:firstLineChars="200"/>
              <w:rPr>
                <w:rFonts w:hint="default" w:ascii="Times New Roman" w:hAnsi="Times New Roman" w:cs="Times New Roman"/>
                <w:color w:val="auto"/>
                <w:spacing w:val="5"/>
                <w:highlight w:val="none"/>
              </w:rPr>
            </w:pPr>
            <w:r>
              <w:rPr>
                <w:rFonts w:hint="default" w:ascii="Times New Roman" w:hAnsi="Times New Roman" w:cs="Times New Roman"/>
                <w:b w:val="0"/>
                <w:bCs/>
                <w:color w:val="auto"/>
                <w:szCs w:val="21"/>
                <w:vertAlign w:val="baseline"/>
                <w:lang w:val="en-US" w:eastAsia="zh-CN"/>
              </w:rPr>
              <w:t>根据建设单位提供的资料，项目</w:t>
            </w:r>
            <w:r>
              <w:rPr>
                <w:rFonts w:hint="eastAsia" w:ascii="Times New Roman" w:hAnsi="Times New Roman" w:cs="Times New Roman"/>
                <w:b w:val="0"/>
                <w:bCs/>
                <w:color w:val="auto"/>
                <w:szCs w:val="21"/>
                <w:vertAlign w:val="baseline"/>
                <w:lang w:val="en-US" w:eastAsia="zh-CN"/>
              </w:rPr>
              <w:t>投料工序粉状原辅材料为</w:t>
            </w:r>
            <w:r>
              <w:rPr>
                <w:rFonts w:ascii="Times New Roman" w:hAnsi="Times New Roman" w:cs="Times New Roman"/>
                <w:bCs/>
                <w:color w:val="auto"/>
                <w:szCs w:val="21"/>
              </w:rPr>
              <w:t>重质碳酸钙</w:t>
            </w:r>
            <w:r>
              <w:rPr>
                <w:rFonts w:hint="eastAsia" w:ascii="Times New Roman" w:hAnsi="Times New Roman" w:cs="Times New Roman"/>
                <w:bCs/>
                <w:color w:val="auto"/>
                <w:szCs w:val="21"/>
                <w:lang w:eastAsia="zh-CN"/>
              </w:rPr>
              <w:t>、</w:t>
            </w:r>
            <w:r>
              <w:rPr>
                <w:rFonts w:ascii="Times New Roman" w:hAnsi="Times New Roman" w:eastAsia="宋体" w:cs="Times New Roman"/>
                <w:bCs/>
                <w:color w:val="auto"/>
                <w:szCs w:val="21"/>
              </w:rPr>
              <w:t>纳米碳酸钙</w:t>
            </w:r>
            <w:r>
              <w:rPr>
                <w:rFonts w:hint="eastAsia" w:ascii="Times New Roman" w:hAnsi="Times New Roman" w:eastAsia="宋体" w:cs="Times New Roman"/>
                <w:bCs/>
                <w:color w:val="auto"/>
                <w:szCs w:val="21"/>
                <w:lang w:val="en-US" w:eastAsia="zh-CN"/>
              </w:rPr>
              <w:t>和</w:t>
            </w:r>
            <w:r>
              <w:rPr>
                <w:rFonts w:ascii="Times New Roman" w:hAnsi="Times New Roman" w:eastAsia="宋体" w:cs="Times New Roman"/>
                <w:bCs/>
                <w:color w:val="auto"/>
                <w:szCs w:val="21"/>
              </w:rPr>
              <w:t>钙锌复合稳定剂</w:t>
            </w:r>
            <w:r>
              <w:rPr>
                <w:rFonts w:hint="eastAsia" w:ascii="Times New Roman" w:hAnsi="Times New Roman" w:eastAsia="宋体" w:cs="Times New Roman"/>
                <w:bCs/>
                <w:color w:val="auto"/>
                <w:szCs w:val="21"/>
                <w:lang w:eastAsia="zh-CN"/>
              </w:rPr>
              <w:t>，</w:t>
            </w:r>
            <w:r>
              <w:rPr>
                <w:rFonts w:hint="eastAsia" w:ascii="Times New Roman" w:hAnsi="Times New Roman" w:cs="Times New Roman"/>
                <w:b w:val="0"/>
                <w:bCs/>
                <w:color w:val="auto"/>
                <w:szCs w:val="21"/>
                <w:vertAlign w:val="baseline"/>
                <w:lang w:val="en-US" w:eastAsia="zh-CN"/>
              </w:rPr>
              <w:t>总用量为232t/a</w:t>
            </w:r>
            <w:r>
              <w:rPr>
                <w:rFonts w:hint="eastAsia" w:cs="Times New Roman"/>
                <w:b w:val="0"/>
                <w:bCs/>
                <w:color w:val="auto"/>
                <w:szCs w:val="21"/>
                <w:vertAlign w:val="baseline"/>
                <w:lang w:val="en-US" w:eastAsia="zh-CN"/>
              </w:rPr>
              <w:t>，</w:t>
            </w:r>
            <w:r>
              <w:rPr>
                <w:rFonts w:hint="eastAsia" w:ascii="宋体" w:hAnsi="宋体" w:eastAsia="宋体" w:cs="宋体"/>
                <w:b w:val="0"/>
                <w:bCs/>
                <w:color w:val="auto"/>
                <w:kern w:val="2"/>
                <w:sz w:val="24"/>
                <w:szCs w:val="24"/>
              </w:rPr>
              <w:t>本次评价以原料零损失计，</w:t>
            </w:r>
            <w:r>
              <w:rPr>
                <w:rFonts w:hint="default" w:ascii="Times New Roman" w:hAnsi="Times New Roman" w:cs="Times New Roman"/>
                <w:b w:val="0"/>
                <w:bCs/>
                <w:color w:val="auto"/>
                <w:szCs w:val="21"/>
                <w:vertAlign w:val="baseline"/>
                <w:lang w:val="en-US" w:eastAsia="zh-CN"/>
              </w:rPr>
              <w:t>则投料工序颗粒物产生量为</w:t>
            </w:r>
            <w:r>
              <w:rPr>
                <w:rFonts w:hint="eastAsia" w:ascii="Times New Roman" w:hAnsi="Times New Roman" w:cs="Times New Roman"/>
                <w:b w:val="0"/>
                <w:bCs/>
                <w:color w:val="auto"/>
                <w:szCs w:val="21"/>
                <w:vertAlign w:val="baseline"/>
                <w:lang w:val="en-US" w:eastAsia="zh-CN"/>
              </w:rPr>
              <w:t>1.392</w:t>
            </w:r>
            <w:r>
              <w:rPr>
                <w:rFonts w:hint="default" w:ascii="Times New Roman" w:hAnsi="Times New Roman" w:cs="Times New Roman"/>
                <w:b w:val="0"/>
                <w:bCs/>
                <w:color w:val="auto"/>
                <w:szCs w:val="21"/>
                <w:vertAlign w:val="baseline"/>
                <w:lang w:val="en-US" w:eastAsia="zh-CN"/>
              </w:rPr>
              <w:t>t/a。</w:t>
            </w:r>
            <w:r>
              <w:rPr>
                <w:rFonts w:hint="default" w:ascii="Times New Roman" w:hAnsi="Times New Roman" w:cs="Times New Roman"/>
                <w:color w:val="auto"/>
                <w:spacing w:val="11"/>
                <w:highlight w:val="none"/>
                <w:lang w:val="en-US" w:eastAsia="zh-CN"/>
              </w:rPr>
              <w:t>投料工</w:t>
            </w:r>
            <w:r>
              <w:rPr>
                <w:rFonts w:hint="default" w:ascii="Times New Roman" w:hAnsi="Times New Roman" w:cs="Times New Roman"/>
                <w:color w:val="auto"/>
                <w:spacing w:val="12"/>
                <w:highlight w:val="none"/>
              </w:rPr>
              <w:t>序工作时间</w:t>
            </w:r>
            <w:r>
              <w:rPr>
                <w:rFonts w:hint="default" w:ascii="Times New Roman" w:hAnsi="Times New Roman" w:cs="Times New Roman"/>
                <w:color w:val="auto"/>
                <w:spacing w:val="12"/>
                <w:highlight w:val="none"/>
                <w:lang w:val="en-US" w:eastAsia="zh-CN"/>
              </w:rPr>
              <w:t>为2080</w:t>
            </w:r>
            <w:r>
              <w:rPr>
                <w:rFonts w:hint="default" w:ascii="Times New Roman" w:hAnsi="Times New Roman" w:eastAsia="Times New Roman" w:cs="Times New Roman"/>
                <w:color w:val="auto"/>
                <w:spacing w:val="12"/>
                <w:highlight w:val="none"/>
              </w:rPr>
              <w:t>h/a</w:t>
            </w:r>
            <w:r>
              <w:rPr>
                <w:rFonts w:hint="default" w:ascii="Times New Roman" w:hAnsi="Times New Roman" w:cs="Times New Roman"/>
                <w:color w:val="auto"/>
                <w:spacing w:val="12"/>
                <w:highlight w:val="none"/>
              </w:rPr>
              <w:t>，</w:t>
            </w:r>
            <w:r>
              <w:rPr>
                <w:rFonts w:hint="default" w:ascii="Times New Roman" w:hAnsi="Times New Roman" w:cs="Times New Roman"/>
                <w:color w:val="auto"/>
                <w:spacing w:val="12"/>
                <w:highlight w:val="none"/>
                <w:lang w:val="en-US" w:eastAsia="zh-CN"/>
              </w:rPr>
              <w:t>则项目</w:t>
            </w:r>
            <w:r>
              <w:rPr>
                <w:rFonts w:hint="eastAsia" w:cs="Times New Roman"/>
                <w:color w:val="auto"/>
                <w:spacing w:val="12"/>
                <w:highlight w:val="none"/>
                <w:lang w:val="en-US" w:eastAsia="zh-CN"/>
              </w:rPr>
              <w:t>投料工序</w:t>
            </w:r>
            <w:r>
              <w:rPr>
                <w:rFonts w:hint="default" w:ascii="Times New Roman" w:hAnsi="Times New Roman" w:cs="Times New Roman"/>
                <w:color w:val="auto"/>
                <w:spacing w:val="11"/>
                <w:highlight w:val="none"/>
                <w:lang w:val="en-US" w:eastAsia="zh-CN"/>
              </w:rPr>
              <w:t>颗粒物</w:t>
            </w:r>
            <w:r>
              <w:rPr>
                <w:rFonts w:hint="default" w:ascii="Times New Roman" w:hAnsi="Times New Roman" w:cs="Times New Roman"/>
                <w:color w:val="auto"/>
                <w:spacing w:val="11"/>
                <w:highlight w:val="none"/>
              </w:rPr>
              <w:t>产生速率为</w:t>
            </w:r>
            <w:r>
              <w:rPr>
                <w:rFonts w:hint="eastAsia" w:ascii="Times New Roman" w:hAnsi="Times New Roman" w:cs="Times New Roman"/>
                <w:color w:val="auto"/>
                <w:highlight w:val="none"/>
                <w:lang w:val="en-US" w:eastAsia="zh-CN"/>
              </w:rPr>
              <w:t>0.67</w:t>
            </w:r>
            <w:r>
              <w:rPr>
                <w:rFonts w:hint="default" w:ascii="Times New Roman" w:hAnsi="Times New Roman" w:eastAsia="Times New Roman" w:cs="Times New Roman"/>
                <w:color w:val="auto"/>
                <w:highlight w:val="none"/>
              </w:rPr>
              <w:t>kg/h</w:t>
            </w:r>
            <w:r>
              <w:rPr>
                <w:rFonts w:hint="default" w:ascii="Times New Roman" w:hAnsi="Times New Roman" w:cs="Times New Roman"/>
                <w:color w:val="auto"/>
                <w:spacing w:val="5"/>
                <w:highlight w:val="none"/>
              </w:rPr>
              <w:t>。</w:t>
            </w:r>
          </w:p>
          <w:p w14:paraId="557E24B3">
            <w:pPr>
              <w:numPr>
                <w:ilvl w:val="0"/>
                <w:numId w:val="5"/>
              </w:numPr>
              <w:bidi w:val="0"/>
              <w:ind w:firstLine="500" w:firstLineChars="200"/>
              <w:rPr>
                <w:rFonts w:hint="eastAsia" w:cs="Times New Roman"/>
                <w:color w:val="auto"/>
                <w:spacing w:val="5"/>
                <w:highlight w:val="none"/>
                <w:lang w:val="en-US" w:eastAsia="zh-CN"/>
              </w:rPr>
            </w:pPr>
            <w:r>
              <w:rPr>
                <w:rFonts w:hint="eastAsia" w:cs="Times New Roman"/>
                <w:color w:val="auto"/>
                <w:spacing w:val="5"/>
                <w:highlight w:val="none"/>
                <w:lang w:val="en-US" w:eastAsia="zh-CN"/>
              </w:rPr>
              <w:t>旋风分离废气（G5）</w:t>
            </w:r>
          </w:p>
          <w:p w14:paraId="7DAF175E">
            <w:pPr>
              <w:keepNext w:val="0"/>
              <w:keepLines w:val="0"/>
              <w:pageBreakBefore w:val="0"/>
              <w:widowControl w:val="0"/>
              <w:numPr>
                <w:ilvl w:val="0"/>
                <w:numId w:val="0"/>
              </w:numPr>
              <w:kinsoku/>
              <w:wordWrap/>
              <w:overflowPunct/>
              <w:topLinePunct w:val="0"/>
              <w:autoSpaceDE/>
              <w:autoSpaceDN/>
              <w:bidi w:val="0"/>
              <w:adjustRightInd w:val="0"/>
              <w:snapToGrid w:val="0"/>
              <w:ind w:firstLine="500" w:firstLineChars="200"/>
              <w:textAlignment w:val="auto"/>
              <w:rPr>
                <w:rFonts w:hint="default" w:ascii="Times New Roman" w:hAnsi="Times New Roman" w:cs="Times New Roman"/>
                <w:color w:val="auto"/>
                <w:highlight w:val="none"/>
              </w:rPr>
            </w:pPr>
            <w:r>
              <w:rPr>
                <w:rFonts w:hint="eastAsia" w:cs="Times New Roman"/>
                <w:color w:val="auto"/>
                <w:spacing w:val="5"/>
                <w:highlight w:val="none"/>
                <w:lang w:val="en-US" w:eastAsia="zh-CN"/>
              </w:rPr>
              <w:t>项目塑料电缆颗粒生产过程中，需对造粒后的颗粒进行冷却。冷却过程使用旋风分离器鼓风冷却，此过程会产生旋风分离废气，该废气中含少量颗粒物。</w:t>
            </w:r>
            <w:r>
              <w:rPr>
                <w:rFonts w:hint="default" w:ascii="Times New Roman" w:hAnsi="Times New Roman" w:cs="Times New Roman"/>
                <w:color w:val="auto"/>
                <w:highlight w:val="none"/>
                <w:lang w:val="en-US" w:eastAsia="zh-CN"/>
              </w:rPr>
              <w:t>产污系数参照《排放源统计调查产排污核算方法和系数手册》中“292</w:t>
            </w:r>
            <w:r>
              <w:rPr>
                <w:rFonts w:hint="default" w:ascii="Times New Roman" w:hAnsi="Times New Roman" w:cs="Times New Roman"/>
                <w:color w:val="auto"/>
                <w:sz w:val="24"/>
                <w:szCs w:val="24"/>
                <w:lang w:val="en-US" w:eastAsia="zh-CN"/>
              </w:rPr>
              <w:t>塑料制品业</w:t>
            </w:r>
            <w:r>
              <w:rPr>
                <w:rFonts w:hint="default" w:ascii="Times New Roman" w:hAnsi="Times New Roman" w:eastAsia="宋体" w:cs="Times New Roman"/>
                <w:color w:val="auto"/>
                <w:sz w:val="24"/>
                <w:szCs w:val="24"/>
              </w:rPr>
              <w:t xml:space="preserve">系数手册 </w:t>
            </w:r>
            <w:r>
              <w:rPr>
                <w:rFonts w:hint="default" w:ascii="Times New Roman" w:hAnsi="Times New Roman" w:eastAsia="宋体" w:cs="Times New Roman"/>
                <w:color w:val="auto"/>
                <w:sz w:val="24"/>
                <w:szCs w:val="24"/>
                <w:lang w:val="en-US" w:eastAsia="zh-CN"/>
              </w:rPr>
              <w:t>-</w:t>
            </w:r>
            <w:r>
              <w:rPr>
                <w:rFonts w:hint="default" w:ascii="Times New Roman" w:hAnsi="Times New Roman" w:cs="Times New Roman"/>
                <w:color w:val="auto"/>
                <w:sz w:val="24"/>
                <w:szCs w:val="24"/>
                <w:lang w:val="en-US" w:eastAsia="zh-CN"/>
              </w:rPr>
              <w:t>2922</w:t>
            </w:r>
            <w:r>
              <w:rPr>
                <w:rFonts w:hint="default" w:ascii="Times New Roman" w:hAnsi="Times New Roman" w:eastAsia="宋体" w:cs="Times New Roman"/>
                <w:color w:val="auto"/>
                <w:sz w:val="24"/>
                <w:szCs w:val="24"/>
              </w:rPr>
              <w:t>塑料板、管、型材制造行业系数表</w:t>
            </w:r>
            <w:r>
              <w:rPr>
                <w:rFonts w:hint="default" w:ascii="Times New Roman" w:hAnsi="Times New Roman" w:cs="Times New Roman"/>
                <w:color w:val="auto"/>
                <w:sz w:val="24"/>
                <w:szCs w:val="24"/>
                <w:lang w:eastAsia="zh-CN"/>
              </w:rPr>
              <w:t>－</w:t>
            </w:r>
            <w:r>
              <w:rPr>
                <w:rFonts w:hint="default" w:ascii="Times New Roman" w:hAnsi="Times New Roman" w:eastAsia="宋体" w:cs="Times New Roman"/>
                <w:color w:val="auto"/>
                <w:sz w:val="24"/>
                <w:szCs w:val="24"/>
                <w:lang w:val="en-US" w:eastAsia="zh-CN"/>
              </w:rPr>
              <w:t>配料</w:t>
            </w:r>
            <w:r>
              <w:rPr>
                <w:rFonts w:hint="default" w:ascii="Times New Roman" w:hAnsi="Times New Roman"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混合</w:t>
            </w:r>
            <w:r>
              <w:rPr>
                <w:rFonts w:hint="default" w:ascii="Times New Roman" w:hAnsi="Times New Roman"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挤出</w:t>
            </w:r>
            <w:r>
              <w:rPr>
                <w:rFonts w:hint="default" w:ascii="Times New Roman" w:hAnsi="Times New Roman" w:cs="Times New Roman"/>
                <w:color w:val="auto"/>
                <w:highlight w:val="none"/>
                <w:lang w:val="en-US" w:eastAsia="zh-CN"/>
              </w:rPr>
              <w:t>”，颗粒物的产污系数为6千克</w:t>
            </w:r>
            <w:r>
              <w:rPr>
                <w:rFonts w:hint="default" w:ascii="Times New Roman" w:hAnsi="Times New Roman" w:cs="Times New Roman"/>
                <w:color w:val="auto"/>
                <w:highlight w:val="none"/>
              </w:rPr>
              <w:t>/</w:t>
            </w:r>
            <w:r>
              <w:rPr>
                <w:rFonts w:hint="default" w:ascii="Times New Roman" w:hAnsi="Times New Roman" w:cs="Times New Roman"/>
                <w:color w:val="auto"/>
                <w:highlight w:val="none"/>
                <w:lang w:val="en-US" w:eastAsia="zh-CN"/>
              </w:rPr>
              <w:t>吨－产品</w:t>
            </w:r>
            <w:r>
              <w:rPr>
                <w:rFonts w:hint="default" w:ascii="Times New Roman" w:hAnsi="Times New Roman" w:cs="Times New Roman"/>
                <w:color w:val="auto"/>
                <w:highlight w:val="none"/>
              </w:rPr>
              <w:t>。</w:t>
            </w:r>
          </w:p>
          <w:p w14:paraId="43A2AAC2">
            <w:pPr>
              <w:keepNext w:val="0"/>
              <w:keepLines w:val="0"/>
              <w:pageBreakBefore w:val="0"/>
              <w:widowControl w:val="0"/>
              <w:numPr>
                <w:ilvl w:val="0"/>
                <w:numId w:val="0"/>
              </w:numPr>
              <w:kinsoku/>
              <w:wordWrap/>
              <w:overflowPunct/>
              <w:topLinePunct w:val="0"/>
              <w:autoSpaceDE/>
              <w:autoSpaceDN/>
              <w:bidi w:val="0"/>
              <w:adjustRightInd w:val="0"/>
              <w:snapToGrid w:val="0"/>
              <w:ind w:firstLine="480" w:firstLineChars="200"/>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项目塑料电缆颗粒年生产量为700t，则颗粒物产生量为4.2t/a，冷却工序工作时间为2080h/a，则颗粒物产生速率为2.019kg/h。</w:t>
            </w:r>
          </w:p>
          <w:p w14:paraId="05BDC871">
            <w:pPr>
              <w:bidi w:val="0"/>
              <w:rPr>
                <w:color w:val="auto"/>
                <w:highlight w:val="none"/>
              </w:rPr>
            </w:pPr>
            <w:r>
              <w:rPr>
                <w:rFonts w:hint="eastAsia"/>
                <w:color w:val="auto"/>
                <w:highlight w:val="none"/>
                <w:lang w:val="en-US" w:eastAsia="zh-CN"/>
              </w:rPr>
              <w:t>2）</w:t>
            </w:r>
            <w:r>
              <w:rPr>
                <w:rFonts w:hint="eastAsia"/>
                <w:b/>
                <w:bCs/>
                <w:color w:val="auto"/>
                <w:highlight w:val="none"/>
                <w:lang w:val="en-US" w:eastAsia="zh-CN"/>
              </w:rPr>
              <w:t>废气</w:t>
            </w:r>
            <w:r>
              <w:rPr>
                <w:b/>
                <w:bCs/>
                <w:color w:val="auto"/>
                <w:highlight w:val="none"/>
              </w:rPr>
              <w:t>收集方式和收集效率</w:t>
            </w:r>
          </w:p>
          <w:p w14:paraId="4C595F5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仿宋"/>
                <w:b w:val="0"/>
                <w:bCs w:val="0"/>
                <w:color w:val="auto"/>
                <w:spacing w:val="0"/>
                <w:kern w:val="2"/>
                <w:sz w:val="24"/>
                <w:szCs w:val="24"/>
                <w:highlight w:val="none"/>
                <w:lang w:val="en-US" w:eastAsia="zh-CN" w:bidi="ar-SA"/>
              </w:rPr>
            </w:pPr>
            <w:r>
              <w:rPr>
                <w:rFonts w:hint="eastAsia" w:cs="仿宋"/>
                <w:b w:val="0"/>
                <w:bCs w:val="0"/>
                <w:color w:val="auto"/>
                <w:spacing w:val="0"/>
                <w:kern w:val="2"/>
                <w:sz w:val="24"/>
                <w:szCs w:val="24"/>
                <w:highlight w:val="none"/>
                <w:lang w:val="en-US" w:eastAsia="zh-CN" w:bidi="ar-SA"/>
              </w:rPr>
              <w:t>本项目设置1台</w:t>
            </w:r>
            <w:r>
              <w:rPr>
                <w:rFonts w:hint="eastAsia" w:cs="Times New Roman"/>
                <w:b w:val="0"/>
                <w:bCs/>
                <w:color w:val="auto"/>
                <w:szCs w:val="21"/>
                <w:lang w:val="en-US" w:eastAsia="zh-CN"/>
              </w:rPr>
              <w:t>双阶造粒机</w:t>
            </w:r>
            <w:r>
              <w:rPr>
                <w:rFonts w:hint="eastAsia" w:ascii="宋体" w:hAnsi="宋体" w:cs="宋体"/>
                <w:bCs/>
                <w:color w:val="auto"/>
                <w:szCs w:val="21"/>
                <w:vertAlign w:val="baseline"/>
                <w:lang w:val="en-US" w:eastAsia="zh-CN"/>
              </w:rPr>
              <w:t>。</w:t>
            </w:r>
            <w:r>
              <w:rPr>
                <w:rFonts w:hint="eastAsia" w:cs="仿宋"/>
                <w:b w:val="0"/>
                <w:bCs w:val="0"/>
                <w:color w:val="auto"/>
                <w:spacing w:val="0"/>
                <w:kern w:val="2"/>
                <w:sz w:val="24"/>
                <w:szCs w:val="24"/>
                <w:highlight w:val="none"/>
                <w:lang w:val="en-US" w:eastAsia="zh-CN" w:bidi="ar-SA"/>
              </w:rPr>
              <w:t>本环评要求在</w:t>
            </w:r>
            <w:r>
              <w:rPr>
                <w:rFonts w:hint="eastAsia" w:cs="Times New Roman"/>
                <w:b w:val="0"/>
                <w:bCs/>
                <w:color w:val="auto"/>
                <w:szCs w:val="21"/>
                <w:lang w:val="en-US" w:eastAsia="zh-CN"/>
              </w:rPr>
              <w:t>投料工序</w:t>
            </w:r>
            <w:r>
              <w:rPr>
                <w:rFonts w:hint="eastAsia" w:cs="仿宋"/>
                <w:b w:val="0"/>
                <w:bCs w:val="0"/>
                <w:color w:val="auto"/>
                <w:spacing w:val="0"/>
                <w:kern w:val="2"/>
                <w:sz w:val="24"/>
                <w:szCs w:val="24"/>
                <w:highlight w:val="none"/>
                <w:lang w:val="en-US" w:eastAsia="zh-CN" w:bidi="ar-SA"/>
              </w:rPr>
              <w:t>上方设置集气罩对废气进行收集，集气罩长为1m，宽为1m，收集效率按90%计算，废气收集后经布袋除尘器处理后通过15m高的排气筒排放（DA002），布袋除尘器处理效率按99%计；旋风分离废气经密闭管道收集后与投料粉尘合并通过布袋除尘器处理，旋风分离器风机风量为8000m</w:t>
            </w:r>
            <w:r>
              <w:rPr>
                <w:rFonts w:hint="eastAsia" w:cs="仿宋"/>
                <w:b w:val="0"/>
                <w:bCs w:val="0"/>
                <w:color w:val="auto"/>
                <w:spacing w:val="0"/>
                <w:kern w:val="2"/>
                <w:sz w:val="24"/>
                <w:szCs w:val="24"/>
                <w:highlight w:val="none"/>
                <w:vertAlign w:val="superscript"/>
                <w:lang w:val="en-US" w:eastAsia="zh-CN" w:bidi="ar-SA"/>
              </w:rPr>
              <w:t>3</w:t>
            </w:r>
            <w:r>
              <w:rPr>
                <w:rFonts w:hint="eastAsia" w:cs="仿宋"/>
                <w:b w:val="0"/>
                <w:bCs w:val="0"/>
                <w:color w:val="auto"/>
                <w:spacing w:val="0"/>
                <w:kern w:val="2"/>
                <w:sz w:val="24"/>
                <w:szCs w:val="24"/>
                <w:highlight w:val="none"/>
                <w:lang w:val="en-US" w:eastAsia="zh-CN" w:bidi="ar-SA"/>
              </w:rPr>
              <w:t>/h，废气收集效率按100%计，布袋除尘器处理效率按99%计。</w:t>
            </w:r>
          </w:p>
          <w:p w14:paraId="2F72B48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default" w:ascii="Times New Roman" w:hAnsi="Times New Roman" w:cs="Times New Roman"/>
                <w:bCs/>
                <w:color w:val="auto"/>
                <w:sz w:val="24"/>
                <w:highlight w:val="none"/>
                <w:lang w:val="en-US" w:eastAsia="zh-CN"/>
              </w:rPr>
            </w:pPr>
            <w:r>
              <w:rPr>
                <w:rFonts w:hint="eastAsia" w:cs="Times New Roman"/>
                <w:b w:val="0"/>
                <w:bCs/>
                <w:color w:val="auto"/>
                <w:sz w:val="24"/>
                <w:szCs w:val="24"/>
                <w:highlight w:val="none"/>
                <w:vertAlign w:val="baseline"/>
                <w:lang w:val="en-US" w:eastAsia="zh-CN"/>
              </w:rPr>
              <w:t>集气罩风量计算</w:t>
            </w:r>
            <w:r>
              <w:rPr>
                <w:rFonts w:hint="default" w:ascii="Times New Roman" w:hAnsi="Times New Roman" w:cs="Times New Roman"/>
                <w:b w:val="0"/>
                <w:bCs/>
                <w:color w:val="auto"/>
                <w:sz w:val="24"/>
                <w:szCs w:val="24"/>
                <w:highlight w:val="none"/>
                <w:vertAlign w:val="baseline"/>
                <w:lang w:val="en-US" w:eastAsia="zh-CN"/>
              </w:rPr>
              <w:t>参照《</w:t>
            </w:r>
            <w:r>
              <w:rPr>
                <w:rFonts w:hint="eastAsia" w:ascii="Times New Roman" w:hAnsi="Times New Roman" w:cs="Times New Roman"/>
                <w:b w:val="0"/>
                <w:bCs/>
                <w:color w:val="auto"/>
                <w:sz w:val="24"/>
                <w:szCs w:val="24"/>
                <w:highlight w:val="none"/>
                <w:vertAlign w:val="baseline"/>
                <w:lang w:val="en-US" w:eastAsia="zh-CN"/>
              </w:rPr>
              <w:t>环境</w:t>
            </w:r>
            <w:r>
              <w:rPr>
                <w:rFonts w:hint="default" w:ascii="Times New Roman" w:hAnsi="Times New Roman" w:cs="Times New Roman"/>
                <w:b w:val="0"/>
                <w:bCs/>
                <w:color w:val="auto"/>
                <w:sz w:val="24"/>
                <w:szCs w:val="24"/>
                <w:highlight w:val="none"/>
                <w:vertAlign w:val="baseline"/>
                <w:lang w:val="en-US" w:eastAsia="zh-CN"/>
              </w:rPr>
              <w:t>工程设计手册》中关于外部</w:t>
            </w:r>
            <w:r>
              <w:rPr>
                <w:rFonts w:hint="eastAsia" w:ascii="Times New Roman" w:hAnsi="Times New Roman" w:cs="Times New Roman"/>
                <w:b w:val="0"/>
                <w:bCs/>
                <w:color w:val="auto"/>
                <w:sz w:val="24"/>
                <w:szCs w:val="24"/>
                <w:highlight w:val="none"/>
                <w:vertAlign w:val="baseline"/>
                <w:lang w:val="en-US" w:eastAsia="zh-CN"/>
              </w:rPr>
              <w:t>顶吸式</w:t>
            </w:r>
            <w:r>
              <w:rPr>
                <w:rFonts w:hint="default" w:ascii="Times New Roman" w:hAnsi="Times New Roman" w:cs="Times New Roman"/>
                <w:b w:val="0"/>
                <w:bCs/>
                <w:color w:val="auto"/>
                <w:sz w:val="24"/>
                <w:szCs w:val="24"/>
                <w:highlight w:val="none"/>
                <w:vertAlign w:val="baseline"/>
                <w:lang w:val="en-US" w:eastAsia="zh-CN"/>
              </w:rPr>
              <w:t>集气罩风量的计算公式：</w:t>
            </w:r>
          </w:p>
          <w:p w14:paraId="49F0980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center"/>
              <w:textAlignment w:val="auto"/>
              <w:outlineLvl w:val="9"/>
              <w:rPr>
                <w:rFonts w:hint="default" w:ascii="Times New Roman" w:hAnsi="Times New Roman" w:cs="Times New Roman"/>
                <w:bCs/>
                <w:color w:val="auto"/>
                <w:sz w:val="24"/>
                <w:highlight w:val="none"/>
                <w:lang w:val="en-US" w:eastAsia="zh-CN"/>
              </w:rPr>
            </w:pPr>
            <w:r>
              <w:rPr>
                <w:rFonts w:hint="default" w:ascii="Times New Roman" w:hAnsi="Times New Roman" w:cs="Times New Roman"/>
                <w:bCs/>
                <w:color w:val="auto"/>
                <w:position w:val="-10"/>
                <w:sz w:val="24"/>
                <w:highlight w:val="none"/>
                <w:lang w:val="en-US" w:eastAsia="zh-CN"/>
              </w:rPr>
              <w:object>
                <v:shape id="_x0000_i1026" o:spt="75" type="#_x0000_t75" style="height:19.6pt;width:116pt;" o:ole="t" filled="f" o:preferrelative="t" stroked="f" coordsize="21600,21600">
                  <v:path/>
                  <v:fill on="f" focussize="0,0"/>
                  <v:stroke on="f"/>
                  <v:imagedata r:id="rId28" o:title=""/>
                  <o:lock v:ext="edit" aspectratio="t"/>
                  <w10:wrap type="none"/>
                  <w10:anchorlock/>
                </v:shape>
                <o:OLEObject Type="Embed" ProgID="Equation.KSEE3" ShapeID="_x0000_i1026" DrawAspect="Content" ObjectID="_1468075726" r:id="rId29">
                  <o:LockedField>false</o:LockedField>
                </o:OLEObject>
              </w:object>
            </w:r>
          </w:p>
          <w:p w14:paraId="7DC480F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default" w:ascii="Times New Roman" w:hAnsi="Times New Roman" w:cs="Times New Roman"/>
                <w:bCs/>
                <w:color w:val="auto"/>
                <w:sz w:val="24"/>
                <w:highlight w:val="none"/>
                <w:lang w:val="en-US" w:eastAsia="zh-CN"/>
              </w:rPr>
            </w:pPr>
            <w:r>
              <w:rPr>
                <w:rFonts w:hint="default" w:ascii="Times New Roman" w:hAnsi="Times New Roman" w:cs="Times New Roman"/>
                <w:bCs/>
                <w:color w:val="auto"/>
                <w:sz w:val="24"/>
                <w:highlight w:val="none"/>
                <w:lang w:val="en-US" w:eastAsia="zh-CN"/>
              </w:rPr>
              <w:t>其中：</w:t>
            </w:r>
          </w:p>
          <w:p w14:paraId="7946991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default" w:ascii="Times New Roman" w:hAnsi="Times New Roman" w:cs="Times New Roman"/>
                <w:bCs/>
                <w:color w:val="auto"/>
                <w:sz w:val="24"/>
                <w:highlight w:val="none"/>
                <w:lang w:val="en-US" w:eastAsia="zh-CN"/>
              </w:rPr>
            </w:pPr>
            <w:r>
              <w:rPr>
                <w:rFonts w:hint="default" w:ascii="Times New Roman" w:hAnsi="Times New Roman" w:cs="Times New Roman"/>
                <w:bCs/>
                <w:color w:val="auto"/>
                <w:sz w:val="24"/>
                <w:highlight w:val="none"/>
                <w:lang w:val="en-US" w:eastAsia="zh-CN"/>
              </w:rPr>
              <w:t>X--集气罩至污染源的距离，m</w:t>
            </w:r>
            <w:r>
              <w:rPr>
                <w:rFonts w:hint="eastAsia" w:ascii="Times New Roman" w:hAnsi="Times New Roman" w:cs="Times New Roman"/>
                <w:bCs/>
                <w:color w:val="auto"/>
                <w:sz w:val="24"/>
                <w:highlight w:val="none"/>
                <w:lang w:val="en-US" w:eastAsia="zh-CN"/>
              </w:rPr>
              <w:t>，</w:t>
            </w:r>
            <w:r>
              <w:rPr>
                <w:rFonts w:hint="eastAsia" w:cs="Times New Roman"/>
                <w:bCs/>
                <w:color w:val="auto"/>
                <w:sz w:val="24"/>
                <w:highlight w:val="none"/>
                <w:lang w:val="en-US" w:eastAsia="zh-CN"/>
              </w:rPr>
              <w:t>本项目</w:t>
            </w:r>
            <w:r>
              <w:rPr>
                <w:rFonts w:hint="eastAsia" w:ascii="Times New Roman" w:hAnsi="Times New Roman" w:cs="Times New Roman"/>
                <w:bCs/>
                <w:color w:val="auto"/>
                <w:sz w:val="24"/>
                <w:highlight w:val="none"/>
                <w:lang w:val="en-US" w:eastAsia="zh-CN"/>
              </w:rPr>
              <w:t>取0.</w:t>
            </w:r>
            <w:r>
              <w:rPr>
                <w:rFonts w:hint="eastAsia" w:cs="Times New Roman"/>
                <w:bCs/>
                <w:color w:val="auto"/>
                <w:sz w:val="24"/>
                <w:highlight w:val="none"/>
                <w:lang w:val="en-US" w:eastAsia="zh-CN"/>
              </w:rPr>
              <w:t>3</w:t>
            </w:r>
            <w:r>
              <w:rPr>
                <w:rFonts w:hint="eastAsia" w:ascii="Times New Roman" w:hAnsi="Times New Roman" w:cs="Times New Roman"/>
                <w:bCs/>
                <w:color w:val="auto"/>
                <w:sz w:val="24"/>
                <w:highlight w:val="none"/>
                <w:lang w:val="en-US" w:eastAsia="zh-CN"/>
              </w:rPr>
              <w:t>m</w:t>
            </w:r>
            <w:r>
              <w:rPr>
                <w:rFonts w:hint="default" w:ascii="Times New Roman" w:hAnsi="Times New Roman" w:cs="Times New Roman"/>
                <w:bCs/>
                <w:color w:val="auto"/>
                <w:sz w:val="24"/>
                <w:highlight w:val="none"/>
                <w:lang w:val="en-US" w:eastAsia="zh-CN"/>
              </w:rPr>
              <w:t>；</w:t>
            </w:r>
          </w:p>
          <w:p w14:paraId="57ABAC0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default" w:ascii="Times New Roman" w:hAnsi="Times New Roman" w:cs="Times New Roman"/>
                <w:bCs/>
                <w:color w:val="auto"/>
                <w:sz w:val="24"/>
                <w:highlight w:val="none"/>
                <w:lang w:val="en-US" w:eastAsia="zh-CN"/>
              </w:rPr>
            </w:pPr>
            <w:r>
              <w:rPr>
                <w:rFonts w:hint="default" w:ascii="Times New Roman" w:hAnsi="Times New Roman" w:cs="Times New Roman"/>
                <w:bCs/>
                <w:color w:val="auto"/>
                <w:sz w:val="24"/>
                <w:highlight w:val="none"/>
                <w:lang w:val="en-US" w:eastAsia="zh-CN"/>
              </w:rPr>
              <w:t>F--集气罩口面积，m</w:t>
            </w:r>
            <w:r>
              <w:rPr>
                <w:rFonts w:hint="default" w:ascii="Times New Roman" w:hAnsi="Times New Roman" w:cs="Times New Roman"/>
                <w:bCs/>
                <w:color w:val="auto"/>
                <w:sz w:val="24"/>
                <w:highlight w:val="none"/>
                <w:vertAlign w:val="superscript"/>
                <w:lang w:val="en-US" w:eastAsia="zh-CN"/>
              </w:rPr>
              <w:t>2</w:t>
            </w:r>
            <w:r>
              <w:rPr>
                <w:rFonts w:hint="eastAsia" w:ascii="Times New Roman" w:hAnsi="Times New Roman" w:cs="Times New Roman"/>
                <w:bCs/>
                <w:color w:val="auto"/>
                <w:sz w:val="24"/>
                <w:highlight w:val="none"/>
                <w:vertAlign w:val="baseline"/>
                <w:lang w:val="en-US" w:eastAsia="zh-CN"/>
              </w:rPr>
              <w:t>，</w:t>
            </w:r>
            <w:r>
              <w:rPr>
                <w:rFonts w:hint="eastAsia" w:cs="Times New Roman"/>
                <w:bCs/>
                <w:color w:val="auto"/>
                <w:sz w:val="24"/>
                <w:highlight w:val="none"/>
                <w:vertAlign w:val="baseline"/>
                <w:lang w:val="en-US" w:eastAsia="zh-CN"/>
              </w:rPr>
              <w:t>本项目</w:t>
            </w:r>
            <w:r>
              <w:rPr>
                <w:rFonts w:hint="eastAsia" w:cs="Times New Roman"/>
                <w:color w:val="auto"/>
                <w:sz w:val="24"/>
                <w:szCs w:val="28"/>
                <w:highlight w:val="none"/>
                <w:vertAlign w:val="baseline"/>
                <w:lang w:val="en-US" w:eastAsia="zh-CN"/>
              </w:rPr>
              <w:t>取1</w:t>
            </w:r>
            <w:r>
              <w:rPr>
                <w:rFonts w:hint="default" w:ascii="Times New Roman" w:hAnsi="Times New Roman" w:eastAsia="宋体" w:cs="Times New Roman"/>
                <w:color w:val="auto"/>
                <w:sz w:val="24"/>
                <w:szCs w:val="28"/>
                <w:highlight w:val="none"/>
                <w:lang w:val="en-US" w:eastAsia="zh-CN"/>
              </w:rPr>
              <w:t>m</w:t>
            </w:r>
            <w:r>
              <w:rPr>
                <w:rFonts w:hint="default" w:ascii="Times New Roman" w:hAnsi="Times New Roman" w:eastAsia="宋体" w:cs="Times New Roman"/>
                <w:color w:val="auto"/>
                <w:sz w:val="24"/>
                <w:szCs w:val="28"/>
                <w:highlight w:val="none"/>
                <w:vertAlign w:val="superscript"/>
                <w:lang w:val="en-US" w:eastAsia="zh-CN"/>
              </w:rPr>
              <w:t>2</w:t>
            </w:r>
            <w:r>
              <w:rPr>
                <w:rFonts w:hint="default" w:ascii="Times New Roman" w:hAnsi="Times New Roman" w:cs="Times New Roman"/>
                <w:bCs/>
                <w:color w:val="auto"/>
                <w:sz w:val="24"/>
                <w:highlight w:val="none"/>
                <w:lang w:val="en-US" w:eastAsia="zh-CN"/>
              </w:rPr>
              <w:t>；</w:t>
            </w:r>
          </w:p>
          <w:p w14:paraId="79DEC93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default" w:ascii="Times New Roman" w:hAnsi="Times New Roman" w:cs="Times New Roman"/>
                <w:bCs/>
                <w:color w:val="auto"/>
                <w:sz w:val="24"/>
                <w:highlight w:val="none"/>
                <w:lang w:val="en-US" w:eastAsia="zh-CN"/>
              </w:rPr>
            </w:pPr>
            <w:r>
              <w:rPr>
                <w:rFonts w:hint="default" w:ascii="Times New Roman" w:hAnsi="Times New Roman" w:cs="Times New Roman"/>
                <w:bCs/>
                <w:color w:val="auto"/>
                <w:sz w:val="24"/>
                <w:highlight w:val="none"/>
                <w:lang w:val="en-US" w:eastAsia="zh-CN"/>
              </w:rPr>
              <w:t>Vx-</w:t>
            </w:r>
            <w:r>
              <w:rPr>
                <w:rFonts w:hint="eastAsia" w:cs="Times New Roman"/>
                <w:bCs/>
                <w:color w:val="auto"/>
                <w:sz w:val="24"/>
                <w:highlight w:val="none"/>
                <w:lang w:val="en-US" w:eastAsia="zh-CN"/>
              </w:rPr>
              <w:t>－</w:t>
            </w:r>
            <w:r>
              <w:rPr>
                <w:rFonts w:hint="default" w:ascii="Times New Roman" w:hAnsi="Times New Roman" w:cs="Times New Roman"/>
                <w:bCs/>
                <w:color w:val="auto"/>
                <w:sz w:val="24"/>
                <w:highlight w:val="none"/>
                <w:lang w:val="en-US" w:eastAsia="zh-CN"/>
              </w:rPr>
              <w:t>控制风速，m/s</w:t>
            </w:r>
            <w:r>
              <w:rPr>
                <w:rFonts w:hint="eastAsia" w:ascii="Times New Roman" w:hAnsi="Times New Roman" w:cs="Times New Roman"/>
                <w:bCs/>
                <w:color w:val="auto"/>
                <w:sz w:val="24"/>
                <w:highlight w:val="none"/>
                <w:lang w:val="en-US" w:eastAsia="zh-CN"/>
              </w:rPr>
              <w:t>，</w:t>
            </w:r>
            <w:r>
              <w:rPr>
                <w:rFonts w:hint="eastAsia" w:cs="Times New Roman"/>
                <w:bCs/>
                <w:color w:val="auto"/>
                <w:sz w:val="24"/>
                <w:highlight w:val="none"/>
                <w:lang w:val="en-US" w:eastAsia="zh-CN"/>
              </w:rPr>
              <w:t>本项目</w:t>
            </w:r>
            <w:r>
              <w:rPr>
                <w:rFonts w:hint="eastAsia" w:ascii="Times New Roman" w:hAnsi="Times New Roman" w:cs="Times New Roman"/>
                <w:bCs/>
                <w:color w:val="auto"/>
                <w:sz w:val="24"/>
                <w:highlight w:val="none"/>
                <w:lang w:val="en-US" w:eastAsia="zh-CN"/>
              </w:rPr>
              <w:t>取</w:t>
            </w:r>
            <w:r>
              <w:rPr>
                <w:rFonts w:hint="eastAsia" w:cs="Times New Roman"/>
                <w:b w:val="0"/>
                <w:bCs/>
                <w:color w:val="auto"/>
                <w:sz w:val="24"/>
                <w:szCs w:val="24"/>
                <w:highlight w:val="none"/>
                <w:vertAlign w:val="baseline"/>
                <w:lang w:val="en-US" w:eastAsia="zh-CN"/>
              </w:rPr>
              <w:t>0.8</w:t>
            </w:r>
            <w:r>
              <w:rPr>
                <w:rFonts w:hint="default" w:ascii="Times New Roman" w:hAnsi="Times New Roman" w:cs="Times New Roman"/>
                <w:b w:val="0"/>
                <w:bCs/>
                <w:color w:val="auto"/>
                <w:sz w:val="24"/>
                <w:szCs w:val="24"/>
                <w:highlight w:val="none"/>
                <w:vertAlign w:val="baseline"/>
                <w:lang w:val="en-US" w:eastAsia="zh-CN"/>
              </w:rPr>
              <w:t>m/s</w:t>
            </w:r>
            <w:r>
              <w:rPr>
                <w:rFonts w:hint="eastAsia" w:ascii="Times New Roman" w:hAnsi="Times New Roman" w:cs="Times New Roman"/>
                <w:b w:val="0"/>
                <w:bCs/>
                <w:color w:val="auto"/>
                <w:sz w:val="24"/>
                <w:szCs w:val="24"/>
                <w:highlight w:val="none"/>
                <w:vertAlign w:val="baseline"/>
                <w:lang w:val="en-US" w:eastAsia="zh-CN"/>
              </w:rPr>
              <w:t>。</w:t>
            </w:r>
          </w:p>
          <w:p w14:paraId="0A7585B8">
            <w:pPr>
              <w:bidi w:val="0"/>
              <w:rPr>
                <w:rFonts w:hint="eastAsia" w:ascii="Times New Roman" w:hAnsi="Times New Roman" w:cs="Times New Roman"/>
                <w:color w:val="auto"/>
                <w:sz w:val="24"/>
                <w:highlight w:val="none"/>
                <w:vertAlign w:val="baseline"/>
                <w:lang w:val="en-US" w:eastAsia="zh-CN"/>
              </w:rPr>
            </w:pPr>
            <w:r>
              <w:rPr>
                <w:rFonts w:hint="eastAsia" w:cs="Times New Roman"/>
                <w:color w:val="auto"/>
                <w:sz w:val="24"/>
                <w:szCs w:val="24"/>
                <w:highlight w:val="none"/>
                <w:lang w:val="en-US" w:eastAsia="zh-CN"/>
              </w:rPr>
              <w:t>则</w:t>
            </w:r>
            <w:r>
              <w:rPr>
                <w:rFonts w:hint="default" w:ascii="Times New Roman" w:hAnsi="Times New Roman" w:cs="Times New Roman"/>
                <w:color w:val="auto"/>
                <w:sz w:val="24"/>
                <w:szCs w:val="24"/>
                <w:highlight w:val="none"/>
                <w:lang w:val="en-US" w:eastAsia="zh-CN"/>
              </w:rPr>
              <w:t>项目</w:t>
            </w:r>
            <w:r>
              <w:rPr>
                <w:rFonts w:hint="eastAsia" w:cs="Times New Roman"/>
                <w:color w:val="auto"/>
                <w:sz w:val="24"/>
                <w:szCs w:val="24"/>
                <w:highlight w:val="none"/>
                <w:lang w:val="en-US" w:eastAsia="zh-CN"/>
              </w:rPr>
              <w:t>集气罩风量为4176</w:t>
            </w:r>
            <w:r>
              <w:rPr>
                <w:rFonts w:hint="default" w:ascii="Times New Roman" w:hAnsi="Times New Roman" w:cs="Times New Roman"/>
                <w:bCs/>
                <w:color w:val="auto"/>
                <w:sz w:val="24"/>
                <w:highlight w:val="none"/>
                <w:lang w:val="en-US" w:eastAsia="zh-CN"/>
              </w:rPr>
              <w:t>m</w:t>
            </w:r>
            <w:r>
              <w:rPr>
                <w:rFonts w:hint="default" w:ascii="Times New Roman" w:hAnsi="Times New Roman" w:cs="Times New Roman"/>
                <w:bCs/>
                <w:color w:val="auto"/>
                <w:sz w:val="24"/>
                <w:highlight w:val="none"/>
                <w:vertAlign w:val="superscript"/>
                <w:lang w:val="en-US" w:eastAsia="zh-CN"/>
              </w:rPr>
              <w:t>3</w:t>
            </w:r>
            <w:r>
              <w:rPr>
                <w:rFonts w:hint="default" w:ascii="Times New Roman" w:hAnsi="Times New Roman" w:cs="Times New Roman"/>
                <w:bCs/>
                <w:color w:val="auto"/>
                <w:sz w:val="24"/>
                <w:highlight w:val="none"/>
                <w:lang w:val="en-US" w:eastAsia="zh-CN"/>
              </w:rPr>
              <w:t>/h</w:t>
            </w:r>
            <w:r>
              <w:rPr>
                <w:rFonts w:hint="eastAsia" w:ascii="Times New Roman" w:hAnsi="Times New Roman" w:cs="Times New Roman"/>
                <w:bCs/>
                <w:color w:val="auto"/>
                <w:sz w:val="24"/>
                <w:highlight w:val="none"/>
                <w:lang w:val="en-US" w:eastAsia="zh-CN"/>
              </w:rPr>
              <w:t>，</w:t>
            </w:r>
            <w:r>
              <w:rPr>
                <w:rFonts w:hint="eastAsia" w:cs="Times New Roman"/>
                <w:bCs/>
                <w:color w:val="auto"/>
                <w:sz w:val="24"/>
                <w:highlight w:val="none"/>
                <w:lang w:val="en-US" w:eastAsia="zh-CN"/>
              </w:rPr>
              <w:t>考虑管道风量损失等因素，本项目设计风量取4500</w:t>
            </w:r>
            <w:r>
              <w:rPr>
                <w:rFonts w:hint="default" w:ascii="Times New Roman" w:hAnsi="Times New Roman" w:cs="Times New Roman"/>
                <w:bCs/>
                <w:color w:val="auto"/>
                <w:sz w:val="24"/>
                <w:highlight w:val="none"/>
                <w:lang w:val="en-US" w:eastAsia="zh-CN"/>
              </w:rPr>
              <w:t>m</w:t>
            </w:r>
            <w:r>
              <w:rPr>
                <w:rFonts w:hint="default" w:ascii="Times New Roman" w:hAnsi="Times New Roman" w:cs="Times New Roman"/>
                <w:bCs/>
                <w:color w:val="auto"/>
                <w:sz w:val="24"/>
                <w:highlight w:val="none"/>
                <w:vertAlign w:val="superscript"/>
                <w:lang w:val="en-US" w:eastAsia="zh-CN"/>
              </w:rPr>
              <w:t>3</w:t>
            </w:r>
            <w:r>
              <w:rPr>
                <w:rFonts w:hint="default" w:ascii="Times New Roman" w:hAnsi="Times New Roman" w:cs="Times New Roman"/>
                <w:bCs/>
                <w:color w:val="auto"/>
                <w:sz w:val="24"/>
                <w:highlight w:val="none"/>
                <w:lang w:val="en-US" w:eastAsia="zh-CN"/>
              </w:rPr>
              <w:t>/h</w:t>
            </w:r>
            <w:r>
              <w:rPr>
                <w:rFonts w:hint="eastAsia" w:cs="Times New Roman"/>
                <w:bCs/>
                <w:color w:val="auto"/>
                <w:sz w:val="24"/>
                <w:highlight w:val="none"/>
                <w:lang w:val="en-US" w:eastAsia="zh-CN"/>
              </w:rPr>
              <w:t>，</w:t>
            </w:r>
            <w:r>
              <w:rPr>
                <w:rFonts w:hint="eastAsia" w:ascii="Times New Roman" w:hAnsi="Times New Roman" w:cs="Times New Roman"/>
                <w:bCs/>
                <w:color w:val="auto"/>
                <w:sz w:val="24"/>
                <w:highlight w:val="none"/>
                <w:lang w:val="en-US" w:eastAsia="zh-CN"/>
              </w:rPr>
              <w:t>则</w:t>
            </w:r>
            <w:r>
              <w:rPr>
                <w:rFonts w:hint="default" w:ascii="Times New Roman" w:hAnsi="Times New Roman" w:cs="Times New Roman"/>
                <w:bCs/>
                <w:color w:val="auto"/>
                <w:sz w:val="24"/>
                <w:highlight w:val="none"/>
                <w:lang w:val="en-US" w:eastAsia="zh-CN"/>
              </w:rPr>
              <w:t>本项目</w:t>
            </w:r>
            <w:r>
              <w:rPr>
                <w:rFonts w:hint="eastAsia" w:ascii="Times New Roman" w:hAnsi="Times New Roman" w:cs="Times New Roman"/>
                <w:bCs/>
                <w:color w:val="auto"/>
                <w:sz w:val="24"/>
                <w:highlight w:val="none"/>
                <w:lang w:val="en-US" w:eastAsia="zh-CN"/>
              </w:rPr>
              <w:t>DA00</w:t>
            </w:r>
            <w:r>
              <w:rPr>
                <w:rFonts w:hint="eastAsia" w:cs="Times New Roman"/>
                <w:bCs/>
                <w:color w:val="auto"/>
                <w:sz w:val="24"/>
                <w:highlight w:val="none"/>
                <w:lang w:val="en-US" w:eastAsia="zh-CN"/>
              </w:rPr>
              <w:t>2</w:t>
            </w:r>
            <w:r>
              <w:rPr>
                <w:rFonts w:hint="eastAsia" w:ascii="Times New Roman" w:hAnsi="Times New Roman" w:cs="Times New Roman"/>
                <w:bCs/>
                <w:color w:val="auto"/>
                <w:sz w:val="24"/>
                <w:highlight w:val="none"/>
                <w:lang w:val="en-US" w:eastAsia="zh-CN"/>
              </w:rPr>
              <w:t>排气筒</w:t>
            </w:r>
            <w:r>
              <w:rPr>
                <w:rFonts w:hint="eastAsia" w:cs="Times New Roman"/>
                <w:bCs/>
                <w:color w:val="auto"/>
                <w:sz w:val="24"/>
                <w:highlight w:val="none"/>
                <w:lang w:val="en-US" w:eastAsia="zh-CN"/>
              </w:rPr>
              <w:t>设计</w:t>
            </w:r>
            <w:r>
              <w:rPr>
                <w:rFonts w:hint="eastAsia" w:ascii="Times New Roman" w:hAnsi="Times New Roman" w:cs="Times New Roman"/>
                <w:bCs/>
                <w:color w:val="auto"/>
                <w:sz w:val="24"/>
                <w:highlight w:val="none"/>
                <w:lang w:val="en-US" w:eastAsia="zh-CN"/>
              </w:rPr>
              <w:t>风量为</w:t>
            </w:r>
            <w:r>
              <w:rPr>
                <w:rFonts w:hint="eastAsia" w:cs="Times New Roman"/>
                <w:bCs/>
                <w:color w:val="auto"/>
                <w:sz w:val="24"/>
                <w:highlight w:val="none"/>
                <w:lang w:val="en-US" w:eastAsia="zh-CN"/>
              </w:rPr>
              <w:t>12500</w:t>
            </w:r>
            <w:r>
              <w:rPr>
                <w:rFonts w:hint="default" w:ascii="Times New Roman" w:hAnsi="Times New Roman" w:cs="Times New Roman"/>
                <w:bCs/>
                <w:color w:val="auto"/>
                <w:sz w:val="24"/>
                <w:highlight w:val="none"/>
                <w:lang w:val="en-US" w:eastAsia="zh-CN"/>
              </w:rPr>
              <w:t>m</w:t>
            </w:r>
            <w:r>
              <w:rPr>
                <w:rFonts w:hint="default" w:ascii="Times New Roman" w:hAnsi="Times New Roman" w:cs="Times New Roman"/>
                <w:bCs/>
                <w:color w:val="auto"/>
                <w:sz w:val="24"/>
                <w:highlight w:val="none"/>
                <w:vertAlign w:val="superscript"/>
                <w:lang w:val="en-US" w:eastAsia="zh-CN"/>
              </w:rPr>
              <w:t>3</w:t>
            </w:r>
            <w:r>
              <w:rPr>
                <w:rFonts w:hint="default" w:ascii="Times New Roman" w:hAnsi="Times New Roman" w:cs="Times New Roman"/>
                <w:bCs/>
                <w:color w:val="auto"/>
                <w:sz w:val="24"/>
                <w:highlight w:val="none"/>
                <w:lang w:val="en-US" w:eastAsia="zh-CN"/>
              </w:rPr>
              <w:t>/h</w:t>
            </w:r>
            <w:r>
              <w:rPr>
                <w:rFonts w:hint="eastAsia" w:ascii="Times New Roman" w:hAnsi="Times New Roman" w:cs="Times New Roman"/>
                <w:color w:val="auto"/>
                <w:sz w:val="24"/>
                <w:highlight w:val="none"/>
                <w:vertAlign w:val="baseline"/>
                <w:lang w:val="en-US" w:eastAsia="zh-CN"/>
              </w:rPr>
              <w:t>。</w:t>
            </w:r>
          </w:p>
          <w:p w14:paraId="501F119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仿宋"/>
                <w:b w:val="0"/>
                <w:bCs w:val="0"/>
                <w:color w:val="auto"/>
                <w:spacing w:val="0"/>
                <w:kern w:val="2"/>
                <w:sz w:val="24"/>
                <w:szCs w:val="24"/>
                <w:highlight w:val="none"/>
                <w:lang w:val="en-US" w:eastAsia="zh-CN" w:bidi="ar-SA"/>
              </w:rPr>
            </w:pPr>
            <w:r>
              <w:rPr>
                <w:rFonts w:hint="eastAsia" w:cs="仿宋"/>
                <w:b w:val="0"/>
                <w:bCs w:val="0"/>
                <w:color w:val="auto"/>
                <w:spacing w:val="0"/>
                <w:kern w:val="2"/>
                <w:sz w:val="24"/>
                <w:szCs w:val="24"/>
                <w:highlight w:val="none"/>
                <w:lang w:val="en-US" w:eastAsia="zh-CN" w:bidi="ar-SA"/>
              </w:rPr>
              <w:t>投料工序颗粒物产生量为1.392t/a，冷却工序颗粒物产生量为4.2t/a，该工序工作时间为2080h/a，投料工序集气罩收集效率按90%计，冷却工序管道密闭收集集气效率按100%计，袋式除尘器处理效率按99%计，则颗粒物有组织排放量为0.054t/a。</w:t>
            </w:r>
          </w:p>
          <w:p w14:paraId="2710568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eastAsia="宋体" w:cs="仿宋"/>
                <w:b/>
                <w:bCs/>
                <w:color w:val="auto"/>
                <w:spacing w:val="0"/>
                <w:kern w:val="2"/>
                <w:sz w:val="24"/>
                <w:szCs w:val="24"/>
                <w:highlight w:val="none"/>
                <w:lang w:val="en-US" w:eastAsia="zh-CN" w:bidi="ar-SA"/>
              </w:rPr>
            </w:pPr>
            <w:r>
              <w:rPr>
                <w:rFonts w:hint="eastAsia" w:ascii="Times New Roman" w:hAnsi="Times New Roman" w:eastAsia="宋体" w:cs="仿宋"/>
                <w:b/>
                <w:bCs/>
                <w:color w:val="auto"/>
                <w:spacing w:val="0"/>
                <w:kern w:val="2"/>
                <w:sz w:val="24"/>
                <w:szCs w:val="24"/>
                <w:highlight w:val="none"/>
                <w:lang w:val="en-US" w:eastAsia="zh-CN" w:bidi="ar-SA"/>
              </w:rPr>
              <w:t>（</w:t>
            </w:r>
            <w:r>
              <w:rPr>
                <w:rFonts w:hint="eastAsia" w:cs="仿宋"/>
                <w:b/>
                <w:bCs/>
                <w:color w:val="auto"/>
                <w:spacing w:val="0"/>
                <w:kern w:val="2"/>
                <w:sz w:val="24"/>
                <w:szCs w:val="24"/>
                <w:highlight w:val="none"/>
                <w:lang w:val="en-US" w:eastAsia="zh-CN" w:bidi="ar-SA"/>
              </w:rPr>
              <w:t>3</w:t>
            </w:r>
            <w:r>
              <w:rPr>
                <w:rFonts w:hint="eastAsia" w:ascii="Times New Roman" w:hAnsi="Times New Roman" w:eastAsia="宋体" w:cs="仿宋"/>
                <w:b/>
                <w:bCs/>
                <w:color w:val="auto"/>
                <w:spacing w:val="0"/>
                <w:kern w:val="2"/>
                <w:sz w:val="24"/>
                <w:szCs w:val="24"/>
                <w:highlight w:val="none"/>
                <w:lang w:val="en-US" w:eastAsia="zh-CN" w:bidi="ar-SA"/>
              </w:rPr>
              <w:t>）</w:t>
            </w:r>
            <w:r>
              <w:rPr>
                <w:rFonts w:hint="eastAsia" w:cs="仿宋"/>
                <w:b/>
                <w:bCs/>
                <w:color w:val="auto"/>
                <w:spacing w:val="0"/>
                <w:kern w:val="2"/>
                <w:sz w:val="24"/>
                <w:szCs w:val="24"/>
                <w:highlight w:val="none"/>
                <w:lang w:val="en-US" w:eastAsia="zh-CN" w:bidi="ar-SA"/>
              </w:rPr>
              <w:t>DA003废气产生及排放情况</w:t>
            </w:r>
          </w:p>
          <w:p w14:paraId="1F5A4BB5">
            <w:pPr>
              <w:bidi w:val="0"/>
              <w:rPr>
                <w:rFonts w:hint="default" w:ascii="Times New Roman" w:hAnsi="Times New Roman" w:cs="Times New Roman"/>
                <w:b/>
                <w:bCs w:val="0"/>
                <w:color w:val="auto"/>
                <w:szCs w:val="21"/>
                <w:lang w:val="en-US" w:eastAsia="zh-CN"/>
              </w:rPr>
            </w:pPr>
            <w:r>
              <w:rPr>
                <w:rFonts w:hint="eastAsia" w:ascii="宋体" w:hAnsi="宋体"/>
                <w:b/>
                <w:bCs w:val="0"/>
                <w:color w:val="auto"/>
                <w:szCs w:val="21"/>
                <w:lang w:val="en-US" w:eastAsia="zh-CN"/>
              </w:rPr>
              <w:t>1</w:t>
            </w:r>
            <w:r>
              <w:rPr>
                <w:rFonts w:hint="default" w:ascii="Times New Roman" w:hAnsi="Times New Roman" w:cs="Times New Roman"/>
                <w:b/>
                <w:bCs w:val="0"/>
                <w:color w:val="auto"/>
                <w:szCs w:val="21"/>
                <w:lang w:val="en-US" w:eastAsia="zh-CN"/>
              </w:rPr>
              <w:t>）</w:t>
            </w:r>
            <w:r>
              <w:rPr>
                <w:rFonts w:hint="eastAsia" w:ascii="Times New Roman" w:hAnsi="Times New Roman" w:cs="Times New Roman"/>
                <w:b/>
                <w:bCs w:val="0"/>
                <w:color w:val="auto"/>
                <w:szCs w:val="21"/>
                <w:lang w:val="en-US" w:eastAsia="zh-CN"/>
              </w:rPr>
              <w:t>熔融造粒废气（G4）</w:t>
            </w:r>
          </w:p>
          <w:p w14:paraId="3769E17A">
            <w:pPr>
              <w:numPr>
                <w:ilvl w:val="0"/>
                <w:numId w:val="0"/>
              </w:numPr>
              <w:adjustRightInd w:val="0"/>
              <w:snapToGrid w:val="0"/>
              <w:spacing w:line="360" w:lineRule="auto"/>
              <w:ind w:firstLine="480" w:firstLineChars="200"/>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项目原辅材料投入后在造粒机组中密闭搅拌加热，混合加热温度在 110℃左右，熔融过程采用电加热。此过程有非甲烷总烃</w:t>
            </w:r>
            <w:r>
              <w:rPr>
                <w:rFonts w:hint="eastAsia" w:cs="Times New Roman"/>
                <w:bCs/>
                <w:color w:val="auto"/>
                <w:szCs w:val="21"/>
                <w:lang w:val="en-US" w:eastAsia="zh-CN"/>
              </w:rPr>
              <w:t>、</w:t>
            </w:r>
            <w:r>
              <w:rPr>
                <w:rFonts w:hint="eastAsia"/>
                <w:color w:val="auto"/>
                <w:highlight w:val="none"/>
                <w:lang w:val="en-US" w:eastAsia="zh-CN"/>
              </w:rPr>
              <w:t>油雾（以颗粒物计）、</w:t>
            </w:r>
            <w:r>
              <w:rPr>
                <w:rFonts w:hint="eastAsia" w:ascii="宋体" w:hAnsi="宋体" w:eastAsia="宋体" w:cs="宋体"/>
                <w:color w:val="auto"/>
                <w:kern w:val="2"/>
                <w:sz w:val="24"/>
                <w:szCs w:val="24"/>
              </w:rPr>
              <w:t>氯化氢、氯乙烯和臭气浓度</w:t>
            </w:r>
            <w:r>
              <w:rPr>
                <w:rFonts w:hint="default" w:ascii="Times New Roman" w:hAnsi="Times New Roman" w:cs="Times New Roman"/>
                <w:bCs/>
                <w:color w:val="auto"/>
                <w:szCs w:val="21"/>
                <w:lang w:val="en-US" w:eastAsia="zh-CN"/>
              </w:rPr>
              <w:t>产生。加热后的物料经输送机密闭输送至双阶造粒机中进行挤出造粒。挤出造粒温度在 160℃左右。此过程有非甲烷总烃</w:t>
            </w:r>
            <w:r>
              <w:rPr>
                <w:rFonts w:hint="eastAsia" w:cs="Times New Roman"/>
                <w:bCs/>
                <w:color w:val="auto"/>
                <w:szCs w:val="21"/>
                <w:lang w:val="en-US" w:eastAsia="zh-CN"/>
              </w:rPr>
              <w:t>、</w:t>
            </w:r>
            <w:r>
              <w:rPr>
                <w:rFonts w:hint="eastAsia"/>
                <w:color w:val="auto"/>
                <w:highlight w:val="none"/>
                <w:lang w:val="en-US" w:eastAsia="zh-CN"/>
              </w:rPr>
              <w:t>油雾（以颗粒物计）、</w:t>
            </w:r>
            <w:r>
              <w:rPr>
                <w:rFonts w:hint="eastAsia" w:ascii="宋体" w:hAnsi="宋体" w:eastAsia="宋体" w:cs="宋体"/>
                <w:color w:val="auto"/>
                <w:kern w:val="2"/>
                <w:sz w:val="24"/>
                <w:szCs w:val="24"/>
              </w:rPr>
              <w:t>氯化氢、氯乙烯和臭气浓度</w:t>
            </w:r>
            <w:r>
              <w:rPr>
                <w:rFonts w:hint="default" w:ascii="Times New Roman" w:hAnsi="Times New Roman" w:cs="Times New Roman"/>
                <w:bCs/>
                <w:color w:val="auto"/>
                <w:szCs w:val="21"/>
                <w:lang w:val="en-US" w:eastAsia="zh-CN"/>
              </w:rPr>
              <w:t>产生。挤出的塑料电缆颗粒经密闭管道收集入一级旋风分离器鼓风冷却，</w:t>
            </w:r>
            <w:r>
              <w:rPr>
                <w:rFonts w:hint="eastAsia" w:cs="Times New Roman"/>
                <w:bCs/>
                <w:color w:val="auto"/>
                <w:szCs w:val="21"/>
                <w:lang w:val="en-US" w:eastAsia="zh-CN"/>
              </w:rPr>
              <w:t>此过程有颗粒物产生。</w:t>
            </w:r>
            <w:r>
              <w:rPr>
                <w:rFonts w:hint="default" w:ascii="Times New Roman" w:hAnsi="Times New Roman" w:cs="Times New Roman"/>
                <w:bCs/>
                <w:color w:val="auto"/>
                <w:szCs w:val="21"/>
                <w:lang w:val="en-US" w:eastAsia="zh-CN"/>
              </w:rPr>
              <w:t>项目熔融</w:t>
            </w:r>
            <w:r>
              <w:rPr>
                <w:rFonts w:hint="eastAsia" w:cs="Times New Roman"/>
                <w:bCs/>
                <w:color w:val="auto"/>
                <w:szCs w:val="21"/>
                <w:lang w:val="en-US" w:eastAsia="zh-CN"/>
              </w:rPr>
              <w:t>、</w:t>
            </w:r>
            <w:r>
              <w:rPr>
                <w:rFonts w:hint="default" w:ascii="Times New Roman" w:hAnsi="Times New Roman" w:cs="Times New Roman"/>
                <w:bCs/>
                <w:color w:val="auto"/>
                <w:szCs w:val="21"/>
                <w:lang w:val="en-US" w:eastAsia="zh-CN"/>
              </w:rPr>
              <w:t>挤出造粒</w:t>
            </w:r>
            <w:r>
              <w:rPr>
                <w:rFonts w:hint="eastAsia" w:cs="Times New Roman"/>
                <w:bCs/>
                <w:color w:val="auto"/>
                <w:szCs w:val="21"/>
                <w:lang w:val="en-US" w:eastAsia="zh-CN"/>
              </w:rPr>
              <w:t>、冷却</w:t>
            </w:r>
            <w:r>
              <w:rPr>
                <w:rFonts w:hint="default" w:ascii="Times New Roman" w:hAnsi="Times New Roman" w:cs="Times New Roman"/>
                <w:bCs/>
                <w:color w:val="auto"/>
                <w:szCs w:val="21"/>
                <w:lang w:val="en-US" w:eastAsia="zh-CN"/>
              </w:rPr>
              <w:t>工序全密闭，产生的</w:t>
            </w:r>
            <w:r>
              <w:rPr>
                <w:rFonts w:hint="eastAsia" w:cs="Times New Roman"/>
                <w:bCs/>
                <w:color w:val="auto"/>
                <w:szCs w:val="21"/>
                <w:lang w:val="en-US" w:eastAsia="zh-CN"/>
              </w:rPr>
              <w:t>废气经旋风分离器输送至密闭</w:t>
            </w:r>
            <w:r>
              <w:rPr>
                <w:rFonts w:hint="default" w:ascii="Times New Roman" w:hAnsi="Times New Roman" w:cs="Times New Roman"/>
                <w:bCs/>
                <w:color w:val="auto"/>
                <w:szCs w:val="21"/>
                <w:lang w:val="en-US" w:eastAsia="zh-CN"/>
              </w:rPr>
              <w:t>管道</w:t>
            </w:r>
            <w:r>
              <w:rPr>
                <w:rFonts w:hint="eastAsia" w:cs="Times New Roman"/>
                <w:bCs/>
                <w:color w:val="auto"/>
                <w:szCs w:val="21"/>
                <w:lang w:val="en-US" w:eastAsia="zh-CN"/>
              </w:rPr>
              <w:t>，管道</w:t>
            </w:r>
            <w:r>
              <w:rPr>
                <w:rFonts w:hint="default" w:ascii="Times New Roman" w:hAnsi="Times New Roman" w:cs="Times New Roman"/>
                <w:bCs/>
                <w:color w:val="auto"/>
                <w:szCs w:val="21"/>
                <w:lang w:val="en-US" w:eastAsia="zh-CN"/>
              </w:rPr>
              <w:t>连接一套</w:t>
            </w:r>
            <w:r>
              <w:rPr>
                <w:rFonts w:hint="eastAsia" w:cs="Times New Roman"/>
                <w:bCs/>
                <w:color w:val="auto"/>
                <w:szCs w:val="21"/>
                <w:lang w:val="en-US" w:eastAsia="zh-CN"/>
              </w:rPr>
              <w:t>油烟净化器+布袋除尘器+</w:t>
            </w:r>
            <w:r>
              <w:rPr>
                <w:rFonts w:hint="default" w:ascii="Times New Roman" w:hAnsi="Times New Roman" w:cs="Times New Roman"/>
                <w:bCs/>
                <w:color w:val="auto"/>
                <w:szCs w:val="21"/>
                <w:lang w:val="en-US" w:eastAsia="zh-CN"/>
              </w:rPr>
              <w:t>两级活性炭吸附处理装置</w:t>
            </w:r>
            <w:r>
              <w:rPr>
                <w:rFonts w:hint="eastAsia" w:cs="Times New Roman"/>
                <w:bCs/>
                <w:color w:val="auto"/>
                <w:szCs w:val="21"/>
                <w:lang w:val="en-US" w:eastAsia="zh-CN"/>
              </w:rPr>
              <w:t>处理</w:t>
            </w:r>
            <w:r>
              <w:rPr>
                <w:rFonts w:hint="default" w:ascii="Times New Roman" w:hAnsi="Times New Roman" w:cs="Times New Roman"/>
                <w:bCs/>
                <w:color w:val="auto"/>
                <w:szCs w:val="21"/>
                <w:lang w:val="en-US" w:eastAsia="zh-CN"/>
              </w:rPr>
              <w:t>，</w:t>
            </w:r>
            <w:r>
              <w:rPr>
                <w:rFonts w:hint="eastAsia" w:cs="Times New Roman"/>
                <w:bCs/>
                <w:color w:val="auto"/>
                <w:szCs w:val="21"/>
                <w:lang w:val="en-US" w:eastAsia="zh-CN"/>
              </w:rPr>
              <w:t>废气</w:t>
            </w:r>
            <w:r>
              <w:rPr>
                <w:rFonts w:hint="default" w:ascii="Times New Roman" w:hAnsi="Times New Roman" w:cs="Times New Roman"/>
                <w:bCs/>
                <w:color w:val="auto"/>
                <w:szCs w:val="21"/>
                <w:lang w:val="en-US" w:eastAsia="zh-CN"/>
              </w:rPr>
              <w:t>经处理后通过1根15m高的排气筒（DA003）排放。</w:t>
            </w:r>
          </w:p>
          <w:p w14:paraId="3D83C650">
            <w:pPr>
              <w:numPr>
                <w:ilvl w:val="0"/>
                <w:numId w:val="0"/>
              </w:numPr>
              <w:bidi w:val="0"/>
              <w:ind w:firstLine="480" w:firstLineChars="200"/>
              <w:rPr>
                <w:rFonts w:hint="default" w:ascii="Times New Roman" w:hAnsi="Times New Roman" w:eastAsia="宋体" w:cs="Times New Roman"/>
                <w:color w:val="auto"/>
                <w:highlight w:val="none"/>
                <w:lang w:val="en-US" w:eastAsia="zh-CN"/>
              </w:rPr>
            </w:pPr>
            <w:r>
              <w:rPr>
                <w:rFonts w:hint="default" w:ascii="Times New Roman" w:hAnsi="Times New Roman" w:cs="Times New Roman"/>
                <w:bCs/>
                <w:color w:val="auto"/>
                <w:szCs w:val="21"/>
                <w:lang w:val="en-US" w:eastAsia="zh-CN"/>
              </w:rPr>
              <w:t>熔融挤出造粒工序非甲烷总烃产污系数参照</w:t>
            </w:r>
            <w:r>
              <w:rPr>
                <w:rFonts w:hint="default" w:ascii="Times New Roman" w:hAnsi="Times New Roman" w:cs="Times New Roman"/>
                <w:color w:val="auto"/>
                <w:highlight w:val="none"/>
                <w:lang w:val="en-US" w:eastAsia="zh-CN"/>
              </w:rPr>
              <w:t>《排放源统计调查产排污核算方法和系数手册》中“292</w:t>
            </w:r>
            <w:r>
              <w:rPr>
                <w:rFonts w:hint="default" w:ascii="Times New Roman" w:hAnsi="Times New Roman" w:cs="Times New Roman"/>
                <w:color w:val="auto"/>
                <w:sz w:val="24"/>
                <w:szCs w:val="24"/>
                <w:lang w:val="en-US" w:eastAsia="zh-CN"/>
              </w:rPr>
              <w:t>塑料制品业</w:t>
            </w:r>
            <w:r>
              <w:rPr>
                <w:rFonts w:hint="default" w:ascii="Times New Roman" w:hAnsi="Times New Roman" w:eastAsia="宋体" w:cs="Times New Roman"/>
                <w:color w:val="auto"/>
                <w:sz w:val="24"/>
                <w:szCs w:val="24"/>
              </w:rPr>
              <w:t xml:space="preserve">系数手册 </w:t>
            </w:r>
            <w:r>
              <w:rPr>
                <w:rFonts w:hint="default" w:ascii="Times New Roman" w:hAnsi="Times New Roman" w:eastAsia="宋体" w:cs="Times New Roman"/>
                <w:color w:val="auto"/>
                <w:sz w:val="24"/>
                <w:szCs w:val="24"/>
                <w:lang w:val="en-US" w:eastAsia="zh-CN"/>
              </w:rPr>
              <w:t>-</w:t>
            </w:r>
            <w:r>
              <w:rPr>
                <w:rFonts w:hint="default" w:ascii="Times New Roman" w:hAnsi="Times New Roman" w:cs="Times New Roman"/>
                <w:color w:val="auto"/>
                <w:sz w:val="24"/>
                <w:szCs w:val="24"/>
                <w:lang w:val="en-US" w:eastAsia="zh-CN"/>
              </w:rPr>
              <w:t>2929</w:t>
            </w:r>
            <w:r>
              <w:rPr>
                <w:rFonts w:hint="default" w:ascii="Times New Roman" w:hAnsi="Times New Roman" w:eastAsia="宋体" w:cs="Times New Roman"/>
                <w:color w:val="auto"/>
                <w:sz w:val="24"/>
                <w:szCs w:val="24"/>
              </w:rPr>
              <w:t>塑料零件及其他塑料制品制造行业系数表</w:t>
            </w:r>
            <w:r>
              <w:rPr>
                <w:rFonts w:hint="default" w:ascii="Times New Roman" w:hAnsi="Times New Roman" w:cs="Times New Roman"/>
                <w:color w:val="auto"/>
                <w:sz w:val="24"/>
                <w:szCs w:val="24"/>
                <w:lang w:eastAsia="zh-CN"/>
              </w:rPr>
              <w:t>－</w:t>
            </w:r>
            <w:r>
              <w:rPr>
                <w:rFonts w:hint="default" w:ascii="Times New Roman" w:hAnsi="Times New Roman" w:eastAsia="宋体" w:cs="Times New Roman"/>
                <w:color w:val="auto"/>
                <w:sz w:val="24"/>
                <w:szCs w:val="24"/>
                <w:lang w:val="en-US" w:eastAsia="zh-CN"/>
              </w:rPr>
              <w:t>造粒</w:t>
            </w:r>
            <w:r>
              <w:rPr>
                <w:rFonts w:hint="default" w:ascii="Times New Roman" w:hAnsi="Times New Roman" w:cs="Times New Roman"/>
                <w:color w:val="auto"/>
                <w:highlight w:val="none"/>
                <w:lang w:val="en-US" w:eastAsia="zh-CN"/>
              </w:rPr>
              <w:t>”，非甲烷总烃的产污系数为4.6千克</w:t>
            </w:r>
            <w:r>
              <w:rPr>
                <w:rFonts w:hint="default" w:ascii="Times New Roman" w:hAnsi="Times New Roman" w:cs="Times New Roman"/>
                <w:color w:val="auto"/>
                <w:highlight w:val="none"/>
              </w:rPr>
              <w:t>/</w:t>
            </w:r>
            <w:r>
              <w:rPr>
                <w:rFonts w:hint="default" w:ascii="Times New Roman" w:hAnsi="Times New Roman" w:cs="Times New Roman"/>
                <w:color w:val="auto"/>
                <w:highlight w:val="none"/>
                <w:lang w:val="en-US" w:eastAsia="zh-CN"/>
              </w:rPr>
              <w:t>吨－产品</w:t>
            </w:r>
            <w:r>
              <w:rPr>
                <w:rFonts w:hint="eastAsia" w:cs="Times New Roman"/>
                <w:color w:val="auto"/>
                <w:highlight w:val="none"/>
                <w:lang w:eastAsia="zh-CN"/>
              </w:rPr>
              <w:t>；</w:t>
            </w:r>
            <w:r>
              <w:rPr>
                <w:rFonts w:hint="eastAsia" w:cs="Times New Roman"/>
                <w:color w:val="auto"/>
                <w:highlight w:val="none"/>
                <w:lang w:val="en-US" w:eastAsia="zh-CN"/>
              </w:rPr>
              <w:t>冷却工序颗粒物</w:t>
            </w:r>
            <w:r>
              <w:rPr>
                <w:rFonts w:hint="default" w:ascii="Times New Roman" w:hAnsi="Times New Roman" w:cs="Times New Roman"/>
                <w:color w:val="auto"/>
                <w:highlight w:val="none"/>
                <w:lang w:val="en-US" w:eastAsia="zh-CN"/>
              </w:rPr>
              <w:t>产污系数参照《排放源统计调查产排污核算方法和系数手册》中“292</w:t>
            </w:r>
            <w:r>
              <w:rPr>
                <w:rFonts w:hint="default" w:ascii="Times New Roman" w:hAnsi="Times New Roman" w:cs="Times New Roman"/>
                <w:color w:val="auto"/>
                <w:sz w:val="24"/>
                <w:szCs w:val="24"/>
                <w:lang w:val="en-US" w:eastAsia="zh-CN"/>
              </w:rPr>
              <w:t>塑料制品业</w:t>
            </w:r>
            <w:r>
              <w:rPr>
                <w:rFonts w:hint="default" w:ascii="Times New Roman" w:hAnsi="Times New Roman" w:eastAsia="宋体" w:cs="Times New Roman"/>
                <w:color w:val="auto"/>
                <w:sz w:val="24"/>
                <w:szCs w:val="24"/>
              </w:rPr>
              <w:t xml:space="preserve">系数手册 </w:t>
            </w:r>
            <w:r>
              <w:rPr>
                <w:rFonts w:hint="default" w:ascii="Times New Roman" w:hAnsi="Times New Roman" w:eastAsia="宋体" w:cs="Times New Roman"/>
                <w:color w:val="auto"/>
                <w:sz w:val="24"/>
                <w:szCs w:val="24"/>
                <w:lang w:val="en-US" w:eastAsia="zh-CN"/>
              </w:rPr>
              <w:t>-</w:t>
            </w:r>
            <w:r>
              <w:rPr>
                <w:rFonts w:hint="default" w:ascii="Times New Roman" w:hAnsi="Times New Roman" w:cs="Times New Roman"/>
                <w:color w:val="auto"/>
                <w:sz w:val="24"/>
                <w:szCs w:val="24"/>
                <w:lang w:val="en-US" w:eastAsia="zh-CN"/>
              </w:rPr>
              <w:t>2922</w:t>
            </w:r>
            <w:r>
              <w:rPr>
                <w:rFonts w:hint="default" w:ascii="Times New Roman" w:hAnsi="Times New Roman" w:eastAsia="宋体" w:cs="Times New Roman"/>
                <w:color w:val="auto"/>
                <w:sz w:val="24"/>
                <w:szCs w:val="24"/>
              </w:rPr>
              <w:t>塑料板、管、型材制造行业系数表</w:t>
            </w:r>
            <w:r>
              <w:rPr>
                <w:rFonts w:hint="default" w:ascii="Times New Roman" w:hAnsi="Times New Roman" w:cs="Times New Roman"/>
                <w:color w:val="auto"/>
                <w:sz w:val="24"/>
                <w:szCs w:val="24"/>
                <w:lang w:eastAsia="zh-CN"/>
              </w:rPr>
              <w:t>－</w:t>
            </w:r>
            <w:r>
              <w:rPr>
                <w:rFonts w:hint="default" w:ascii="Times New Roman" w:hAnsi="Times New Roman" w:eastAsia="宋体" w:cs="Times New Roman"/>
                <w:color w:val="auto"/>
                <w:sz w:val="24"/>
                <w:szCs w:val="24"/>
                <w:lang w:val="en-US" w:eastAsia="zh-CN"/>
              </w:rPr>
              <w:t>配料</w:t>
            </w:r>
            <w:r>
              <w:rPr>
                <w:rFonts w:hint="default" w:ascii="Times New Roman" w:hAnsi="Times New Roman"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混合</w:t>
            </w:r>
            <w:r>
              <w:rPr>
                <w:rFonts w:hint="default" w:ascii="Times New Roman" w:hAnsi="Times New Roman"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挤出</w:t>
            </w:r>
            <w:r>
              <w:rPr>
                <w:rFonts w:hint="default" w:ascii="Times New Roman" w:hAnsi="Times New Roman" w:cs="Times New Roman"/>
                <w:color w:val="auto"/>
                <w:highlight w:val="none"/>
                <w:lang w:val="en-US" w:eastAsia="zh-CN"/>
              </w:rPr>
              <w:t>”，颗粒物的产污系数为6千克</w:t>
            </w:r>
            <w:r>
              <w:rPr>
                <w:rFonts w:hint="default" w:ascii="Times New Roman" w:hAnsi="Times New Roman" w:cs="Times New Roman"/>
                <w:color w:val="auto"/>
                <w:highlight w:val="none"/>
              </w:rPr>
              <w:t>/</w:t>
            </w:r>
            <w:r>
              <w:rPr>
                <w:rFonts w:hint="default" w:ascii="Times New Roman" w:hAnsi="Times New Roman" w:cs="Times New Roman"/>
                <w:color w:val="auto"/>
                <w:highlight w:val="none"/>
                <w:lang w:val="en-US" w:eastAsia="zh-CN"/>
              </w:rPr>
              <w:t>吨－产品</w:t>
            </w:r>
            <w:r>
              <w:rPr>
                <w:rFonts w:hint="eastAsia" w:cs="Times New Roman"/>
                <w:color w:val="auto"/>
                <w:highlight w:val="none"/>
                <w:lang w:val="en-US" w:eastAsia="zh-CN"/>
              </w:rPr>
              <w:t>；氯化氢和氯乙烯参照《气相色谱-质谱法分析聚氯乙烯加热分解产物》（林华影，林瑶、张伟等，中国卫生检验杂志，2008年4月，18卷4期），氯化氢的产污系数为194.6mg/t-原料，氯乙烯的产污系数为228.4mg/t原料；油雾颗粒物参照根据《人造革/合成革材料及工艺学》 （范浩军、袁继新等编著、中国轻工业出版社）及《合成革工艺学》 （曲建波等编著、化学工业出版社） ，挤出和造粒过程中增塑剂受热产生的油烟废气约为增塑剂用量的 1%。</w:t>
            </w:r>
          </w:p>
          <w:p w14:paraId="2AFFDC81">
            <w:pPr>
              <w:numPr>
                <w:ilvl w:val="0"/>
                <w:numId w:val="0"/>
              </w:numPr>
              <w:adjustRightInd w:val="0"/>
              <w:snapToGrid w:val="0"/>
              <w:spacing w:line="360" w:lineRule="auto"/>
              <w:ind w:firstLine="480" w:firstLineChars="200"/>
              <w:rPr>
                <w:color w:val="auto"/>
                <w:spacing w:val="5"/>
                <w:highlight w:val="none"/>
              </w:rPr>
            </w:pPr>
            <w:r>
              <w:rPr>
                <w:rFonts w:hint="eastAsia" w:cs="Times New Roman"/>
                <w:b w:val="0"/>
                <w:bCs/>
                <w:color w:val="auto"/>
                <w:szCs w:val="21"/>
                <w:vertAlign w:val="baseline"/>
                <w:lang w:val="en-US" w:eastAsia="zh-CN"/>
              </w:rPr>
              <w:t>根据建设单位提供的资料，项目使用的成品塑料电缆颗粒为700t/a，塑料电缆颗粒中增塑剂约占24%</w:t>
            </w:r>
            <w:r>
              <w:rPr>
                <w:rFonts w:hint="default" w:ascii="Times New Roman" w:hAnsi="Times New Roman" w:cs="Times New Roman"/>
                <w:b w:val="0"/>
                <w:bCs/>
                <w:color w:val="auto"/>
                <w:szCs w:val="21"/>
                <w:vertAlign w:val="baseline"/>
                <w:lang w:val="en-US" w:eastAsia="zh-CN"/>
              </w:rPr>
              <w:t>。则熔融挤出造粒工序</w:t>
            </w:r>
            <w:r>
              <w:rPr>
                <w:rFonts w:hint="eastAsia" w:cs="Times New Roman"/>
                <w:b w:val="0"/>
                <w:bCs/>
                <w:color w:val="auto"/>
                <w:szCs w:val="21"/>
                <w:vertAlign w:val="baseline"/>
                <w:lang w:val="en-US" w:eastAsia="zh-CN"/>
              </w:rPr>
              <w:t>非甲烷总烃</w:t>
            </w:r>
            <w:r>
              <w:rPr>
                <w:rFonts w:hint="default" w:ascii="Times New Roman" w:hAnsi="Times New Roman" w:cs="Times New Roman"/>
                <w:b w:val="0"/>
                <w:bCs/>
                <w:color w:val="auto"/>
                <w:szCs w:val="21"/>
                <w:vertAlign w:val="baseline"/>
                <w:lang w:val="en-US" w:eastAsia="zh-CN"/>
              </w:rPr>
              <w:t>产生量为</w:t>
            </w:r>
            <w:r>
              <w:rPr>
                <w:rFonts w:hint="eastAsia" w:cs="Times New Roman"/>
                <w:b w:val="0"/>
                <w:bCs/>
                <w:color w:val="auto"/>
                <w:szCs w:val="21"/>
                <w:vertAlign w:val="baseline"/>
                <w:lang w:val="en-US" w:eastAsia="zh-CN"/>
              </w:rPr>
              <w:t>3.22</w:t>
            </w:r>
            <w:r>
              <w:rPr>
                <w:rFonts w:hint="default" w:ascii="Times New Roman" w:hAnsi="Times New Roman" w:cs="Times New Roman"/>
                <w:b w:val="0"/>
                <w:bCs/>
                <w:color w:val="auto"/>
                <w:szCs w:val="21"/>
                <w:vertAlign w:val="baseline"/>
                <w:lang w:val="en-US" w:eastAsia="zh-CN"/>
              </w:rPr>
              <w:t>t/a</w:t>
            </w:r>
            <w:r>
              <w:rPr>
                <w:rFonts w:hint="eastAsia" w:cs="Times New Roman"/>
                <w:b w:val="0"/>
                <w:bCs/>
                <w:color w:val="auto"/>
                <w:szCs w:val="21"/>
                <w:vertAlign w:val="baseline"/>
                <w:lang w:val="en-US" w:eastAsia="zh-CN"/>
              </w:rPr>
              <w:t>，颗粒物产生量为5.88t/a，氯化氢产生量为0.000136t/a，氯乙烯产生量为0.00016t/a</w:t>
            </w:r>
            <w:r>
              <w:rPr>
                <w:rFonts w:hint="default" w:ascii="Times New Roman" w:hAnsi="Times New Roman" w:cs="Times New Roman"/>
                <w:b w:val="0"/>
                <w:bCs/>
                <w:color w:val="auto"/>
                <w:szCs w:val="21"/>
                <w:vertAlign w:val="baseline"/>
                <w:lang w:val="en-US" w:eastAsia="zh-CN"/>
              </w:rPr>
              <w:t>。</w:t>
            </w:r>
            <w:r>
              <w:rPr>
                <w:rFonts w:hint="eastAsia"/>
                <w:color w:val="auto"/>
                <w:spacing w:val="11"/>
                <w:highlight w:val="none"/>
                <w:lang w:val="en-US" w:eastAsia="zh-CN"/>
              </w:rPr>
              <w:t>造粒工</w:t>
            </w:r>
            <w:r>
              <w:rPr>
                <w:color w:val="auto"/>
                <w:spacing w:val="12"/>
                <w:highlight w:val="none"/>
              </w:rPr>
              <w:t>序工作时间</w:t>
            </w:r>
            <w:r>
              <w:rPr>
                <w:rFonts w:hint="eastAsia"/>
                <w:color w:val="auto"/>
                <w:spacing w:val="12"/>
                <w:highlight w:val="none"/>
                <w:lang w:val="en-US" w:eastAsia="zh-CN"/>
              </w:rPr>
              <w:t>为</w:t>
            </w:r>
            <w:r>
              <w:rPr>
                <w:rFonts w:hint="eastAsia" w:cs="Times New Roman"/>
                <w:color w:val="auto"/>
                <w:spacing w:val="12"/>
                <w:highlight w:val="none"/>
                <w:lang w:val="en-US" w:eastAsia="zh-CN"/>
              </w:rPr>
              <w:t>2080</w:t>
            </w:r>
            <w:r>
              <w:rPr>
                <w:rFonts w:ascii="Times New Roman" w:hAnsi="Times New Roman" w:eastAsia="Times New Roman" w:cs="Times New Roman"/>
                <w:color w:val="auto"/>
                <w:spacing w:val="12"/>
                <w:highlight w:val="none"/>
              </w:rPr>
              <w:t>h/a</w:t>
            </w:r>
            <w:r>
              <w:rPr>
                <w:color w:val="auto"/>
                <w:spacing w:val="12"/>
                <w:highlight w:val="none"/>
              </w:rPr>
              <w:t>，</w:t>
            </w:r>
            <w:r>
              <w:rPr>
                <w:rFonts w:hint="eastAsia"/>
                <w:color w:val="auto"/>
                <w:spacing w:val="12"/>
                <w:highlight w:val="none"/>
                <w:lang w:val="en-US" w:eastAsia="zh-CN"/>
              </w:rPr>
              <w:t>则项目</w:t>
            </w:r>
            <w:r>
              <w:rPr>
                <w:rFonts w:hint="eastAsia"/>
                <w:color w:val="auto"/>
                <w:spacing w:val="11"/>
                <w:highlight w:val="none"/>
                <w:lang w:val="en-US" w:eastAsia="zh-CN"/>
              </w:rPr>
              <w:t>非甲烷总烃</w:t>
            </w:r>
            <w:r>
              <w:rPr>
                <w:color w:val="auto"/>
                <w:spacing w:val="11"/>
                <w:highlight w:val="none"/>
              </w:rPr>
              <w:t>产生速率为</w:t>
            </w:r>
            <w:r>
              <w:rPr>
                <w:rFonts w:hint="eastAsia" w:cs="Times New Roman"/>
                <w:color w:val="auto"/>
                <w:highlight w:val="none"/>
                <w:lang w:val="en-US" w:eastAsia="zh-CN"/>
              </w:rPr>
              <w:t>1.548</w:t>
            </w:r>
            <w:r>
              <w:rPr>
                <w:rFonts w:ascii="Times New Roman" w:hAnsi="Times New Roman" w:eastAsia="Times New Roman" w:cs="Times New Roman"/>
                <w:color w:val="auto"/>
                <w:highlight w:val="none"/>
              </w:rPr>
              <w:t>kg/h</w:t>
            </w:r>
            <w:r>
              <w:rPr>
                <w:rFonts w:hint="eastAsia" w:eastAsia="宋体" w:cs="Times New Roman"/>
                <w:color w:val="auto"/>
                <w:highlight w:val="none"/>
                <w:lang w:eastAsia="zh-CN"/>
              </w:rPr>
              <w:t>，</w:t>
            </w:r>
            <w:r>
              <w:rPr>
                <w:rFonts w:hint="eastAsia" w:eastAsia="宋体" w:cs="Times New Roman"/>
                <w:color w:val="auto"/>
                <w:highlight w:val="none"/>
                <w:lang w:val="en-US" w:eastAsia="zh-CN"/>
              </w:rPr>
              <w:t>颗粒物产生速率为2.</w:t>
            </w:r>
            <w:r>
              <w:rPr>
                <w:rFonts w:hint="eastAsia" w:cs="Times New Roman"/>
                <w:color w:val="auto"/>
                <w:highlight w:val="none"/>
                <w:lang w:val="en-US" w:eastAsia="zh-CN"/>
              </w:rPr>
              <w:t>827</w:t>
            </w:r>
            <w:r>
              <w:rPr>
                <w:rFonts w:hint="eastAsia" w:eastAsia="宋体" w:cs="Times New Roman"/>
                <w:color w:val="auto"/>
                <w:highlight w:val="none"/>
                <w:lang w:val="en-US" w:eastAsia="zh-CN"/>
              </w:rPr>
              <w:t>kg/h</w:t>
            </w:r>
            <w:r>
              <w:rPr>
                <w:color w:val="auto"/>
                <w:spacing w:val="5"/>
                <w:highlight w:val="none"/>
              </w:rPr>
              <w:t>。</w:t>
            </w:r>
          </w:p>
          <w:p w14:paraId="2A3AD176">
            <w:pPr>
              <w:bidi w:val="0"/>
              <w:rPr>
                <w:color w:val="auto"/>
                <w:highlight w:val="none"/>
              </w:rPr>
            </w:pPr>
            <w:r>
              <w:rPr>
                <w:rFonts w:hint="eastAsia"/>
                <w:color w:val="auto"/>
                <w:highlight w:val="none"/>
                <w:lang w:val="en-US" w:eastAsia="zh-CN"/>
              </w:rPr>
              <w:t>2）</w:t>
            </w:r>
            <w:r>
              <w:rPr>
                <w:rFonts w:hint="eastAsia"/>
                <w:b/>
                <w:bCs/>
                <w:color w:val="auto"/>
                <w:highlight w:val="none"/>
                <w:lang w:val="en-US" w:eastAsia="zh-CN"/>
              </w:rPr>
              <w:t>废气</w:t>
            </w:r>
            <w:r>
              <w:rPr>
                <w:b/>
                <w:bCs/>
                <w:color w:val="auto"/>
                <w:highlight w:val="none"/>
              </w:rPr>
              <w:t>收集方式和收集效率</w:t>
            </w:r>
          </w:p>
          <w:p w14:paraId="1B65A8C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cs="仿宋"/>
                <w:b w:val="0"/>
                <w:bCs w:val="0"/>
                <w:color w:val="auto"/>
                <w:spacing w:val="0"/>
                <w:kern w:val="2"/>
                <w:sz w:val="24"/>
                <w:szCs w:val="24"/>
                <w:highlight w:val="none"/>
                <w:lang w:val="en-US" w:eastAsia="zh-CN" w:bidi="ar-SA"/>
              </w:rPr>
            </w:pPr>
            <w:r>
              <w:rPr>
                <w:rFonts w:hint="eastAsia" w:cs="仿宋"/>
                <w:b w:val="0"/>
                <w:bCs w:val="0"/>
                <w:color w:val="auto"/>
                <w:spacing w:val="0"/>
                <w:kern w:val="2"/>
                <w:sz w:val="24"/>
                <w:szCs w:val="24"/>
                <w:highlight w:val="none"/>
                <w:lang w:val="en-US" w:eastAsia="zh-CN" w:bidi="ar-SA"/>
              </w:rPr>
              <w:t>本项目熔融、造粒、冷却工序联通且全密闭，产生的废气经冷却工序旋风分离器管道收集后通过油烟净化器+袋式除尘器+两级活性炭吸附处理装置处理，最后通过1根15m高的排气筒排放（DA003），管道集气效率按照100%计，风机风量为8000m</w:t>
            </w:r>
            <w:r>
              <w:rPr>
                <w:rFonts w:hint="eastAsia" w:cs="仿宋"/>
                <w:b w:val="0"/>
                <w:bCs w:val="0"/>
                <w:color w:val="auto"/>
                <w:spacing w:val="0"/>
                <w:kern w:val="2"/>
                <w:sz w:val="24"/>
                <w:szCs w:val="24"/>
                <w:highlight w:val="none"/>
                <w:vertAlign w:val="superscript"/>
                <w:lang w:val="en-US" w:eastAsia="zh-CN" w:bidi="ar-SA"/>
              </w:rPr>
              <w:t>3</w:t>
            </w:r>
            <w:r>
              <w:rPr>
                <w:rFonts w:hint="eastAsia" w:cs="仿宋"/>
                <w:b w:val="0"/>
                <w:bCs w:val="0"/>
                <w:color w:val="auto"/>
                <w:spacing w:val="0"/>
                <w:kern w:val="2"/>
                <w:sz w:val="24"/>
                <w:szCs w:val="24"/>
                <w:highlight w:val="none"/>
                <w:lang w:val="en-US" w:eastAsia="zh-CN" w:bidi="ar-SA"/>
              </w:rPr>
              <w:t>/h，颗粒物综合去除效率按99%计，两级活性炭吸附处理装置处理效率按90%计。熔融挤出造粒工序非甲烷总烃产生量为3.22t/a，颗粒物产生量为5.88t/a，</w:t>
            </w:r>
            <w:r>
              <w:rPr>
                <w:rFonts w:hint="eastAsia" w:cs="Times New Roman"/>
                <w:b w:val="0"/>
                <w:bCs/>
                <w:color w:val="auto"/>
                <w:szCs w:val="21"/>
                <w:vertAlign w:val="baseline"/>
                <w:lang w:val="en-US" w:eastAsia="zh-CN"/>
              </w:rPr>
              <w:t>氯化氢产生量为0.000136t/a，氯乙烯产生量为0.00016t/a，</w:t>
            </w:r>
            <w:r>
              <w:rPr>
                <w:rFonts w:hint="eastAsia" w:cs="仿宋"/>
                <w:b w:val="0"/>
                <w:bCs w:val="0"/>
                <w:color w:val="auto"/>
                <w:spacing w:val="0"/>
                <w:kern w:val="2"/>
                <w:sz w:val="24"/>
                <w:szCs w:val="24"/>
                <w:highlight w:val="none"/>
                <w:lang w:val="en-US" w:eastAsia="zh-CN" w:bidi="ar-SA"/>
              </w:rPr>
              <w:t>该工序工作时间为2080h/a，则非甲烷总烃有组织排放量为0.322t/a，颗粒物有组织排放量为0.059t/a，</w:t>
            </w:r>
            <w:r>
              <w:rPr>
                <w:rFonts w:hint="eastAsia" w:cs="Times New Roman"/>
                <w:b w:val="0"/>
                <w:bCs/>
                <w:color w:val="auto"/>
                <w:szCs w:val="21"/>
                <w:vertAlign w:val="baseline"/>
                <w:lang w:val="en-US" w:eastAsia="zh-CN"/>
              </w:rPr>
              <w:t>氯化氢有组织排放量为0.000136t/a，氯乙烯有组织排放量为0.00016t/a</w:t>
            </w:r>
            <w:r>
              <w:rPr>
                <w:rFonts w:hint="eastAsia" w:cs="仿宋"/>
                <w:b w:val="0"/>
                <w:bCs w:val="0"/>
                <w:color w:val="auto"/>
                <w:spacing w:val="0"/>
                <w:kern w:val="2"/>
                <w:sz w:val="24"/>
                <w:szCs w:val="24"/>
                <w:highlight w:val="none"/>
                <w:lang w:val="en-US" w:eastAsia="zh-CN" w:bidi="ar-SA"/>
              </w:rPr>
              <w:t>。</w:t>
            </w:r>
          </w:p>
          <w:p w14:paraId="44DF06C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jc w:val="both"/>
              <w:textAlignment w:val="auto"/>
              <w:rPr>
                <w:rFonts w:hint="eastAsia" w:cs="仿宋"/>
                <w:b/>
                <w:bCs/>
                <w:color w:val="auto"/>
                <w:spacing w:val="0"/>
                <w:kern w:val="2"/>
                <w:sz w:val="24"/>
                <w:szCs w:val="24"/>
                <w:highlight w:val="none"/>
                <w:lang w:val="en-US" w:eastAsia="zh-CN" w:bidi="ar-SA"/>
              </w:rPr>
            </w:pPr>
            <w:r>
              <w:rPr>
                <w:rFonts w:hint="eastAsia" w:ascii="Times New Roman" w:hAnsi="Times New Roman" w:eastAsia="宋体" w:cs="仿宋"/>
                <w:b/>
                <w:bCs/>
                <w:color w:val="auto"/>
                <w:spacing w:val="0"/>
                <w:kern w:val="2"/>
                <w:sz w:val="24"/>
                <w:szCs w:val="24"/>
                <w:lang w:val="en-US" w:eastAsia="zh-CN" w:bidi="ar-SA"/>
              </w:rPr>
              <w:t>（</w:t>
            </w:r>
            <w:r>
              <w:rPr>
                <w:rFonts w:hint="eastAsia" w:cs="仿宋"/>
                <w:b/>
                <w:bCs/>
                <w:color w:val="auto"/>
                <w:spacing w:val="0"/>
                <w:kern w:val="2"/>
                <w:sz w:val="24"/>
                <w:szCs w:val="24"/>
                <w:lang w:val="en-US" w:eastAsia="zh-CN" w:bidi="ar-SA"/>
              </w:rPr>
              <w:t>4</w:t>
            </w:r>
            <w:r>
              <w:rPr>
                <w:rFonts w:hint="eastAsia" w:ascii="Times New Roman" w:hAnsi="Times New Roman" w:eastAsia="宋体" w:cs="仿宋"/>
                <w:b/>
                <w:bCs/>
                <w:color w:val="auto"/>
                <w:spacing w:val="0"/>
                <w:kern w:val="2"/>
                <w:sz w:val="24"/>
                <w:szCs w:val="24"/>
                <w:lang w:val="en-US" w:eastAsia="zh-CN" w:bidi="ar-SA"/>
              </w:rPr>
              <w:t>）</w:t>
            </w:r>
            <w:r>
              <w:rPr>
                <w:rFonts w:hint="eastAsia" w:cs="仿宋"/>
                <w:b/>
                <w:bCs/>
                <w:color w:val="auto"/>
                <w:spacing w:val="0"/>
                <w:kern w:val="2"/>
                <w:sz w:val="24"/>
                <w:szCs w:val="24"/>
                <w:highlight w:val="none"/>
                <w:lang w:val="en-US" w:eastAsia="zh-CN" w:bidi="ar-SA"/>
              </w:rPr>
              <w:t>食堂油烟</w:t>
            </w:r>
          </w:p>
          <w:p w14:paraId="7453C5B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cs="仿宋"/>
                <w:b w:val="0"/>
                <w:bCs w:val="0"/>
                <w:color w:val="auto"/>
                <w:spacing w:val="0"/>
                <w:kern w:val="2"/>
                <w:sz w:val="24"/>
                <w:szCs w:val="24"/>
                <w:highlight w:val="none"/>
                <w:lang w:val="en-US" w:eastAsia="zh-CN" w:bidi="ar-SA"/>
              </w:rPr>
            </w:pPr>
            <w:r>
              <w:rPr>
                <w:rFonts w:hint="default" w:cs="仿宋"/>
                <w:b w:val="0"/>
                <w:bCs w:val="0"/>
                <w:color w:val="auto"/>
                <w:spacing w:val="0"/>
                <w:kern w:val="2"/>
                <w:sz w:val="24"/>
                <w:szCs w:val="24"/>
                <w:highlight w:val="none"/>
                <w:lang w:val="en-US" w:eastAsia="zh-CN" w:bidi="ar-SA"/>
              </w:rPr>
              <w:t>本项目食堂提供职工一日三餐，每日就餐人数为</w:t>
            </w:r>
            <w:r>
              <w:rPr>
                <w:rFonts w:hint="eastAsia" w:cs="仿宋"/>
                <w:b w:val="0"/>
                <w:bCs w:val="0"/>
                <w:color w:val="auto"/>
                <w:spacing w:val="0"/>
                <w:kern w:val="2"/>
                <w:sz w:val="24"/>
                <w:szCs w:val="24"/>
                <w:highlight w:val="none"/>
                <w:lang w:val="en-US" w:eastAsia="zh-CN" w:bidi="ar-SA"/>
              </w:rPr>
              <w:t>30</w:t>
            </w:r>
            <w:r>
              <w:rPr>
                <w:rFonts w:hint="default" w:cs="仿宋"/>
                <w:b w:val="0"/>
                <w:bCs w:val="0"/>
                <w:color w:val="auto"/>
                <w:spacing w:val="0"/>
                <w:kern w:val="2"/>
                <w:sz w:val="24"/>
                <w:szCs w:val="24"/>
                <w:highlight w:val="none"/>
                <w:lang w:val="en-US" w:eastAsia="zh-CN" w:bidi="ar-SA"/>
              </w:rPr>
              <w:t>人。食堂燃料为天然气，属清洁燃料，且用量较</w:t>
            </w:r>
            <w:r>
              <w:rPr>
                <w:rFonts w:hint="eastAsia" w:cs="仿宋"/>
                <w:b w:val="0"/>
                <w:bCs w:val="0"/>
                <w:color w:val="auto"/>
                <w:spacing w:val="0"/>
                <w:kern w:val="2"/>
                <w:sz w:val="24"/>
                <w:szCs w:val="24"/>
                <w:highlight w:val="none"/>
                <w:lang w:val="en-US" w:eastAsia="zh-CN" w:bidi="ar-SA"/>
              </w:rPr>
              <w:t>少</w:t>
            </w:r>
            <w:r>
              <w:rPr>
                <w:rFonts w:hint="default" w:cs="仿宋"/>
                <w:b w:val="0"/>
                <w:bCs w:val="0"/>
                <w:color w:val="auto"/>
                <w:spacing w:val="0"/>
                <w:kern w:val="2"/>
                <w:sz w:val="24"/>
                <w:szCs w:val="24"/>
                <w:highlight w:val="none"/>
                <w:lang w:val="en-US" w:eastAsia="zh-CN" w:bidi="ar-SA"/>
              </w:rPr>
              <w:t>，污染较小，对其不作评价。</w:t>
            </w:r>
            <w:r>
              <w:rPr>
                <w:rFonts w:hint="eastAsia" w:cs="仿宋"/>
                <w:b w:val="0"/>
                <w:bCs w:val="0"/>
                <w:color w:val="auto"/>
                <w:spacing w:val="0"/>
                <w:kern w:val="2"/>
                <w:sz w:val="24"/>
                <w:szCs w:val="24"/>
                <w:highlight w:val="none"/>
                <w:lang w:val="en-US" w:eastAsia="zh-CN" w:bidi="ar-SA"/>
              </w:rPr>
              <w:t>根据类比调查和相关资料</w:t>
            </w:r>
            <w:r>
              <w:rPr>
                <w:rFonts w:hint="default" w:cs="仿宋"/>
                <w:b w:val="0"/>
                <w:bCs w:val="0"/>
                <w:color w:val="auto"/>
                <w:spacing w:val="0"/>
                <w:kern w:val="2"/>
                <w:sz w:val="24"/>
                <w:szCs w:val="24"/>
                <w:highlight w:val="none"/>
                <w:lang w:val="en-US" w:eastAsia="zh-CN" w:bidi="ar-SA"/>
              </w:rPr>
              <w:t>，食用油的消耗系数取50g/人.d，该项目配套的职工食堂（提供早、午、晚餐，时间总共6h/d），按工作</w:t>
            </w:r>
            <w:r>
              <w:rPr>
                <w:rFonts w:hint="eastAsia" w:cs="仿宋"/>
                <w:b w:val="0"/>
                <w:bCs w:val="0"/>
                <w:color w:val="auto"/>
                <w:spacing w:val="0"/>
                <w:kern w:val="2"/>
                <w:sz w:val="24"/>
                <w:szCs w:val="24"/>
                <w:highlight w:val="none"/>
                <w:lang w:val="en-US" w:eastAsia="zh-CN" w:bidi="ar-SA"/>
              </w:rPr>
              <w:t>260</w:t>
            </w:r>
            <w:r>
              <w:rPr>
                <w:rFonts w:hint="default" w:cs="仿宋"/>
                <w:b w:val="0"/>
                <w:bCs w:val="0"/>
                <w:color w:val="auto"/>
                <w:spacing w:val="0"/>
                <w:kern w:val="2"/>
                <w:sz w:val="24"/>
                <w:szCs w:val="24"/>
                <w:highlight w:val="none"/>
                <w:lang w:val="en-US" w:eastAsia="zh-CN" w:bidi="ar-SA"/>
              </w:rPr>
              <w:t>天计算，则消耗食用油0.</w:t>
            </w:r>
            <w:r>
              <w:rPr>
                <w:rFonts w:hint="eastAsia" w:cs="仿宋"/>
                <w:b w:val="0"/>
                <w:bCs w:val="0"/>
                <w:color w:val="auto"/>
                <w:spacing w:val="0"/>
                <w:kern w:val="2"/>
                <w:sz w:val="24"/>
                <w:szCs w:val="24"/>
                <w:highlight w:val="none"/>
                <w:lang w:val="en-US" w:eastAsia="zh-CN" w:bidi="ar-SA"/>
              </w:rPr>
              <w:t>39</w:t>
            </w:r>
            <w:r>
              <w:rPr>
                <w:rFonts w:hint="default" w:cs="仿宋"/>
                <w:b w:val="0"/>
                <w:bCs w:val="0"/>
                <w:color w:val="auto"/>
                <w:spacing w:val="0"/>
                <w:kern w:val="2"/>
                <w:sz w:val="24"/>
                <w:szCs w:val="24"/>
                <w:highlight w:val="none"/>
                <w:lang w:val="en-US" w:eastAsia="zh-CN" w:bidi="ar-SA"/>
              </w:rPr>
              <w:t>t/a，所排油烟气中油烟含量约占耗油量的1.0%—1.2%，本项目以1.2%计，则油烟的产生量为0.00</w:t>
            </w:r>
            <w:r>
              <w:rPr>
                <w:rFonts w:hint="eastAsia" w:cs="仿宋"/>
                <w:b w:val="0"/>
                <w:bCs w:val="0"/>
                <w:color w:val="auto"/>
                <w:spacing w:val="0"/>
                <w:kern w:val="2"/>
                <w:sz w:val="24"/>
                <w:szCs w:val="24"/>
                <w:highlight w:val="none"/>
                <w:lang w:val="en-US" w:eastAsia="zh-CN" w:bidi="ar-SA"/>
              </w:rPr>
              <w:t>468</w:t>
            </w:r>
            <w:r>
              <w:rPr>
                <w:rFonts w:hint="default" w:cs="仿宋"/>
                <w:b w:val="0"/>
                <w:bCs w:val="0"/>
                <w:color w:val="auto"/>
                <w:spacing w:val="0"/>
                <w:kern w:val="2"/>
                <w:sz w:val="24"/>
                <w:szCs w:val="24"/>
                <w:highlight w:val="none"/>
                <w:lang w:val="en-US" w:eastAsia="zh-CN" w:bidi="ar-SA"/>
              </w:rPr>
              <w:t>t/a、0.00</w:t>
            </w:r>
            <w:r>
              <w:rPr>
                <w:rFonts w:hint="eastAsia" w:cs="仿宋"/>
                <w:b w:val="0"/>
                <w:bCs w:val="0"/>
                <w:color w:val="auto"/>
                <w:spacing w:val="0"/>
                <w:kern w:val="2"/>
                <w:sz w:val="24"/>
                <w:szCs w:val="24"/>
                <w:highlight w:val="none"/>
                <w:lang w:val="en-US" w:eastAsia="zh-CN" w:bidi="ar-SA"/>
              </w:rPr>
              <w:t>3</w:t>
            </w:r>
            <w:r>
              <w:rPr>
                <w:rFonts w:hint="default" w:cs="仿宋"/>
                <w:b w:val="0"/>
                <w:bCs w:val="0"/>
                <w:color w:val="auto"/>
                <w:spacing w:val="0"/>
                <w:kern w:val="2"/>
                <w:sz w:val="24"/>
                <w:szCs w:val="24"/>
                <w:highlight w:val="none"/>
                <w:lang w:val="en-US" w:eastAsia="zh-CN" w:bidi="ar-SA"/>
              </w:rPr>
              <w:t>kg/h。</w:t>
            </w:r>
          </w:p>
          <w:p w14:paraId="3F2ACF6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color w:val="auto"/>
                <w:highlight w:val="none"/>
                <w:lang w:val="en-US" w:eastAsia="zh-CN"/>
              </w:rPr>
            </w:pPr>
            <w:r>
              <w:rPr>
                <w:rFonts w:hint="default" w:cs="仿宋"/>
                <w:b w:val="0"/>
                <w:bCs w:val="0"/>
                <w:color w:val="auto"/>
                <w:spacing w:val="0"/>
                <w:kern w:val="2"/>
                <w:sz w:val="24"/>
                <w:szCs w:val="24"/>
                <w:highlight w:val="none"/>
                <w:lang w:val="en-US" w:eastAsia="zh-CN" w:bidi="ar-SA"/>
              </w:rPr>
              <w:t>本次评价要求建设单位设置1套油烟净化器（净化效率90%，风量2000m</w:t>
            </w:r>
            <w:r>
              <w:rPr>
                <w:rFonts w:hint="default" w:cs="仿宋"/>
                <w:b w:val="0"/>
                <w:bCs w:val="0"/>
                <w:color w:val="auto"/>
                <w:spacing w:val="0"/>
                <w:kern w:val="2"/>
                <w:sz w:val="24"/>
                <w:szCs w:val="24"/>
                <w:highlight w:val="none"/>
                <w:vertAlign w:val="superscript"/>
                <w:lang w:val="en-US" w:eastAsia="zh-CN" w:bidi="ar-SA"/>
              </w:rPr>
              <w:t>3</w:t>
            </w:r>
            <w:r>
              <w:rPr>
                <w:rFonts w:hint="default" w:cs="仿宋"/>
                <w:b w:val="0"/>
                <w:bCs w:val="0"/>
                <w:color w:val="auto"/>
                <w:spacing w:val="0"/>
                <w:kern w:val="2"/>
                <w:sz w:val="24"/>
                <w:szCs w:val="24"/>
                <w:highlight w:val="none"/>
                <w:lang w:val="en-US" w:eastAsia="zh-CN" w:bidi="ar-SA"/>
              </w:rPr>
              <w:t>/h），油烟经处理后引至楼顶排放。根据计算，经处理后营运期油烟排放量为0.</w:t>
            </w:r>
            <w:r>
              <w:rPr>
                <w:rFonts w:hint="eastAsia" w:cs="仿宋"/>
                <w:b w:val="0"/>
                <w:bCs w:val="0"/>
                <w:color w:val="auto"/>
                <w:spacing w:val="0"/>
                <w:kern w:val="2"/>
                <w:sz w:val="24"/>
                <w:szCs w:val="24"/>
                <w:highlight w:val="none"/>
                <w:lang w:val="en-US" w:eastAsia="zh-CN" w:bidi="ar-SA"/>
              </w:rPr>
              <w:t>468</w:t>
            </w:r>
            <w:r>
              <w:rPr>
                <w:rFonts w:hint="default" w:cs="仿宋"/>
                <w:b w:val="0"/>
                <w:bCs w:val="0"/>
                <w:color w:val="auto"/>
                <w:spacing w:val="0"/>
                <w:kern w:val="2"/>
                <w:sz w:val="24"/>
                <w:szCs w:val="24"/>
                <w:highlight w:val="none"/>
                <w:lang w:val="en-US" w:eastAsia="zh-CN" w:bidi="ar-SA"/>
              </w:rPr>
              <w:t>kg/a、0.000</w:t>
            </w:r>
            <w:r>
              <w:rPr>
                <w:rFonts w:hint="eastAsia" w:cs="仿宋"/>
                <w:b w:val="0"/>
                <w:bCs w:val="0"/>
                <w:color w:val="auto"/>
                <w:spacing w:val="0"/>
                <w:kern w:val="2"/>
                <w:sz w:val="24"/>
                <w:szCs w:val="24"/>
                <w:highlight w:val="none"/>
                <w:lang w:val="en-US" w:eastAsia="zh-CN" w:bidi="ar-SA"/>
              </w:rPr>
              <w:t>3</w:t>
            </w:r>
            <w:r>
              <w:rPr>
                <w:rFonts w:hint="default" w:cs="仿宋"/>
                <w:b w:val="0"/>
                <w:bCs w:val="0"/>
                <w:color w:val="auto"/>
                <w:spacing w:val="0"/>
                <w:kern w:val="2"/>
                <w:sz w:val="24"/>
                <w:szCs w:val="24"/>
                <w:highlight w:val="none"/>
                <w:lang w:val="en-US" w:eastAsia="zh-CN" w:bidi="ar-SA"/>
              </w:rPr>
              <w:t>kg/h，排放浓度为0.</w:t>
            </w:r>
            <w:r>
              <w:rPr>
                <w:rFonts w:hint="eastAsia" w:cs="仿宋"/>
                <w:b w:val="0"/>
                <w:bCs w:val="0"/>
                <w:color w:val="auto"/>
                <w:spacing w:val="0"/>
                <w:kern w:val="2"/>
                <w:sz w:val="24"/>
                <w:szCs w:val="24"/>
                <w:highlight w:val="none"/>
                <w:lang w:val="en-US" w:eastAsia="zh-CN" w:bidi="ar-SA"/>
              </w:rPr>
              <w:t>1</w:t>
            </w:r>
            <w:r>
              <w:rPr>
                <w:rFonts w:hint="default" w:cs="仿宋"/>
                <w:b w:val="0"/>
                <w:bCs w:val="0"/>
                <w:color w:val="auto"/>
                <w:spacing w:val="0"/>
                <w:kern w:val="2"/>
                <w:sz w:val="24"/>
                <w:szCs w:val="24"/>
                <w:highlight w:val="none"/>
                <w:lang w:val="en-US" w:eastAsia="zh-CN" w:bidi="ar-SA"/>
              </w:rPr>
              <w:t>5mg/m</w:t>
            </w:r>
            <w:r>
              <w:rPr>
                <w:rFonts w:hint="default" w:cs="仿宋"/>
                <w:b w:val="0"/>
                <w:bCs w:val="0"/>
                <w:color w:val="auto"/>
                <w:spacing w:val="0"/>
                <w:kern w:val="2"/>
                <w:sz w:val="24"/>
                <w:szCs w:val="24"/>
                <w:highlight w:val="none"/>
                <w:vertAlign w:val="superscript"/>
                <w:lang w:val="en-US" w:eastAsia="zh-CN" w:bidi="ar-SA"/>
              </w:rPr>
              <w:t>3</w:t>
            </w:r>
            <w:r>
              <w:rPr>
                <w:rFonts w:hint="default" w:cs="仿宋"/>
                <w:b w:val="0"/>
                <w:bCs w:val="0"/>
                <w:color w:val="auto"/>
                <w:spacing w:val="0"/>
                <w:kern w:val="2"/>
                <w:sz w:val="24"/>
                <w:szCs w:val="24"/>
                <w:highlight w:val="none"/>
                <w:lang w:val="en-US" w:eastAsia="zh-CN" w:bidi="ar-SA"/>
              </w:rPr>
              <w:t>，处理后能够达到《饮食业油烟排放标准》（GB18483-2001）标准要求，因此不会对当地环境空气产生明显影响。</w:t>
            </w:r>
          </w:p>
        </w:tc>
      </w:tr>
    </w:tbl>
    <w:p w14:paraId="76FC8991">
      <w:pPr>
        <w:pageBreakBefore w:val="0"/>
        <w:kinsoku/>
        <w:wordWrap/>
        <w:topLinePunct w:val="0"/>
        <w:bidi w:val="0"/>
        <w:adjustRightInd w:val="0"/>
        <w:snapToGrid/>
        <w:spacing w:line="360" w:lineRule="auto"/>
        <w:rPr>
          <w:rFonts w:hint="eastAsia" w:ascii="宋体" w:cs="宋体"/>
          <w:b/>
          <w:color w:val="auto"/>
          <w:kern w:val="0"/>
          <w:sz w:val="28"/>
          <w:szCs w:val="28"/>
          <w:highlight w:val="none"/>
        </w:rPr>
        <w:sectPr>
          <w:pgSz w:w="11907" w:h="16840"/>
          <w:pgMar w:top="1701" w:right="1531" w:bottom="2126" w:left="1531" w:header="851" w:footer="850" w:gutter="0"/>
          <w:pgBorders>
            <w:top w:val="none" w:sz="0" w:space="0"/>
            <w:left w:val="none" w:sz="0" w:space="0"/>
            <w:bottom w:val="none" w:sz="0" w:space="0"/>
            <w:right w:val="none" w:sz="0" w:space="0"/>
          </w:pgBorders>
          <w:pgNumType w:fmt="decimal"/>
          <w:cols w:space="720" w:num="1"/>
          <w:rtlGutter w:val="0"/>
          <w:docGrid w:type="lines" w:linePitch="312" w:charSpace="0"/>
        </w:sect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5"/>
        <w:gridCol w:w="12874"/>
      </w:tblGrid>
      <w:tr w14:paraId="67BD6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2" w:hRule="atLeast"/>
        </w:trPr>
        <w:tc>
          <w:tcPr>
            <w:tcW w:w="355" w:type="dxa"/>
            <w:noWrap w:val="0"/>
            <w:vAlign w:val="center"/>
          </w:tcPr>
          <w:p w14:paraId="71E24CAA">
            <w:pPr>
              <w:pStyle w:val="10"/>
              <w:bidi w:val="0"/>
              <w:rPr>
                <w:rFonts w:hint="eastAsia"/>
                <w:color w:val="auto"/>
                <w:highlight w:val="none"/>
              </w:rPr>
            </w:pPr>
          </w:p>
        </w:tc>
        <w:tc>
          <w:tcPr>
            <w:tcW w:w="12874" w:type="dxa"/>
            <w:noWrap w:val="0"/>
            <w:vAlign w:val="center"/>
          </w:tcPr>
          <w:p w14:paraId="6C9694A9">
            <w:pPr>
              <w:pStyle w:val="5"/>
              <w:tabs>
                <w:tab w:val="left" w:pos="1284"/>
              </w:tabs>
              <w:bidi w:val="0"/>
              <w:rPr>
                <w:color w:val="auto"/>
                <w:highlight w:val="none"/>
              </w:rPr>
            </w:pPr>
            <w:r>
              <w:rPr>
                <w:rFonts w:hint="default" w:ascii="Times New Roman" w:hAnsi="Times New Roman" w:cs="Times New Roman"/>
                <w:color w:val="auto"/>
                <w:highlight w:val="none"/>
                <w:lang w:val="en-US" w:eastAsia="zh-CN"/>
              </w:rPr>
              <w:t>表4-</w:t>
            </w:r>
            <w:r>
              <w:rPr>
                <w:rFonts w:hint="eastAsia" w:cs="Times New Roman"/>
                <w:color w:val="auto"/>
                <w:highlight w:val="none"/>
                <w:lang w:val="en-US" w:eastAsia="zh-CN"/>
              </w:rPr>
              <w:t>1</w:t>
            </w:r>
            <w:r>
              <w:rPr>
                <w:rFonts w:hint="eastAsia"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lang w:val="en-US" w:eastAsia="zh-CN"/>
              </w:rPr>
              <w:t>本项目废气产排污节点、污染物产排及污染治理设施信息表</w:t>
            </w:r>
          </w:p>
          <w:tbl>
            <w:tblPr>
              <w:tblStyle w:val="28"/>
              <w:tblW w:w="12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719"/>
              <w:gridCol w:w="611"/>
              <w:gridCol w:w="870"/>
              <w:gridCol w:w="955"/>
              <w:gridCol w:w="922"/>
              <w:gridCol w:w="1090"/>
              <w:gridCol w:w="1120"/>
              <w:gridCol w:w="722"/>
              <w:gridCol w:w="668"/>
              <w:gridCol w:w="690"/>
              <w:gridCol w:w="922"/>
              <w:gridCol w:w="888"/>
              <w:gridCol w:w="1180"/>
              <w:gridCol w:w="723"/>
            </w:tblGrid>
            <w:tr w14:paraId="313D0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1" w:type="dxa"/>
                  <w:vMerge w:val="restart"/>
                  <w:noWrap w:val="0"/>
                  <w:vAlign w:val="center"/>
                </w:tcPr>
                <w:p w14:paraId="2E2D0499">
                  <w:pPr>
                    <w:pStyle w:val="10"/>
                    <w:keepNext w:val="0"/>
                    <w:keepLines w:val="0"/>
                    <w:pageBreakBefore w:val="0"/>
                    <w:widowControl/>
                    <w:kinsoku/>
                    <w:wordWrap/>
                    <w:overflowPunct/>
                    <w:topLinePunct w:val="0"/>
                    <w:autoSpaceDE/>
                    <w:autoSpaceDN/>
                    <w:bidi w:val="0"/>
                    <w:adjustRightInd w:val="0"/>
                    <w:snapToGrid w:val="0"/>
                    <w:textAlignment w:val="auto"/>
                    <w:rPr>
                      <w:rFonts w:hint="default" w:eastAsia="宋体"/>
                      <w:b/>
                      <w:bCs/>
                      <w:color w:val="auto"/>
                      <w:highlight w:val="none"/>
                      <w:lang w:val="en-US" w:eastAsia="zh-CN"/>
                    </w:rPr>
                  </w:pPr>
                  <w:r>
                    <w:rPr>
                      <w:rFonts w:hint="eastAsia"/>
                      <w:b/>
                      <w:bCs/>
                      <w:color w:val="auto"/>
                      <w:highlight w:val="none"/>
                      <w:lang w:val="en-US" w:eastAsia="zh-CN"/>
                    </w:rPr>
                    <w:t>产排环节</w:t>
                  </w:r>
                </w:p>
              </w:tc>
              <w:tc>
                <w:tcPr>
                  <w:tcW w:w="719" w:type="dxa"/>
                  <w:vMerge w:val="restart"/>
                  <w:noWrap w:val="0"/>
                  <w:vAlign w:val="center"/>
                </w:tcPr>
                <w:p w14:paraId="57281152">
                  <w:pPr>
                    <w:pStyle w:val="10"/>
                    <w:keepNext w:val="0"/>
                    <w:keepLines w:val="0"/>
                    <w:pageBreakBefore w:val="0"/>
                    <w:widowControl/>
                    <w:kinsoku/>
                    <w:wordWrap/>
                    <w:overflowPunct/>
                    <w:topLinePunct w:val="0"/>
                    <w:autoSpaceDE/>
                    <w:autoSpaceDN/>
                    <w:bidi w:val="0"/>
                    <w:adjustRightInd w:val="0"/>
                    <w:snapToGrid w:val="0"/>
                    <w:textAlignment w:val="auto"/>
                    <w:rPr>
                      <w:rFonts w:hint="eastAsia"/>
                      <w:b/>
                      <w:bCs/>
                      <w:color w:val="auto"/>
                      <w:highlight w:val="none"/>
                    </w:rPr>
                  </w:pPr>
                  <w:r>
                    <w:rPr>
                      <w:rFonts w:hint="eastAsia" w:eastAsia="宋体"/>
                      <w:b/>
                      <w:bCs/>
                      <w:color w:val="auto"/>
                      <w:highlight w:val="none"/>
                      <w:lang w:val="en-US" w:eastAsia="zh-CN"/>
                    </w:rPr>
                    <w:t>污染物</w:t>
                  </w:r>
                </w:p>
              </w:tc>
              <w:tc>
                <w:tcPr>
                  <w:tcW w:w="611" w:type="dxa"/>
                  <w:vMerge w:val="restart"/>
                  <w:noWrap w:val="0"/>
                  <w:vAlign w:val="center"/>
                </w:tcPr>
                <w:p w14:paraId="35FD098C">
                  <w:pPr>
                    <w:pStyle w:val="10"/>
                    <w:keepNext w:val="0"/>
                    <w:keepLines w:val="0"/>
                    <w:pageBreakBefore w:val="0"/>
                    <w:widowControl/>
                    <w:kinsoku/>
                    <w:wordWrap/>
                    <w:overflowPunct/>
                    <w:topLinePunct w:val="0"/>
                    <w:autoSpaceDE/>
                    <w:autoSpaceDN/>
                    <w:bidi w:val="0"/>
                    <w:adjustRightInd w:val="0"/>
                    <w:snapToGrid w:val="0"/>
                    <w:textAlignment w:val="auto"/>
                    <w:rPr>
                      <w:rFonts w:hint="default"/>
                      <w:b/>
                      <w:bCs/>
                      <w:color w:val="auto"/>
                      <w:highlight w:val="none"/>
                      <w:lang w:val="en-US" w:eastAsia="zh-CN"/>
                    </w:rPr>
                  </w:pPr>
                  <w:r>
                    <w:rPr>
                      <w:rFonts w:hint="eastAsia"/>
                      <w:b/>
                      <w:bCs/>
                      <w:color w:val="auto"/>
                      <w:highlight w:val="none"/>
                      <w:lang w:val="en-US" w:eastAsia="zh-CN"/>
                    </w:rPr>
                    <w:t>排放形式</w:t>
                  </w:r>
                </w:p>
              </w:tc>
              <w:tc>
                <w:tcPr>
                  <w:tcW w:w="870" w:type="dxa"/>
                  <w:vMerge w:val="restart"/>
                  <w:noWrap w:val="0"/>
                  <w:vAlign w:val="center"/>
                </w:tcPr>
                <w:p w14:paraId="36DD63D4">
                  <w:pPr>
                    <w:pStyle w:val="10"/>
                    <w:keepNext w:val="0"/>
                    <w:keepLines w:val="0"/>
                    <w:pageBreakBefore w:val="0"/>
                    <w:widowControl/>
                    <w:kinsoku/>
                    <w:wordWrap/>
                    <w:overflowPunct/>
                    <w:topLinePunct w:val="0"/>
                    <w:autoSpaceDE/>
                    <w:autoSpaceDN/>
                    <w:bidi w:val="0"/>
                    <w:adjustRightInd w:val="0"/>
                    <w:snapToGrid w:val="0"/>
                    <w:textAlignment w:val="auto"/>
                    <w:rPr>
                      <w:rFonts w:hint="default"/>
                      <w:b/>
                      <w:bCs/>
                      <w:color w:val="auto"/>
                      <w:highlight w:val="none"/>
                      <w:lang w:val="en-US" w:eastAsia="zh-CN"/>
                    </w:rPr>
                  </w:pPr>
                  <w:r>
                    <w:rPr>
                      <w:rFonts w:hint="eastAsia"/>
                      <w:b/>
                      <w:bCs/>
                      <w:color w:val="auto"/>
                      <w:highlight w:val="none"/>
                      <w:lang w:val="en-US" w:eastAsia="zh-CN"/>
                    </w:rPr>
                    <w:t>产生量（t/a）</w:t>
                  </w:r>
                </w:p>
              </w:tc>
              <w:tc>
                <w:tcPr>
                  <w:tcW w:w="4087" w:type="dxa"/>
                  <w:gridSpan w:val="4"/>
                  <w:noWrap w:val="0"/>
                  <w:vAlign w:val="center"/>
                </w:tcPr>
                <w:p w14:paraId="195390D5">
                  <w:pPr>
                    <w:pStyle w:val="10"/>
                    <w:keepNext w:val="0"/>
                    <w:keepLines w:val="0"/>
                    <w:pageBreakBefore w:val="0"/>
                    <w:widowControl/>
                    <w:kinsoku/>
                    <w:wordWrap/>
                    <w:overflowPunct/>
                    <w:topLinePunct w:val="0"/>
                    <w:autoSpaceDE/>
                    <w:autoSpaceDN/>
                    <w:bidi w:val="0"/>
                    <w:adjustRightInd w:val="0"/>
                    <w:snapToGrid w:val="0"/>
                    <w:textAlignment w:val="auto"/>
                    <w:rPr>
                      <w:rFonts w:hint="default" w:eastAsia="宋体"/>
                      <w:b/>
                      <w:bCs/>
                      <w:color w:val="auto"/>
                      <w:highlight w:val="none"/>
                      <w:lang w:val="en-US" w:eastAsia="zh-CN"/>
                    </w:rPr>
                  </w:pPr>
                  <w:r>
                    <w:rPr>
                      <w:rFonts w:hint="eastAsia"/>
                      <w:b/>
                      <w:bCs/>
                      <w:color w:val="auto"/>
                      <w:highlight w:val="none"/>
                      <w:lang w:val="en-US" w:eastAsia="zh-CN"/>
                    </w:rPr>
                    <w:t>污染物产生</w:t>
                  </w:r>
                </w:p>
              </w:tc>
              <w:tc>
                <w:tcPr>
                  <w:tcW w:w="2080" w:type="dxa"/>
                  <w:gridSpan w:val="3"/>
                  <w:noWrap w:val="0"/>
                  <w:vAlign w:val="center"/>
                </w:tcPr>
                <w:p w14:paraId="4C5A7B1B">
                  <w:pPr>
                    <w:pStyle w:val="10"/>
                    <w:keepNext w:val="0"/>
                    <w:keepLines w:val="0"/>
                    <w:pageBreakBefore w:val="0"/>
                    <w:widowControl/>
                    <w:kinsoku/>
                    <w:wordWrap/>
                    <w:overflowPunct/>
                    <w:topLinePunct w:val="0"/>
                    <w:autoSpaceDE/>
                    <w:autoSpaceDN/>
                    <w:bidi w:val="0"/>
                    <w:adjustRightInd w:val="0"/>
                    <w:snapToGrid w:val="0"/>
                    <w:textAlignment w:val="auto"/>
                    <w:rPr>
                      <w:rFonts w:hint="eastAsia" w:eastAsia="宋体"/>
                      <w:b/>
                      <w:bCs/>
                      <w:color w:val="auto"/>
                      <w:highlight w:val="none"/>
                      <w:lang w:val="en-US" w:eastAsia="zh-CN"/>
                    </w:rPr>
                  </w:pPr>
                  <w:r>
                    <w:rPr>
                      <w:rFonts w:hint="eastAsia"/>
                      <w:b/>
                      <w:bCs/>
                      <w:color w:val="auto"/>
                      <w:highlight w:val="none"/>
                      <w:lang w:val="en-US" w:eastAsia="zh-CN"/>
                    </w:rPr>
                    <w:t>治理措施</w:t>
                  </w:r>
                </w:p>
              </w:tc>
              <w:tc>
                <w:tcPr>
                  <w:tcW w:w="2990" w:type="dxa"/>
                  <w:gridSpan w:val="3"/>
                  <w:noWrap w:val="0"/>
                  <w:vAlign w:val="center"/>
                </w:tcPr>
                <w:p w14:paraId="4E1D2B73">
                  <w:pPr>
                    <w:pStyle w:val="10"/>
                    <w:keepNext w:val="0"/>
                    <w:keepLines w:val="0"/>
                    <w:pageBreakBefore w:val="0"/>
                    <w:widowControl/>
                    <w:kinsoku/>
                    <w:wordWrap/>
                    <w:overflowPunct/>
                    <w:topLinePunct w:val="0"/>
                    <w:autoSpaceDE/>
                    <w:autoSpaceDN/>
                    <w:bidi w:val="0"/>
                    <w:adjustRightInd w:val="0"/>
                    <w:snapToGrid w:val="0"/>
                    <w:textAlignment w:val="auto"/>
                    <w:rPr>
                      <w:rFonts w:hint="default" w:eastAsia="宋体"/>
                      <w:b/>
                      <w:bCs/>
                      <w:color w:val="auto"/>
                      <w:highlight w:val="none"/>
                      <w:lang w:val="en-US" w:eastAsia="zh-CN"/>
                    </w:rPr>
                  </w:pPr>
                  <w:r>
                    <w:rPr>
                      <w:rFonts w:hint="eastAsia"/>
                      <w:b/>
                      <w:bCs/>
                      <w:color w:val="auto"/>
                      <w:highlight w:val="none"/>
                      <w:lang w:val="en-US" w:eastAsia="zh-CN"/>
                    </w:rPr>
                    <w:t>污染物排放</w:t>
                  </w:r>
                </w:p>
              </w:tc>
              <w:tc>
                <w:tcPr>
                  <w:tcW w:w="723" w:type="dxa"/>
                  <w:vMerge w:val="restart"/>
                  <w:noWrap w:val="0"/>
                  <w:vAlign w:val="center"/>
                </w:tcPr>
                <w:p w14:paraId="63C0FD60">
                  <w:pPr>
                    <w:pStyle w:val="10"/>
                    <w:keepNext w:val="0"/>
                    <w:keepLines w:val="0"/>
                    <w:pageBreakBefore w:val="0"/>
                    <w:widowControl/>
                    <w:kinsoku/>
                    <w:wordWrap/>
                    <w:overflowPunct/>
                    <w:topLinePunct w:val="0"/>
                    <w:autoSpaceDE/>
                    <w:autoSpaceDN/>
                    <w:bidi w:val="0"/>
                    <w:adjustRightInd w:val="0"/>
                    <w:snapToGrid w:val="0"/>
                    <w:textAlignment w:val="auto"/>
                    <w:rPr>
                      <w:rFonts w:hint="default" w:eastAsia="宋体"/>
                      <w:color w:val="auto"/>
                      <w:highlight w:val="none"/>
                      <w:lang w:val="en-US" w:eastAsia="zh-CN"/>
                    </w:rPr>
                  </w:pPr>
                  <w:r>
                    <w:rPr>
                      <w:rFonts w:hint="eastAsia"/>
                      <w:b/>
                      <w:bCs/>
                      <w:color w:val="auto"/>
                      <w:highlight w:val="none"/>
                      <w:lang w:val="en-US" w:eastAsia="zh-CN"/>
                    </w:rPr>
                    <w:t>排放时间（h）</w:t>
                  </w:r>
                </w:p>
              </w:tc>
            </w:tr>
            <w:tr w14:paraId="135E1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1" w:type="dxa"/>
                  <w:vMerge w:val="continue"/>
                  <w:noWrap w:val="0"/>
                  <w:vAlign w:val="center"/>
                </w:tcPr>
                <w:p w14:paraId="57AB0565">
                  <w:pPr>
                    <w:pStyle w:val="10"/>
                    <w:keepNext w:val="0"/>
                    <w:keepLines w:val="0"/>
                    <w:pageBreakBefore w:val="0"/>
                    <w:widowControl/>
                    <w:kinsoku/>
                    <w:wordWrap/>
                    <w:overflowPunct/>
                    <w:topLinePunct w:val="0"/>
                    <w:autoSpaceDE/>
                    <w:autoSpaceDN/>
                    <w:bidi w:val="0"/>
                    <w:adjustRightInd w:val="0"/>
                    <w:snapToGrid w:val="0"/>
                    <w:textAlignment w:val="auto"/>
                    <w:rPr>
                      <w:b/>
                      <w:bCs/>
                      <w:color w:val="auto"/>
                      <w:highlight w:val="none"/>
                    </w:rPr>
                  </w:pPr>
                </w:p>
              </w:tc>
              <w:tc>
                <w:tcPr>
                  <w:tcW w:w="719" w:type="dxa"/>
                  <w:vMerge w:val="continue"/>
                  <w:noWrap w:val="0"/>
                  <w:vAlign w:val="center"/>
                </w:tcPr>
                <w:p w14:paraId="5C9F9C7A">
                  <w:pPr>
                    <w:pStyle w:val="10"/>
                    <w:keepNext w:val="0"/>
                    <w:keepLines w:val="0"/>
                    <w:pageBreakBefore w:val="0"/>
                    <w:widowControl/>
                    <w:kinsoku/>
                    <w:wordWrap/>
                    <w:overflowPunct/>
                    <w:topLinePunct w:val="0"/>
                    <w:autoSpaceDE/>
                    <w:autoSpaceDN/>
                    <w:bidi w:val="0"/>
                    <w:adjustRightInd w:val="0"/>
                    <w:snapToGrid w:val="0"/>
                    <w:textAlignment w:val="auto"/>
                    <w:rPr>
                      <w:b/>
                      <w:bCs/>
                      <w:color w:val="auto"/>
                      <w:highlight w:val="none"/>
                    </w:rPr>
                  </w:pPr>
                </w:p>
              </w:tc>
              <w:tc>
                <w:tcPr>
                  <w:tcW w:w="611" w:type="dxa"/>
                  <w:vMerge w:val="continue"/>
                  <w:noWrap w:val="0"/>
                  <w:vAlign w:val="center"/>
                </w:tcPr>
                <w:p w14:paraId="1402C21B">
                  <w:pPr>
                    <w:pStyle w:val="10"/>
                    <w:keepNext w:val="0"/>
                    <w:keepLines w:val="0"/>
                    <w:pageBreakBefore w:val="0"/>
                    <w:widowControl/>
                    <w:kinsoku/>
                    <w:wordWrap/>
                    <w:overflowPunct/>
                    <w:topLinePunct w:val="0"/>
                    <w:autoSpaceDE/>
                    <w:autoSpaceDN/>
                    <w:bidi w:val="0"/>
                    <w:adjustRightInd w:val="0"/>
                    <w:snapToGrid w:val="0"/>
                    <w:textAlignment w:val="auto"/>
                    <w:rPr>
                      <w:rFonts w:hint="eastAsia"/>
                      <w:b/>
                      <w:bCs/>
                      <w:color w:val="auto"/>
                      <w:highlight w:val="none"/>
                      <w:lang w:val="en-US" w:eastAsia="zh-CN"/>
                    </w:rPr>
                  </w:pPr>
                </w:p>
              </w:tc>
              <w:tc>
                <w:tcPr>
                  <w:tcW w:w="870" w:type="dxa"/>
                  <w:vMerge w:val="continue"/>
                  <w:noWrap w:val="0"/>
                  <w:vAlign w:val="center"/>
                </w:tcPr>
                <w:p w14:paraId="0F4F25A3">
                  <w:pPr>
                    <w:pStyle w:val="10"/>
                    <w:keepNext w:val="0"/>
                    <w:keepLines w:val="0"/>
                    <w:pageBreakBefore w:val="0"/>
                    <w:widowControl/>
                    <w:kinsoku/>
                    <w:wordWrap/>
                    <w:overflowPunct/>
                    <w:topLinePunct w:val="0"/>
                    <w:autoSpaceDE/>
                    <w:autoSpaceDN/>
                    <w:bidi w:val="0"/>
                    <w:adjustRightInd w:val="0"/>
                    <w:snapToGrid w:val="0"/>
                    <w:textAlignment w:val="auto"/>
                    <w:rPr>
                      <w:rFonts w:hint="eastAsia"/>
                      <w:b/>
                      <w:bCs/>
                      <w:color w:val="auto"/>
                      <w:highlight w:val="none"/>
                      <w:lang w:val="en-US" w:eastAsia="zh-CN"/>
                    </w:rPr>
                  </w:pPr>
                </w:p>
              </w:tc>
              <w:tc>
                <w:tcPr>
                  <w:tcW w:w="955" w:type="dxa"/>
                  <w:noWrap w:val="0"/>
                  <w:vAlign w:val="center"/>
                </w:tcPr>
                <w:p w14:paraId="5672B184">
                  <w:pPr>
                    <w:pStyle w:val="10"/>
                    <w:keepNext w:val="0"/>
                    <w:keepLines w:val="0"/>
                    <w:pageBreakBefore w:val="0"/>
                    <w:widowControl/>
                    <w:kinsoku/>
                    <w:wordWrap/>
                    <w:overflowPunct/>
                    <w:topLinePunct w:val="0"/>
                    <w:autoSpaceDE/>
                    <w:autoSpaceDN/>
                    <w:bidi w:val="0"/>
                    <w:adjustRightInd w:val="0"/>
                    <w:snapToGrid w:val="0"/>
                    <w:textAlignment w:val="auto"/>
                    <w:rPr>
                      <w:rFonts w:hint="default" w:eastAsia="宋体"/>
                      <w:b/>
                      <w:bCs/>
                      <w:color w:val="auto"/>
                      <w:highlight w:val="none"/>
                      <w:lang w:val="en-US" w:eastAsia="zh-CN"/>
                    </w:rPr>
                  </w:pPr>
                  <w:r>
                    <w:rPr>
                      <w:rFonts w:hint="eastAsia"/>
                      <w:b/>
                      <w:bCs/>
                      <w:color w:val="auto"/>
                      <w:highlight w:val="none"/>
                      <w:lang w:val="en-US" w:eastAsia="zh-CN"/>
                    </w:rPr>
                    <w:t>废气量（</w:t>
                  </w:r>
                  <w:r>
                    <w:rPr>
                      <w:b/>
                      <w:bCs/>
                      <w:color w:val="auto"/>
                      <w:kern w:val="0"/>
                      <w:szCs w:val="21"/>
                    </w:rPr>
                    <w:t>m</w:t>
                  </w:r>
                  <w:r>
                    <w:rPr>
                      <w:b/>
                      <w:bCs/>
                      <w:color w:val="auto"/>
                      <w:kern w:val="0"/>
                      <w:szCs w:val="21"/>
                      <w:vertAlign w:val="superscript"/>
                    </w:rPr>
                    <w:t>3</w:t>
                  </w:r>
                  <w:r>
                    <w:rPr>
                      <w:b/>
                      <w:bCs/>
                      <w:color w:val="auto"/>
                      <w:kern w:val="0"/>
                      <w:szCs w:val="21"/>
                    </w:rPr>
                    <w:t>/h</w:t>
                  </w:r>
                  <w:r>
                    <w:rPr>
                      <w:rFonts w:hint="eastAsia"/>
                      <w:color w:val="auto"/>
                      <w:kern w:val="0"/>
                      <w:szCs w:val="21"/>
                      <w:lang w:eastAsia="zh-CN"/>
                    </w:rPr>
                    <w:t>）</w:t>
                  </w:r>
                </w:p>
              </w:tc>
              <w:tc>
                <w:tcPr>
                  <w:tcW w:w="922" w:type="dxa"/>
                  <w:noWrap w:val="0"/>
                  <w:vAlign w:val="center"/>
                </w:tcPr>
                <w:p w14:paraId="6FBBAEE0">
                  <w:pPr>
                    <w:pStyle w:val="10"/>
                    <w:keepNext w:val="0"/>
                    <w:keepLines w:val="0"/>
                    <w:pageBreakBefore w:val="0"/>
                    <w:widowControl/>
                    <w:kinsoku/>
                    <w:wordWrap/>
                    <w:overflowPunct/>
                    <w:topLinePunct w:val="0"/>
                    <w:autoSpaceDE/>
                    <w:autoSpaceDN/>
                    <w:bidi w:val="0"/>
                    <w:adjustRightInd w:val="0"/>
                    <w:snapToGrid w:val="0"/>
                    <w:textAlignment w:val="auto"/>
                    <w:rPr>
                      <w:rFonts w:hint="default" w:eastAsia="宋体"/>
                      <w:b/>
                      <w:bCs/>
                      <w:color w:val="auto"/>
                      <w:highlight w:val="none"/>
                      <w:lang w:val="en-US" w:eastAsia="zh-CN"/>
                    </w:rPr>
                  </w:pPr>
                  <w:r>
                    <w:rPr>
                      <w:rFonts w:hint="eastAsia"/>
                      <w:b/>
                      <w:bCs/>
                      <w:color w:val="auto"/>
                      <w:highlight w:val="none"/>
                      <w:lang w:val="en-US" w:eastAsia="zh-CN"/>
                    </w:rPr>
                    <w:t>产生量（t/a）</w:t>
                  </w:r>
                </w:p>
              </w:tc>
              <w:tc>
                <w:tcPr>
                  <w:tcW w:w="1090" w:type="dxa"/>
                  <w:noWrap w:val="0"/>
                  <w:vAlign w:val="center"/>
                </w:tcPr>
                <w:p w14:paraId="73EB1F41">
                  <w:pPr>
                    <w:pStyle w:val="10"/>
                    <w:keepNext w:val="0"/>
                    <w:keepLines w:val="0"/>
                    <w:pageBreakBefore w:val="0"/>
                    <w:widowControl/>
                    <w:kinsoku/>
                    <w:wordWrap/>
                    <w:overflowPunct/>
                    <w:topLinePunct w:val="0"/>
                    <w:autoSpaceDE/>
                    <w:autoSpaceDN/>
                    <w:bidi w:val="0"/>
                    <w:adjustRightInd w:val="0"/>
                    <w:snapToGrid w:val="0"/>
                    <w:textAlignment w:val="auto"/>
                    <w:rPr>
                      <w:rFonts w:hint="default" w:eastAsia="宋体"/>
                      <w:b/>
                      <w:bCs/>
                      <w:color w:val="auto"/>
                      <w:highlight w:val="none"/>
                      <w:lang w:val="en-US" w:eastAsia="zh-CN"/>
                    </w:rPr>
                  </w:pPr>
                  <w:r>
                    <w:rPr>
                      <w:rFonts w:hint="eastAsia"/>
                      <w:b/>
                      <w:bCs/>
                      <w:color w:val="auto"/>
                      <w:highlight w:val="none"/>
                      <w:lang w:val="en-US" w:eastAsia="zh-CN"/>
                    </w:rPr>
                    <w:t>产生速率（kg/h）</w:t>
                  </w:r>
                </w:p>
              </w:tc>
              <w:tc>
                <w:tcPr>
                  <w:tcW w:w="1120" w:type="dxa"/>
                  <w:noWrap w:val="0"/>
                  <w:vAlign w:val="center"/>
                </w:tcPr>
                <w:p w14:paraId="104DB65F">
                  <w:pPr>
                    <w:pStyle w:val="10"/>
                    <w:keepNext w:val="0"/>
                    <w:keepLines w:val="0"/>
                    <w:pageBreakBefore w:val="0"/>
                    <w:widowControl/>
                    <w:kinsoku/>
                    <w:wordWrap/>
                    <w:overflowPunct/>
                    <w:topLinePunct w:val="0"/>
                    <w:autoSpaceDE/>
                    <w:autoSpaceDN/>
                    <w:bidi w:val="0"/>
                    <w:adjustRightInd w:val="0"/>
                    <w:snapToGrid w:val="0"/>
                    <w:textAlignment w:val="auto"/>
                    <w:rPr>
                      <w:rFonts w:hint="eastAsia" w:eastAsia="宋体"/>
                      <w:b/>
                      <w:bCs/>
                      <w:color w:val="auto"/>
                      <w:highlight w:val="none"/>
                      <w:lang w:val="en-US" w:eastAsia="zh-CN"/>
                    </w:rPr>
                  </w:pPr>
                  <w:r>
                    <w:rPr>
                      <w:rFonts w:hint="eastAsia"/>
                      <w:b/>
                      <w:bCs/>
                      <w:color w:val="auto"/>
                      <w:highlight w:val="none"/>
                      <w:lang w:val="en-US" w:eastAsia="zh-CN"/>
                    </w:rPr>
                    <w:t>产生浓度（mg/m</w:t>
                  </w:r>
                  <w:r>
                    <w:rPr>
                      <w:rFonts w:hint="eastAsia"/>
                      <w:b/>
                      <w:bCs/>
                      <w:color w:val="auto"/>
                      <w:highlight w:val="none"/>
                      <w:vertAlign w:val="superscript"/>
                      <w:lang w:val="en-US" w:eastAsia="zh-CN"/>
                    </w:rPr>
                    <w:t>3</w:t>
                  </w:r>
                  <w:r>
                    <w:rPr>
                      <w:rFonts w:hint="eastAsia"/>
                      <w:b/>
                      <w:bCs/>
                      <w:color w:val="auto"/>
                      <w:highlight w:val="none"/>
                      <w:lang w:val="en-US" w:eastAsia="zh-CN"/>
                    </w:rPr>
                    <w:t>）</w:t>
                  </w:r>
                </w:p>
              </w:tc>
              <w:tc>
                <w:tcPr>
                  <w:tcW w:w="722" w:type="dxa"/>
                  <w:noWrap w:val="0"/>
                  <w:vAlign w:val="center"/>
                </w:tcPr>
                <w:p w14:paraId="77685C27">
                  <w:pPr>
                    <w:pStyle w:val="10"/>
                    <w:keepNext w:val="0"/>
                    <w:keepLines w:val="0"/>
                    <w:pageBreakBefore w:val="0"/>
                    <w:widowControl/>
                    <w:kinsoku/>
                    <w:wordWrap/>
                    <w:overflowPunct/>
                    <w:topLinePunct w:val="0"/>
                    <w:autoSpaceDE/>
                    <w:autoSpaceDN/>
                    <w:bidi w:val="0"/>
                    <w:adjustRightInd w:val="0"/>
                    <w:snapToGrid w:val="0"/>
                    <w:textAlignment w:val="auto"/>
                    <w:rPr>
                      <w:rFonts w:hint="default" w:eastAsia="宋体"/>
                      <w:b/>
                      <w:bCs/>
                      <w:color w:val="auto"/>
                      <w:highlight w:val="none"/>
                      <w:lang w:val="en-US" w:eastAsia="zh-CN"/>
                    </w:rPr>
                  </w:pPr>
                  <w:r>
                    <w:rPr>
                      <w:rFonts w:hint="eastAsia"/>
                      <w:b/>
                      <w:bCs/>
                      <w:color w:val="auto"/>
                      <w:highlight w:val="none"/>
                      <w:lang w:val="en-US" w:eastAsia="zh-CN"/>
                    </w:rPr>
                    <w:t>收集效率</w:t>
                  </w:r>
                </w:p>
              </w:tc>
              <w:tc>
                <w:tcPr>
                  <w:tcW w:w="668" w:type="dxa"/>
                  <w:noWrap w:val="0"/>
                  <w:vAlign w:val="center"/>
                </w:tcPr>
                <w:p w14:paraId="282364CA">
                  <w:pPr>
                    <w:pStyle w:val="10"/>
                    <w:keepNext w:val="0"/>
                    <w:keepLines w:val="0"/>
                    <w:pageBreakBefore w:val="0"/>
                    <w:widowControl/>
                    <w:kinsoku/>
                    <w:wordWrap/>
                    <w:overflowPunct/>
                    <w:topLinePunct w:val="0"/>
                    <w:autoSpaceDE/>
                    <w:autoSpaceDN/>
                    <w:bidi w:val="0"/>
                    <w:adjustRightInd w:val="0"/>
                    <w:snapToGrid w:val="0"/>
                    <w:textAlignment w:val="auto"/>
                    <w:rPr>
                      <w:rFonts w:hint="eastAsia" w:eastAsia="宋体"/>
                      <w:b/>
                      <w:bCs/>
                      <w:color w:val="auto"/>
                      <w:highlight w:val="none"/>
                      <w:lang w:val="en-US" w:eastAsia="zh-CN"/>
                    </w:rPr>
                  </w:pPr>
                  <w:r>
                    <w:rPr>
                      <w:rFonts w:hint="eastAsia"/>
                      <w:b/>
                      <w:bCs/>
                      <w:color w:val="auto"/>
                      <w:highlight w:val="none"/>
                      <w:lang w:val="en-US" w:eastAsia="zh-CN"/>
                    </w:rPr>
                    <w:t>工艺</w:t>
                  </w:r>
                </w:p>
              </w:tc>
              <w:tc>
                <w:tcPr>
                  <w:tcW w:w="690" w:type="dxa"/>
                  <w:noWrap w:val="0"/>
                  <w:vAlign w:val="center"/>
                </w:tcPr>
                <w:p w14:paraId="5310864D">
                  <w:pPr>
                    <w:pStyle w:val="10"/>
                    <w:keepNext w:val="0"/>
                    <w:keepLines w:val="0"/>
                    <w:pageBreakBefore w:val="0"/>
                    <w:widowControl/>
                    <w:kinsoku/>
                    <w:wordWrap/>
                    <w:overflowPunct/>
                    <w:topLinePunct w:val="0"/>
                    <w:autoSpaceDE/>
                    <w:autoSpaceDN/>
                    <w:bidi w:val="0"/>
                    <w:adjustRightInd w:val="0"/>
                    <w:snapToGrid w:val="0"/>
                    <w:textAlignment w:val="auto"/>
                    <w:rPr>
                      <w:rFonts w:hint="eastAsia" w:eastAsia="宋体"/>
                      <w:b/>
                      <w:bCs/>
                      <w:color w:val="auto"/>
                      <w:highlight w:val="none"/>
                      <w:lang w:val="en-US" w:eastAsia="zh-CN"/>
                    </w:rPr>
                  </w:pPr>
                  <w:r>
                    <w:rPr>
                      <w:rFonts w:hint="eastAsia"/>
                      <w:b/>
                      <w:bCs/>
                      <w:color w:val="auto"/>
                      <w:highlight w:val="none"/>
                      <w:lang w:val="en-US" w:eastAsia="zh-CN"/>
                    </w:rPr>
                    <w:t>去除效率</w:t>
                  </w:r>
                </w:p>
              </w:tc>
              <w:tc>
                <w:tcPr>
                  <w:tcW w:w="922" w:type="dxa"/>
                  <w:noWrap w:val="0"/>
                  <w:vAlign w:val="center"/>
                </w:tcPr>
                <w:p w14:paraId="68FE282F">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ascii="Times New Roman" w:hAnsi="Times New Roman" w:eastAsia="宋体"/>
                      <w:b/>
                      <w:bCs/>
                      <w:color w:val="auto"/>
                      <w:kern w:val="0"/>
                      <w:sz w:val="21"/>
                      <w:szCs w:val="21"/>
                      <w:highlight w:val="none"/>
                      <w:lang w:val="en-US" w:eastAsia="zh-CN" w:bidi="ar-SA"/>
                    </w:rPr>
                  </w:pPr>
                  <w:r>
                    <w:rPr>
                      <w:rFonts w:hint="eastAsia"/>
                      <w:b/>
                      <w:bCs/>
                      <w:color w:val="auto"/>
                      <w:highlight w:val="none"/>
                      <w:lang w:val="en-US" w:eastAsia="zh-CN"/>
                    </w:rPr>
                    <w:t>排放量（t/a）</w:t>
                  </w:r>
                </w:p>
              </w:tc>
              <w:tc>
                <w:tcPr>
                  <w:tcW w:w="888" w:type="dxa"/>
                  <w:noWrap w:val="0"/>
                  <w:vAlign w:val="center"/>
                </w:tcPr>
                <w:p w14:paraId="5897CB8B">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b/>
                      <w:bCs/>
                      <w:color w:val="auto"/>
                      <w:highlight w:val="none"/>
                      <w:lang w:val="en-US" w:eastAsia="zh-CN"/>
                    </w:rPr>
                  </w:pPr>
                  <w:r>
                    <w:rPr>
                      <w:rFonts w:hint="eastAsia"/>
                      <w:b/>
                      <w:bCs/>
                      <w:color w:val="auto"/>
                      <w:highlight w:val="none"/>
                      <w:lang w:val="en-US" w:eastAsia="zh-CN"/>
                    </w:rPr>
                    <w:t>排放</w:t>
                  </w:r>
                </w:p>
                <w:p w14:paraId="6C5459E8">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b/>
                      <w:bCs/>
                      <w:color w:val="auto"/>
                      <w:highlight w:val="none"/>
                      <w:lang w:val="en-US" w:eastAsia="zh-CN"/>
                    </w:rPr>
                  </w:pPr>
                  <w:r>
                    <w:rPr>
                      <w:rFonts w:hint="eastAsia"/>
                      <w:b/>
                      <w:bCs/>
                      <w:color w:val="auto"/>
                      <w:highlight w:val="none"/>
                      <w:lang w:val="en-US" w:eastAsia="zh-CN"/>
                    </w:rPr>
                    <w:t>速率</w:t>
                  </w:r>
                </w:p>
                <w:p w14:paraId="460C1DFC">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ascii="Times New Roman" w:hAnsi="Times New Roman" w:eastAsia="宋体"/>
                      <w:b/>
                      <w:bCs/>
                      <w:color w:val="auto"/>
                      <w:kern w:val="0"/>
                      <w:sz w:val="21"/>
                      <w:szCs w:val="21"/>
                      <w:highlight w:val="none"/>
                      <w:lang w:val="en-US" w:eastAsia="zh-CN" w:bidi="ar-SA"/>
                    </w:rPr>
                  </w:pPr>
                  <w:r>
                    <w:rPr>
                      <w:rFonts w:hint="eastAsia"/>
                      <w:b/>
                      <w:bCs/>
                      <w:color w:val="auto"/>
                      <w:highlight w:val="none"/>
                      <w:lang w:val="en-US" w:eastAsia="zh-CN"/>
                    </w:rPr>
                    <w:t>(kg/h)</w:t>
                  </w:r>
                </w:p>
              </w:tc>
              <w:tc>
                <w:tcPr>
                  <w:tcW w:w="1180" w:type="dxa"/>
                  <w:noWrap w:val="0"/>
                  <w:vAlign w:val="center"/>
                </w:tcPr>
                <w:p w14:paraId="13E939B6">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ascii="Times New Roman" w:hAnsi="Times New Roman" w:eastAsia="宋体"/>
                      <w:b/>
                      <w:bCs/>
                      <w:color w:val="auto"/>
                      <w:kern w:val="0"/>
                      <w:sz w:val="21"/>
                      <w:szCs w:val="21"/>
                      <w:highlight w:val="none"/>
                      <w:lang w:val="en-US" w:eastAsia="zh-CN" w:bidi="ar-SA"/>
                    </w:rPr>
                  </w:pPr>
                  <w:r>
                    <w:rPr>
                      <w:rFonts w:hint="eastAsia"/>
                      <w:b/>
                      <w:bCs/>
                      <w:color w:val="auto"/>
                      <w:highlight w:val="none"/>
                      <w:lang w:val="en-US" w:eastAsia="zh-CN"/>
                    </w:rPr>
                    <w:t>排放浓度（mg/m</w:t>
                  </w:r>
                  <w:r>
                    <w:rPr>
                      <w:rFonts w:hint="eastAsia"/>
                      <w:b/>
                      <w:bCs/>
                      <w:color w:val="auto"/>
                      <w:highlight w:val="none"/>
                      <w:vertAlign w:val="superscript"/>
                      <w:lang w:val="en-US" w:eastAsia="zh-CN"/>
                    </w:rPr>
                    <w:t>3</w:t>
                  </w:r>
                  <w:r>
                    <w:rPr>
                      <w:rFonts w:hint="eastAsia"/>
                      <w:b/>
                      <w:bCs/>
                      <w:color w:val="auto"/>
                      <w:highlight w:val="none"/>
                      <w:lang w:val="en-US" w:eastAsia="zh-CN"/>
                    </w:rPr>
                    <w:t>）</w:t>
                  </w:r>
                </w:p>
              </w:tc>
              <w:tc>
                <w:tcPr>
                  <w:tcW w:w="723" w:type="dxa"/>
                  <w:vMerge w:val="continue"/>
                  <w:noWrap w:val="0"/>
                  <w:vAlign w:val="center"/>
                </w:tcPr>
                <w:p w14:paraId="53E0D338">
                  <w:pPr>
                    <w:pStyle w:val="10"/>
                    <w:keepNext w:val="0"/>
                    <w:keepLines w:val="0"/>
                    <w:pageBreakBefore w:val="0"/>
                    <w:widowControl/>
                    <w:kinsoku/>
                    <w:wordWrap/>
                    <w:overflowPunct/>
                    <w:topLinePunct w:val="0"/>
                    <w:autoSpaceDE/>
                    <w:autoSpaceDN/>
                    <w:bidi w:val="0"/>
                    <w:adjustRightInd w:val="0"/>
                    <w:snapToGrid w:val="0"/>
                    <w:textAlignment w:val="auto"/>
                    <w:rPr>
                      <w:rFonts w:hint="eastAsia"/>
                      <w:color w:val="auto"/>
                      <w:highlight w:val="none"/>
                    </w:rPr>
                  </w:pPr>
                </w:p>
              </w:tc>
            </w:tr>
            <w:tr w14:paraId="337E1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1" w:type="dxa"/>
                  <w:vMerge w:val="restart"/>
                  <w:noWrap w:val="0"/>
                  <w:vAlign w:val="center"/>
                </w:tcPr>
                <w:p w14:paraId="61C4849F">
                  <w:pPr>
                    <w:pStyle w:val="10"/>
                    <w:keepNext w:val="0"/>
                    <w:keepLines w:val="0"/>
                    <w:pageBreakBefore w:val="0"/>
                    <w:widowControl/>
                    <w:kinsoku/>
                    <w:wordWrap/>
                    <w:overflowPunct/>
                    <w:topLinePunct w:val="0"/>
                    <w:autoSpaceDE/>
                    <w:autoSpaceDN/>
                    <w:bidi w:val="0"/>
                    <w:adjustRightInd w:val="0"/>
                    <w:snapToGrid w:val="0"/>
                    <w:textAlignment w:val="auto"/>
                    <w:rPr>
                      <w:rFonts w:hint="eastAsia"/>
                      <w:color w:val="auto"/>
                      <w:highlight w:val="none"/>
                      <w:lang w:val="en-US" w:eastAsia="zh-CN"/>
                    </w:rPr>
                  </w:pPr>
                  <w:r>
                    <w:rPr>
                      <w:rFonts w:hint="eastAsia"/>
                      <w:color w:val="auto"/>
                      <w:highlight w:val="none"/>
                      <w:lang w:val="en-US" w:eastAsia="zh-CN"/>
                    </w:rPr>
                    <w:t>挤出包塑、挤护套、</w:t>
                  </w:r>
                </w:p>
                <w:p w14:paraId="23F5A0D8">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注塑、</w:t>
                  </w:r>
                </w:p>
                <w:p w14:paraId="059EC717">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喷码</w:t>
                  </w:r>
                </w:p>
              </w:tc>
              <w:tc>
                <w:tcPr>
                  <w:tcW w:w="719" w:type="dxa"/>
                  <w:noWrap w:val="0"/>
                  <w:vAlign w:val="center"/>
                </w:tcPr>
                <w:p w14:paraId="1C1BD939">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非甲烷总烃</w:t>
                  </w:r>
                </w:p>
              </w:tc>
              <w:tc>
                <w:tcPr>
                  <w:tcW w:w="611" w:type="dxa"/>
                  <w:vMerge w:val="restart"/>
                  <w:noWrap w:val="0"/>
                  <w:vAlign w:val="center"/>
                </w:tcPr>
                <w:p w14:paraId="641AFF7C">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有组织</w:t>
                  </w:r>
                </w:p>
              </w:tc>
              <w:tc>
                <w:tcPr>
                  <w:tcW w:w="870" w:type="dxa"/>
                  <w:noWrap w:val="0"/>
                  <w:vAlign w:val="center"/>
                </w:tcPr>
                <w:p w14:paraId="00F9B25A">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3.237</w:t>
                  </w:r>
                </w:p>
              </w:tc>
              <w:tc>
                <w:tcPr>
                  <w:tcW w:w="955" w:type="dxa"/>
                  <w:vMerge w:val="restart"/>
                  <w:noWrap w:val="0"/>
                  <w:vAlign w:val="center"/>
                </w:tcPr>
                <w:p w14:paraId="0160F787">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56000</w:t>
                  </w:r>
                </w:p>
              </w:tc>
              <w:tc>
                <w:tcPr>
                  <w:tcW w:w="922" w:type="dxa"/>
                  <w:noWrap w:val="0"/>
                  <w:vAlign w:val="center"/>
                </w:tcPr>
                <w:p w14:paraId="111B3928">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3.075</w:t>
                  </w:r>
                </w:p>
              </w:tc>
              <w:tc>
                <w:tcPr>
                  <w:tcW w:w="1090" w:type="dxa"/>
                  <w:noWrap w:val="0"/>
                  <w:vAlign w:val="center"/>
                </w:tcPr>
                <w:p w14:paraId="56CC5D05">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1.478</w:t>
                  </w:r>
                </w:p>
              </w:tc>
              <w:tc>
                <w:tcPr>
                  <w:tcW w:w="1120" w:type="dxa"/>
                  <w:noWrap w:val="0"/>
                  <w:vAlign w:val="center"/>
                </w:tcPr>
                <w:p w14:paraId="44875385">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26.393</w:t>
                  </w:r>
                </w:p>
              </w:tc>
              <w:tc>
                <w:tcPr>
                  <w:tcW w:w="722" w:type="dxa"/>
                  <w:vMerge w:val="restart"/>
                  <w:noWrap w:val="0"/>
                  <w:vAlign w:val="center"/>
                </w:tcPr>
                <w:p w14:paraId="35B7B3A5">
                  <w:pPr>
                    <w:pStyle w:val="10"/>
                    <w:keepNext w:val="0"/>
                    <w:keepLines w:val="0"/>
                    <w:pageBreakBefore w:val="0"/>
                    <w:widowControl/>
                    <w:kinsoku/>
                    <w:wordWrap/>
                    <w:overflowPunct/>
                    <w:topLinePunct w:val="0"/>
                    <w:autoSpaceDE/>
                    <w:autoSpaceDN/>
                    <w:bidi w:val="0"/>
                    <w:adjustRightInd w:val="0"/>
                    <w:snapToGrid w:val="0"/>
                    <w:textAlignment w:val="auto"/>
                    <w:rPr>
                      <w:rFonts w:hint="default" w:eastAsia="宋体"/>
                      <w:color w:val="auto"/>
                      <w:highlight w:val="none"/>
                      <w:lang w:val="en-US" w:eastAsia="zh-CN"/>
                    </w:rPr>
                  </w:pPr>
                  <w:r>
                    <w:rPr>
                      <w:rFonts w:hint="eastAsia"/>
                      <w:color w:val="auto"/>
                      <w:highlight w:val="none"/>
                      <w:lang w:val="en-US" w:eastAsia="zh-CN"/>
                    </w:rPr>
                    <w:t>95%</w:t>
                  </w:r>
                </w:p>
              </w:tc>
              <w:tc>
                <w:tcPr>
                  <w:tcW w:w="668" w:type="dxa"/>
                  <w:vMerge w:val="restart"/>
                  <w:noWrap w:val="0"/>
                  <w:vAlign w:val="center"/>
                </w:tcPr>
                <w:p w14:paraId="600C7EEE">
                  <w:pPr>
                    <w:pStyle w:val="10"/>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default" w:ascii="Times New Roman" w:hAnsi="Times New Roman" w:eastAsia="宋体"/>
                      <w:color w:val="auto"/>
                      <w:kern w:val="0"/>
                      <w:sz w:val="21"/>
                      <w:szCs w:val="21"/>
                      <w:highlight w:val="none"/>
                      <w:vertAlign w:val="baseline"/>
                      <w:lang w:val="en-US" w:eastAsia="zh-CN" w:bidi="ar-SA"/>
                    </w:rPr>
                  </w:pPr>
                  <w:r>
                    <w:rPr>
                      <w:rFonts w:hint="eastAsia"/>
                      <w:color w:val="auto"/>
                      <w:kern w:val="0"/>
                      <w:sz w:val="21"/>
                      <w:szCs w:val="21"/>
                      <w:highlight w:val="none"/>
                      <w:vertAlign w:val="baseline"/>
                      <w:lang w:val="en-US" w:eastAsia="zh-CN" w:bidi="ar-SA"/>
                    </w:rPr>
                    <w:t>静电式油雾净化器+两级活性炭吸附装置</w:t>
                  </w:r>
                </w:p>
              </w:tc>
              <w:tc>
                <w:tcPr>
                  <w:tcW w:w="690" w:type="dxa"/>
                  <w:noWrap w:val="0"/>
                  <w:vAlign w:val="center"/>
                </w:tcPr>
                <w:p w14:paraId="0A72544A">
                  <w:pPr>
                    <w:pStyle w:val="10"/>
                    <w:keepNext w:val="0"/>
                    <w:keepLines w:val="0"/>
                    <w:pageBreakBefore w:val="0"/>
                    <w:widowControl/>
                    <w:kinsoku/>
                    <w:wordWrap/>
                    <w:overflowPunct/>
                    <w:topLinePunct w:val="0"/>
                    <w:autoSpaceDE/>
                    <w:autoSpaceDN/>
                    <w:bidi w:val="0"/>
                    <w:adjustRightInd w:val="0"/>
                    <w:snapToGrid w:val="0"/>
                    <w:textAlignment w:val="auto"/>
                    <w:rPr>
                      <w:rFonts w:hint="default" w:eastAsia="宋体"/>
                      <w:color w:val="auto"/>
                      <w:highlight w:val="none"/>
                      <w:lang w:val="en-US" w:eastAsia="zh-CN"/>
                    </w:rPr>
                  </w:pPr>
                  <w:r>
                    <w:rPr>
                      <w:rFonts w:hint="eastAsia"/>
                      <w:color w:val="auto"/>
                      <w:highlight w:val="none"/>
                      <w:lang w:val="en-US" w:eastAsia="zh-CN"/>
                    </w:rPr>
                    <w:t>90</w:t>
                  </w:r>
                  <w:r>
                    <w:rPr>
                      <w:rFonts w:hint="eastAsia"/>
                      <w:b w:val="0"/>
                      <w:bCs w:val="0"/>
                      <w:color w:val="auto"/>
                      <w:highlight w:val="none"/>
                      <w:lang w:val="en-US" w:eastAsia="zh-CN"/>
                    </w:rPr>
                    <w:t>%</w:t>
                  </w:r>
                </w:p>
              </w:tc>
              <w:tc>
                <w:tcPr>
                  <w:tcW w:w="922" w:type="dxa"/>
                  <w:noWrap w:val="0"/>
                  <w:vAlign w:val="center"/>
                </w:tcPr>
                <w:p w14:paraId="0094ED0B">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0.308</w:t>
                  </w:r>
                </w:p>
              </w:tc>
              <w:tc>
                <w:tcPr>
                  <w:tcW w:w="888" w:type="dxa"/>
                  <w:noWrap w:val="0"/>
                  <w:vAlign w:val="center"/>
                </w:tcPr>
                <w:p w14:paraId="5264C031">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0.148</w:t>
                  </w:r>
                </w:p>
              </w:tc>
              <w:tc>
                <w:tcPr>
                  <w:tcW w:w="1180" w:type="dxa"/>
                  <w:noWrap w:val="0"/>
                  <w:vAlign w:val="center"/>
                </w:tcPr>
                <w:p w14:paraId="172786F9">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2.642</w:t>
                  </w:r>
                </w:p>
              </w:tc>
              <w:tc>
                <w:tcPr>
                  <w:tcW w:w="723" w:type="dxa"/>
                  <w:vMerge w:val="restart"/>
                  <w:noWrap w:val="0"/>
                  <w:vAlign w:val="center"/>
                </w:tcPr>
                <w:p w14:paraId="00D6E54D">
                  <w:pPr>
                    <w:pStyle w:val="10"/>
                    <w:keepNext w:val="0"/>
                    <w:keepLines w:val="0"/>
                    <w:pageBreakBefore w:val="0"/>
                    <w:widowControl/>
                    <w:kinsoku/>
                    <w:wordWrap/>
                    <w:overflowPunct/>
                    <w:topLinePunct w:val="0"/>
                    <w:autoSpaceDE/>
                    <w:autoSpaceDN/>
                    <w:bidi w:val="0"/>
                    <w:adjustRightInd w:val="0"/>
                    <w:snapToGrid w:val="0"/>
                    <w:textAlignment w:val="auto"/>
                    <w:rPr>
                      <w:rFonts w:hint="default" w:eastAsia="宋体"/>
                      <w:color w:val="auto"/>
                      <w:highlight w:val="none"/>
                      <w:lang w:val="en-US" w:eastAsia="zh-CN"/>
                    </w:rPr>
                  </w:pPr>
                  <w:r>
                    <w:rPr>
                      <w:rFonts w:hint="eastAsia"/>
                      <w:color w:val="auto"/>
                      <w:highlight w:val="none"/>
                      <w:lang w:val="en-US" w:eastAsia="zh-CN"/>
                    </w:rPr>
                    <w:t>2080</w:t>
                  </w:r>
                </w:p>
              </w:tc>
            </w:tr>
            <w:tr w14:paraId="176F3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61" w:type="dxa"/>
                  <w:vMerge w:val="continue"/>
                  <w:noWrap w:val="0"/>
                  <w:vAlign w:val="center"/>
                </w:tcPr>
                <w:p w14:paraId="5A6773CF">
                  <w:pPr>
                    <w:pStyle w:val="10"/>
                    <w:keepNext w:val="0"/>
                    <w:keepLines w:val="0"/>
                    <w:pageBreakBefore w:val="0"/>
                    <w:widowControl/>
                    <w:kinsoku/>
                    <w:wordWrap/>
                    <w:overflowPunct/>
                    <w:topLinePunct w:val="0"/>
                    <w:autoSpaceDE/>
                    <w:autoSpaceDN/>
                    <w:bidi w:val="0"/>
                    <w:adjustRightInd w:val="0"/>
                    <w:snapToGrid w:val="0"/>
                    <w:textAlignment w:val="auto"/>
                    <w:rPr>
                      <w:rFonts w:hint="eastAsia"/>
                      <w:color w:val="auto"/>
                      <w:highlight w:val="none"/>
                      <w:lang w:val="en-US" w:eastAsia="zh-CN"/>
                    </w:rPr>
                  </w:pPr>
                </w:p>
              </w:tc>
              <w:tc>
                <w:tcPr>
                  <w:tcW w:w="719" w:type="dxa"/>
                  <w:noWrap w:val="0"/>
                  <w:vAlign w:val="center"/>
                </w:tcPr>
                <w:p w14:paraId="7A4E6797">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颗粒物</w:t>
                  </w:r>
                </w:p>
              </w:tc>
              <w:tc>
                <w:tcPr>
                  <w:tcW w:w="611" w:type="dxa"/>
                  <w:vMerge w:val="continue"/>
                  <w:noWrap w:val="0"/>
                  <w:vAlign w:val="center"/>
                </w:tcPr>
                <w:p w14:paraId="28EAA490">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p>
              </w:tc>
              <w:tc>
                <w:tcPr>
                  <w:tcW w:w="870" w:type="dxa"/>
                  <w:noWrap w:val="0"/>
                  <w:vAlign w:val="center"/>
                </w:tcPr>
                <w:p w14:paraId="362ED292">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1.695</w:t>
                  </w:r>
                </w:p>
              </w:tc>
              <w:tc>
                <w:tcPr>
                  <w:tcW w:w="955" w:type="dxa"/>
                  <w:vMerge w:val="continue"/>
                  <w:noWrap w:val="0"/>
                  <w:vAlign w:val="center"/>
                </w:tcPr>
                <w:p w14:paraId="1D65CFCA">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p>
              </w:tc>
              <w:tc>
                <w:tcPr>
                  <w:tcW w:w="922" w:type="dxa"/>
                  <w:noWrap w:val="0"/>
                  <w:vAlign w:val="center"/>
                </w:tcPr>
                <w:p w14:paraId="69D7FE6F">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1.61</w:t>
                  </w:r>
                </w:p>
              </w:tc>
              <w:tc>
                <w:tcPr>
                  <w:tcW w:w="1090" w:type="dxa"/>
                  <w:noWrap w:val="0"/>
                  <w:vAlign w:val="center"/>
                </w:tcPr>
                <w:p w14:paraId="67274A71">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0.774</w:t>
                  </w:r>
                </w:p>
              </w:tc>
              <w:tc>
                <w:tcPr>
                  <w:tcW w:w="1120" w:type="dxa"/>
                  <w:noWrap w:val="0"/>
                  <w:vAlign w:val="center"/>
                </w:tcPr>
                <w:p w14:paraId="50126CD5">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13.821</w:t>
                  </w:r>
                </w:p>
              </w:tc>
              <w:tc>
                <w:tcPr>
                  <w:tcW w:w="722" w:type="dxa"/>
                  <w:vMerge w:val="continue"/>
                  <w:noWrap w:val="0"/>
                  <w:vAlign w:val="center"/>
                </w:tcPr>
                <w:p w14:paraId="3E42AF47">
                  <w:pPr>
                    <w:pStyle w:val="10"/>
                    <w:keepNext w:val="0"/>
                    <w:keepLines w:val="0"/>
                    <w:pageBreakBefore w:val="0"/>
                    <w:widowControl/>
                    <w:kinsoku/>
                    <w:wordWrap/>
                    <w:overflowPunct/>
                    <w:topLinePunct w:val="0"/>
                    <w:autoSpaceDE/>
                    <w:autoSpaceDN/>
                    <w:bidi w:val="0"/>
                    <w:adjustRightInd w:val="0"/>
                    <w:snapToGrid w:val="0"/>
                    <w:textAlignment w:val="auto"/>
                    <w:rPr>
                      <w:rFonts w:hint="eastAsia"/>
                      <w:color w:val="auto"/>
                      <w:highlight w:val="none"/>
                      <w:lang w:val="en-US" w:eastAsia="zh-CN"/>
                    </w:rPr>
                  </w:pPr>
                </w:p>
              </w:tc>
              <w:tc>
                <w:tcPr>
                  <w:tcW w:w="668" w:type="dxa"/>
                  <w:vMerge w:val="continue"/>
                  <w:noWrap w:val="0"/>
                  <w:vAlign w:val="center"/>
                </w:tcPr>
                <w:p w14:paraId="68692BDD">
                  <w:pPr>
                    <w:pStyle w:val="10"/>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color w:val="auto"/>
                      <w:kern w:val="0"/>
                      <w:sz w:val="21"/>
                      <w:szCs w:val="21"/>
                      <w:highlight w:val="none"/>
                      <w:vertAlign w:val="baseline"/>
                      <w:lang w:val="en-US" w:eastAsia="zh-CN" w:bidi="ar-SA"/>
                    </w:rPr>
                  </w:pPr>
                </w:p>
              </w:tc>
              <w:tc>
                <w:tcPr>
                  <w:tcW w:w="690" w:type="dxa"/>
                  <w:noWrap w:val="0"/>
                  <w:vAlign w:val="center"/>
                </w:tcPr>
                <w:p w14:paraId="19C2E581">
                  <w:pPr>
                    <w:pStyle w:val="10"/>
                    <w:keepNext w:val="0"/>
                    <w:keepLines w:val="0"/>
                    <w:pageBreakBefore w:val="0"/>
                    <w:widowControl/>
                    <w:kinsoku/>
                    <w:wordWrap/>
                    <w:overflowPunct/>
                    <w:topLinePunct w:val="0"/>
                    <w:autoSpaceDE/>
                    <w:autoSpaceDN/>
                    <w:bidi w:val="0"/>
                    <w:adjustRightInd w:val="0"/>
                    <w:snapToGrid w:val="0"/>
                    <w:textAlignment w:val="auto"/>
                    <w:rPr>
                      <w:rFonts w:hint="eastAsia"/>
                      <w:color w:val="auto"/>
                      <w:highlight w:val="none"/>
                      <w:lang w:val="en-US" w:eastAsia="zh-CN"/>
                    </w:rPr>
                  </w:pPr>
                  <w:r>
                    <w:rPr>
                      <w:rFonts w:hint="eastAsia"/>
                      <w:color w:val="auto"/>
                      <w:highlight w:val="none"/>
                      <w:lang w:val="en-US" w:eastAsia="zh-CN"/>
                    </w:rPr>
                    <w:t>90</w:t>
                  </w:r>
                  <w:r>
                    <w:rPr>
                      <w:rFonts w:hint="eastAsia"/>
                      <w:b w:val="0"/>
                      <w:bCs w:val="0"/>
                      <w:color w:val="auto"/>
                      <w:highlight w:val="none"/>
                      <w:lang w:val="en-US" w:eastAsia="zh-CN"/>
                    </w:rPr>
                    <w:t>%</w:t>
                  </w:r>
                </w:p>
              </w:tc>
              <w:tc>
                <w:tcPr>
                  <w:tcW w:w="922" w:type="dxa"/>
                  <w:noWrap w:val="0"/>
                  <w:vAlign w:val="center"/>
                </w:tcPr>
                <w:p w14:paraId="62203A9D">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0.161</w:t>
                  </w:r>
                </w:p>
              </w:tc>
              <w:tc>
                <w:tcPr>
                  <w:tcW w:w="888" w:type="dxa"/>
                  <w:noWrap w:val="0"/>
                  <w:vAlign w:val="center"/>
                </w:tcPr>
                <w:p w14:paraId="78559DA6">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0.077</w:t>
                  </w:r>
                </w:p>
              </w:tc>
              <w:tc>
                <w:tcPr>
                  <w:tcW w:w="1180" w:type="dxa"/>
                  <w:noWrap w:val="0"/>
                  <w:vAlign w:val="center"/>
                </w:tcPr>
                <w:p w14:paraId="62758BC8">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1.38</w:t>
                  </w:r>
                </w:p>
              </w:tc>
              <w:tc>
                <w:tcPr>
                  <w:tcW w:w="723" w:type="dxa"/>
                  <w:vMerge w:val="continue"/>
                  <w:noWrap w:val="0"/>
                  <w:vAlign w:val="center"/>
                </w:tcPr>
                <w:p w14:paraId="4CE224CE">
                  <w:pPr>
                    <w:pStyle w:val="10"/>
                    <w:keepNext w:val="0"/>
                    <w:keepLines w:val="0"/>
                    <w:pageBreakBefore w:val="0"/>
                    <w:widowControl/>
                    <w:kinsoku/>
                    <w:wordWrap/>
                    <w:overflowPunct/>
                    <w:topLinePunct w:val="0"/>
                    <w:autoSpaceDE/>
                    <w:autoSpaceDN/>
                    <w:bidi w:val="0"/>
                    <w:adjustRightInd w:val="0"/>
                    <w:snapToGrid w:val="0"/>
                    <w:textAlignment w:val="auto"/>
                    <w:rPr>
                      <w:rFonts w:hint="eastAsia"/>
                      <w:color w:val="auto"/>
                      <w:highlight w:val="none"/>
                      <w:lang w:val="en-US" w:eastAsia="zh-CN"/>
                    </w:rPr>
                  </w:pPr>
                </w:p>
              </w:tc>
            </w:tr>
            <w:tr w14:paraId="592AA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661" w:type="dxa"/>
                  <w:vMerge w:val="continue"/>
                  <w:noWrap w:val="0"/>
                  <w:vAlign w:val="center"/>
                </w:tcPr>
                <w:p w14:paraId="0399A20E">
                  <w:pPr>
                    <w:pStyle w:val="10"/>
                    <w:keepNext w:val="0"/>
                    <w:keepLines w:val="0"/>
                    <w:pageBreakBefore w:val="0"/>
                    <w:widowControl/>
                    <w:kinsoku/>
                    <w:wordWrap/>
                    <w:overflowPunct/>
                    <w:topLinePunct w:val="0"/>
                    <w:autoSpaceDE/>
                    <w:autoSpaceDN/>
                    <w:bidi w:val="0"/>
                    <w:adjustRightInd w:val="0"/>
                    <w:snapToGrid w:val="0"/>
                    <w:textAlignment w:val="auto"/>
                    <w:rPr>
                      <w:rFonts w:hint="eastAsia"/>
                      <w:color w:val="auto"/>
                      <w:highlight w:val="none"/>
                      <w:lang w:val="en-US" w:eastAsia="zh-CN"/>
                    </w:rPr>
                  </w:pPr>
                </w:p>
              </w:tc>
              <w:tc>
                <w:tcPr>
                  <w:tcW w:w="719" w:type="dxa"/>
                  <w:noWrap w:val="0"/>
                  <w:vAlign w:val="center"/>
                </w:tcPr>
                <w:p w14:paraId="53BE88F4">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氯化氢</w:t>
                  </w:r>
                </w:p>
              </w:tc>
              <w:tc>
                <w:tcPr>
                  <w:tcW w:w="611" w:type="dxa"/>
                  <w:vMerge w:val="continue"/>
                  <w:noWrap w:val="0"/>
                  <w:vAlign w:val="center"/>
                </w:tcPr>
                <w:p w14:paraId="0085E5A4">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p>
              </w:tc>
              <w:tc>
                <w:tcPr>
                  <w:tcW w:w="870" w:type="dxa"/>
                  <w:noWrap w:val="0"/>
                  <w:vAlign w:val="center"/>
                </w:tcPr>
                <w:p w14:paraId="1A12D97E">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0.000136389</w:t>
                  </w:r>
                </w:p>
              </w:tc>
              <w:tc>
                <w:tcPr>
                  <w:tcW w:w="955" w:type="dxa"/>
                  <w:vMerge w:val="continue"/>
                  <w:noWrap w:val="0"/>
                  <w:vAlign w:val="center"/>
                </w:tcPr>
                <w:p w14:paraId="62726236">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p>
              </w:tc>
              <w:tc>
                <w:tcPr>
                  <w:tcW w:w="922" w:type="dxa"/>
                  <w:noWrap w:val="0"/>
                  <w:vAlign w:val="center"/>
                </w:tcPr>
                <w:p w14:paraId="5AF4E6F5">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0.00013</w:t>
                  </w:r>
                </w:p>
              </w:tc>
              <w:tc>
                <w:tcPr>
                  <w:tcW w:w="1090" w:type="dxa"/>
                  <w:noWrap w:val="0"/>
                  <w:vAlign w:val="center"/>
                </w:tcPr>
                <w:p w14:paraId="4EA59036">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0.00006</w:t>
                  </w:r>
                </w:p>
              </w:tc>
              <w:tc>
                <w:tcPr>
                  <w:tcW w:w="1120" w:type="dxa"/>
                  <w:noWrap w:val="0"/>
                  <w:vAlign w:val="center"/>
                </w:tcPr>
                <w:p w14:paraId="1617A8C5">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0.00107</w:t>
                  </w:r>
                </w:p>
              </w:tc>
              <w:tc>
                <w:tcPr>
                  <w:tcW w:w="722" w:type="dxa"/>
                  <w:vMerge w:val="continue"/>
                  <w:noWrap w:val="0"/>
                  <w:vAlign w:val="center"/>
                </w:tcPr>
                <w:p w14:paraId="32268329">
                  <w:pPr>
                    <w:pStyle w:val="10"/>
                    <w:keepNext w:val="0"/>
                    <w:keepLines w:val="0"/>
                    <w:pageBreakBefore w:val="0"/>
                    <w:widowControl/>
                    <w:kinsoku/>
                    <w:wordWrap/>
                    <w:overflowPunct/>
                    <w:topLinePunct w:val="0"/>
                    <w:autoSpaceDE/>
                    <w:autoSpaceDN/>
                    <w:bidi w:val="0"/>
                    <w:adjustRightInd w:val="0"/>
                    <w:snapToGrid w:val="0"/>
                    <w:textAlignment w:val="auto"/>
                    <w:rPr>
                      <w:rFonts w:hint="eastAsia"/>
                      <w:color w:val="auto"/>
                      <w:highlight w:val="none"/>
                      <w:lang w:val="en-US" w:eastAsia="zh-CN"/>
                    </w:rPr>
                  </w:pPr>
                </w:p>
              </w:tc>
              <w:tc>
                <w:tcPr>
                  <w:tcW w:w="668" w:type="dxa"/>
                  <w:vMerge w:val="continue"/>
                  <w:noWrap w:val="0"/>
                  <w:vAlign w:val="center"/>
                </w:tcPr>
                <w:p w14:paraId="0E04A8E6">
                  <w:pPr>
                    <w:pStyle w:val="10"/>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color w:val="auto"/>
                      <w:kern w:val="0"/>
                      <w:sz w:val="21"/>
                      <w:szCs w:val="21"/>
                      <w:highlight w:val="none"/>
                      <w:vertAlign w:val="baseline"/>
                      <w:lang w:val="en-US" w:eastAsia="zh-CN" w:bidi="ar-SA"/>
                    </w:rPr>
                  </w:pPr>
                </w:p>
              </w:tc>
              <w:tc>
                <w:tcPr>
                  <w:tcW w:w="690" w:type="dxa"/>
                  <w:noWrap w:val="0"/>
                  <w:vAlign w:val="center"/>
                </w:tcPr>
                <w:p w14:paraId="61A49F78">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w:t>
                  </w:r>
                </w:p>
              </w:tc>
              <w:tc>
                <w:tcPr>
                  <w:tcW w:w="922" w:type="dxa"/>
                  <w:noWrap w:val="0"/>
                  <w:vAlign w:val="center"/>
                </w:tcPr>
                <w:p w14:paraId="55709247">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0.00013</w:t>
                  </w:r>
                </w:p>
              </w:tc>
              <w:tc>
                <w:tcPr>
                  <w:tcW w:w="888" w:type="dxa"/>
                  <w:noWrap w:val="0"/>
                  <w:vAlign w:val="center"/>
                </w:tcPr>
                <w:p w14:paraId="0EB5A0B5">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0.00006</w:t>
                  </w:r>
                </w:p>
              </w:tc>
              <w:tc>
                <w:tcPr>
                  <w:tcW w:w="1180" w:type="dxa"/>
                  <w:noWrap w:val="0"/>
                  <w:vAlign w:val="center"/>
                </w:tcPr>
                <w:p w14:paraId="1E1D3E40">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0.00107</w:t>
                  </w:r>
                </w:p>
              </w:tc>
              <w:tc>
                <w:tcPr>
                  <w:tcW w:w="723" w:type="dxa"/>
                  <w:vMerge w:val="continue"/>
                  <w:noWrap w:val="0"/>
                  <w:vAlign w:val="center"/>
                </w:tcPr>
                <w:p w14:paraId="7E55D602">
                  <w:pPr>
                    <w:pStyle w:val="10"/>
                    <w:keepNext w:val="0"/>
                    <w:keepLines w:val="0"/>
                    <w:pageBreakBefore w:val="0"/>
                    <w:widowControl/>
                    <w:kinsoku/>
                    <w:wordWrap/>
                    <w:overflowPunct/>
                    <w:topLinePunct w:val="0"/>
                    <w:autoSpaceDE/>
                    <w:autoSpaceDN/>
                    <w:bidi w:val="0"/>
                    <w:adjustRightInd w:val="0"/>
                    <w:snapToGrid w:val="0"/>
                    <w:textAlignment w:val="auto"/>
                    <w:rPr>
                      <w:rFonts w:hint="eastAsia"/>
                      <w:color w:val="auto"/>
                      <w:highlight w:val="none"/>
                      <w:lang w:val="en-US" w:eastAsia="zh-CN"/>
                    </w:rPr>
                  </w:pPr>
                </w:p>
              </w:tc>
            </w:tr>
            <w:tr w14:paraId="54FD3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661" w:type="dxa"/>
                  <w:vMerge w:val="continue"/>
                  <w:noWrap w:val="0"/>
                  <w:vAlign w:val="center"/>
                </w:tcPr>
                <w:p w14:paraId="63AE1D2C">
                  <w:pPr>
                    <w:pStyle w:val="10"/>
                    <w:keepNext w:val="0"/>
                    <w:keepLines w:val="0"/>
                    <w:pageBreakBefore w:val="0"/>
                    <w:widowControl/>
                    <w:kinsoku/>
                    <w:wordWrap/>
                    <w:overflowPunct/>
                    <w:topLinePunct w:val="0"/>
                    <w:autoSpaceDE/>
                    <w:autoSpaceDN/>
                    <w:bidi w:val="0"/>
                    <w:adjustRightInd w:val="0"/>
                    <w:snapToGrid w:val="0"/>
                    <w:textAlignment w:val="auto"/>
                    <w:rPr>
                      <w:rFonts w:hint="eastAsia"/>
                      <w:color w:val="auto"/>
                      <w:highlight w:val="none"/>
                      <w:lang w:val="en-US" w:eastAsia="zh-CN"/>
                    </w:rPr>
                  </w:pPr>
                </w:p>
              </w:tc>
              <w:tc>
                <w:tcPr>
                  <w:tcW w:w="719" w:type="dxa"/>
                  <w:noWrap w:val="0"/>
                  <w:vAlign w:val="center"/>
                </w:tcPr>
                <w:p w14:paraId="4F6C0181">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氯乙烯</w:t>
                  </w:r>
                </w:p>
              </w:tc>
              <w:tc>
                <w:tcPr>
                  <w:tcW w:w="611" w:type="dxa"/>
                  <w:vMerge w:val="continue"/>
                  <w:noWrap w:val="0"/>
                  <w:vAlign w:val="center"/>
                </w:tcPr>
                <w:p w14:paraId="0C8EE82B">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p>
              </w:tc>
              <w:tc>
                <w:tcPr>
                  <w:tcW w:w="870" w:type="dxa"/>
                  <w:noWrap w:val="0"/>
                  <w:vAlign w:val="center"/>
                </w:tcPr>
                <w:p w14:paraId="5DAF1900">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0.000159457</w:t>
                  </w:r>
                </w:p>
              </w:tc>
              <w:tc>
                <w:tcPr>
                  <w:tcW w:w="955" w:type="dxa"/>
                  <w:vMerge w:val="continue"/>
                  <w:noWrap w:val="0"/>
                  <w:vAlign w:val="center"/>
                </w:tcPr>
                <w:p w14:paraId="74C192B7">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p>
              </w:tc>
              <w:tc>
                <w:tcPr>
                  <w:tcW w:w="922" w:type="dxa"/>
                  <w:noWrap w:val="0"/>
                  <w:vAlign w:val="center"/>
                </w:tcPr>
                <w:p w14:paraId="4BCA2005">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0.00015</w:t>
                  </w:r>
                </w:p>
              </w:tc>
              <w:tc>
                <w:tcPr>
                  <w:tcW w:w="1090" w:type="dxa"/>
                  <w:noWrap w:val="0"/>
                  <w:vAlign w:val="center"/>
                </w:tcPr>
                <w:p w14:paraId="45DA4301">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0.00007</w:t>
                  </w:r>
                </w:p>
              </w:tc>
              <w:tc>
                <w:tcPr>
                  <w:tcW w:w="1120" w:type="dxa"/>
                  <w:noWrap w:val="0"/>
                  <w:vAlign w:val="center"/>
                </w:tcPr>
                <w:p w14:paraId="48D5E481">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0.00125</w:t>
                  </w:r>
                </w:p>
              </w:tc>
              <w:tc>
                <w:tcPr>
                  <w:tcW w:w="722" w:type="dxa"/>
                  <w:vMerge w:val="continue"/>
                  <w:noWrap w:val="0"/>
                  <w:vAlign w:val="center"/>
                </w:tcPr>
                <w:p w14:paraId="07BE1E9A">
                  <w:pPr>
                    <w:pStyle w:val="10"/>
                    <w:keepNext w:val="0"/>
                    <w:keepLines w:val="0"/>
                    <w:pageBreakBefore w:val="0"/>
                    <w:widowControl/>
                    <w:kinsoku/>
                    <w:wordWrap/>
                    <w:overflowPunct/>
                    <w:topLinePunct w:val="0"/>
                    <w:autoSpaceDE/>
                    <w:autoSpaceDN/>
                    <w:bidi w:val="0"/>
                    <w:adjustRightInd w:val="0"/>
                    <w:snapToGrid w:val="0"/>
                    <w:textAlignment w:val="auto"/>
                    <w:rPr>
                      <w:rFonts w:hint="eastAsia"/>
                      <w:color w:val="auto"/>
                      <w:highlight w:val="none"/>
                      <w:lang w:val="en-US" w:eastAsia="zh-CN"/>
                    </w:rPr>
                  </w:pPr>
                </w:p>
              </w:tc>
              <w:tc>
                <w:tcPr>
                  <w:tcW w:w="668" w:type="dxa"/>
                  <w:vMerge w:val="continue"/>
                  <w:noWrap w:val="0"/>
                  <w:vAlign w:val="center"/>
                </w:tcPr>
                <w:p w14:paraId="20E5F9A5">
                  <w:pPr>
                    <w:pStyle w:val="10"/>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color w:val="auto"/>
                      <w:kern w:val="0"/>
                      <w:sz w:val="21"/>
                      <w:szCs w:val="21"/>
                      <w:highlight w:val="none"/>
                      <w:vertAlign w:val="baseline"/>
                      <w:lang w:val="en-US" w:eastAsia="zh-CN" w:bidi="ar-SA"/>
                    </w:rPr>
                  </w:pPr>
                </w:p>
              </w:tc>
              <w:tc>
                <w:tcPr>
                  <w:tcW w:w="690" w:type="dxa"/>
                  <w:noWrap w:val="0"/>
                  <w:vAlign w:val="center"/>
                </w:tcPr>
                <w:p w14:paraId="6E1CE9DB">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w:t>
                  </w:r>
                </w:p>
              </w:tc>
              <w:tc>
                <w:tcPr>
                  <w:tcW w:w="922" w:type="dxa"/>
                  <w:noWrap w:val="0"/>
                  <w:vAlign w:val="center"/>
                </w:tcPr>
                <w:p w14:paraId="22798E4F">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0.00015</w:t>
                  </w:r>
                </w:p>
              </w:tc>
              <w:tc>
                <w:tcPr>
                  <w:tcW w:w="888" w:type="dxa"/>
                  <w:noWrap w:val="0"/>
                  <w:vAlign w:val="center"/>
                </w:tcPr>
                <w:p w14:paraId="1D6F46B3">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0.00007</w:t>
                  </w:r>
                </w:p>
              </w:tc>
              <w:tc>
                <w:tcPr>
                  <w:tcW w:w="1180" w:type="dxa"/>
                  <w:noWrap w:val="0"/>
                  <w:vAlign w:val="center"/>
                </w:tcPr>
                <w:p w14:paraId="6CE7A558">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0.00125</w:t>
                  </w:r>
                </w:p>
              </w:tc>
              <w:tc>
                <w:tcPr>
                  <w:tcW w:w="723" w:type="dxa"/>
                  <w:vMerge w:val="continue"/>
                  <w:noWrap w:val="0"/>
                  <w:vAlign w:val="center"/>
                </w:tcPr>
                <w:p w14:paraId="7B7639BA">
                  <w:pPr>
                    <w:pStyle w:val="10"/>
                    <w:keepNext w:val="0"/>
                    <w:keepLines w:val="0"/>
                    <w:pageBreakBefore w:val="0"/>
                    <w:widowControl/>
                    <w:kinsoku/>
                    <w:wordWrap/>
                    <w:overflowPunct/>
                    <w:topLinePunct w:val="0"/>
                    <w:autoSpaceDE/>
                    <w:autoSpaceDN/>
                    <w:bidi w:val="0"/>
                    <w:adjustRightInd w:val="0"/>
                    <w:snapToGrid w:val="0"/>
                    <w:textAlignment w:val="auto"/>
                    <w:rPr>
                      <w:rFonts w:hint="eastAsia"/>
                      <w:color w:val="auto"/>
                      <w:highlight w:val="none"/>
                      <w:lang w:val="en-US" w:eastAsia="zh-CN"/>
                    </w:rPr>
                  </w:pPr>
                </w:p>
              </w:tc>
            </w:tr>
            <w:tr w14:paraId="23455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1" w:type="dxa"/>
                  <w:noWrap w:val="0"/>
                  <w:vAlign w:val="center"/>
                </w:tcPr>
                <w:p w14:paraId="19F351E4">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投料</w:t>
                  </w:r>
                </w:p>
              </w:tc>
              <w:tc>
                <w:tcPr>
                  <w:tcW w:w="719" w:type="dxa"/>
                  <w:vMerge w:val="restart"/>
                  <w:noWrap w:val="0"/>
                  <w:vAlign w:val="center"/>
                </w:tcPr>
                <w:p w14:paraId="596360C3">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颗粒物</w:t>
                  </w:r>
                </w:p>
              </w:tc>
              <w:tc>
                <w:tcPr>
                  <w:tcW w:w="611" w:type="dxa"/>
                  <w:vMerge w:val="restart"/>
                  <w:noWrap w:val="0"/>
                  <w:vAlign w:val="center"/>
                </w:tcPr>
                <w:p w14:paraId="6CDB3DC4">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有组织</w:t>
                  </w:r>
                </w:p>
              </w:tc>
              <w:tc>
                <w:tcPr>
                  <w:tcW w:w="870" w:type="dxa"/>
                  <w:noWrap w:val="0"/>
                  <w:vAlign w:val="center"/>
                </w:tcPr>
                <w:p w14:paraId="151E02F1">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1.392</w:t>
                  </w:r>
                </w:p>
              </w:tc>
              <w:tc>
                <w:tcPr>
                  <w:tcW w:w="955" w:type="dxa"/>
                  <w:vMerge w:val="restart"/>
                  <w:noWrap w:val="0"/>
                  <w:vAlign w:val="center"/>
                </w:tcPr>
                <w:p w14:paraId="6C0A243D">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12500</w:t>
                  </w:r>
                </w:p>
              </w:tc>
              <w:tc>
                <w:tcPr>
                  <w:tcW w:w="922" w:type="dxa"/>
                  <w:vMerge w:val="restart"/>
                  <w:noWrap w:val="0"/>
                  <w:vAlign w:val="center"/>
                </w:tcPr>
                <w:p w14:paraId="09A0E187">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5.453</w:t>
                  </w:r>
                </w:p>
              </w:tc>
              <w:tc>
                <w:tcPr>
                  <w:tcW w:w="1090" w:type="dxa"/>
                  <w:vMerge w:val="restart"/>
                  <w:noWrap w:val="0"/>
                  <w:vAlign w:val="center"/>
                </w:tcPr>
                <w:p w14:paraId="373FF8E1">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2.622</w:t>
                  </w:r>
                </w:p>
              </w:tc>
              <w:tc>
                <w:tcPr>
                  <w:tcW w:w="1120" w:type="dxa"/>
                  <w:vMerge w:val="restart"/>
                  <w:noWrap w:val="0"/>
                  <w:vAlign w:val="center"/>
                </w:tcPr>
                <w:p w14:paraId="4C36B1C4">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209.76</w:t>
                  </w:r>
                </w:p>
              </w:tc>
              <w:tc>
                <w:tcPr>
                  <w:tcW w:w="722" w:type="dxa"/>
                  <w:noWrap w:val="0"/>
                  <w:vAlign w:val="center"/>
                </w:tcPr>
                <w:p w14:paraId="2BD618B4">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90%</w:t>
                  </w:r>
                </w:p>
              </w:tc>
              <w:tc>
                <w:tcPr>
                  <w:tcW w:w="668" w:type="dxa"/>
                  <w:vMerge w:val="restart"/>
                  <w:noWrap w:val="0"/>
                  <w:vAlign w:val="center"/>
                </w:tcPr>
                <w:p w14:paraId="10DA0B01">
                  <w:pPr>
                    <w:pStyle w:val="10"/>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default"/>
                      <w:color w:val="auto"/>
                      <w:highlight w:val="none"/>
                      <w:lang w:val="en-US" w:eastAsia="zh-CN"/>
                    </w:rPr>
                  </w:pPr>
                  <w:r>
                    <w:rPr>
                      <w:rFonts w:hint="eastAsia"/>
                      <w:color w:val="auto"/>
                      <w:highlight w:val="none"/>
                      <w:lang w:val="en-US" w:eastAsia="zh-CN"/>
                    </w:rPr>
                    <w:t>布袋除尘器</w:t>
                  </w:r>
                </w:p>
              </w:tc>
              <w:tc>
                <w:tcPr>
                  <w:tcW w:w="690" w:type="dxa"/>
                  <w:vMerge w:val="restart"/>
                  <w:noWrap w:val="0"/>
                  <w:vAlign w:val="center"/>
                </w:tcPr>
                <w:p w14:paraId="71500944">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99%</w:t>
                  </w:r>
                </w:p>
              </w:tc>
              <w:tc>
                <w:tcPr>
                  <w:tcW w:w="922" w:type="dxa"/>
                  <w:vMerge w:val="restart"/>
                  <w:noWrap w:val="0"/>
                  <w:vAlign w:val="center"/>
                </w:tcPr>
                <w:p w14:paraId="3D1F323A">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0.054</w:t>
                  </w:r>
                </w:p>
              </w:tc>
              <w:tc>
                <w:tcPr>
                  <w:tcW w:w="888" w:type="dxa"/>
                  <w:vMerge w:val="restart"/>
                  <w:noWrap w:val="0"/>
                  <w:vAlign w:val="center"/>
                </w:tcPr>
                <w:p w14:paraId="5EE5CFE1">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0.026</w:t>
                  </w:r>
                </w:p>
              </w:tc>
              <w:tc>
                <w:tcPr>
                  <w:tcW w:w="1180" w:type="dxa"/>
                  <w:vMerge w:val="restart"/>
                  <w:noWrap w:val="0"/>
                  <w:vAlign w:val="center"/>
                </w:tcPr>
                <w:p w14:paraId="4396CCD0">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2.09</w:t>
                  </w:r>
                </w:p>
              </w:tc>
              <w:tc>
                <w:tcPr>
                  <w:tcW w:w="723" w:type="dxa"/>
                  <w:vMerge w:val="restart"/>
                  <w:noWrap w:val="0"/>
                  <w:vAlign w:val="center"/>
                </w:tcPr>
                <w:p w14:paraId="5AE664D4">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2080</w:t>
                  </w:r>
                </w:p>
              </w:tc>
            </w:tr>
            <w:tr w14:paraId="1C823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661" w:type="dxa"/>
                  <w:noWrap w:val="0"/>
                  <w:vAlign w:val="center"/>
                </w:tcPr>
                <w:p w14:paraId="1E807F4D">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二次冷却</w:t>
                  </w:r>
                </w:p>
              </w:tc>
              <w:tc>
                <w:tcPr>
                  <w:tcW w:w="719" w:type="dxa"/>
                  <w:vMerge w:val="continue"/>
                  <w:noWrap w:val="0"/>
                  <w:vAlign w:val="center"/>
                </w:tcPr>
                <w:p w14:paraId="2EB1B708">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p>
              </w:tc>
              <w:tc>
                <w:tcPr>
                  <w:tcW w:w="611" w:type="dxa"/>
                  <w:vMerge w:val="continue"/>
                  <w:noWrap w:val="0"/>
                  <w:vAlign w:val="center"/>
                </w:tcPr>
                <w:p w14:paraId="7031A695">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p>
              </w:tc>
              <w:tc>
                <w:tcPr>
                  <w:tcW w:w="870" w:type="dxa"/>
                  <w:noWrap w:val="0"/>
                  <w:vAlign w:val="center"/>
                </w:tcPr>
                <w:p w14:paraId="6687A8BF">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4.2</w:t>
                  </w:r>
                </w:p>
              </w:tc>
              <w:tc>
                <w:tcPr>
                  <w:tcW w:w="955" w:type="dxa"/>
                  <w:vMerge w:val="continue"/>
                  <w:noWrap w:val="0"/>
                  <w:vAlign w:val="center"/>
                </w:tcPr>
                <w:p w14:paraId="1F696EC0">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p>
              </w:tc>
              <w:tc>
                <w:tcPr>
                  <w:tcW w:w="922" w:type="dxa"/>
                  <w:vMerge w:val="continue"/>
                  <w:noWrap w:val="0"/>
                  <w:vAlign w:val="center"/>
                </w:tcPr>
                <w:p w14:paraId="04C18EA8">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p>
              </w:tc>
              <w:tc>
                <w:tcPr>
                  <w:tcW w:w="1090" w:type="dxa"/>
                  <w:vMerge w:val="continue"/>
                  <w:noWrap w:val="0"/>
                  <w:vAlign w:val="center"/>
                </w:tcPr>
                <w:p w14:paraId="72E7365F">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p>
              </w:tc>
              <w:tc>
                <w:tcPr>
                  <w:tcW w:w="1120" w:type="dxa"/>
                  <w:vMerge w:val="continue"/>
                  <w:noWrap w:val="0"/>
                  <w:vAlign w:val="center"/>
                </w:tcPr>
                <w:p w14:paraId="72E8046A">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p>
              </w:tc>
              <w:tc>
                <w:tcPr>
                  <w:tcW w:w="722" w:type="dxa"/>
                  <w:noWrap w:val="0"/>
                  <w:vAlign w:val="center"/>
                </w:tcPr>
                <w:p w14:paraId="541A8ED4">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100%</w:t>
                  </w:r>
                </w:p>
              </w:tc>
              <w:tc>
                <w:tcPr>
                  <w:tcW w:w="668" w:type="dxa"/>
                  <w:vMerge w:val="continue"/>
                  <w:noWrap w:val="0"/>
                  <w:vAlign w:val="center"/>
                </w:tcPr>
                <w:p w14:paraId="26D9C302">
                  <w:pPr>
                    <w:pStyle w:val="10"/>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color w:val="auto"/>
                      <w:highlight w:val="none"/>
                      <w:lang w:val="en-US" w:eastAsia="zh-CN"/>
                    </w:rPr>
                  </w:pPr>
                </w:p>
              </w:tc>
              <w:tc>
                <w:tcPr>
                  <w:tcW w:w="690" w:type="dxa"/>
                  <w:vMerge w:val="continue"/>
                  <w:noWrap w:val="0"/>
                  <w:vAlign w:val="center"/>
                </w:tcPr>
                <w:p w14:paraId="0C958C29">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p>
              </w:tc>
              <w:tc>
                <w:tcPr>
                  <w:tcW w:w="922" w:type="dxa"/>
                  <w:vMerge w:val="continue"/>
                  <w:noWrap w:val="0"/>
                  <w:vAlign w:val="center"/>
                </w:tcPr>
                <w:p w14:paraId="70DF2AD4">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p>
              </w:tc>
              <w:tc>
                <w:tcPr>
                  <w:tcW w:w="888" w:type="dxa"/>
                  <w:vMerge w:val="continue"/>
                  <w:noWrap w:val="0"/>
                  <w:vAlign w:val="center"/>
                </w:tcPr>
                <w:p w14:paraId="0CFF5E35">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p>
              </w:tc>
              <w:tc>
                <w:tcPr>
                  <w:tcW w:w="1180" w:type="dxa"/>
                  <w:vMerge w:val="continue"/>
                  <w:noWrap w:val="0"/>
                  <w:vAlign w:val="center"/>
                </w:tcPr>
                <w:p w14:paraId="1F962B68">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p>
              </w:tc>
              <w:tc>
                <w:tcPr>
                  <w:tcW w:w="723" w:type="dxa"/>
                  <w:vMerge w:val="continue"/>
                  <w:noWrap w:val="0"/>
                  <w:vAlign w:val="center"/>
                </w:tcPr>
                <w:p w14:paraId="7F617A74">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p>
              </w:tc>
            </w:tr>
            <w:tr w14:paraId="650C2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661" w:type="dxa"/>
                  <w:vMerge w:val="restart"/>
                  <w:noWrap w:val="0"/>
                  <w:vAlign w:val="center"/>
                </w:tcPr>
                <w:p w14:paraId="2D460134">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混合熔融、挤出造粒、一次冷却</w:t>
                  </w:r>
                </w:p>
              </w:tc>
              <w:tc>
                <w:tcPr>
                  <w:tcW w:w="719" w:type="dxa"/>
                  <w:noWrap w:val="0"/>
                  <w:vAlign w:val="center"/>
                </w:tcPr>
                <w:p w14:paraId="2B681E67">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非甲烷总烃</w:t>
                  </w:r>
                </w:p>
              </w:tc>
              <w:tc>
                <w:tcPr>
                  <w:tcW w:w="611" w:type="dxa"/>
                  <w:vMerge w:val="restart"/>
                  <w:noWrap w:val="0"/>
                  <w:vAlign w:val="center"/>
                </w:tcPr>
                <w:p w14:paraId="52B75104">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有组织</w:t>
                  </w:r>
                </w:p>
              </w:tc>
              <w:tc>
                <w:tcPr>
                  <w:tcW w:w="870" w:type="dxa"/>
                  <w:noWrap w:val="0"/>
                  <w:vAlign w:val="center"/>
                </w:tcPr>
                <w:p w14:paraId="451E44E6">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3.22</w:t>
                  </w:r>
                </w:p>
              </w:tc>
              <w:tc>
                <w:tcPr>
                  <w:tcW w:w="955" w:type="dxa"/>
                  <w:vMerge w:val="restart"/>
                  <w:noWrap w:val="0"/>
                  <w:vAlign w:val="center"/>
                </w:tcPr>
                <w:p w14:paraId="34BE33D6">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s="仿宋"/>
                      <w:b w:val="0"/>
                      <w:bCs w:val="0"/>
                      <w:color w:val="auto"/>
                      <w:spacing w:val="0"/>
                      <w:kern w:val="2"/>
                      <w:sz w:val="21"/>
                      <w:szCs w:val="21"/>
                      <w:highlight w:val="none"/>
                      <w:lang w:val="en-US" w:eastAsia="zh-CN" w:bidi="ar-SA"/>
                    </w:rPr>
                    <w:t>8000</w:t>
                  </w:r>
                </w:p>
              </w:tc>
              <w:tc>
                <w:tcPr>
                  <w:tcW w:w="922" w:type="dxa"/>
                  <w:noWrap w:val="0"/>
                  <w:vAlign w:val="center"/>
                </w:tcPr>
                <w:p w14:paraId="749D3186">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3.22</w:t>
                  </w:r>
                </w:p>
              </w:tc>
              <w:tc>
                <w:tcPr>
                  <w:tcW w:w="1090" w:type="dxa"/>
                  <w:noWrap w:val="0"/>
                  <w:vAlign w:val="center"/>
                </w:tcPr>
                <w:p w14:paraId="03F22651">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1.548</w:t>
                  </w:r>
                </w:p>
              </w:tc>
              <w:tc>
                <w:tcPr>
                  <w:tcW w:w="1120" w:type="dxa"/>
                  <w:noWrap w:val="0"/>
                  <w:vAlign w:val="center"/>
                </w:tcPr>
                <w:p w14:paraId="7EBC2ACB">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193.5</w:t>
                  </w:r>
                </w:p>
              </w:tc>
              <w:tc>
                <w:tcPr>
                  <w:tcW w:w="722" w:type="dxa"/>
                  <w:vMerge w:val="restart"/>
                  <w:noWrap w:val="0"/>
                  <w:vAlign w:val="center"/>
                </w:tcPr>
                <w:p w14:paraId="6A68233E">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100%</w:t>
                  </w:r>
                </w:p>
              </w:tc>
              <w:tc>
                <w:tcPr>
                  <w:tcW w:w="668" w:type="dxa"/>
                  <w:vMerge w:val="restart"/>
                  <w:noWrap w:val="0"/>
                  <w:vAlign w:val="center"/>
                </w:tcPr>
                <w:p w14:paraId="5952C291">
                  <w:pPr>
                    <w:pStyle w:val="10"/>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default"/>
                      <w:color w:val="auto"/>
                      <w:highlight w:val="none"/>
                      <w:lang w:val="en-US" w:eastAsia="zh-CN"/>
                    </w:rPr>
                  </w:pPr>
                  <w:r>
                    <w:rPr>
                      <w:rFonts w:hint="eastAsia"/>
                      <w:color w:val="auto"/>
                      <w:highlight w:val="none"/>
                      <w:lang w:val="en-US" w:eastAsia="zh-CN"/>
                    </w:rPr>
                    <w:t>静电式油雾净化器+袋式除尘器+两级活性炭吸附处理</w:t>
                  </w:r>
                </w:p>
              </w:tc>
              <w:tc>
                <w:tcPr>
                  <w:tcW w:w="690" w:type="dxa"/>
                  <w:noWrap w:val="0"/>
                  <w:vAlign w:val="center"/>
                </w:tcPr>
                <w:p w14:paraId="1E75308F">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90%</w:t>
                  </w:r>
                </w:p>
              </w:tc>
              <w:tc>
                <w:tcPr>
                  <w:tcW w:w="922" w:type="dxa"/>
                  <w:noWrap w:val="0"/>
                  <w:vAlign w:val="center"/>
                </w:tcPr>
                <w:p w14:paraId="52BD3132">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0.322</w:t>
                  </w:r>
                </w:p>
              </w:tc>
              <w:tc>
                <w:tcPr>
                  <w:tcW w:w="888" w:type="dxa"/>
                  <w:noWrap w:val="0"/>
                  <w:vAlign w:val="center"/>
                </w:tcPr>
                <w:p w14:paraId="626376F7">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0.155</w:t>
                  </w:r>
                </w:p>
              </w:tc>
              <w:tc>
                <w:tcPr>
                  <w:tcW w:w="1180" w:type="dxa"/>
                  <w:noWrap w:val="0"/>
                  <w:vAlign w:val="center"/>
                </w:tcPr>
                <w:p w14:paraId="544FE36A">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19.375</w:t>
                  </w:r>
                </w:p>
              </w:tc>
              <w:tc>
                <w:tcPr>
                  <w:tcW w:w="723" w:type="dxa"/>
                  <w:vMerge w:val="restart"/>
                  <w:noWrap w:val="0"/>
                  <w:vAlign w:val="center"/>
                </w:tcPr>
                <w:p w14:paraId="19320C32">
                  <w:pPr>
                    <w:pStyle w:val="10"/>
                    <w:keepNext w:val="0"/>
                    <w:keepLines w:val="0"/>
                    <w:pageBreakBefore w:val="0"/>
                    <w:widowControl/>
                    <w:kinsoku/>
                    <w:wordWrap/>
                    <w:overflowPunct/>
                    <w:topLinePunct w:val="0"/>
                    <w:autoSpaceDE/>
                    <w:autoSpaceDN/>
                    <w:bidi w:val="0"/>
                    <w:adjustRightInd w:val="0"/>
                    <w:snapToGrid w:val="0"/>
                    <w:textAlignment w:val="auto"/>
                    <w:rPr>
                      <w:rFonts w:hint="eastAsia"/>
                      <w:color w:val="auto"/>
                      <w:highlight w:val="none"/>
                      <w:lang w:val="en-US" w:eastAsia="zh-CN"/>
                    </w:rPr>
                  </w:pPr>
                  <w:r>
                    <w:rPr>
                      <w:rFonts w:hint="eastAsia"/>
                      <w:color w:val="auto"/>
                      <w:highlight w:val="none"/>
                      <w:lang w:val="en-US" w:eastAsia="zh-CN"/>
                    </w:rPr>
                    <w:t>2080</w:t>
                  </w:r>
                </w:p>
              </w:tc>
            </w:tr>
            <w:tr w14:paraId="2F0F0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661" w:type="dxa"/>
                  <w:vMerge w:val="continue"/>
                  <w:noWrap w:val="0"/>
                  <w:vAlign w:val="center"/>
                </w:tcPr>
                <w:p w14:paraId="26D1EC86">
                  <w:pPr>
                    <w:pStyle w:val="10"/>
                    <w:keepNext w:val="0"/>
                    <w:keepLines w:val="0"/>
                    <w:pageBreakBefore w:val="0"/>
                    <w:widowControl/>
                    <w:kinsoku/>
                    <w:wordWrap/>
                    <w:overflowPunct/>
                    <w:topLinePunct w:val="0"/>
                    <w:autoSpaceDE/>
                    <w:autoSpaceDN/>
                    <w:bidi w:val="0"/>
                    <w:adjustRightInd w:val="0"/>
                    <w:snapToGrid w:val="0"/>
                    <w:textAlignment w:val="auto"/>
                    <w:rPr>
                      <w:rFonts w:hint="eastAsia"/>
                      <w:color w:val="auto"/>
                      <w:highlight w:val="none"/>
                      <w:lang w:val="en-US" w:eastAsia="zh-CN"/>
                    </w:rPr>
                  </w:pPr>
                </w:p>
              </w:tc>
              <w:tc>
                <w:tcPr>
                  <w:tcW w:w="719" w:type="dxa"/>
                  <w:noWrap w:val="0"/>
                  <w:vAlign w:val="center"/>
                </w:tcPr>
                <w:p w14:paraId="5ABEFCC9">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颗粒物</w:t>
                  </w:r>
                </w:p>
              </w:tc>
              <w:tc>
                <w:tcPr>
                  <w:tcW w:w="611" w:type="dxa"/>
                  <w:vMerge w:val="continue"/>
                  <w:noWrap w:val="0"/>
                  <w:vAlign w:val="center"/>
                </w:tcPr>
                <w:p w14:paraId="43794CE6">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p>
              </w:tc>
              <w:tc>
                <w:tcPr>
                  <w:tcW w:w="870" w:type="dxa"/>
                  <w:noWrap w:val="0"/>
                  <w:vAlign w:val="center"/>
                </w:tcPr>
                <w:p w14:paraId="6EC45901">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5.88</w:t>
                  </w:r>
                </w:p>
              </w:tc>
              <w:tc>
                <w:tcPr>
                  <w:tcW w:w="955" w:type="dxa"/>
                  <w:vMerge w:val="continue"/>
                  <w:noWrap w:val="0"/>
                  <w:vAlign w:val="center"/>
                </w:tcPr>
                <w:p w14:paraId="12BC0F81">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s="仿宋"/>
                      <w:b w:val="0"/>
                      <w:bCs w:val="0"/>
                      <w:color w:val="auto"/>
                      <w:spacing w:val="0"/>
                      <w:kern w:val="2"/>
                      <w:sz w:val="21"/>
                      <w:szCs w:val="21"/>
                      <w:highlight w:val="none"/>
                      <w:lang w:val="en-US" w:eastAsia="zh-CN" w:bidi="ar-SA"/>
                    </w:rPr>
                  </w:pPr>
                </w:p>
              </w:tc>
              <w:tc>
                <w:tcPr>
                  <w:tcW w:w="922" w:type="dxa"/>
                  <w:noWrap w:val="0"/>
                  <w:vAlign w:val="center"/>
                </w:tcPr>
                <w:p w14:paraId="3E9406D6">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5.88</w:t>
                  </w:r>
                </w:p>
              </w:tc>
              <w:tc>
                <w:tcPr>
                  <w:tcW w:w="1090" w:type="dxa"/>
                  <w:noWrap w:val="0"/>
                  <w:vAlign w:val="center"/>
                </w:tcPr>
                <w:p w14:paraId="105559F0">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2.827</w:t>
                  </w:r>
                </w:p>
              </w:tc>
              <w:tc>
                <w:tcPr>
                  <w:tcW w:w="1120" w:type="dxa"/>
                  <w:noWrap w:val="0"/>
                  <w:vAlign w:val="center"/>
                </w:tcPr>
                <w:p w14:paraId="107B8A97">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353.375</w:t>
                  </w:r>
                </w:p>
              </w:tc>
              <w:tc>
                <w:tcPr>
                  <w:tcW w:w="722" w:type="dxa"/>
                  <w:vMerge w:val="continue"/>
                  <w:noWrap w:val="0"/>
                  <w:vAlign w:val="center"/>
                </w:tcPr>
                <w:p w14:paraId="714A8EFD">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p>
              </w:tc>
              <w:tc>
                <w:tcPr>
                  <w:tcW w:w="668" w:type="dxa"/>
                  <w:vMerge w:val="continue"/>
                  <w:noWrap w:val="0"/>
                  <w:vAlign w:val="center"/>
                </w:tcPr>
                <w:p w14:paraId="4A5CE36C">
                  <w:pPr>
                    <w:pStyle w:val="10"/>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color w:val="auto"/>
                      <w:highlight w:val="none"/>
                      <w:lang w:val="en-US" w:eastAsia="zh-CN"/>
                    </w:rPr>
                  </w:pPr>
                </w:p>
              </w:tc>
              <w:tc>
                <w:tcPr>
                  <w:tcW w:w="690" w:type="dxa"/>
                  <w:noWrap w:val="0"/>
                  <w:vAlign w:val="center"/>
                </w:tcPr>
                <w:p w14:paraId="5B66998C">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99%</w:t>
                  </w:r>
                </w:p>
              </w:tc>
              <w:tc>
                <w:tcPr>
                  <w:tcW w:w="922" w:type="dxa"/>
                  <w:noWrap w:val="0"/>
                  <w:vAlign w:val="center"/>
                </w:tcPr>
                <w:p w14:paraId="66528048">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0.059</w:t>
                  </w:r>
                </w:p>
              </w:tc>
              <w:tc>
                <w:tcPr>
                  <w:tcW w:w="888" w:type="dxa"/>
                  <w:noWrap w:val="0"/>
                  <w:vAlign w:val="center"/>
                </w:tcPr>
                <w:p w14:paraId="6D764408">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0.028</w:t>
                  </w:r>
                </w:p>
              </w:tc>
              <w:tc>
                <w:tcPr>
                  <w:tcW w:w="1180" w:type="dxa"/>
                  <w:noWrap w:val="0"/>
                  <w:vAlign w:val="center"/>
                </w:tcPr>
                <w:p w14:paraId="6893570B">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3.5</w:t>
                  </w:r>
                </w:p>
              </w:tc>
              <w:tc>
                <w:tcPr>
                  <w:tcW w:w="723" w:type="dxa"/>
                  <w:vMerge w:val="continue"/>
                  <w:noWrap w:val="0"/>
                  <w:vAlign w:val="center"/>
                </w:tcPr>
                <w:p w14:paraId="1B5275B5">
                  <w:pPr>
                    <w:pStyle w:val="10"/>
                    <w:keepNext w:val="0"/>
                    <w:keepLines w:val="0"/>
                    <w:pageBreakBefore w:val="0"/>
                    <w:widowControl/>
                    <w:kinsoku/>
                    <w:wordWrap/>
                    <w:overflowPunct/>
                    <w:topLinePunct w:val="0"/>
                    <w:autoSpaceDE/>
                    <w:autoSpaceDN/>
                    <w:bidi w:val="0"/>
                    <w:adjustRightInd w:val="0"/>
                    <w:snapToGrid w:val="0"/>
                    <w:textAlignment w:val="auto"/>
                    <w:rPr>
                      <w:rFonts w:hint="eastAsia"/>
                      <w:color w:val="auto"/>
                      <w:highlight w:val="none"/>
                      <w:lang w:val="en-US" w:eastAsia="zh-CN"/>
                    </w:rPr>
                  </w:pPr>
                </w:p>
              </w:tc>
            </w:tr>
            <w:tr w14:paraId="5FF9F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1" w:type="dxa"/>
                  <w:vMerge w:val="continue"/>
                  <w:noWrap w:val="0"/>
                  <w:vAlign w:val="center"/>
                </w:tcPr>
                <w:p w14:paraId="1F5D75E0">
                  <w:pPr>
                    <w:pStyle w:val="10"/>
                    <w:keepNext w:val="0"/>
                    <w:keepLines w:val="0"/>
                    <w:pageBreakBefore w:val="0"/>
                    <w:widowControl/>
                    <w:kinsoku/>
                    <w:wordWrap/>
                    <w:overflowPunct/>
                    <w:topLinePunct w:val="0"/>
                    <w:autoSpaceDE/>
                    <w:autoSpaceDN/>
                    <w:bidi w:val="0"/>
                    <w:adjustRightInd w:val="0"/>
                    <w:snapToGrid w:val="0"/>
                    <w:textAlignment w:val="auto"/>
                    <w:rPr>
                      <w:rFonts w:hint="eastAsia"/>
                      <w:color w:val="auto"/>
                      <w:highlight w:val="none"/>
                      <w:lang w:val="en-US" w:eastAsia="zh-CN"/>
                    </w:rPr>
                  </w:pPr>
                </w:p>
              </w:tc>
              <w:tc>
                <w:tcPr>
                  <w:tcW w:w="719" w:type="dxa"/>
                  <w:noWrap w:val="0"/>
                  <w:vAlign w:val="center"/>
                </w:tcPr>
                <w:p w14:paraId="1769D570">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氯化氢</w:t>
                  </w:r>
                </w:p>
              </w:tc>
              <w:tc>
                <w:tcPr>
                  <w:tcW w:w="611" w:type="dxa"/>
                  <w:vMerge w:val="continue"/>
                  <w:noWrap w:val="0"/>
                  <w:vAlign w:val="center"/>
                </w:tcPr>
                <w:p w14:paraId="40B3DC32">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p>
              </w:tc>
              <w:tc>
                <w:tcPr>
                  <w:tcW w:w="870" w:type="dxa"/>
                  <w:noWrap w:val="0"/>
                  <w:vAlign w:val="center"/>
                </w:tcPr>
                <w:p w14:paraId="5D0AE526">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s="Times New Roman"/>
                      <w:b w:val="0"/>
                      <w:bCs/>
                      <w:color w:val="auto"/>
                      <w:szCs w:val="21"/>
                      <w:vertAlign w:val="baseline"/>
                      <w:lang w:val="en-US" w:eastAsia="zh-CN"/>
                    </w:rPr>
                    <w:t>0.000136</w:t>
                  </w:r>
                </w:p>
              </w:tc>
              <w:tc>
                <w:tcPr>
                  <w:tcW w:w="955" w:type="dxa"/>
                  <w:vMerge w:val="continue"/>
                  <w:noWrap w:val="0"/>
                  <w:vAlign w:val="center"/>
                </w:tcPr>
                <w:p w14:paraId="433DA9F7">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s="仿宋"/>
                      <w:b w:val="0"/>
                      <w:bCs w:val="0"/>
                      <w:color w:val="auto"/>
                      <w:spacing w:val="0"/>
                      <w:kern w:val="2"/>
                      <w:sz w:val="21"/>
                      <w:szCs w:val="21"/>
                      <w:highlight w:val="none"/>
                      <w:lang w:val="en-US" w:eastAsia="zh-CN" w:bidi="ar-SA"/>
                    </w:rPr>
                  </w:pPr>
                </w:p>
              </w:tc>
              <w:tc>
                <w:tcPr>
                  <w:tcW w:w="922" w:type="dxa"/>
                  <w:noWrap w:val="0"/>
                  <w:vAlign w:val="center"/>
                </w:tcPr>
                <w:p w14:paraId="43CA5D7B">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s="Times New Roman"/>
                      <w:b w:val="0"/>
                      <w:bCs/>
                      <w:color w:val="auto"/>
                      <w:szCs w:val="21"/>
                      <w:vertAlign w:val="baseline"/>
                      <w:lang w:val="en-US" w:eastAsia="zh-CN"/>
                    </w:rPr>
                    <w:t>0.00014</w:t>
                  </w:r>
                </w:p>
              </w:tc>
              <w:tc>
                <w:tcPr>
                  <w:tcW w:w="1090" w:type="dxa"/>
                  <w:noWrap w:val="0"/>
                  <w:vAlign w:val="center"/>
                </w:tcPr>
                <w:p w14:paraId="1FF6E15D">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0.00007</w:t>
                  </w:r>
                </w:p>
              </w:tc>
              <w:tc>
                <w:tcPr>
                  <w:tcW w:w="1120" w:type="dxa"/>
                  <w:noWrap w:val="0"/>
                  <w:vAlign w:val="center"/>
                </w:tcPr>
                <w:p w14:paraId="27DDEAF7">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0.00875</w:t>
                  </w:r>
                </w:p>
              </w:tc>
              <w:tc>
                <w:tcPr>
                  <w:tcW w:w="722" w:type="dxa"/>
                  <w:vMerge w:val="continue"/>
                  <w:noWrap w:val="0"/>
                  <w:vAlign w:val="center"/>
                </w:tcPr>
                <w:p w14:paraId="0A2D61EE">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p>
              </w:tc>
              <w:tc>
                <w:tcPr>
                  <w:tcW w:w="668" w:type="dxa"/>
                  <w:vMerge w:val="continue"/>
                  <w:noWrap w:val="0"/>
                  <w:vAlign w:val="center"/>
                </w:tcPr>
                <w:p w14:paraId="56F81C41">
                  <w:pPr>
                    <w:pStyle w:val="10"/>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color w:val="auto"/>
                      <w:highlight w:val="none"/>
                      <w:lang w:val="en-US" w:eastAsia="zh-CN"/>
                    </w:rPr>
                  </w:pPr>
                </w:p>
              </w:tc>
              <w:tc>
                <w:tcPr>
                  <w:tcW w:w="690" w:type="dxa"/>
                  <w:noWrap w:val="0"/>
                  <w:vAlign w:val="center"/>
                </w:tcPr>
                <w:p w14:paraId="525240E7">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w:t>
                  </w:r>
                </w:p>
              </w:tc>
              <w:tc>
                <w:tcPr>
                  <w:tcW w:w="922" w:type="dxa"/>
                  <w:noWrap w:val="0"/>
                  <w:vAlign w:val="center"/>
                </w:tcPr>
                <w:p w14:paraId="176FF6E2">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s="Times New Roman"/>
                      <w:b w:val="0"/>
                      <w:bCs/>
                      <w:color w:val="auto"/>
                      <w:szCs w:val="21"/>
                      <w:vertAlign w:val="baseline"/>
                      <w:lang w:val="en-US" w:eastAsia="zh-CN"/>
                    </w:rPr>
                    <w:t>0.00014</w:t>
                  </w:r>
                </w:p>
              </w:tc>
              <w:tc>
                <w:tcPr>
                  <w:tcW w:w="888" w:type="dxa"/>
                  <w:noWrap w:val="0"/>
                  <w:vAlign w:val="center"/>
                </w:tcPr>
                <w:p w14:paraId="7576BDD4">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0.00007</w:t>
                  </w:r>
                </w:p>
              </w:tc>
              <w:tc>
                <w:tcPr>
                  <w:tcW w:w="1180" w:type="dxa"/>
                  <w:noWrap w:val="0"/>
                  <w:vAlign w:val="center"/>
                </w:tcPr>
                <w:p w14:paraId="6D5A23E0">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0.00875</w:t>
                  </w:r>
                </w:p>
              </w:tc>
              <w:tc>
                <w:tcPr>
                  <w:tcW w:w="723" w:type="dxa"/>
                  <w:vMerge w:val="continue"/>
                  <w:noWrap w:val="0"/>
                  <w:vAlign w:val="center"/>
                </w:tcPr>
                <w:p w14:paraId="64191AC9">
                  <w:pPr>
                    <w:pStyle w:val="10"/>
                    <w:keepNext w:val="0"/>
                    <w:keepLines w:val="0"/>
                    <w:pageBreakBefore w:val="0"/>
                    <w:widowControl/>
                    <w:kinsoku/>
                    <w:wordWrap/>
                    <w:overflowPunct/>
                    <w:topLinePunct w:val="0"/>
                    <w:autoSpaceDE/>
                    <w:autoSpaceDN/>
                    <w:bidi w:val="0"/>
                    <w:adjustRightInd w:val="0"/>
                    <w:snapToGrid w:val="0"/>
                    <w:textAlignment w:val="auto"/>
                    <w:rPr>
                      <w:rFonts w:hint="eastAsia"/>
                      <w:color w:val="auto"/>
                      <w:highlight w:val="none"/>
                      <w:lang w:val="en-US" w:eastAsia="zh-CN"/>
                    </w:rPr>
                  </w:pPr>
                </w:p>
              </w:tc>
            </w:tr>
            <w:tr w14:paraId="4984E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1" w:type="dxa"/>
                  <w:vMerge w:val="continue"/>
                  <w:noWrap w:val="0"/>
                  <w:vAlign w:val="center"/>
                </w:tcPr>
                <w:p w14:paraId="51537A63">
                  <w:pPr>
                    <w:pStyle w:val="10"/>
                    <w:keepNext w:val="0"/>
                    <w:keepLines w:val="0"/>
                    <w:pageBreakBefore w:val="0"/>
                    <w:widowControl/>
                    <w:kinsoku/>
                    <w:wordWrap/>
                    <w:overflowPunct/>
                    <w:topLinePunct w:val="0"/>
                    <w:autoSpaceDE/>
                    <w:autoSpaceDN/>
                    <w:bidi w:val="0"/>
                    <w:adjustRightInd w:val="0"/>
                    <w:snapToGrid w:val="0"/>
                    <w:textAlignment w:val="auto"/>
                    <w:rPr>
                      <w:rFonts w:hint="eastAsia"/>
                      <w:color w:val="auto"/>
                      <w:highlight w:val="none"/>
                      <w:lang w:val="en-US" w:eastAsia="zh-CN"/>
                    </w:rPr>
                  </w:pPr>
                </w:p>
              </w:tc>
              <w:tc>
                <w:tcPr>
                  <w:tcW w:w="719" w:type="dxa"/>
                  <w:noWrap w:val="0"/>
                  <w:vAlign w:val="center"/>
                </w:tcPr>
                <w:p w14:paraId="01998A68">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olor w:val="auto"/>
                      <w:highlight w:val="none"/>
                      <w:lang w:val="en-US" w:eastAsia="zh-CN"/>
                    </w:rPr>
                  </w:pPr>
                  <w:r>
                    <w:rPr>
                      <w:rFonts w:hint="eastAsia"/>
                      <w:color w:val="auto"/>
                      <w:highlight w:val="none"/>
                      <w:lang w:val="en-US" w:eastAsia="zh-CN"/>
                    </w:rPr>
                    <w:t>氯乙烯</w:t>
                  </w:r>
                </w:p>
              </w:tc>
              <w:tc>
                <w:tcPr>
                  <w:tcW w:w="611" w:type="dxa"/>
                  <w:vMerge w:val="continue"/>
                  <w:noWrap w:val="0"/>
                  <w:vAlign w:val="center"/>
                </w:tcPr>
                <w:p w14:paraId="5C7C03C0">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p>
              </w:tc>
              <w:tc>
                <w:tcPr>
                  <w:tcW w:w="870" w:type="dxa"/>
                  <w:noWrap w:val="0"/>
                  <w:vAlign w:val="center"/>
                </w:tcPr>
                <w:p w14:paraId="6AB3E09F">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s="Times New Roman"/>
                      <w:b w:val="0"/>
                      <w:bCs/>
                      <w:color w:val="auto"/>
                      <w:szCs w:val="21"/>
                      <w:vertAlign w:val="baseline"/>
                      <w:lang w:val="en-US" w:eastAsia="zh-CN"/>
                    </w:rPr>
                    <w:t>0.00016</w:t>
                  </w:r>
                </w:p>
              </w:tc>
              <w:tc>
                <w:tcPr>
                  <w:tcW w:w="955" w:type="dxa"/>
                  <w:vMerge w:val="continue"/>
                  <w:noWrap w:val="0"/>
                  <w:vAlign w:val="center"/>
                </w:tcPr>
                <w:p w14:paraId="3BE83FF4">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s="仿宋"/>
                      <w:b w:val="0"/>
                      <w:bCs w:val="0"/>
                      <w:color w:val="auto"/>
                      <w:spacing w:val="0"/>
                      <w:kern w:val="2"/>
                      <w:sz w:val="21"/>
                      <w:szCs w:val="21"/>
                      <w:highlight w:val="none"/>
                      <w:lang w:val="en-US" w:eastAsia="zh-CN" w:bidi="ar-SA"/>
                    </w:rPr>
                  </w:pPr>
                </w:p>
              </w:tc>
              <w:tc>
                <w:tcPr>
                  <w:tcW w:w="922" w:type="dxa"/>
                  <w:noWrap w:val="0"/>
                  <w:vAlign w:val="center"/>
                </w:tcPr>
                <w:p w14:paraId="7AD55076">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s="Times New Roman"/>
                      <w:b w:val="0"/>
                      <w:bCs/>
                      <w:color w:val="auto"/>
                      <w:szCs w:val="21"/>
                      <w:vertAlign w:val="baseline"/>
                      <w:lang w:val="en-US" w:eastAsia="zh-CN"/>
                    </w:rPr>
                    <w:t>0.00016</w:t>
                  </w:r>
                </w:p>
              </w:tc>
              <w:tc>
                <w:tcPr>
                  <w:tcW w:w="1090" w:type="dxa"/>
                  <w:noWrap w:val="0"/>
                  <w:vAlign w:val="center"/>
                </w:tcPr>
                <w:p w14:paraId="7A1C67CD">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0.00008</w:t>
                  </w:r>
                </w:p>
              </w:tc>
              <w:tc>
                <w:tcPr>
                  <w:tcW w:w="1120" w:type="dxa"/>
                  <w:noWrap w:val="0"/>
                  <w:vAlign w:val="center"/>
                </w:tcPr>
                <w:p w14:paraId="5DE51BEE">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0.01</w:t>
                  </w:r>
                </w:p>
              </w:tc>
              <w:tc>
                <w:tcPr>
                  <w:tcW w:w="722" w:type="dxa"/>
                  <w:vMerge w:val="continue"/>
                  <w:noWrap w:val="0"/>
                  <w:vAlign w:val="center"/>
                </w:tcPr>
                <w:p w14:paraId="0EADC0FC">
                  <w:pPr>
                    <w:pStyle w:val="10"/>
                    <w:keepNext w:val="0"/>
                    <w:keepLines w:val="0"/>
                    <w:pageBreakBefore w:val="0"/>
                    <w:widowControl/>
                    <w:kinsoku/>
                    <w:wordWrap/>
                    <w:overflowPunct/>
                    <w:topLinePunct w:val="0"/>
                    <w:autoSpaceDE/>
                    <w:autoSpaceDN/>
                    <w:bidi w:val="0"/>
                    <w:adjustRightInd w:val="0"/>
                    <w:snapToGrid w:val="0"/>
                    <w:textAlignment w:val="auto"/>
                    <w:rPr>
                      <w:rFonts w:hint="eastAsia"/>
                      <w:color w:val="auto"/>
                      <w:highlight w:val="none"/>
                      <w:lang w:val="en-US" w:eastAsia="zh-CN"/>
                    </w:rPr>
                  </w:pPr>
                </w:p>
              </w:tc>
              <w:tc>
                <w:tcPr>
                  <w:tcW w:w="668" w:type="dxa"/>
                  <w:vMerge w:val="continue"/>
                  <w:noWrap w:val="0"/>
                  <w:vAlign w:val="center"/>
                </w:tcPr>
                <w:p w14:paraId="0B2D946E">
                  <w:pPr>
                    <w:pStyle w:val="10"/>
                    <w:keepNext w:val="0"/>
                    <w:keepLines w:val="0"/>
                    <w:pageBreakBefore w:val="0"/>
                    <w:widowControl/>
                    <w:kinsoku/>
                    <w:wordWrap/>
                    <w:overflowPunct/>
                    <w:topLinePunct w:val="0"/>
                    <w:autoSpaceDE/>
                    <w:autoSpaceDN/>
                    <w:bidi w:val="0"/>
                    <w:adjustRightInd w:val="0"/>
                    <w:snapToGrid w:val="0"/>
                    <w:ind w:right="0" w:rightChars="0" w:firstLine="0" w:firstLineChars="0"/>
                    <w:jc w:val="center"/>
                    <w:textAlignment w:val="auto"/>
                    <w:rPr>
                      <w:rFonts w:hint="eastAsia"/>
                      <w:color w:val="auto"/>
                      <w:highlight w:val="none"/>
                      <w:lang w:val="en-US" w:eastAsia="zh-CN"/>
                    </w:rPr>
                  </w:pPr>
                </w:p>
              </w:tc>
              <w:tc>
                <w:tcPr>
                  <w:tcW w:w="690" w:type="dxa"/>
                  <w:noWrap w:val="0"/>
                  <w:vAlign w:val="center"/>
                </w:tcPr>
                <w:p w14:paraId="05A6CD75">
                  <w:pPr>
                    <w:pStyle w:val="10"/>
                    <w:keepNext w:val="0"/>
                    <w:keepLines w:val="0"/>
                    <w:pageBreakBefore w:val="0"/>
                    <w:widowControl/>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w:t>
                  </w:r>
                </w:p>
              </w:tc>
              <w:tc>
                <w:tcPr>
                  <w:tcW w:w="922" w:type="dxa"/>
                  <w:noWrap w:val="0"/>
                  <w:vAlign w:val="center"/>
                </w:tcPr>
                <w:p w14:paraId="6D09D6D4">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s="Times New Roman"/>
                      <w:b w:val="0"/>
                      <w:bCs/>
                      <w:color w:val="auto"/>
                      <w:szCs w:val="21"/>
                      <w:vertAlign w:val="baseline"/>
                      <w:lang w:val="en-US" w:eastAsia="zh-CN"/>
                    </w:rPr>
                    <w:t>0.00016</w:t>
                  </w:r>
                </w:p>
              </w:tc>
              <w:tc>
                <w:tcPr>
                  <w:tcW w:w="888" w:type="dxa"/>
                  <w:noWrap w:val="0"/>
                  <w:vAlign w:val="center"/>
                </w:tcPr>
                <w:p w14:paraId="219CFD37">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0.00008</w:t>
                  </w:r>
                </w:p>
              </w:tc>
              <w:tc>
                <w:tcPr>
                  <w:tcW w:w="1180" w:type="dxa"/>
                  <w:noWrap w:val="0"/>
                  <w:vAlign w:val="center"/>
                </w:tcPr>
                <w:p w14:paraId="0FE81E23">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0.01</w:t>
                  </w:r>
                </w:p>
              </w:tc>
              <w:tc>
                <w:tcPr>
                  <w:tcW w:w="723" w:type="dxa"/>
                  <w:vMerge w:val="continue"/>
                  <w:noWrap w:val="0"/>
                  <w:vAlign w:val="center"/>
                </w:tcPr>
                <w:p w14:paraId="2C49167E">
                  <w:pPr>
                    <w:pStyle w:val="10"/>
                    <w:keepNext w:val="0"/>
                    <w:keepLines w:val="0"/>
                    <w:pageBreakBefore w:val="0"/>
                    <w:widowControl/>
                    <w:kinsoku/>
                    <w:wordWrap/>
                    <w:overflowPunct/>
                    <w:topLinePunct w:val="0"/>
                    <w:autoSpaceDE/>
                    <w:autoSpaceDN/>
                    <w:bidi w:val="0"/>
                    <w:adjustRightInd w:val="0"/>
                    <w:snapToGrid w:val="0"/>
                    <w:textAlignment w:val="auto"/>
                    <w:rPr>
                      <w:rFonts w:hint="eastAsia"/>
                      <w:color w:val="auto"/>
                      <w:highlight w:val="none"/>
                      <w:lang w:val="en-US" w:eastAsia="zh-CN"/>
                    </w:rPr>
                  </w:pPr>
                </w:p>
              </w:tc>
            </w:tr>
          </w:tbl>
          <w:p w14:paraId="4A9832CF">
            <w:pPr>
              <w:pStyle w:val="5"/>
              <w:tabs>
                <w:tab w:val="left" w:pos="1284"/>
              </w:tabs>
              <w:bidi w:val="0"/>
              <w:jc w:val="both"/>
              <w:rPr>
                <w:rFonts w:hint="default" w:ascii="Times New Roman" w:hAnsi="Times New Roman" w:cs="Times New Roman"/>
                <w:color w:val="auto"/>
                <w:highlight w:val="none"/>
                <w:lang w:val="en-US" w:eastAsia="zh-CN"/>
              </w:rPr>
            </w:pPr>
          </w:p>
          <w:p w14:paraId="79223E5E">
            <w:pPr>
              <w:pStyle w:val="5"/>
              <w:tabs>
                <w:tab w:val="left" w:pos="1284"/>
              </w:tabs>
              <w:bidi w:val="0"/>
              <w:jc w:val="both"/>
              <w:rPr>
                <w:rFonts w:hint="default" w:ascii="Times New Roman" w:hAnsi="Times New Roman" w:cs="Times New Roman"/>
                <w:color w:val="auto"/>
                <w:highlight w:val="none"/>
                <w:lang w:val="en-US" w:eastAsia="zh-CN"/>
              </w:rPr>
            </w:pPr>
          </w:p>
          <w:p w14:paraId="5387C0CD">
            <w:pPr>
              <w:pStyle w:val="5"/>
              <w:tabs>
                <w:tab w:val="left" w:pos="1284"/>
              </w:tabs>
              <w:bidi w:val="0"/>
              <w:rPr>
                <w:rFonts w:hint="default" w:ascii="Times New Roman" w:hAnsi="Times New Roman" w:cs="Times New Roman"/>
                <w:color w:val="auto"/>
                <w:highlight w:val="none"/>
                <w:lang w:val="en-US" w:eastAsia="en-US"/>
              </w:rPr>
            </w:pPr>
            <w:r>
              <w:rPr>
                <w:rFonts w:hint="default" w:ascii="Times New Roman" w:hAnsi="Times New Roman" w:cs="Times New Roman"/>
                <w:color w:val="auto"/>
                <w:highlight w:val="none"/>
                <w:lang w:val="en-US" w:eastAsia="zh-CN"/>
              </w:rPr>
              <w:t>表4-</w:t>
            </w:r>
            <w:r>
              <w:rPr>
                <w:rFonts w:hint="eastAsia" w:cs="Times New Roman"/>
                <w:color w:val="auto"/>
                <w:highlight w:val="none"/>
                <w:lang w:val="en-US" w:eastAsia="zh-CN"/>
              </w:rPr>
              <w:t>2</w:t>
            </w:r>
            <w:r>
              <w:rPr>
                <w:rFonts w:hint="default" w:ascii="Times New Roman" w:hAnsi="Times New Roman" w:cs="Times New Roman"/>
                <w:color w:val="auto"/>
                <w:highlight w:val="none"/>
                <w:lang w:val="en-US" w:eastAsia="zh-CN"/>
              </w:rPr>
              <w:t xml:space="preserve"> </w:t>
            </w:r>
            <w:r>
              <w:rPr>
                <w:rFonts w:hint="eastAsia" w:ascii="Times New Roman" w:hAnsi="Times New Roman" w:cs="Times New Roman"/>
                <w:color w:val="auto"/>
                <w:highlight w:val="none"/>
                <w:lang w:val="en-US" w:eastAsia="zh-CN"/>
              </w:rPr>
              <w:t>本项目</w:t>
            </w:r>
            <w:r>
              <w:rPr>
                <w:rFonts w:hint="default" w:ascii="Times New Roman" w:hAnsi="Times New Roman" w:cs="Times New Roman"/>
                <w:color w:val="auto"/>
                <w:highlight w:val="none"/>
                <w:lang w:val="en-US" w:eastAsia="zh-CN"/>
              </w:rPr>
              <w:t>排放口基本情况</w:t>
            </w:r>
          </w:p>
          <w:tbl>
            <w:tblPr>
              <w:tblStyle w:val="28"/>
              <w:tblW w:w="12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770"/>
              <w:gridCol w:w="813"/>
              <w:gridCol w:w="964"/>
              <w:gridCol w:w="567"/>
              <w:gridCol w:w="740"/>
              <w:gridCol w:w="750"/>
              <w:gridCol w:w="770"/>
              <w:gridCol w:w="960"/>
              <w:gridCol w:w="1023"/>
              <w:gridCol w:w="940"/>
              <w:gridCol w:w="2252"/>
              <w:gridCol w:w="1057"/>
              <w:gridCol w:w="949"/>
            </w:tblGrid>
            <w:tr w14:paraId="63F94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397" w:hRule="atLeast"/>
                <w:jc w:val="center"/>
              </w:trPr>
              <w:tc>
                <w:tcPr>
                  <w:tcW w:w="770" w:type="dxa"/>
                  <w:vMerge w:val="restart"/>
                  <w:noWrap w:val="0"/>
                  <w:vAlign w:val="center"/>
                </w:tcPr>
                <w:p w14:paraId="2CFB9D06">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b/>
                      <w:bCs/>
                      <w:color w:val="auto"/>
                      <w:kern w:val="0"/>
                      <w:sz w:val="21"/>
                      <w:szCs w:val="24"/>
                      <w:highlight w:val="none"/>
                      <w:lang w:val="en-US" w:eastAsia="en-US" w:bidi="ar-SA"/>
                    </w:rPr>
                  </w:pPr>
                  <w:r>
                    <w:rPr>
                      <w:rFonts w:hint="default" w:ascii="Times New Roman" w:hAnsi="Times New Roman" w:eastAsia="宋体" w:cs="Times New Roman"/>
                      <w:b/>
                      <w:bCs/>
                      <w:color w:val="auto"/>
                      <w:kern w:val="0"/>
                      <w:sz w:val="21"/>
                      <w:szCs w:val="24"/>
                      <w:highlight w:val="none"/>
                      <w:lang w:val="en-US" w:eastAsia="zh-CN" w:bidi="ar-SA"/>
                    </w:rPr>
                    <w:t>序号</w:t>
                  </w:r>
                </w:p>
              </w:tc>
              <w:tc>
                <w:tcPr>
                  <w:tcW w:w="813" w:type="dxa"/>
                  <w:vMerge w:val="restart"/>
                  <w:noWrap w:val="0"/>
                  <w:vAlign w:val="center"/>
                </w:tcPr>
                <w:p w14:paraId="5D567B72">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b/>
                      <w:bCs/>
                      <w:color w:val="auto"/>
                      <w:kern w:val="0"/>
                      <w:sz w:val="21"/>
                      <w:szCs w:val="24"/>
                      <w:highlight w:val="none"/>
                      <w:lang w:val="en-US" w:eastAsia="zh-CN" w:bidi="ar-SA"/>
                    </w:rPr>
                  </w:pPr>
                  <w:r>
                    <w:rPr>
                      <w:rFonts w:hint="eastAsia" w:ascii="Times New Roman" w:hAnsi="Times New Roman" w:eastAsia="宋体" w:cs="Times New Roman"/>
                      <w:b/>
                      <w:bCs/>
                      <w:color w:val="auto"/>
                      <w:kern w:val="0"/>
                      <w:sz w:val="21"/>
                      <w:szCs w:val="24"/>
                      <w:highlight w:val="none"/>
                      <w:lang w:val="en-US" w:eastAsia="zh-CN" w:bidi="ar-SA"/>
                    </w:rPr>
                    <w:t>排放口</w:t>
                  </w:r>
                  <w:r>
                    <w:rPr>
                      <w:rFonts w:hint="default" w:ascii="Times New Roman" w:hAnsi="Times New Roman" w:eastAsia="宋体" w:cs="Times New Roman"/>
                      <w:b/>
                      <w:bCs/>
                      <w:color w:val="auto"/>
                      <w:kern w:val="0"/>
                      <w:sz w:val="21"/>
                      <w:szCs w:val="24"/>
                      <w:highlight w:val="none"/>
                      <w:lang w:val="en-US" w:eastAsia="zh-CN" w:bidi="ar-SA"/>
                    </w:rPr>
                    <w:t>编号</w:t>
                  </w:r>
                </w:p>
              </w:tc>
              <w:tc>
                <w:tcPr>
                  <w:tcW w:w="964" w:type="dxa"/>
                  <w:vMerge w:val="restart"/>
                  <w:noWrap w:val="0"/>
                  <w:vAlign w:val="center"/>
                </w:tcPr>
                <w:p w14:paraId="30594E18">
                  <w:pPr>
                    <w:pStyle w:val="74"/>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eastAsia="宋体" w:cs="Times New Roman"/>
                      <w:b/>
                      <w:bCs/>
                      <w:color w:val="auto"/>
                      <w:kern w:val="0"/>
                      <w:sz w:val="21"/>
                      <w:szCs w:val="24"/>
                      <w:highlight w:val="none"/>
                      <w:lang w:val="en-US" w:eastAsia="zh-CN" w:bidi="ar-SA"/>
                    </w:rPr>
                  </w:pPr>
                  <w:r>
                    <w:rPr>
                      <w:b/>
                      <w:bCs/>
                      <w:color w:val="auto"/>
                      <w:sz w:val="21"/>
                      <w:szCs w:val="21"/>
                      <w:highlight w:val="none"/>
                    </w:rPr>
                    <w:t>排放口名称</w:t>
                  </w:r>
                </w:p>
              </w:tc>
              <w:tc>
                <w:tcPr>
                  <w:tcW w:w="567" w:type="dxa"/>
                  <w:vMerge w:val="restart"/>
                  <w:noWrap w:val="0"/>
                  <w:vAlign w:val="center"/>
                </w:tcPr>
                <w:p w14:paraId="48660553">
                  <w:pPr>
                    <w:pStyle w:val="74"/>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eastAsia="宋体" w:cs="Times New Roman"/>
                      <w:b/>
                      <w:bCs/>
                      <w:color w:val="auto"/>
                      <w:kern w:val="0"/>
                      <w:sz w:val="21"/>
                      <w:szCs w:val="24"/>
                      <w:highlight w:val="none"/>
                      <w:lang w:val="en-US" w:eastAsia="zh-CN" w:bidi="ar-SA"/>
                    </w:rPr>
                  </w:pPr>
                  <w:r>
                    <w:rPr>
                      <w:b/>
                      <w:bCs/>
                      <w:color w:val="auto"/>
                      <w:sz w:val="21"/>
                      <w:szCs w:val="21"/>
                      <w:highlight w:val="none"/>
                    </w:rPr>
                    <w:t>污染物种类</w:t>
                  </w:r>
                </w:p>
              </w:tc>
              <w:tc>
                <w:tcPr>
                  <w:tcW w:w="740" w:type="dxa"/>
                  <w:vMerge w:val="restart"/>
                  <w:noWrap w:val="0"/>
                  <w:vAlign w:val="center"/>
                </w:tcPr>
                <w:p w14:paraId="535ED8DF">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b/>
                      <w:bCs/>
                      <w:color w:val="auto"/>
                      <w:kern w:val="0"/>
                      <w:sz w:val="21"/>
                      <w:szCs w:val="24"/>
                      <w:highlight w:val="none"/>
                      <w:lang w:val="en-US" w:eastAsia="zh-CN" w:bidi="ar-SA"/>
                    </w:rPr>
                  </w:pPr>
                  <w:r>
                    <w:rPr>
                      <w:rFonts w:hint="default" w:ascii="Times New Roman" w:hAnsi="Times New Roman" w:eastAsia="宋体" w:cs="Times New Roman"/>
                      <w:b/>
                      <w:bCs/>
                      <w:color w:val="auto"/>
                      <w:kern w:val="0"/>
                      <w:sz w:val="21"/>
                      <w:szCs w:val="24"/>
                      <w:highlight w:val="none"/>
                      <w:lang w:val="en-US" w:eastAsia="zh-CN" w:bidi="ar-SA"/>
                    </w:rPr>
                    <w:t>高度m</w:t>
                  </w:r>
                </w:p>
              </w:tc>
              <w:tc>
                <w:tcPr>
                  <w:tcW w:w="750" w:type="dxa"/>
                  <w:vMerge w:val="restart"/>
                  <w:noWrap w:val="0"/>
                  <w:vAlign w:val="center"/>
                </w:tcPr>
                <w:p w14:paraId="6D7999F5">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b/>
                      <w:bCs/>
                      <w:color w:val="auto"/>
                      <w:kern w:val="0"/>
                      <w:sz w:val="21"/>
                      <w:szCs w:val="24"/>
                      <w:highlight w:val="none"/>
                      <w:lang w:val="en-US" w:eastAsia="zh-CN" w:bidi="ar-SA"/>
                    </w:rPr>
                  </w:pPr>
                  <w:r>
                    <w:rPr>
                      <w:rFonts w:hint="default" w:ascii="Times New Roman" w:hAnsi="Times New Roman" w:eastAsia="宋体" w:cs="Times New Roman"/>
                      <w:b/>
                      <w:bCs/>
                      <w:color w:val="auto"/>
                      <w:kern w:val="0"/>
                      <w:sz w:val="21"/>
                      <w:szCs w:val="24"/>
                      <w:highlight w:val="none"/>
                      <w:lang w:val="en-US" w:eastAsia="zh-CN" w:bidi="ar-SA"/>
                    </w:rPr>
                    <w:t>内径m</w:t>
                  </w:r>
                </w:p>
              </w:tc>
              <w:tc>
                <w:tcPr>
                  <w:tcW w:w="770" w:type="dxa"/>
                  <w:vMerge w:val="restart"/>
                  <w:noWrap w:val="0"/>
                  <w:vAlign w:val="center"/>
                </w:tcPr>
                <w:p w14:paraId="37CCD595">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b/>
                      <w:bCs/>
                      <w:color w:val="auto"/>
                      <w:kern w:val="0"/>
                      <w:sz w:val="21"/>
                      <w:szCs w:val="24"/>
                      <w:highlight w:val="none"/>
                      <w:lang w:val="en-US" w:eastAsia="zh-CN" w:bidi="ar-SA"/>
                    </w:rPr>
                  </w:pPr>
                  <w:r>
                    <w:rPr>
                      <w:rFonts w:hint="default" w:ascii="Times New Roman" w:hAnsi="Times New Roman" w:eastAsia="宋体" w:cs="Times New Roman"/>
                      <w:b/>
                      <w:bCs/>
                      <w:color w:val="auto"/>
                      <w:kern w:val="0"/>
                      <w:sz w:val="21"/>
                      <w:szCs w:val="24"/>
                      <w:highlight w:val="none"/>
                      <w:lang w:val="en-US" w:eastAsia="zh-CN" w:bidi="ar-SA"/>
                    </w:rPr>
                    <w:t>温度℃</w:t>
                  </w:r>
                </w:p>
              </w:tc>
              <w:tc>
                <w:tcPr>
                  <w:tcW w:w="960" w:type="dxa"/>
                  <w:vMerge w:val="restart"/>
                  <w:noWrap w:val="0"/>
                  <w:vAlign w:val="center"/>
                </w:tcPr>
                <w:p w14:paraId="6FEC6CAC">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b/>
                      <w:bCs/>
                      <w:color w:val="auto"/>
                      <w:kern w:val="0"/>
                      <w:sz w:val="21"/>
                      <w:szCs w:val="24"/>
                      <w:highlight w:val="none"/>
                      <w:lang w:val="en-US" w:eastAsia="zh-CN" w:bidi="ar-SA"/>
                    </w:rPr>
                  </w:pPr>
                  <w:r>
                    <w:rPr>
                      <w:rFonts w:hint="default" w:ascii="Times New Roman" w:hAnsi="Times New Roman" w:eastAsia="宋体" w:cs="Times New Roman"/>
                      <w:b/>
                      <w:bCs/>
                      <w:color w:val="auto"/>
                      <w:kern w:val="0"/>
                      <w:sz w:val="21"/>
                      <w:szCs w:val="24"/>
                      <w:highlight w:val="none"/>
                      <w:lang w:val="en-US" w:eastAsia="zh-CN" w:bidi="ar-SA"/>
                    </w:rPr>
                    <w:t>排放口类型</w:t>
                  </w:r>
                </w:p>
              </w:tc>
              <w:tc>
                <w:tcPr>
                  <w:tcW w:w="1963" w:type="dxa"/>
                  <w:gridSpan w:val="2"/>
                  <w:noWrap w:val="0"/>
                  <w:vAlign w:val="center"/>
                </w:tcPr>
                <w:p w14:paraId="45E65B66">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b/>
                      <w:bCs/>
                      <w:color w:val="auto"/>
                      <w:kern w:val="0"/>
                      <w:sz w:val="21"/>
                      <w:szCs w:val="24"/>
                      <w:highlight w:val="none"/>
                      <w:lang w:val="en-US" w:eastAsia="zh-CN" w:bidi="ar-SA"/>
                    </w:rPr>
                  </w:pPr>
                  <w:r>
                    <w:rPr>
                      <w:rFonts w:hint="default" w:ascii="Times New Roman" w:hAnsi="Times New Roman" w:eastAsia="宋体" w:cs="Times New Roman"/>
                      <w:b/>
                      <w:bCs/>
                      <w:color w:val="auto"/>
                      <w:kern w:val="0"/>
                      <w:sz w:val="21"/>
                      <w:szCs w:val="24"/>
                      <w:highlight w:val="none"/>
                      <w:lang w:val="en-US" w:eastAsia="zh-CN" w:bidi="ar-SA"/>
                    </w:rPr>
                    <w:t>排放口</w:t>
                  </w:r>
                  <w:r>
                    <w:rPr>
                      <w:rFonts w:hint="eastAsia" w:cs="Times New Roman"/>
                      <w:b/>
                      <w:bCs/>
                      <w:color w:val="auto"/>
                      <w:kern w:val="0"/>
                      <w:sz w:val="21"/>
                      <w:szCs w:val="24"/>
                      <w:highlight w:val="none"/>
                      <w:lang w:val="en-US" w:eastAsia="zh-CN" w:bidi="ar-SA"/>
                    </w:rPr>
                    <w:t>地理坐标</w:t>
                  </w:r>
                </w:p>
              </w:tc>
              <w:tc>
                <w:tcPr>
                  <w:tcW w:w="2252" w:type="dxa"/>
                  <w:vMerge w:val="restart"/>
                  <w:noWrap w:val="0"/>
                  <w:vAlign w:val="center"/>
                </w:tcPr>
                <w:p w14:paraId="73268B36">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b/>
                      <w:bCs/>
                      <w:color w:val="auto"/>
                      <w:kern w:val="0"/>
                      <w:sz w:val="21"/>
                      <w:szCs w:val="24"/>
                      <w:highlight w:val="none"/>
                      <w:lang w:val="en-US" w:eastAsia="zh-CN" w:bidi="ar-SA"/>
                    </w:rPr>
                  </w:pPr>
                  <w:r>
                    <w:rPr>
                      <w:rFonts w:hint="default" w:ascii="Times New Roman" w:hAnsi="Times New Roman" w:eastAsia="宋体" w:cs="Times New Roman"/>
                      <w:b/>
                      <w:bCs/>
                      <w:color w:val="auto"/>
                      <w:kern w:val="0"/>
                      <w:sz w:val="21"/>
                      <w:szCs w:val="24"/>
                      <w:highlight w:val="none"/>
                      <w:lang w:val="en-US" w:eastAsia="zh-CN" w:bidi="ar-SA"/>
                    </w:rPr>
                    <w:t>标准</w:t>
                  </w:r>
                </w:p>
              </w:tc>
              <w:tc>
                <w:tcPr>
                  <w:tcW w:w="1057" w:type="dxa"/>
                  <w:vMerge w:val="restart"/>
                  <w:noWrap w:val="0"/>
                  <w:vAlign w:val="center"/>
                </w:tcPr>
                <w:p w14:paraId="0B563AF8">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b/>
                      <w:bCs/>
                      <w:color w:val="auto"/>
                      <w:kern w:val="0"/>
                      <w:sz w:val="21"/>
                      <w:szCs w:val="24"/>
                      <w:highlight w:val="none"/>
                      <w:lang w:val="en-US" w:eastAsia="zh-CN" w:bidi="ar-SA"/>
                    </w:rPr>
                  </w:pPr>
                  <w:r>
                    <w:rPr>
                      <w:rFonts w:hint="default" w:ascii="Times New Roman" w:hAnsi="Times New Roman" w:eastAsia="宋体" w:cs="Times New Roman"/>
                      <w:b/>
                      <w:bCs/>
                      <w:color w:val="auto"/>
                      <w:sz w:val="21"/>
                      <w:szCs w:val="21"/>
                      <w:highlight w:val="none"/>
                      <w:lang w:val="en-US" w:eastAsia="zh-CN"/>
                    </w:rPr>
                    <w:t>浓度限值（mg/m</w:t>
                  </w:r>
                  <w:r>
                    <w:rPr>
                      <w:rFonts w:hint="default"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lang w:val="en-US" w:eastAsia="zh-CN"/>
                    </w:rPr>
                    <w:t>）</w:t>
                  </w:r>
                </w:p>
              </w:tc>
              <w:tc>
                <w:tcPr>
                  <w:tcW w:w="949" w:type="dxa"/>
                  <w:vMerge w:val="restart"/>
                  <w:noWrap w:val="0"/>
                  <w:vAlign w:val="center"/>
                </w:tcPr>
                <w:p w14:paraId="2ADEEC64">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速率限值（kg/h）</w:t>
                  </w:r>
                </w:p>
              </w:tc>
            </w:tr>
            <w:tr w14:paraId="63FF9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397" w:hRule="atLeast"/>
                <w:jc w:val="center"/>
              </w:trPr>
              <w:tc>
                <w:tcPr>
                  <w:tcW w:w="770" w:type="dxa"/>
                  <w:vMerge w:val="continue"/>
                  <w:noWrap w:val="0"/>
                  <w:vAlign w:val="center"/>
                </w:tcPr>
                <w:p w14:paraId="5C020B5E">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b/>
                      <w:bCs/>
                      <w:color w:val="auto"/>
                      <w:kern w:val="0"/>
                      <w:sz w:val="21"/>
                      <w:szCs w:val="24"/>
                      <w:highlight w:val="none"/>
                      <w:lang w:val="en-US" w:eastAsia="en-US" w:bidi="ar-SA"/>
                    </w:rPr>
                  </w:pPr>
                </w:p>
              </w:tc>
              <w:tc>
                <w:tcPr>
                  <w:tcW w:w="813" w:type="dxa"/>
                  <w:vMerge w:val="continue"/>
                  <w:noWrap w:val="0"/>
                  <w:vAlign w:val="center"/>
                </w:tcPr>
                <w:p w14:paraId="29404B05">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b/>
                      <w:bCs/>
                      <w:color w:val="auto"/>
                      <w:kern w:val="0"/>
                      <w:sz w:val="21"/>
                      <w:szCs w:val="24"/>
                      <w:highlight w:val="none"/>
                      <w:lang w:val="en-US" w:eastAsia="en-US" w:bidi="ar-SA"/>
                    </w:rPr>
                  </w:pPr>
                </w:p>
              </w:tc>
              <w:tc>
                <w:tcPr>
                  <w:tcW w:w="964" w:type="dxa"/>
                  <w:vMerge w:val="continue"/>
                  <w:noWrap w:val="0"/>
                  <w:vAlign w:val="center"/>
                </w:tcPr>
                <w:p w14:paraId="0B124E27">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b/>
                      <w:bCs/>
                      <w:color w:val="auto"/>
                      <w:kern w:val="0"/>
                      <w:sz w:val="21"/>
                      <w:szCs w:val="24"/>
                      <w:highlight w:val="none"/>
                      <w:lang w:val="en-US" w:eastAsia="en-US" w:bidi="ar-SA"/>
                    </w:rPr>
                  </w:pPr>
                </w:p>
              </w:tc>
              <w:tc>
                <w:tcPr>
                  <w:tcW w:w="567" w:type="dxa"/>
                  <w:vMerge w:val="continue"/>
                  <w:noWrap w:val="0"/>
                  <w:vAlign w:val="center"/>
                </w:tcPr>
                <w:p w14:paraId="3B4B6278">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b/>
                      <w:bCs/>
                      <w:color w:val="auto"/>
                      <w:kern w:val="0"/>
                      <w:sz w:val="21"/>
                      <w:szCs w:val="24"/>
                      <w:highlight w:val="none"/>
                      <w:lang w:val="en-US" w:eastAsia="en-US" w:bidi="ar-SA"/>
                    </w:rPr>
                  </w:pPr>
                </w:p>
              </w:tc>
              <w:tc>
                <w:tcPr>
                  <w:tcW w:w="740" w:type="dxa"/>
                  <w:vMerge w:val="continue"/>
                  <w:noWrap w:val="0"/>
                  <w:vAlign w:val="center"/>
                </w:tcPr>
                <w:p w14:paraId="7EDA3866">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b/>
                      <w:bCs/>
                      <w:color w:val="auto"/>
                      <w:kern w:val="0"/>
                      <w:sz w:val="21"/>
                      <w:szCs w:val="24"/>
                      <w:highlight w:val="none"/>
                      <w:lang w:val="en-US" w:eastAsia="en-US" w:bidi="ar-SA"/>
                    </w:rPr>
                  </w:pPr>
                </w:p>
              </w:tc>
              <w:tc>
                <w:tcPr>
                  <w:tcW w:w="750" w:type="dxa"/>
                  <w:vMerge w:val="continue"/>
                  <w:noWrap w:val="0"/>
                  <w:vAlign w:val="center"/>
                </w:tcPr>
                <w:p w14:paraId="66C63859">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b/>
                      <w:bCs/>
                      <w:color w:val="auto"/>
                      <w:kern w:val="0"/>
                      <w:sz w:val="21"/>
                      <w:szCs w:val="24"/>
                      <w:highlight w:val="none"/>
                      <w:lang w:val="en-US" w:eastAsia="en-US" w:bidi="ar-SA"/>
                    </w:rPr>
                  </w:pPr>
                </w:p>
              </w:tc>
              <w:tc>
                <w:tcPr>
                  <w:tcW w:w="770" w:type="dxa"/>
                  <w:vMerge w:val="continue"/>
                  <w:noWrap w:val="0"/>
                  <w:vAlign w:val="center"/>
                </w:tcPr>
                <w:p w14:paraId="6556F30E">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b/>
                      <w:bCs/>
                      <w:color w:val="auto"/>
                      <w:kern w:val="0"/>
                      <w:sz w:val="21"/>
                      <w:szCs w:val="24"/>
                      <w:highlight w:val="none"/>
                      <w:lang w:val="en-US" w:eastAsia="en-US" w:bidi="ar-SA"/>
                    </w:rPr>
                  </w:pPr>
                </w:p>
              </w:tc>
              <w:tc>
                <w:tcPr>
                  <w:tcW w:w="960" w:type="dxa"/>
                  <w:vMerge w:val="continue"/>
                  <w:noWrap w:val="0"/>
                  <w:vAlign w:val="center"/>
                </w:tcPr>
                <w:p w14:paraId="4B46A853">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b/>
                      <w:bCs/>
                      <w:color w:val="auto"/>
                      <w:kern w:val="0"/>
                      <w:sz w:val="21"/>
                      <w:szCs w:val="24"/>
                      <w:highlight w:val="none"/>
                      <w:lang w:val="en-US" w:eastAsia="en-US" w:bidi="ar-SA"/>
                    </w:rPr>
                  </w:pPr>
                </w:p>
              </w:tc>
              <w:tc>
                <w:tcPr>
                  <w:tcW w:w="1023" w:type="dxa"/>
                  <w:noWrap w:val="0"/>
                  <w:vAlign w:val="center"/>
                </w:tcPr>
                <w:p w14:paraId="6D41A45C">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b/>
                      <w:bCs/>
                      <w:color w:val="auto"/>
                      <w:kern w:val="0"/>
                      <w:sz w:val="21"/>
                      <w:szCs w:val="24"/>
                      <w:highlight w:val="none"/>
                      <w:lang w:val="en-US" w:eastAsia="zh-CN" w:bidi="ar-SA"/>
                    </w:rPr>
                  </w:pPr>
                  <w:r>
                    <w:rPr>
                      <w:rFonts w:hint="default" w:ascii="Times New Roman" w:hAnsi="Times New Roman" w:eastAsia="宋体" w:cs="Times New Roman"/>
                      <w:b/>
                      <w:bCs/>
                      <w:color w:val="auto"/>
                      <w:kern w:val="0"/>
                      <w:sz w:val="21"/>
                      <w:szCs w:val="24"/>
                      <w:highlight w:val="none"/>
                      <w:lang w:val="en-US" w:eastAsia="zh-CN" w:bidi="ar-SA"/>
                    </w:rPr>
                    <w:t>经度</w:t>
                  </w:r>
                </w:p>
              </w:tc>
              <w:tc>
                <w:tcPr>
                  <w:tcW w:w="940" w:type="dxa"/>
                  <w:noWrap w:val="0"/>
                  <w:vAlign w:val="center"/>
                </w:tcPr>
                <w:p w14:paraId="32962C73">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b/>
                      <w:bCs/>
                      <w:color w:val="auto"/>
                      <w:kern w:val="0"/>
                      <w:sz w:val="21"/>
                      <w:szCs w:val="24"/>
                      <w:highlight w:val="none"/>
                      <w:lang w:val="en-US" w:eastAsia="zh-CN" w:bidi="ar-SA"/>
                    </w:rPr>
                  </w:pPr>
                  <w:r>
                    <w:rPr>
                      <w:rFonts w:hint="default" w:ascii="Times New Roman" w:hAnsi="Times New Roman" w:eastAsia="宋体" w:cs="Times New Roman"/>
                      <w:b/>
                      <w:bCs/>
                      <w:color w:val="auto"/>
                      <w:kern w:val="0"/>
                      <w:sz w:val="21"/>
                      <w:szCs w:val="24"/>
                      <w:highlight w:val="none"/>
                      <w:lang w:val="en-US" w:eastAsia="zh-CN" w:bidi="ar-SA"/>
                    </w:rPr>
                    <w:t>纬度</w:t>
                  </w:r>
                </w:p>
              </w:tc>
              <w:tc>
                <w:tcPr>
                  <w:tcW w:w="2252" w:type="dxa"/>
                  <w:vMerge w:val="continue"/>
                  <w:noWrap w:val="0"/>
                  <w:vAlign w:val="center"/>
                </w:tcPr>
                <w:p w14:paraId="402F2A94">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color w:val="auto"/>
                      <w:kern w:val="0"/>
                      <w:sz w:val="21"/>
                      <w:szCs w:val="24"/>
                      <w:highlight w:val="none"/>
                      <w:lang w:val="en-US" w:eastAsia="en-US" w:bidi="ar-SA"/>
                    </w:rPr>
                  </w:pPr>
                </w:p>
              </w:tc>
              <w:tc>
                <w:tcPr>
                  <w:tcW w:w="1057" w:type="dxa"/>
                  <w:vMerge w:val="continue"/>
                  <w:noWrap w:val="0"/>
                  <w:vAlign w:val="center"/>
                </w:tcPr>
                <w:p w14:paraId="7E2AAC19">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color w:val="auto"/>
                      <w:kern w:val="0"/>
                      <w:sz w:val="21"/>
                      <w:szCs w:val="24"/>
                      <w:highlight w:val="none"/>
                      <w:lang w:val="en-US" w:eastAsia="en-US" w:bidi="ar-SA"/>
                    </w:rPr>
                  </w:pPr>
                </w:p>
              </w:tc>
              <w:tc>
                <w:tcPr>
                  <w:tcW w:w="949" w:type="dxa"/>
                  <w:vMerge w:val="continue"/>
                  <w:noWrap w:val="0"/>
                  <w:vAlign w:val="center"/>
                </w:tcPr>
                <w:p w14:paraId="327D8F7C">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color w:val="auto"/>
                      <w:kern w:val="0"/>
                      <w:sz w:val="21"/>
                      <w:szCs w:val="24"/>
                      <w:highlight w:val="none"/>
                      <w:lang w:val="en-US" w:eastAsia="en-US" w:bidi="ar-SA"/>
                    </w:rPr>
                  </w:pPr>
                </w:p>
              </w:tc>
            </w:tr>
            <w:tr w14:paraId="6A6CD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397" w:hRule="atLeast"/>
                <w:jc w:val="center"/>
              </w:trPr>
              <w:tc>
                <w:tcPr>
                  <w:tcW w:w="770" w:type="dxa"/>
                  <w:vMerge w:val="restart"/>
                  <w:noWrap w:val="0"/>
                  <w:vAlign w:val="center"/>
                </w:tcPr>
                <w:p w14:paraId="1BE494FB">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1</w:t>
                  </w:r>
                </w:p>
              </w:tc>
              <w:tc>
                <w:tcPr>
                  <w:tcW w:w="813" w:type="dxa"/>
                  <w:vMerge w:val="restart"/>
                  <w:noWrap w:val="0"/>
                  <w:vAlign w:val="center"/>
                </w:tcPr>
                <w:p w14:paraId="1C962DDD">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4"/>
                      <w:highlight w:val="none"/>
                      <w:lang w:val="en-US" w:eastAsia="zh-CN" w:bidi="ar-SA"/>
                    </w:rPr>
                  </w:pPr>
                  <w:r>
                    <w:rPr>
                      <w:rFonts w:hint="default" w:ascii="Times New Roman" w:hAnsi="Times New Roman" w:eastAsia="宋体" w:cs="Times New Roman"/>
                      <w:color w:val="auto"/>
                      <w:kern w:val="0"/>
                      <w:sz w:val="21"/>
                      <w:szCs w:val="24"/>
                      <w:highlight w:val="none"/>
                      <w:lang w:val="en-US" w:eastAsia="zh-CN" w:bidi="ar-SA"/>
                    </w:rPr>
                    <w:t>DA00</w:t>
                  </w:r>
                  <w:r>
                    <w:rPr>
                      <w:rFonts w:hint="eastAsia" w:cs="Times New Roman"/>
                      <w:color w:val="auto"/>
                      <w:kern w:val="0"/>
                      <w:sz w:val="21"/>
                      <w:szCs w:val="24"/>
                      <w:highlight w:val="none"/>
                      <w:lang w:val="en-US" w:eastAsia="zh-CN" w:bidi="ar-SA"/>
                    </w:rPr>
                    <w:t>1</w:t>
                  </w:r>
                </w:p>
              </w:tc>
              <w:tc>
                <w:tcPr>
                  <w:tcW w:w="964" w:type="dxa"/>
                  <w:vMerge w:val="restart"/>
                  <w:noWrap w:val="0"/>
                  <w:vAlign w:val="center"/>
                </w:tcPr>
                <w:p w14:paraId="69ECA99C">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挤出、喷码、注塑废气排放口</w:t>
                  </w:r>
                </w:p>
              </w:tc>
              <w:tc>
                <w:tcPr>
                  <w:tcW w:w="567" w:type="dxa"/>
                  <w:noWrap w:val="0"/>
                  <w:vAlign w:val="center"/>
                </w:tcPr>
                <w:p w14:paraId="44174176">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非甲烷总烃</w:t>
                  </w:r>
                </w:p>
              </w:tc>
              <w:tc>
                <w:tcPr>
                  <w:tcW w:w="740" w:type="dxa"/>
                  <w:vMerge w:val="restart"/>
                  <w:noWrap w:val="0"/>
                  <w:vAlign w:val="center"/>
                </w:tcPr>
                <w:p w14:paraId="2E42B4F1">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15</w:t>
                  </w:r>
                </w:p>
              </w:tc>
              <w:tc>
                <w:tcPr>
                  <w:tcW w:w="750" w:type="dxa"/>
                  <w:vMerge w:val="restart"/>
                  <w:noWrap w:val="0"/>
                  <w:vAlign w:val="center"/>
                </w:tcPr>
                <w:p w14:paraId="07E3C0C1">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1.2</w:t>
                  </w:r>
                </w:p>
              </w:tc>
              <w:tc>
                <w:tcPr>
                  <w:tcW w:w="770" w:type="dxa"/>
                  <w:vMerge w:val="restart"/>
                  <w:noWrap w:val="0"/>
                  <w:vAlign w:val="center"/>
                </w:tcPr>
                <w:p w14:paraId="493AB362">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color w:val="auto"/>
                      <w:kern w:val="0"/>
                      <w:sz w:val="21"/>
                      <w:szCs w:val="24"/>
                      <w:highlight w:val="none"/>
                      <w:lang w:val="en-US" w:eastAsia="en-US" w:bidi="ar-SA"/>
                    </w:rPr>
                  </w:pPr>
                  <w:r>
                    <w:rPr>
                      <w:rFonts w:hint="eastAsia" w:ascii="Times New Roman" w:hAnsi="Times New Roman" w:eastAsia="宋体" w:cs="Times New Roman"/>
                      <w:color w:val="auto"/>
                      <w:kern w:val="0"/>
                      <w:sz w:val="21"/>
                      <w:szCs w:val="24"/>
                      <w:highlight w:val="none"/>
                      <w:lang w:val="en-US" w:eastAsia="zh-CN" w:bidi="ar-SA"/>
                    </w:rPr>
                    <w:t>25</w:t>
                  </w:r>
                </w:p>
              </w:tc>
              <w:tc>
                <w:tcPr>
                  <w:tcW w:w="960" w:type="dxa"/>
                  <w:vMerge w:val="restart"/>
                  <w:noWrap w:val="0"/>
                  <w:vAlign w:val="center"/>
                </w:tcPr>
                <w:p w14:paraId="6E51F788">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color w:val="auto"/>
                      <w:kern w:val="0"/>
                      <w:sz w:val="21"/>
                      <w:szCs w:val="24"/>
                      <w:highlight w:val="none"/>
                      <w:lang w:val="en-US" w:eastAsia="zh-CN" w:bidi="ar-SA"/>
                    </w:rPr>
                  </w:pPr>
                  <w:r>
                    <w:rPr>
                      <w:rFonts w:hint="default" w:ascii="Times New Roman" w:hAnsi="Times New Roman" w:eastAsia="宋体" w:cs="Times New Roman"/>
                      <w:color w:val="auto"/>
                      <w:kern w:val="0"/>
                      <w:sz w:val="21"/>
                      <w:szCs w:val="24"/>
                      <w:highlight w:val="none"/>
                      <w:lang w:val="en-US" w:eastAsia="zh-CN" w:bidi="ar-SA"/>
                    </w:rPr>
                    <w:t>一般排放口</w:t>
                  </w:r>
                </w:p>
              </w:tc>
              <w:tc>
                <w:tcPr>
                  <w:tcW w:w="1023" w:type="dxa"/>
                  <w:vMerge w:val="restart"/>
                  <w:noWrap w:val="0"/>
                  <w:vAlign w:val="center"/>
                </w:tcPr>
                <w:p w14:paraId="05796C2F">
                  <w:pPr>
                    <w:keepNext w:val="0"/>
                    <w:keepLines w:val="0"/>
                    <w:widowControl w:val="0"/>
                    <w:suppressLineNumbers w:val="0"/>
                    <w:adjustRightInd w:val="0"/>
                    <w:snapToGrid w:val="0"/>
                    <w:spacing w:before="0" w:beforeAutospacing="0" w:after="0" w:afterAutospacing="0" w:line="288"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117.8</w:t>
                  </w:r>
                  <w:r>
                    <w:rPr>
                      <w:rFonts w:hint="eastAsia" w:cs="Times New Roman"/>
                      <w:color w:val="auto"/>
                      <w:kern w:val="0"/>
                      <w:sz w:val="21"/>
                      <w:szCs w:val="21"/>
                      <w:highlight w:val="none"/>
                      <w:lang w:val="en-US" w:eastAsia="zh-CN" w:bidi="ar-SA"/>
                    </w:rPr>
                    <w:t>8758</w:t>
                  </w:r>
                </w:p>
              </w:tc>
              <w:tc>
                <w:tcPr>
                  <w:tcW w:w="940" w:type="dxa"/>
                  <w:vMerge w:val="restart"/>
                  <w:noWrap w:val="0"/>
                  <w:vAlign w:val="center"/>
                </w:tcPr>
                <w:p w14:paraId="6C8DEB23">
                  <w:pPr>
                    <w:keepNext w:val="0"/>
                    <w:keepLines w:val="0"/>
                    <w:widowControl w:val="0"/>
                    <w:suppressLineNumbers w:val="0"/>
                    <w:adjustRightInd w:val="0"/>
                    <w:snapToGrid w:val="0"/>
                    <w:spacing w:before="0" w:beforeAutospacing="0" w:after="0" w:afterAutospacing="0" w:line="288"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30.</w:t>
                  </w:r>
                  <w:r>
                    <w:rPr>
                      <w:rFonts w:hint="eastAsia" w:cs="Times New Roman"/>
                      <w:color w:val="auto"/>
                      <w:kern w:val="0"/>
                      <w:sz w:val="21"/>
                      <w:szCs w:val="21"/>
                      <w:highlight w:val="none"/>
                      <w:lang w:val="en-US" w:eastAsia="zh-CN" w:bidi="ar-SA"/>
                    </w:rPr>
                    <w:t>63263</w:t>
                  </w:r>
                </w:p>
              </w:tc>
              <w:tc>
                <w:tcPr>
                  <w:tcW w:w="2252" w:type="dxa"/>
                  <w:vMerge w:val="restart"/>
                  <w:noWrap w:val="0"/>
                  <w:vAlign w:val="center"/>
                </w:tcPr>
                <w:p w14:paraId="6E400CAC">
                  <w:pPr>
                    <w:pStyle w:val="10"/>
                    <w:bidi w:val="0"/>
                    <w:rPr>
                      <w:rFonts w:hint="default" w:ascii="Times New Roman" w:hAnsi="Times New Roman" w:cs="Times New Roman"/>
                      <w:color w:val="auto"/>
                      <w:highlight w:val="none"/>
                      <w:lang w:val="en-US" w:eastAsia="en-US"/>
                    </w:rPr>
                  </w:pPr>
                  <w:r>
                    <w:rPr>
                      <w:rFonts w:hint="eastAsia"/>
                      <w:color w:val="auto"/>
                      <w:highlight w:val="none"/>
                      <w:lang w:val="en-US" w:eastAsia="zh-CN"/>
                    </w:rPr>
                    <w:t>《固定源挥发性有机物综合排放标准 第6部分：其他行业》（DB 34/4812.6-2024）表1</w:t>
                  </w:r>
                </w:p>
              </w:tc>
              <w:tc>
                <w:tcPr>
                  <w:tcW w:w="1057" w:type="dxa"/>
                  <w:noWrap w:val="0"/>
                  <w:vAlign w:val="center"/>
                </w:tcPr>
                <w:p w14:paraId="04825146">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40</w:t>
                  </w:r>
                </w:p>
              </w:tc>
              <w:tc>
                <w:tcPr>
                  <w:tcW w:w="949" w:type="dxa"/>
                  <w:noWrap w:val="0"/>
                  <w:vAlign w:val="center"/>
                </w:tcPr>
                <w:p w14:paraId="3B3F5E91">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1.6</w:t>
                  </w:r>
                </w:p>
              </w:tc>
            </w:tr>
            <w:tr w14:paraId="53F0B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70" w:type="dxa"/>
                  <w:vMerge w:val="continue"/>
                  <w:noWrap w:val="0"/>
                  <w:vAlign w:val="center"/>
                </w:tcPr>
                <w:p w14:paraId="1B20E18E">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eastAsia" w:cs="Times New Roman"/>
                      <w:color w:val="auto"/>
                      <w:kern w:val="0"/>
                      <w:sz w:val="21"/>
                      <w:szCs w:val="24"/>
                      <w:highlight w:val="none"/>
                      <w:lang w:val="en-US" w:eastAsia="zh-CN" w:bidi="ar-SA"/>
                    </w:rPr>
                  </w:pPr>
                </w:p>
              </w:tc>
              <w:tc>
                <w:tcPr>
                  <w:tcW w:w="813" w:type="dxa"/>
                  <w:vMerge w:val="continue"/>
                  <w:noWrap w:val="0"/>
                  <w:vAlign w:val="center"/>
                </w:tcPr>
                <w:p w14:paraId="2C6BB8F9">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4"/>
                      <w:highlight w:val="none"/>
                      <w:lang w:val="en-US" w:eastAsia="zh-CN" w:bidi="ar-SA"/>
                    </w:rPr>
                  </w:pPr>
                </w:p>
              </w:tc>
              <w:tc>
                <w:tcPr>
                  <w:tcW w:w="964" w:type="dxa"/>
                  <w:vMerge w:val="continue"/>
                  <w:noWrap w:val="0"/>
                  <w:vAlign w:val="center"/>
                </w:tcPr>
                <w:p w14:paraId="7DE1E1F5">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eastAsia" w:cs="Times New Roman"/>
                      <w:color w:val="auto"/>
                      <w:kern w:val="0"/>
                      <w:sz w:val="21"/>
                      <w:szCs w:val="24"/>
                      <w:highlight w:val="none"/>
                      <w:lang w:val="en-US" w:eastAsia="zh-CN" w:bidi="ar-SA"/>
                    </w:rPr>
                  </w:pPr>
                </w:p>
              </w:tc>
              <w:tc>
                <w:tcPr>
                  <w:tcW w:w="567" w:type="dxa"/>
                  <w:noWrap w:val="0"/>
                  <w:vAlign w:val="center"/>
                </w:tcPr>
                <w:p w14:paraId="41F8135A">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氯乙烯</w:t>
                  </w:r>
                </w:p>
              </w:tc>
              <w:tc>
                <w:tcPr>
                  <w:tcW w:w="740" w:type="dxa"/>
                  <w:vMerge w:val="continue"/>
                  <w:noWrap w:val="0"/>
                  <w:vAlign w:val="center"/>
                </w:tcPr>
                <w:p w14:paraId="26EA5F5E">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eastAsia" w:cs="Times New Roman"/>
                      <w:color w:val="auto"/>
                      <w:kern w:val="0"/>
                      <w:sz w:val="21"/>
                      <w:szCs w:val="24"/>
                      <w:highlight w:val="none"/>
                      <w:lang w:val="en-US" w:eastAsia="zh-CN" w:bidi="ar-SA"/>
                    </w:rPr>
                  </w:pPr>
                </w:p>
              </w:tc>
              <w:tc>
                <w:tcPr>
                  <w:tcW w:w="750" w:type="dxa"/>
                  <w:vMerge w:val="continue"/>
                  <w:noWrap w:val="0"/>
                  <w:vAlign w:val="center"/>
                </w:tcPr>
                <w:p w14:paraId="519296BB">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eastAsia" w:ascii="Times New Roman" w:hAnsi="Times New Roman" w:eastAsia="宋体" w:cs="Times New Roman"/>
                      <w:color w:val="auto"/>
                      <w:kern w:val="0"/>
                      <w:sz w:val="21"/>
                      <w:szCs w:val="24"/>
                      <w:highlight w:val="none"/>
                      <w:lang w:val="en-US" w:eastAsia="zh-CN" w:bidi="ar-SA"/>
                    </w:rPr>
                  </w:pPr>
                </w:p>
              </w:tc>
              <w:tc>
                <w:tcPr>
                  <w:tcW w:w="770" w:type="dxa"/>
                  <w:vMerge w:val="continue"/>
                  <w:noWrap w:val="0"/>
                  <w:vAlign w:val="center"/>
                </w:tcPr>
                <w:p w14:paraId="1822FD5E">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eastAsia" w:ascii="Times New Roman" w:hAnsi="Times New Roman" w:eastAsia="宋体" w:cs="Times New Roman"/>
                      <w:color w:val="auto"/>
                      <w:kern w:val="0"/>
                      <w:sz w:val="21"/>
                      <w:szCs w:val="24"/>
                      <w:highlight w:val="none"/>
                      <w:lang w:val="en-US" w:eastAsia="zh-CN" w:bidi="ar-SA"/>
                    </w:rPr>
                  </w:pPr>
                </w:p>
              </w:tc>
              <w:tc>
                <w:tcPr>
                  <w:tcW w:w="960" w:type="dxa"/>
                  <w:vMerge w:val="continue"/>
                  <w:noWrap w:val="0"/>
                  <w:vAlign w:val="center"/>
                </w:tcPr>
                <w:p w14:paraId="08F0998F">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color w:val="auto"/>
                      <w:kern w:val="0"/>
                      <w:sz w:val="21"/>
                      <w:szCs w:val="24"/>
                      <w:highlight w:val="none"/>
                      <w:lang w:val="en-US" w:eastAsia="zh-CN" w:bidi="ar-SA"/>
                    </w:rPr>
                  </w:pPr>
                </w:p>
              </w:tc>
              <w:tc>
                <w:tcPr>
                  <w:tcW w:w="1023" w:type="dxa"/>
                  <w:vMerge w:val="continue"/>
                  <w:noWrap w:val="0"/>
                  <w:vAlign w:val="center"/>
                </w:tcPr>
                <w:p w14:paraId="6CC9547D">
                  <w:pPr>
                    <w:keepNext w:val="0"/>
                    <w:keepLines w:val="0"/>
                    <w:widowControl w:val="0"/>
                    <w:suppressLineNumbers w:val="0"/>
                    <w:adjustRightInd w:val="0"/>
                    <w:snapToGrid w:val="0"/>
                    <w:spacing w:before="0" w:beforeAutospacing="0" w:after="0" w:afterAutospacing="0" w:line="288"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bidi="ar-SA"/>
                    </w:rPr>
                  </w:pPr>
                </w:p>
              </w:tc>
              <w:tc>
                <w:tcPr>
                  <w:tcW w:w="940" w:type="dxa"/>
                  <w:vMerge w:val="continue"/>
                  <w:noWrap w:val="0"/>
                  <w:vAlign w:val="center"/>
                </w:tcPr>
                <w:p w14:paraId="0168EBB5">
                  <w:pPr>
                    <w:keepNext w:val="0"/>
                    <w:keepLines w:val="0"/>
                    <w:widowControl w:val="0"/>
                    <w:suppressLineNumbers w:val="0"/>
                    <w:adjustRightInd w:val="0"/>
                    <w:snapToGrid w:val="0"/>
                    <w:spacing w:before="0" w:beforeAutospacing="0" w:after="0" w:afterAutospacing="0" w:line="288"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bidi="ar-SA"/>
                    </w:rPr>
                  </w:pPr>
                </w:p>
              </w:tc>
              <w:tc>
                <w:tcPr>
                  <w:tcW w:w="2252" w:type="dxa"/>
                  <w:vMerge w:val="continue"/>
                  <w:noWrap w:val="0"/>
                  <w:vAlign w:val="center"/>
                </w:tcPr>
                <w:p w14:paraId="339D8D82">
                  <w:pPr>
                    <w:pStyle w:val="10"/>
                    <w:bidi w:val="0"/>
                    <w:rPr>
                      <w:rFonts w:hint="default" w:ascii="Times New Roman" w:hAnsi="Times New Roman" w:cs="Times New Roman"/>
                      <w:color w:val="auto"/>
                      <w:highlight w:val="none"/>
                      <w:lang w:val="en-US" w:eastAsia="en-US"/>
                    </w:rPr>
                  </w:pPr>
                </w:p>
              </w:tc>
              <w:tc>
                <w:tcPr>
                  <w:tcW w:w="1057" w:type="dxa"/>
                  <w:noWrap w:val="0"/>
                  <w:vAlign w:val="center"/>
                </w:tcPr>
                <w:p w14:paraId="2B1E86B2">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5</w:t>
                  </w:r>
                </w:p>
              </w:tc>
              <w:tc>
                <w:tcPr>
                  <w:tcW w:w="949" w:type="dxa"/>
                  <w:noWrap w:val="0"/>
                  <w:vAlign w:val="center"/>
                </w:tcPr>
                <w:p w14:paraId="4BAD3098">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w:t>
                  </w:r>
                </w:p>
              </w:tc>
            </w:tr>
            <w:tr w14:paraId="3E653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397" w:hRule="atLeast"/>
                <w:jc w:val="center"/>
              </w:trPr>
              <w:tc>
                <w:tcPr>
                  <w:tcW w:w="770" w:type="dxa"/>
                  <w:vMerge w:val="continue"/>
                  <w:noWrap w:val="0"/>
                  <w:vAlign w:val="center"/>
                </w:tcPr>
                <w:p w14:paraId="00F86AA0">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eastAsia" w:cs="Times New Roman"/>
                      <w:color w:val="auto"/>
                      <w:kern w:val="0"/>
                      <w:sz w:val="21"/>
                      <w:szCs w:val="24"/>
                      <w:highlight w:val="none"/>
                      <w:lang w:val="en-US" w:eastAsia="zh-CN" w:bidi="ar-SA"/>
                    </w:rPr>
                  </w:pPr>
                </w:p>
              </w:tc>
              <w:tc>
                <w:tcPr>
                  <w:tcW w:w="813" w:type="dxa"/>
                  <w:vMerge w:val="continue"/>
                  <w:noWrap w:val="0"/>
                  <w:vAlign w:val="center"/>
                </w:tcPr>
                <w:p w14:paraId="21DB874C">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4"/>
                      <w:highlight w:val="none"/>
                      <w:lang w:val="en-US" w:eastAsia="zh-CN" w:bidi="ar-SA"/>
                    </w:rPr>
                  </w:pPr>
                </w:p>
              </w:tc>
              <w:tc>
                <w:tcPr>
                  <w:tcW w:w="964" w:type="dxa"/>
                  <w:vMerge w:val="continue"/>
                  <w:noWrap w:val="0"/>
                  <w:vAlign w:val="center"/>
                </w:tcPr>
                <w:p w14:paraId="653D18D4">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eastAsia" w:cs="Times New Roman"/>
                      <w:color w:val="auto"/>
                      <w:kern w:val="0"/>
                      <w:sz w:val="21"/>
                      <w:szCs w:val="24"/>
                      <w:highlight w:val="none"/>
                      <w:lang w:val="en-US" w:eastAsia="zh-CN" w:bidi="ar-SA"/>
                    </w:rPr>
                  </w:pPr>
                </w:p>
              </w:tc>
              <w:tc>
                <w:tcPr>
                  <w:tcW w:w="567" w:type="dxa"/>
                  <w:noWrap w:val="0"/>
                  <w:vAlign w:val="center"/>
                </w:tcPr>
                <w:p w14:paraId="734C58D7">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颗粒物</w:t>
                  </w:r>
                </w:p>
              </w:tc>
              <w:tc>
                <w:tcPr>
                  <w:tcW w:w="740" w:type="dxa"/>
                  <w:vMerge w:val="continue"/>
                  <w:noWrap w:val="0"/>
                  <w:vAlign w:val="center"/>
                </w:tcPr>
                <w:p w14:paraId="01EA2E36">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eastAsia" w:cs="Times New Roman"/>
                      <w:color w:val="auto"/>
                      <w:kern w:val="0"/>
                      <w:sz w:val="21"/>
                      <w:szCs w:val="24"/>
                      <w:highlight w:val="none"/>
                      <w:lang w:val="en-US" w:eastAsia="zh-CN" w:bidi="ar-SA"/>
                    </w:rPr>
                  </w:pPr>
                </w:p>
              </w:tc>
              <w:tc>
                <w:tcPr>
                  <w:tcW w:w="750" w:type="dxa"/>
                  <w:vMerge w:val="continue"/>
                  <w:noWrap w:val="0"/>
                  <w:vAlign w:val="center"/>
                </w:tcPr>
                <w:p w14:paraId="18EA41B3">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eastAsia" w:ascii="Times New Roman" w:hAnsi="Times New Roman" w:eastAsia="宋体" w:cs="Times New Roman"/>
                      <w:color w:val="auto"/>
                      <w:kern w:val="0"/>
                      <w:sz w:val="21"/>
                      <w:szCs w:val="24"/>
                      <w:highlight w:val="none"/>
                      <w:lang w:val="en-US" w:eastAsia="zh-CN" w:bidi="ar-SA"/>
                    </w:rPr>
                  </w:pPr>
                </w:p>
              </w:tc>
              <w:tc>
                <w:tcPr>
                  <w:tcW w:w="770" w:type="dxa"/>
                  <w:vMerge w:val="continue"/>
                  <w:noWrap w:val="0"/>
                  <w:vAlign w:val="center"/>
                </w:tcPr>
                <w:p w14:paraId="1F296372">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eastAsia" w:ascii="Times New Roman" w:hAnsi="Times New Roman" w:eastAsia="宋体" w:cs="Times New Roman"/>
                      <w:color w:val="auto"/>
                      <w:kern w:val="0"/>
                      <w:sz w:val="21"/>
                      <w:szCs w:val="24"/>
                      <w:highlight w:val="none"/>
                      <w:lang w:val="en-US" w:eastAsia="zh-CN" w:bidi="ar-SA"/>
                    </w:rPr>
                  </w:pPr>
                </w:p>
              </w:tc>
              <w:tc>
                <w:tcPr>
                  <w:tcW w:w="960" w:type="dxa"/>
                  <w:vMerge w:val="continue"/>
                  <w:noWrap w:val="0"/>
                  <w:vAlign w:val="center"/>
                </w:tcPr>
                <w:p w14:paraId="3206D332">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color w:val="auto"/>
                      <w:kern w:val="0"/>
                      <w:sz w:val="21"/>
                      <w:szCs w:val="24"/>
                      <w:highlight w:val="none"/>
                      <w:lang w:val="en-US" w:eastAsia="zh-CN" w:bidi="ar-SA"/>
                    </w:rPr>
                  </w:pPr>
                </w:p>
              </w:tc>
              <w:tc>
                <w:tcPr>
                  <w:tcW w:w="1023" w:type="dxa"/>
                  <w:vMerge w:val="continue"/>
                  <w:noWrap w:val="0"/>
                  <w:vAlign w:val="center"/>
                </w:tcPr>
                <w:p w14:paraId="6C434E13">
                  <w:pPr>
                    <w:keepNext w:val="0"/>
                    <w:keepLines w:val="0"/>
                    <w:widowControl w:val="0"/>
                    <w:suppressLineNumbers w:val="0"/>
                    <w:adjustRightInd w:val="0"/>
                    <w:snapToGrid w:val="0"/>
                    <w:spacing w:before="0" w:beforeAutospacing="0" w:after="0" w:afterAutospacing="0" w:line="288"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bidi="ar-SA"/>
                    </w:rPr>
                  </w:pPr>
                </w:p>
              </w:tc>
              <w:tc>
                <w:tcPr>
                  <w:tcW w:w="940" w:type="dxa"/>
                  <w:vMerge w:val="continue"/>
                  <w:noWrap w:val="0"/>
                  <w:vAlign w:val="center"/>
                </w:tcPr>
                <w:p w14:paraId="05F02277">
                  <w:pPr>
                    <w:keepNext w:val="0"/>
                    <w:keepLines w:val="0"/>
                    <w:widowControl w:val="0"/>
                    <w:suppressLineNumbers w:val="0"/>
                    <w:adjustRightInd w:val="0"/>
                    <w:snapToGrid w:val="0"/>
                    <w:spacing w:before="0" w:beforeAutospacing="0" w:after="0" w:afterAutospacing="0" w:line="288"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bidi="ar-SA"/>
                    </w:rPr>
                  </w:pPr>
                </w:p>
              </w:tc>
              <w:tc>
                <w:tcPr>
                  <w:tcW w:w="2252" w:type="dxa"/>
                  <w:vMerge w:val="restart"/>
                  <w:noWrap w:val="0"/>
                  <w:vAlign w:val="center"/>
                </w:tcPr>
                <w:p w14:paraId="073A7FE6">
                  <w:pPr>
                    <w:pStyle w:val="10"/>
                    <w:bidi w:val="0"/>
                    <w:rPr>
                      <w:rFonts w:hint="default" w:ascii="Times New Roman" w:hAnsi="Times New Roman" w:cs="Times New Roman"/>
                      <w:color w:val="auto"/>
                      <w:highlight w:val="none"/>
                      <w:lang w:val="en-US" w:eastAsia="en-US"/>
                    </w:rPr>
                  </w:pPr>
                  <w:r>
                    <w:rPr>
                      <w:rFonts w:hint="default"/>
                      <w:color w:val="auto"/>
                      <w:highlight w:val="none"/>
                    </w:rPr>
                    <w:t>《大气污染物综合排放标准》（GB16297-1996）</w:t>
                  </w:r>
                  <w:r>
                    <w:rPr>
                      <w:rFonts w:hint="eastAsia"/>
                      <w:color w:val="auto"/>
                      <w:highlight w:val="none"/>
                      <w:lang w:val="en-US" w:eastAsia="zh-CN"/>
                    </w:rPr>
                    <w:t>表2</w:t>
                  </w:r>
                </w:p>
              </w:tc>
              <w:tc>
                <w:tcPr>
                  <w:tcW w:w="1057" w:type="dxa"/>
                  <w:noWrap w:val="0"/>
                  <w:vAlign w:val="center"/>
                </w:tcPr>
                <w:p w14:paraId="0F649CD8">
                  <w:pPr>
                    <w:pStyle w:val="10"/>
                    <w:bidi w:val="0"/>
                    <w:ind w:right="0" w:rightChars="0" w:firstLine="0" w:firstLineChars="0"/>
                    <w:rPr>
                      <w:rFonts w:hint="eastAsia" w:cs="Times New Roman"/>
                      <w:color w:val="auto"/>
                      <w:kern w:val="0"/>
                      <w:sz w:val="21"/>
                      <w:szCs w:val="24"/>
                      <w:highlight w:val="none"/>
                      <w:lang w:val="en-US" w:eastAsia="zh-CN" w:bidi="ar-SA"/>
                    </w:rPr>
                  </w:pPr>
                  <w:r>
                    <w:rPr>
                      <w:rFonts w:hint="eastAsia"/>
                      <w:color w:val="auto"/>
                      <w:highlight w:val="none"/>
                      <w:lang w:val="en-US" w:eastAsia="zh-CN"/>
                    </w:rPr>
                    <w:t>120</w:t>
                  </w:r>
                </w:p>
              </w:tc>
              <w:tc>
                <w:tcPr>
                  <w:tcW w:w="949" w:type="dxa"/>
                  <w:noWrap w:val="0"/>
                  <w:vAlign w:val="center"/>
                </w:tcPr>
                <w:p w14:paraId="461B53F3">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eastAsia"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3.5</w:t>
                  </w:r>
                </w:p>
              </w:tc>
            </w:tr>
            <w:tr w14:paraId="31F9A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397" w:hRule="atLeast"/>
                <w:jc w:val="center"/>
              </w:trPr>
              <w:tc>
                <w:tcPr>
                  <w:tcW w:w="770" w:type="dxa"/>
                  <w:vMerge w:val="continue"/>
                  <w:noWrap w:val="0"/>
                  <w:vAlign w:val="center"/>
                </w:tcPr>
                <w:p w14:paraId="01943957">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eastAsia" w:cs="Times New Roman"/>
                      <w:color w:val="auto"/>
                      <w:kern w:val="0"/>
                      <w:sz w:val="21"/>
                      <w:szCs w:val="24"/>
                      <w:highlight w:val="none"/>
                      <w:lang w:val="en-US" w:eastAsia="zh-CN" w:bidi="ar-SA"/>
                    </w:rPr>
                  </w:pPr>
                </w:p>
              </w:tc>
              <w:tc>
                <w:tcPr>
                  <w:tcW w:w="813" w:type="dxa"/>
                  <w:vMerge w:val="continue"/>
                  <w:noWrap w:val="0"/>
                  <w:vAlign w:val="center"/>
                </w:tcPr>
                <w:p w14:paraId="165D3966">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4"/>
                      <w:highlight w:val="none"/>
                      <w:lang w:val="en-US" w:eastAsia="zh-CN" w:bidi="ar-SA"/>
                    </w:rPr>
                  </w:pPr>
                </w:p>
              </w:tc>
              <w:tc>
                <w:tcPr>
                  <w:tcW w:w="964" w:type="dxa"/>
                  <w:vMerge w:val="continue"/>
                  <w:noWrap w:val="0"/>
                  <w:vAlign w:val="center"/>
                </w:tcPr>
                <w:p w14:paraId="5119ECCA">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eastAsia" w:cs="Times New Roman"/>
                      <w:color w:val="auto"/>
                      <w:kern w:val="0"/>
                      <w:sz w:val="21"/>
                      <w:szCs w:val="24"/>
                      <w:highlight w:val="none"/>
                      <w:lang w:val="en-US" w:eastAsia="zh-CN" w:bidi="ar-SA"/>
                    </w:rPr>
                  </w:pPr>
                </w:p>
              </w:tc>
              <w:tc>
                <w:tcPr>
                  <w:tcW w:w="567" w:type="dxa"/>
                  <w:noWrap w:val="0"/>
                  <w:vAlign w:val="center"/>
                </w:tcPr>
                <w:p w14:paraId="77F39F67">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氯化氢</w:t>
                  </w:r>
                </w:p>
              </w:tc>
              <w:tc>
                <w:tcPr>
                  <w:tcW w:w="740" w:type="dxa"/>
                  <w:vMerge w:val="continue"/>
                  <w:noWrap w:val="0"/>
                  <w:vAlign w:val="center"/>
                </w:tcPr>
                <w:p w14:paraId="6161BC64">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eastAsia" w:cs="Times New Roman"/>
                      <w:color w:val="auto"/>
                      <w:kern w:val="0"/>
                      <w:sz w:val="21"/>
                      <w:szCs w:val="24"/>
                      <w:highlight w:val="none"/>
                      <w:lang w:val="en-US" w:eastAsia="zh-CN" w:bidi="ar-SA"/>
                    </w:rPr>
                  </w:pPr>
                </w:p>
              </w:tc>
              <w:tc>
                <w:tcPr>
                  <w:tcW w:w="750" w:type="dxa"/>
                  <w:vMerge w:val="continue"/>
                  <w:noWrap w:val="0"/>
                  <w:vAlign w:val="center"/>
                </w:tcPr>
                <w:p w14:paraId="6B05850E">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eastAsia" w:ascii="Times New Roman" w:hAnsi="Times New Roman" w:eastAsia="宋体" w:cs="Times New Roman"/>
                      <w:color w:val="auto"/>
                      <w:kern w:val="0"/>
                      <w:sz w:val="21"/>
                      <w:szCs w:val="24"/>
                      <w:highlight w:val="none"/>
                      <w:lang w:val="en-US" w:eastAsia="zh-CN" w:bidi="ar-SA"/>
                    </w:rPr>
                  </w:pPr>
                </w:p>
              </w:tc>
              <w:tc>
                <w:tcPr>
                  <w:tcW w:w="770" w:type="dxa"/>
                  <w:vMerge w:val="continue"/>
                  <w:noWrap w:val="0"/>
                  <w:vAlign w:val="center"/>
                </w:tcPr>
                <w:p w14:paraId="5B1C1614">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eastAsia" w:ascii="Times New Roman" w:hAnsi="Times New Roman" w:eastAsia="宋体" w:cs="Times New Roman"/>
                      <w:color w:val="auto"/>
                      <w:kern w:val="0"/>
                      <w:sz w:val="21"/>
                      <w:szCs w:val="24"/>
                      <w:highlight w:val="none"/>
                      <w:lang w:val="en-US" w:eastAsia="zh-CN" w:bidi="ar-SA"/>
                    </w:rPr>
                  </w:pPr>
                </w:p>
              </w:tc>
              <w:tc>
                <w:tcPr>
                  <w:tcW w:w="960" w:type="dxa"/>
                  <w:vMerge w:val="continue"/>
                  <w:noWrap w:val="0"/>
                  <w:vAlign w:val="center"/>
                </w:tcPr>
                <w:p w14:paraId="467F88A7">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color w:val="auto"/>
                      <w:kern w:val="0"/>
                      <w:sz w:val="21"/>
                      <w:szCs w:val="24"/>
                      <w:highlight w:val="none"/>
                      <w:lang w:val="en-US" w:eastAsia="zh-CN" w:bidi="ar-SA"/>
                    </w:rPr>
                  </w:pPr>
                </w:p>
              </w:tc>
              <w:tc>
                <w:tcPr>
                  <w:tcW w:w="1023" w:type="dxa"/>
                  <w:vMerge w:val="continue"/>
                  <w:noWrap w:val="0"/>
                  <w:vAlign w:val="center"/>
                </w:tcPr>
                <w:p w14:paraId="4D0D78C8">
                  <w:pPr>
                    <w:keepNext w:val="0"/>
                    <w:keepLines w:val="0"/>
                    <w:widowControl w:val="0"/>
                    <w:suppressLineNumbers w:val="0"/>
                    <w:adjustRightInd w:val="0"/>
                    <w:snapToGrid w:val="0"/>
                    <w:spacing w:before="0" w:beforeAutospacing="0" w:after="0" w:afterAutospacing="0" w:line="288"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bidi="ar-SA"/>
                    </w:rPr>
                  </w:pPr>
                </w:p>
              </w:tc>
              <w:tc>
                <w:tcPr>
                  <w:tcW w:w="940" w:type="dxa"/>
                  <w:vMerge w:val="continue"/>
                  <w:noWrap w:val="0"/>
                  <w:vAlign w:val="center"/>
                </w:tcPr>
                <w:p w14:paraId="00BA62DE">
                  <w:pPr>
                    <w:keepNext w:val="0"/>
                    <w:keepLines w:val="0"/>
                    <w:widowControl w:val="0"/>
                    <w:suppressLineNumbers w:val="0"/>
                    <w:adjustRightInd w:val="0"/>
                    <w:snapToGrid w:val="0"/>
                    <w:spacing w:before="0" w:beforeAutospacing="0" w:after="0" w:afterAutospacing="0" w:line="288"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bidi="ar-SA"/>
                    </w:rPr>
                  </w:pPr>
                </w:p>
              </w:tc>
              <w:tc>
                <w:tcPr>
                  <w:tcW w:w="2252" w:type="dxa"/>
                  <w:vMerge w:val="continue"/>
                  <w:noWrap w:val="0"/>
                  <w:vAlign w:val="center"/>
                </w:tcPr>
                <w:p w14:paraId="1A906206">
                  <w:pPr>
                    <w:pStyle w:val="10"/>
                    <w:bidi w:val="0"/>
                    <w:rPr>
                      <w:rFonts w:hint="default" w:ascii="Times New Roman" w:hAnsi="Times New Roman" w:cs="Times New Roman"/>
                      <w:color w:val="auto"/>
                      <w:highlight w:val="none"/>
                      <w:lang w:val="en-US" w:eastAsia="en-US"/>
                    </w:rPr>
                  </w:pPr>
                </w:p>
              </w:tc>
              <w:tc>
                <w:tcPr>
                  <w:tcW w:w="1057" w:type="dxa"/>
                  <w:noWrap w:val="0"/>
                  <w:vAlign w:val="center"/>
                </w:tcPr>
                <w:p w14:paraId="39D2BDBF">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100</w:t>
                  </w:r>
                </w:p>
              </w:tc>
              <w:tc>
                <w:tcPr>
                  <w:tcW w:w="949" w:type="dxa"/>
                  <w:noWrap w:val="0"/>
                  <w:vAlign w:val="center"/>
                </w:tcPr>
                <w:p w14:paraId="2810223C">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0.26</w:t>
                  </w:r>
                </w:p>
              </w:tc>
            </w:tr>
            <w:tr w14:paraId="736A5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397" w:hRule="atLeast"/>
                <w:jc w:val="center"/>
              </w:trPr>
              <w:tc>
                <w:tcPr>
                  <w:tcW w:w="770" w:type="dxa"/>
                  <w:noWrap w:val="0"/>
                  <w:vAlign w:val="center"/>
                </w:tcPr>
                <w:p w14:paraId="2E7D0716">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2</w:t>
                  </w:r>
                </w:p>
              </w:tc>
              <w:tc>
                <w:tcPr>
                  <w:tcW w:w="813" w:type="dxa"/>
                  <w:noWrap w:val="0"/>
                  <w:vAlign w:val="center"/>
                </w:tcPr>
                <w:p w14:paraId="156D3187">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4"/>
                      <w:highlight w:val="none"/>
                      <w:lang w:val="en-US" w:eastAsia="zh-CN" w:bidi="ar-SA"/>
                    </w:rPr>
                  </w:pPr>
                  <w:r>
                    <w:rPr>
                      <w:rFonts w:hint="default" w:ascii="Times New Roman" w:hAnsi="Times New Roman" w:eastAsia="宋体" w:cs="Times New Roman"/>
                      <w:color w:val="auto"/>
                      <w:kern w:val="0"/>
                      <w:sz w:val="21"/>
                      <w:szCs w:val="24"/>
                      <w:highlight w:val="none"/>
                      <w:lang w:val="en-US" w:eastAsia="zh-CN" w:bidi="ar-SA"/>
                    </w:rPr>
                    <w:t>DA00</w:t>
                  </w:r>
                  <w:r>
                    <w:rPr>
                      <w:rFonts w:hint="eastAsia" w:ascii="Times New Roman" w:hAnsi="Times New Roman" w:eastAsia="宋体" w:cs="Times New Roman"/>
                      <w:color w:val="auto"/>
                      <w:kern w:val="0"/>
                      <w:sz w:val="21"/>
                      <w:szCs w:val="24"/>
                      <w:highlight w:val="none"/>
                      <w:lang w:val="en-US" w:eastAsia="zh-CN" w:bidi="ar-SA"/>
                    </w:rPr>
                    <w:t>2</w:t>
                  </w:r>
                </w:p>
              </w:tc>
              <w:tc>
                <w:tcPr>
                  <w:tcW w:w="964" w:type="dxa"/>
                  <w:noWrap w:val="0"/>
                  <w:vAlign w:val="center"/>
                </w:tcPr>
                <w:p w14:paraId="55134DB2">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投料、旋风分离废气排放口</w:t>
                  </w:r>
                </w:p>
              </w:tc>
              <w:tc>
                <w:tcPr>
                  <w:tcW w:w="567" w:type="dxa"/>
                  <w:noWrap w:val="0"/>
                  <w:vAlign w:val="center"/>
                </w:tcPr>
                <w:p w14:paraId="107E4782">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颗粒物</w:t>
                  </w:r>
                </w:p>
              </w:tc>
              <w:tc>
                <w:tcPr>
                  <w:tcW w:w="740" w:type="dxa"/>
                  <w:noWrap w:val="0"/>
                  <w:vAlign w:val="center"/>
                </w:tcPr>
                <w:p w14:paraId="2F944069">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eastAsia"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15</w:t>
                  </w:r>
                </w:p>
              </w:tc>
              <w:tc>
                <w:tcPr>
                  <w:tcW w:w="750" w:type="dxa"/>
                  <w:noWrap w:val="0"/>
                  <w:vAlign w:val="center"/>
                </w:tcPr>
                <w:p w14:paraId="27F14C82">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0.6</w:t>
                  </w:r>
                </w:p>
              </w:tc>
              <w:tc>
                <w:tcPr>
                  <w:tcW w:w="770" w:type="dxa"/>
                  <w:noWrap w:val="0"/>
                  <w:vAlign w:val="center"/>
                </w:tcPr>
                <w:p w14:paraId="3EB5AC22">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eastAsia" w:ascii="Times New Roman" w:hAnsi="Times New Roman" w:eastAsia="宋体" w:cs="Times New Roman"/>
                      <w:color w:val="auto"/>
                      <w:kern w:val="0"/>
                      <w:sz w:val="21"/>
                      <w:szCs w:val="24"/>
                      <w:highlight w:val="none"/>
                      <w:lang w:val="en-US" w:eastAsia="zh-CN" w:bidi="ar-SA"/>
                    </w:rPr>
                  </w:pPr>
                  <w:r>
                    <w:rPr>
                      <w:rFonts w:hint="eastAsia" w:ascii="Times New Roman" w:hAnsi="Times New Roman" w:eastAsia="宋体" w:cs="Times New Roman"/>
                      <w:color w:val="auto"/>
                      <w:kern w:val="0"/>
                      <w:sz w:val="21"/>
                      <w:szCs w:val="24"/>
                      <w:highlight w:val="none"/>
                      <w:lang w:val="en-US" w:eastAsia="zh-CN" w:bidi="ar-SA"/>
                    </w:rPr>
                    <w:t>25</w:t>
                  </w:r>
                </w:p>
              </w:tc>
              <w:tc>
                <w:tcPr>
                  <w:tcW w:w="960" w:type="dxa"/>
                  <w:noWrap w:val="0"/>
                  <w:vAlign w:val="center"/>
                </w:tcPr>
                <w:p w14:paraId="02EF6252">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4"/>
                      <w:highlight w:val="none"/>
                      <w:lang w:val="en-US" w:eastAsia="zh-CN" w:bidi="ar-SA"/>
                    </w:rPr>
                  </w:pPr>
                  <w:r>
                    <w:rPr>
                      <w:rFonts w:hint="default" w:ascii="Times New Roman" w:hAnsi="Times New Roman" w:eastAsia="宋体" w:cs="Times New Roman"/>
                      <w:color w:val="auto"/>
                      <w:kern w:val="0"/>
                      <w:sz w:val="21"/>
                      <w:szCs w:val="24"/>
                      <w:highlight w:val="none"/>
                      <w:lang w:val="en-US" w:eastAsia="zh-CN" w:bidi="ar-SA"/>
                    </w:rPr>
                    <w:t>一般排放口</w:t>
                  </w:r>
                </w:p>
              </w:tc>
              <w:tc>
                <w:tcPr>
                  <w:tcW w:w="1023" w:type="dxa"/>
                  <w:noWrap w:val="0"/>
                  <w:vAlign w:val="center"/>
                </w:tcPr>
                <w:p w14:paraId="4AE654B7">
                  <w:pPr>
                    <w:keepNext w:val="0"/>
                    <w:keepLines w:val="0"/>
                    <w:widowControl w:val="0"/>
                    <w:suppressLineNumbers w:val="0"/>
                    <w:adjustRightInd w:val="0"/>
                    <w:snapToGrid w:val="0"/>
                    <w:spacing w:before="0" w:beforeAutospacing="0" w:after="0" w:afterAutospacing="0" w:line="288" w:lineRule="auto"/>
                    <w:ind w:left="0" w:leftChars="0" w:right="0" w:rightChars="0"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117.</w:t>
                  </w:r>
                  <w:r>
                    <w:rPr>
                      <w:rFonts w:hint="eastAsia" w:cs="Times New Roman"/>
                      <w:color w:val="auto"/>
                      <w:kern w:val="0"/>
                      <w:sz w:val="21"/>
                      <w:szCs w:val="21"/>
                      <w:highlight w:val="none"/>
                      <w:lang w:val="en-US" w:eastAsia="zh-CN" w:bidi="ar-SA"/>
                    </w:rPr>
                    <w:t>88768</w:t>
                  </w:r>
                </w:p>
              </w:tc>
              <w:tc>
                <w:tcPr>
                  <w:tcW w:w="940" w:type="dxa"/>
                  <w:noWrap w:val="0"/>
                  <w:vAlign w:val="center"/>
                </w:tcPr>
                <w:p w14:paraId="6840FA04">
                  <w:pPr>
                    <w:keepNext w:val="0"/>
                    <w:keepLines w:val="0"/>
                    <w:widowControl w:val="0"/>
                    <w:suppressLineNumbers w:val="0"/>
                    <w:adjustRightInd w:val="0"/>
                    <w:snapToGrid w:val="0"/>
                    <w:spacing w:before="0" w:beforeAutospacing="0" w:after="0" w:afterAutospacing="0" w:line="288" w:lineRule="auto"/>
                    <w:ind w:left="0" w:leftChars="0" w:right="0" w:rightChars="0"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30.</w:t>
                  </w:r>
                  <w:r>
                    <w:rPr>
                      <w:rFonts w:hint="eastAsia" w:cs="Times New Roman"/>
                      <w:color w:val="auto"/>
                      <w:kern w:val="0"/>
                      <w:sz w:val="21"/>
                      <w:szCs w:val="21"/>
                      <w:highlight w:val="none"/>
                      <w:lang w:val="en-US" w:eastAsia="zh-CN" w:bidi="ar-SA"/>
                    </w:rPr>
                    <w:t>63254</w:t>
                  </w:r>
                </w:p>
              </w:tc>
              <w:tc>
                <w:tcPr>
                  <w:tcW w:w="2252" w:type="dxa"/>
                  <w:noWrap w:val="0"/>
                  <w:vAlign w:val="center"/>
                </w:tcPr>
                <w:p w14:paraId="092AA680">
                  <w:pPr>
                    <w:pStyle w:val="10"/>
                    <w:bidi w:val="0"/>
                    <w:ind w:right="0" w:rightChars="0" w:firstLine="0" w:firstLineChars="0"/>
                    <w:rPr>
                      <w:rFonts w:hint="default" w:ascii="Times New Roman" w:hAnsi="Times New Roman" w:cs="Times New Roman"/>
                      <w:color w:val="auto"/>
                      <w:highlight w:val="none"/>
                      <w:lang w:val="en-US" w:eastAsia="en-US"/>
                    </w:rPr>
                  </w:pPr>
                  <w:r>
                    <w:rPr>
                      <w:rFonts w:hint="default"/>
                      <w:color w:val="auto"/>
                      <w:highlight w:val="none"/>
                    </w:rPr>
                    <w:t>《大气污染物综合排放标准》（GB16297-1996）</w:t>
                  </w:r>
                  <w:r>
                    <w:rPr>
                      <w:rFonts w:hint="eastAsia"/>
                      <w:color w:val="auto"/>
                      <w:highlight w:val="none"/>
                      <w:lang w:val="en-US" w:eastAsia="zh-CN"/>
                    </w:rPr>
                    <w:t>表2</w:t>
                  </w:r>
                </w:p>
              </w:tc>
              <w:tc>
                <w:tcPr>
                  <w:tcW w:w="1057" w:type="dxa"/>
                  <w:noWrap w:val="0"/>
                  <w:vAlign w:val="center"/>
                </w:tcPr>
                <w:p w14:paraId="23D63112">
                  <w:pPr>
                    <w:pStyle w:val="10"/>
                    <w:bidi w:val="0"/>
                    <w:ind w:right="0" w:rightChars="0" w:firstLine="0" w:firstLineChars="0"/>
                    <w:rPr>
                      <w:rFonts w:hint="eastAsia" w:ascii="Times New Roman" w:hAnsi="Times New Roman" w:eastAsia="宋体" w:cs="Times New Roman"/>
                      <w:color w:val="auto"/>
                      <w:kern w:val="0"/>
                      <w:sz w:val="21"/>
                      <w:szCs w:val="24"/>
                      <w:highlight w:val="none"/>
                      <w:lang w:val="en-US" w:eastAsia="zh-CN" w:bidi="ar-SA"/>
                    </w:rPr>
                  </w:pPr>
                  <w:r>
                    <w:rPr>
                      <w:rFonts w:hint="eastAsia"/>
                      <w:color w:val="auto"/>
                      <w:highlight w:val="none"/>
                      <w:lang w:val="en-US" w:eastAsia="zh-CN"/>
                    </w:rPr>
                    <w:t>120</w:t>
                  </w:r>
                </w:p>
              </w:tc>
              <w:tc>
                <w:tcPr>
                  <w:tcW w:w="949" w:type="dxa"/>
                  <w:noWrap w:val="0"/>
                  <w:vAlign w:val="center"/>
                </w:tcPr>
                <w:p w14:paraId="1930265D">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3.5</w:t>
                  </w:r>
                </w:p>
              </w:tc>
            </w:tr>
            <w:tr w14:paraId="39A3D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397" w:hRule="atLeast"/>
                <w:jc w:val="center"/>
              </w:trPr>
              <w:tc>
                <w:tcPr>
                  <w:tcW w:w="770" w:type="dxa"/>
                  <w:vMerge w:val="restart"/>
                  <w:noWrap w:val="0"/>
                  <w:vAlign w:val="center"/>
                </w:tcPr>
                <w:p w14:paraId="230E86B0">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3</w:t>
                  </w:r>
                </w:p>
              </w:tc>
              <w:tc>
                <w:tcPr>
                  <w:tcW w:w="813" w:type="dxa"/>
                  <w:vMerge w:val="restart"/>
                  <w:noWrap w:val="0"/>
                  <w:vAlign w:val="center"/>
                </w:tcPr>
                <w:p w14:paraId="02E447BC">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4"/>
                      <w:highlight w:val="none"/>
                      <w:lang w:val="en-US" w:eastAsia="zh-CN" w:bidi="ar-SA"/>
                    </w:rPr>
                  </w:pPr>
                  <w:r>
                    <w:rPr>
                      <w:rFonts w:hint="default" w:ascii="Times New Roman" w:hAnsi="Times New Roman" w:eastAsia="宋体" w:cs="Times New Roman"/>
                      <w:color w:val="auto"/>
                      <w:kern w:val="0"/>
                      <w:sz w:val="21"/>
                      <w:szCs w:val="24"/>
                      <w:highlight w:val="none"/>
                      <w:lang w:val="en-US" w:eastAsia="zh-CN" w:bidi="ar-SA"/>
                    </w:rPr>
                    <w:t>DA00</w:t>
                  </w:r>
                  <w:r>
                    <w:rPr>
                      <w:rFonts w:hint="eastAsia" w:cs="Times New Roman"/>
                      <w:color w:val="auto"/>
                      <w:kern w:val="0"/>
                      <w:sz w:val="21"/>
                      <w:szCs w:val="24"/>
                      <w:highlight w:val="none"/>
                      <w:lang w:val="en-US" w:eastAsia="zh-CN" w:bidi="ar-SA"/>
                    </w:rPr>
                    <w:t>3</w:t>
                  </w:r>
                </w:p>
              </w:tc>
              <w:tc>
                <w:tcPr>
                  <w:tcW w:w="964" w:type="dxa"/>
                  <w:vMerge w:val="restart"/>
                  <w:noWrap w:val="0"/>
                  <w:vAlign w:val="center"/>
                </w:tcPr>
                <w:p w14:paraId="6DEA6D45">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熔融造粒废气排放口</w:t>
                  </w:r>
                </w:p>
              </w:tc>
              <w:tc>
                <w:tcPr>
                  <w:tcW w:w="567" w:type="dxa"/>
                  <w:noWrap w:val="0"/>
                  <w:vAlign w:val="center"/>
                </w:tcPr>
                <w:p w14:paraId="61B0C8DB">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颗粒物</w:t>
                  </w:r>
                </w:p>
              </w:tc>
              <w:tc>
                <w:tcPr>
                  <w:tcW w:w="740" w:type="dxa"/>
                  <w:vMerge w:val="restart"/>
                  <w:noWrap w:val="0"/>
                  <w:vAlign w:val="center"/>
                </w:tcPr>
                <w:p w14:paraId="766D1E24">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eastAsia"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15</w:t>
                  </w:r>
                </w:p>
              </w:tc>
              <w:tc>
                <w:tcPr>
                  <w:tcW w:w="750" w:type="dxa"/>
                  <w:vMerge w:val="restart"/>
                  <w:noWrap w:val="0"/>
                  <w:vAlign w:val="center"/>
                </w:tcPr>
                <w:p w14:paraId="6CFD53C4">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0.5</w:t>
                  </w:r>
                </w:p>
              </w:tc>
              <w:tc>
                <w:tcPr>
                  <w:tcW w:w="770" w:type="dxa"/>
                  <w:vMerge w:val="restart"/>
                  <w:noWrap w:val="0"/>
                  <w:vAlign w:val="center"/>
                </w:tcPr>
                <w:p w14:paraId="25BAFCF1">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eastAsia" w:ascii="Times New Roman" w:hAnsi="Times New Roman" w:eastAsia="宋体" w:cs="Times New Roman"/>
                      <w:color w:val="auto"/>
                      <w:kern w:val="0"/>
                      <w:sz w:val="21"/>
                      <w:szCs w:val="24"/>
                      <w:highlight w:val="none"/>
                      <w:lang w:val="en-US" w:eastAsia="zh-CN" w:bidi="ar-SA"/>
                    </w:rPr>
                  </w:pPr>
                  <w:r>
                    <w:rPr>
                      <w:rFonts w:hint="eastAsia" w:ascii="Times New Roman" w:hAnsi="Times New Roman" w:eastAsia="宋体" w:cs="Times New Roman"/>
                      <w:color w:val="auto"/>
                      <w:kern w:val="0"/>
                      <w:sz w:val="21"/>
                      <w:szCs w:val="24"/>
                      <w:highlight w:val="none"/>
                      <w:lang w:val="en-US" w:eastAsia="zh-CN" w:bidi="ar-SA"/>
                    </w:rPr>
                    <w:t>25</w:t>
                  </w:r>
                </w:p>
              </w:tc>
              <w:tc>
                <w:tcPr>
                  <w:tcW w:w="960" w:type="dxa"/>
                  <w:vMerge w:val="restart"/>
                  <w:noWrap w:val="0"/>
                  <w:vAlign w:val="center"/>
                </w:tcPr>
                <w:p w14:paraId="0DF6B43A">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b/>
                      <w:bCs/>
                      <w:color w:val="auto"/>
                      <w:kern w:val="0"/>
                      <w:sz w:val="21"/>
                      <w:szCs w:val="24"/>
                      <w:highlight w:val="none"/>
                      <w:lang w:val="en-US" w:eastAsia="zh-CN" w:bidi="ar-SA"/>
                    </w:rPr>
                  </w:pPr>
                  <w:r>
                    <w:rPr>
                      <w:rFonts w:hint="default" w:ascii="Times New Roman" w:hAnsi="Times New Roman" w:eastAsia="宋体" w:cs="Times New Roman"/>
                      <w:color w:val="auto"/>
                      <w:kern w:val="0"/>
                      <w:sz w:val="21"/>
                      <w:szCs w:val="24"/>
                      <w:highlight w:val="none"/>
                      <w:lang w:val="en-US" w:eastAsia="zh-CN" w:bidi="ar-SA"/>
                    </w:rPr>
                    <w:t>一般排放口</w:t>
                  </w:r>
                </w:p>
              </w:tc>
              <w:tc>
                <w:tcPr>
                  <w:tcW w:w="1023" w:type="dxa"/>
                  <w:vMerge w:val="restart"/>
                  <w:noWrap w:val="0"/>
                  <w:vAlign w:val="center"/>
                </w:tcPr>
                <w:p w14:paraId="498F83D4">
                  <w:pPr>
                    <w:keepNext w:val="0"/>
                    <w:keepLines w:val="0"/>
                    <w:widowControl w:val="0"/>
                    <w:suppressLineNumbers w:val="0"/>
                    <w:adjustRightInd w:val="0"/>
                    <w:snapToGrid w:val="0"/>
                    <w:spacing w:before="0" w:beforeAutospacing="0" w:after="0" w:afterAutospacing="0" w:line="288" w:lineRule="auto"/>
                    <w:ind w:left="0" w:leftChars="0" w:right="0" w:rightChars="0"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117.</w:t>
                  </w:r>
                  <w:r>
                    <w:rPr>
                      <w:rFonts w:hint="eastAsia" w:cs="Times New Roman"/>
                      <w:color w:val="auto"/>
                      <w:kern w:val="0"/>
                      <w:sz w:val="21"/>
                      <w:szCs w:val="21"/>
                      <w:highlight w:val="none"/>
                      <w:lang w:val="en-US" w:eastAsia="zh-CN" w:bidi="ar-SA"/>
                    </w:rPr>
                    <w:t>88783</w:t>
                  </w:r>
                </w:p>
              </w:tc>
              <w:tc>
                <w:tcPr>
                  <w:tcW w:w="940" w:type="dxa"/>
                  <w:vMerge w:val="restart"/>
                  <w:noWrap w:val="0"/>
                  <w:vAlign w:val="center"/>
                </w:tcPr>
                <w:p w14:paraId="29C501FA">
                  <w:pPr>
                    <w:keepNext w:val="0"/>
                    <w:keepLines w:val="0"/>
                    <w:widowControl w:val="0"/>
                    <w:suppressLineNumbers w:val="0"/>
                    <w:adjustRightInd w:val="0"/>
                    <w:snapToGrid w:val="0"/>
                    <w:spacing w:before="0" w:beforeAutospacing="0" w:after="0" w:afterAutospacing="0" w:line="288" w:lineRule="auto"/>
                    <w:ind w:left="0" w:leftChars="0" w:right="0" w:rightChars="0"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30.6</w:t>
                  </w:r>
                  <w:r>
                    <w:rPr>
                      <w:rFonts w:hint="eastAsia" w:cs="Times New Roman"/>
                      <w:color w:val="auto"/>
                      <w:kern w:val="0"/>
                      <w:sz w:val="21"/>
                      <w:szCs w:val="21"/>
                      <w:highlight w:val="none"/>
                      <w:lang w:val="en-US" w:eastAsia="zh-CN" w:bidi="ar-SA"/>
                    </w:rPr>
                    <w:t>3238</w:t>
                  </w:r>
                </w:p>
              </w:tc>
              <w:tc>
                <w:tcPr>
                  <w:tcW w:w="2252" w:type="dxa"/>
                  <w:noWrap w:val="0"/>
                  <w:vAlign w:val="center"/>
                </w:tcPr>
                <w:p w14:paraId="78CBE80F">
                  <w:pPr>
                    <w:pStyle w:val="10"/>
                    <w:bidi w:val="0"/>
                    <w:rPr>
                      <w:rFonts w:hint="default" w:ascii="Times New Roman" w:hAnsi="Times New Roman" w:cs="Times New Roman"/>
                      <w:color w:val="auto"/>
                      <w:highlight w:val="none"/>
                      <w:lang w:val="en-US" w:eastAsia="en-US"/>
                    </w:rPr>
                  </w:pPr>
                  <w:r>
                    <w:rPr>
                      <w:rFonts w:hint="default"/>
                      <w:color w:val="auto"/>
                      <w:highlight w:val="none"/>
                    </w:rPr>
                    <w:t>《大气污染物综合排放标准》（GB16297-1996）</w:t>
                  </w:r>
                  <w:r>
                    <w:rPr>
                      <w:rFonts w:hint="eastAsia"/>
                      <w:color w:val="auto"/>
                      <w:highlight w:val="none"/>
                      <w:lang w:val="en-US" w:eastAsia="zh-CN"/>
                    </w:rPr>
                    <w:t>表2</w:t>
                  </w:r>
                </w:p>
              </w:tc>
              <w:tc>
                <w:tcPr>
                  <w:tcW w:w="1057" w:type="dxa"/>
                  <w:noWrap w:val="0"/>
                  <w:vAlign w:val="center"/>
                </w:tcPr>
                <w:p w14:paraId="29150607">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120</w:t>
                  </w:r>
                </w:p>
              </w:tc>
              <w:tc>
                <w:tcPr>
                  <w:tcW w:w="949" w:type="dxa"/>
                  <w:noWrap w:val="0"/>
                  <w:vAlign w:val="center"/>
                </w:tcPr>
                <w:p w14:paraId="58E68583">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3.5</w:t>
                  </w:r>
                </w:p>
              </w:tc>
            </w:tr>
            <w:tr w14:paraId="39FCA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397" w:hRule="atLeast"/>
                <w:jc w:val="center"/>
              </w:trPr>
              <w:tc>
                <w:tcPr>
                  <w:tcW w:w="770" w:type="dxa"/>
                  <w:vMerge w:val="continue"/>
                  <w:noWrap w:val="0"/>
                  <w:vAlign w:val="center"/>
                </w:tcPr>
                <w:p w14:paraId="33CE1E0D">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cs="Times New Roman"/>
                      <w:color w:val="auto"/>
                      <w:kern w:val="0"/>
                      <w:sz w:val="21"/>
                      <w:szCs w:val="24"/>
                      <w:highlight w:val="none"/>
                      <w:lang w:val="en-US" w:eastAsia="zh-CN" w:bidi="ar-SA"/>
                    </w:rPr>
                  </w:pPr>
                </w:p>
              </w:tc>
              <w:tc>
                <w:tcPr>
                  <w:tcW w:w="813" w:type="dxa"/>
                  <w:vMerge w:val="continue"/>
                  <w:noWrap w:val="0"/>
                  <w:vAlign w:val="center"/>
                </w:tcPr>
                <w:p w14:paraId="7AAFD69A">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4"/>
                      <w:highlight w:val="none"/>
                      <w:lang w:val="en-US" w:eastAsia="zh-CN" w:bidi="ar-SA"/>
                    </w:rPr>
                  </w:pPr>
                </w:p>
              </w:tc>
              <w:tc>
                <w:tcPr>
                  <w:tcW w:w="964" w:type="dxa"/>
                  <w:vMerge w:val="continue"/>
                  <w:noWrap w:val="0"/>
                  <w:vAlign w:val="center"/>
                </w:tcPr>
                <w:p w14:paraId="1FB5E364">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cs="Times New Roman"/>
                      <w:color w:val="auto"/>
                      <w:kern w:val="0"/>
                      <w:sz w:val="21"/>
                      <w:szCs w:val="24"/>
                      <w:highlight w:val="none"/>
                      <w:lang w:val="en-US" w:eastAsia="zh-CN" w:bidi="ar-SA"/>
                    </w:rPr>
                  </w:pPr>
                </w:p>
              </w:tc>
              <w:tc>
                <w:tcPr>
                  <w:tcW w:w="567" w:type="dxa"/>
                  <w:noWrap w:val="0"/>
                  <w:vAlign w:val="center"/>
                </w:tcPr>
                <w:p w14:paraId="312CCA99">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非甲烷总烃</w:t>
                  </w:r>
                </w:p>
              </w:tc>
              <w:tc>
                <w:tcPr>
                  <w:tcW w:w="740" w:type="dxa"/>
                  <w:vMerge w:val="continue"/>
                  <w:noWrap w:val="0"/>
                  <w:vAlign w:val="center"/>
                </w:tcPr>
                <w:p w14:paraId="1035BD87">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eastAsia" w:cs="Times New Roman"/>
                      <w:color w:val="auto"/>
                      <w:kern w:val="0"/>
                      <w:sz w:val="21"/>
                      <w:szCs w:val="24"/>
                      <w:highlight w:val="none"/>
                      <w:lang w:val="en-US" w:eastAsia="zh-CN" w:bidi="ar-SA"/>
                    </w:rPr>
                  </w:pPr>
                </w:p>
              </w:tc>
              <w:tc>
                <w:tcPr>
                  <w:tcW w:w="750" w:type="dxa"/>
                  <w:vMerge w:val="continue"/>
                  <w:noWrap w:val="0"/>
                  <w:vAlign w:val="center"/>
                </w:tcPr>
                <w:p w14:paraId="61F6253E">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eastAsia" w:ascii="Times New Roman" w:hAnsi="Times New Roman" w:eastAsia="宋体" w:cs="Times New Roman"/>
                      <w:color w:val="auto"/>
                      <w:kern w:val="0"/>
                      <w:sz w:val="21"/>
                      <w:szCs w:val="24"/>
                      <w:highlight w:val="none"/>
                      <w:lang w:val="en-US" w:eastAsia="zh-CN" w:bidi="ar-SA"/>
                    </w:rPr>
                  </w:pPr>
                </w:p>
              </w:tc>
              <w:tc>
                <w:tcPr>
                  <w:tcW w:w="770" w:type="dxa"/>
                  <w:vMerge w:val="continue"/>
                  <w:noWrap w:val="0"/>
                  <w:vAlign w:val="center"/>
                </w:tcPr>
                <w:p w14:paraId="2E2F60A1">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eastAsia" w:ascii="Times New Roman" w:hAnsi="Times New Roman" w:eastAsia="宋体" w:cs="Times New Roman"/>
                      <w:color w:val="auto"/>
                      <w:kern w:val="0"/>
                      <w:sz w:val="21"/>
                      <w:szCs w:val="24"/>
                      <w:highlight w:val="none"/>
                      <w:lang w:val="en-US" w:eastAsia="zh-CN" w:bidi="ar-SA"/>
                    </w:rPr>
                  </w:pPr>
                </w:p>
              </w:tc>
              <w:tc>
                <w:tcPr>
                  <w:tcW w:w="960" w:type="dxa"/>
                  <w:vMerge w:val="continue"/>
                  <w:noWrap w:val="0"/>
                  <w:vAlign w:val="center"/>
                </w:tcPr>
                <w:p w14:paraId="49E364D3">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b/>
                      <w:bCs/>
                      <w:color w:val="auto"/>
                      <w:kern w:val="0"/>
                      <w:sz w:val="21"/>
                      <w:szCs w:val="24"/>
                      <w:highlight w:val="none"/>
                      <w:lang w:val="en-US" w:eastAsia="zh-CN" w:bidi="ar-SA"/>
                    </w:rPr>
                  </w:pPr>
                </w:p>
              </w:tc>
              <w:tc>
                <w:tcPr>
                  <w:tcW w:w="1023" w:type="dxa"/>
                  <w:vMerge w:val="continue"/>
                  <w:noWrap w:val="0"/>
                  <w:vAlign w:val="center"/>
                </w:tcPr>
                <w:p w14:paraId="5929D00F">
                  <w:pPr>
                    <w:keepNext w:val="0"/>
                    <w:keepLines w:val="0"/>
                    <w:widowControl w:val="0"/>
                    <w:suppressLineNumbers w:val="0"/>
                    <w:adjustRightInd w:val="0"/>
                    <w:snapToGrid w:val="0"/>
                    <w:spacing w:before="0" w:beforeAutospacing="0" w:after="0" w:afterAutospacing="0" w:line="288" w:lineRule="auto"/>
                    <w:ind w:left="0" w:leftChars="0" w:right="0" w:rightChars="0" w:firstLine="0" w:firstLineChars="0"/>
                    <w:jc w:val="center"/>
                    <w:rPr>
                      <w:rFonts w:hint="default" w:ascii="Times New Roman" w:hAnsi="Times New Roman" w:eastAsia="宋体" w:cs="Times New Roman"/>
                      <w:color w:val="auto"/>
                      <w:kern w:val="0"/>
                      <w:sz w:val="21"/>
                      <w:szCs w:val="21"/>
                      <w:highlight w:val="none"/>
                      <w:lang w:val="en-US" w:eastAsia="zh-CN" w:bidi="ar-SA"/>
                    </w:rPr>
                  </w:pPr>
                </w:p>
              </w:tc>
              <w:tc>
                <w:tcPr>
                  <w:tcW w:w="940" w:type="dxa"/>
                  <w:vMerge w:val="continue"/>
                  <w:noWrap w:val="0"/>
                  <w:vAlign w:val="center"/>
                </w:tcPr>
                <w:p w14:paraId="1276CEA4">
                  <w:pPr>
                    <w:keepNext w:val="0"/>
                    <w:keepLines w:val="0"/>
                    <w:widowControl w:val="0"/>
                    <w:suppressLineNumbers w:val="0"/>
                    <w:adjustRightInd w:val="0"/>
                    <w:snapToGrid w:val="0"/>
                    <w:spacing w:before="0" w:beforeAutospacing="0" w:after="0" w:afterAutospacing="0" w:line="288" w:lineRule="auto"/>
                    <w:ind w:left="0" w:leftChars="0" w:right="0" w:rightChars="0" w:firstLine="0" w:firstLineChars="0"/>
                    <w:jc w:val="center"/>
                    <w:rPr>
                      <w:rFonts w:hint="default" w:ascii="Times New Roman" w:hAnsi="Times New Roman" w:eastAsia="宋体" w:cs="Times New Roman"/>
                      <w:color w:val="auto"/>
                      <w:kern w:val="0"/>
                      <w:sz w:val="21"/>
                      <w:szCs w:val="21"/>
                      <w:highlight w:val="none"/>
                      <w:lang w:val="en-US" w:eastAsia="zh-CN" w:bidi="ar-SA"/>
                    </w:rPr>
                  </w:pPr>
                </w:p>
              </w:tc>
              <w:tc>
                <w:tcPr>
                  <w:tcW w:w="2252" w:type="dxa"/>
                  <w:vMerge w:val="restart"/>
                  <w:noWrap w:val="0"/>
                  <w:vAlign w:val="center"/>
                </w:tcPr>
                <w:p w14:paraId="485B4393">
                  <w:pPr>
                    <w:pStyle w:val="10"/>
                    <w:bidi w:val="0"/>
                    <w:rPr>
                      <w:rFonts w:hint="default" w:ascii="Times New Roman" w:hAnsi="Times New Roman" w:cs="Times New Roman"/>
                      <w:color w:val="auto"/>
                      <w:highlight w:val="none"/>
                      <w:lang w:val="en-US" w:eastAsia="en-US"/>
                    </w:rPr>
                  </w:pPr>
                  <w:r>
                    <w:rPr>
                      <w:rFonts w:hint="eastAsia"/>
                      <w:color w:val="auto"/>
                      <w:highlight w:val="none"/>
                      <w:lang w:val="en-US" w:eastAsia="zh-CN"/>
                    </w:rPr>
                    <w:t>《固定源挥发性有机物综合排放标准 第6部分：其他行业》（DB 34/4812.6-2024）表1</w:t>
                  </w:r>
                </w:p>
              </w:tc>
              <w:tc>
                <w:tcPr>
                  <w:tcW w:w="1057" w:type="dxa"/>
                  <w:noWrap w:val="0"/>
                  <w:vAlign w:val="center"/>
                </w:tcPr>
                <w:p w14:paraId="0F4F0513">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100</w:t>
                  </w:r>
                </w:p>
              </w:tc>
              <w:tc>
                <w:tcPr>
                  <w:tcW w:w="949" w:type="dxa"/>
                  <w:noWrap w:val="0"/>
                  <w:vAlign w:val="center"/>
                </w:tcPr>
                <w:p w14:paraId="701E9EE9">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1.6</w:t>
                  </w:r>
                </w:p>
              </w:tc>
            </w:tr>
            <w:tr w14:paraId="1198F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397" w:hRule="atLeast"/>
                <w:jc w:val="center"/>
              </w:trPr>
              <w:tc>
                <w:tcPr>
                  <w:tcW w:w="770" w:type="dxa"/>
                  <w:vMerge w:val="continue"/>
                  <w:noWrap w:val="0"/>
                  <w:vAlign w:val="center"/>
                </w:tcPr>
                <w:p w14:paraId="57105E9F">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cs="Times New Roman"/>
                      <w:color w:val="auto"/>
                      <w:kern w:val="0"/>
                      <w:sz w:val="21"/>
                      <w:szCs w:val="24"/>
                      <w:highlight w:val="none"/>
                      <w:lang w:val="en-US" w:eastAsia="zh-CN" w:bidi="ar-SA"/>
                    </w:rPr>
                  </w:pPr>
                </w:p>
              </w:tc>
              <w:tc>
                <w:tcPr>
                  <w:tcW w:w="813" w:type="dxa"/>
                  <w:vMerge w:val="continue"/>
                  <w:noWrap w:val="0"/>
                  <w:vAlign w:val="center"/>
                </w:tcPr>
                <w:p w14:paraId="50C40D39">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4"/>
                      <w:highlight w:val="none"/>
                      <w:lang w:val="en-US" w:eastAsia="zh-CN" w:bidi="ar-SA"/>
                    </w:rPr>
                  </w:pPr>
                </w:p>
              </w:tc>
              <w:tc>
                <w:tcPr>
                  <w:tcW w:w="964" w:type="dxa"/>
                  <w:vMerge w:val="continue"/>
                  <w:noWrap w:val="0"/>
                  <w:vAlign w:val="center"/>
                </w:tcPr>
                <w:p w14:paraId="292A4AD1">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cs="Times New Roman"/>
                      <w:color w:val="auto"/>
                      <w:kern w:val="0"/>
                      <w:sz w:val="21"/>
                      <w:szCs w:val="24"/>
                      <w:highlight w:val="none"/>
                      <w:lang w:val="en-US" w:eastAsia="zh-CN" w:bidi="ar-SA"/>
                    </w:rPr>
                  </w:pPr>
                </w:p>
              </w:tc>
              <w:tc>
                <w:tcPr>
                  <w:tcW w:w="567" w:type="dxa"/>
                  <w:noWrap w:val="0"/>
                  <w:vAlign w:val="center"/>
                </w:tcPr>
                <w:p w14:paraId="080FC30A">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氯乙烯</w:t>
                  </w:r>
                </w:p>
              </w:tc>
              <w:tc>
                <w:tcPr>
                  <w:tcW w:w="740" w:type="dxa"/>
                  <w:vMerge w:val="continue"/>
                  <w:noWrap w:val="0"/>
                  <w:vAlign w:val="center"/>
                </w:tcPr>
                <w:p w14:paraId="457FADD8">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eastAsia" w:cs="Times New Roman"/>
                      <w:color w:val="auto"/>
                      <w:kern w:val="0"/>
                      <w:sz w:val="21"/>
                      <w:szCs w:val="24"/>
                      <w:highlight w:val="none"/>
                      <w:lang w:val="en-US" w:eastAsia="zh-CN" w:bidi="ar-SA"/>
                    </w:rPr>
                  </w:pPr>
                </w:p>
              </w:tc>
              <w:tc>
                <w:tcPr>
                  <w:tcW w:w="750" w:type="dxa"/>
                  <w:vMerge w:val="continue"/>
                  <w:noWrap w:val="0"/>
                  <w:vAlign w:val="center"/>
                </w:tcPr>
                <w:p w14:paraId="6D267A85">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eastAsia" w:ascii="Times New Roman" w:hAnsi="Times New Roman" w:eastAsia="宋体" w:cs="Times New Roman"/>
                      <w:color w:val="auto"/>
                      <w:kern w:val="0"/>
                      <w:sz w:val="21"/>
                      <w:szCs w:val="24"/>
                      <w:highlight w:val="none"/>
                      <w:lang w:val="en-US" w:eastAsia="zh-CN" w:bidi="ar-SA"/>
                    </w:rPr>
                  </w:pPr>
                </w:p>
              </w:tc>
              <w:tc>
                <w:tcPr>
                  <w:tcW w:w="770" w:type="dxa"/>
                  <w:vMerge w:val="continue"/>
                  <w:noWrap w:val="0"/>
                  <w:vAlign w:val="center"/>
                </w:tcPr>
                <w:p w14:paraId="7ECA398F">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eastAsia" w:ascii="Times New Roman" w:hAnsi="Times New Roman" w:eastAsia="宋体" w:cs="Times New Roman"/>
                      <w:color w:val="auto"/>
                      <w:kern w:val="0"/>
                      <w:sz w:val="21"/>
                      <w:szCs w:val="24"/>
                      <w:highlight w:val="none"/>
                      <w:lang w:val="en-US" w:eastAsia="zh-CN" w:bidi="ar-SA"/>
                    </w:rPr>
                  </w:pPr>
                </w:p>
              </w:tc>
              <w:tc>
                <w:tcPr>
                  <w:tcW w:w="960" w:type="dxa"/>
                  <w:vMerge w:val="continue"/>
                  <w:noWrap w:val="0"/>
                  <w:vAlign w:val="center"/>
                </w:tcPr>
                <w:p w14:paraId="7CD04F9E">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color w:val="auto"/>
                      <w:kern w:val="0"/>
                      <w:sz w:val="21"/>
                      <w:szCs w:val="24"/>
                      <w:highlight w:val="none"/>
                      <w:lang w:val="en-US" w:eastAsia="zh-CN" w:bidi="ar-SA"/>
                    </w:rPr>
                  </w:pPr>
                </w:p>
              </w:tc>
              <w:tc>
                <w:tcPr>
                  <w:tcW w:w="1023" w:type="dxa"/>
                  <w:vMerge w:val="continue"/>
                  <w:noWrap w:val="0"/>
                  <w:vAlign w:val="center"/>
                </w:tcPr>
                <w:p w14:paraId="5B10270D">
                  <w:pPr>
                    <w:keepNext w:val="0"/>
                    <w:keepLines w:val="0"/>
                    <w:widowControl w:val="0"/>
                    <w:suppressLineNumbers w:val="0"/>
                    <w:adjustRightInd w:val="0"/>
                    <w:snapToGrid w:val="0"/>
                    <w:spacing w:before="0" w:beforeAutospacing="0" w:after="0" w:afterAutospacing="0" w:line="288" w:lineRule="auto"/>
                    <w:ind w:left="0" w:leftChars="0" w:right="0" w:rightChars="0" w:firstLine="0" w:firstLineChars="0"/>
                    <w:jc w:val="center"/>
                    <w:rPr>
                      <w:rFonts w:hint="default" w:ascii="Times New Roman" w:hAnsi="Times New Roman" w:eastAsia="宋体" w:cs="Times New Roman"/>
                      <w:color w:val="auto"/>
                      <w:kern w:val="0"/>
                      <w:sz w:val="21"/>
                      <w:szCs w:val="21"/>
                      <w:highlight w:val="none"/>
                      <w:lang w:val="en-US" w:eastAsia="zh-CN" w:bidi="ar-SA"/>
                    </w:rPr>
                  </w:pPr>
                </w:p>
              </w:tc>
              <w:tc>
                <w:tcPr>
                  <w:tcW w:w="940" w:type="dxa"/>
                  <w:vMerge w:val="continue"/>
                  <w:noWrap w:val="0"/>
                  <w:vAlign w:val="center"/>
                </w:tcPr>
                <w:p w14:paraId="1705852A">
                  <w:pPr>
                    <w:keepNext w:val="0"/>
                    <w:keepLines w:val="0"/>
                    <w:widowControl w:val="0"/>
                    <w:suppressLineNumbers w:val="0"/>
                    <w:adjustRightInd w:val="0"/>
                    <w:snapToGrid w:val="0"/>
                    <w:spacing w:before="0" w:beforeAutospacing="0" w:after="0" w:afterAutospacing="0" w:line="288" w:lineRule="auto"/>
                    <w:ind w:left="0" w:leftChars="0" w:right="0" w:rightChars="0" w:firstLine="0" w:firstLineChars="0"/>
                    <w:jc w:val="center"/>
                    <w:rPr>
                      <w:rFonts w:hint="default" w:ascii="Times New Roman" w:hAnsi="Times New Roman" w:eastAsia="宋体" w:cs="Times New Roman"/>
                      <w:color w:val="auto"/>
                      <w:kern w:val="0"/>
                      <w:sz w:val="21"/>
                      <w:szCs w:val="21"/>
                      <w:highlight w:val="none"/>
                      <w:lang w:val="en-US" w:eastAsia="zh-CN" w:bidi="ar-SA"/>
                    </w:rPr>
                  </w:pPr>
                </w:p>
              </w:tc>
              <w:tc>
                <w:tcPr>
                  <w:tcW w:w="2252" w:type="dxa"/>
                  <w:vMerge w:val="continue"/>
                  <w:noWrap w:val="0"/>
                  <w:vAlign w:val="center"/>
                </w:tcPr>
                <w:p w14:paraId="3A0C5BAE">
                  <w:pPr>
                    <w:pStyle w:val="10"/>
                    <w:bidi w:val="0"/>
                    <w:rPr>
                      <w:rFonts w:hint="default"/>
                      <w:color w:val="auto"/>
                      <w:highlight w:val="none"/>
                      <w:lang w:eastAsia="zh-CN"/>
                    </w:rPr>
                  </w:pPr>
                </w:p>
              </w:tc>
              <w:tc>
                <w:tcPr>
                  <w:tcW w:w="1057" w:type="dxa"/>
                  <w:noWrap w:val="0"/>
                  <w:vAlign w:val="center"/>
                </w:tcPr>
                <w:p w14:paraId="6F8B6D61">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5</w:t>
                  </w:r>
                </w:p>
              </w:tc>
              <w:tc>
                <w:tcPr>
                  <w:tcW w:w="949" w:type="dxa"/>
                  <w:noWrap w:val="0"/>
                  <w:vAlign w:val="center"/>
                </w:tcPr>
                <w:p w14:paraId="0CBC1355">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w:t>
                  </w:r>
                </w:p>
              </w:tc>
            </w:tr>
            <w:tr w14:paraId="20D1B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397" w:hRule="atLeast"/>
                <w:jc w:val="center"/>
              </w:trPr>
              <w:tc>
                <w:tcPr>
                  <w:tcW w:w="770" w:type="dxa"/>
                  <w:vMerge w:val="continue"/>
                  <w:noWrap w:val="0"/>
                  <w:vAlign w:val="center"/>
                </w:tcPr>
                <w:p w14:paraId="2B9FCC4C">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cs="Times New Roman"/>
                      <w:color w:val="auto"/>
                      <w:kern w:val="0"/>
                      <w:sz w:val="21"/>
                      <w:szCs w:val="24"/>
                      <w:highlight w:val="none"/>
                      <w:lang w:val="en-US" w:eastAsia="zh-CN" w:bidi="ar-SA"/>
                    </w:rPr>
                  </w:pPr>
                </w:p>
              </w:tc>
              <w:tc>
                <w:tcPr>
                  <w:tcW w:w="813" w:type="dxa"/>
                  <w:vMerge w:val="continue"/>
                  <w:noWrap w:val="0"/>
                  <w:vAlign w:val="center"/>
                </w:tcPr>
                <w:p w14:paraId="07EE016C">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4"/>
                      <w:highlight w:val="none"/>
                      <w:lang w:val="en-US" w:eastAsia="zh-CN" w:bidi="ar-SA"/>
                    </w:rPr>
                  </w:pPr>
                </w:p>
              </w:tc>
              <w:tc>
                <w:tcPr>
                  <w:tcW w:w="964" w:type="dxa"/>
                  <w:vMerge w:val="continue"/>
                  <w:noWrap w:val="0"/>
                  <w:vAlign w:val="center"/>
                </w:tcPr>
                <w:p w14:paraId="6C24528B">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cs="Times New Roman"/>
                      <w:color w:val="auto"/>
                      <w:kern w:val="0"/>
                      <w:sz w:val="21"/>
                      <w:szCs w:val="24"/>
                      <w:highlight w:val="none"/>
                      <w:lang w:val="en-US" w:eastAsia="zh-CN" w:bidi="ar-SA"/>
                    </w:rPr>
                  </w:pPr>
                </w:p>
              </w:tc>
              <w:tc>
                <w:tcPr>
                  <w:tcW w:w="567" w:type="dxa"/>
                  <w:noWrap w:val="0"/>
                  <w:vAlign w:val="center"/>
                </w:tcPr>
                <w:p w14:paraId="643204A6">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氯化氢</w:t>
                  </w:r>
                </w:p>
              </w:tc>
              <w:tc>
                <w:tcPr>
                  <w:tcW w:w="740" w:type="dxa"/>
                  <w:vMerge w:val="continue"/>
                  <w:noWrap w:val="0"/>
                  <w:vAlign w:val="center"/>
                </w:tcPr>
                <w:p w14:paraId="093F73EE">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eastAsia" w:cs="Times New Roman"/>
                      <w:color w:val="auto"/>
                      <w:kern w:val="0"/>
                      <w:sz w:val="21"/>
                      <w:szCs w:val="24"/>
                      <w:highlight w:val="none"/>
                      <w:lang w:val="en-US" w:eastAsia="zh-CN" w:bidi="ar-SA"/>
                    </w:rPr>
                  </w:pPr>
                </w:p>
              </w:tc>
              <w:tc>
                <w:tcPr>
                  <w:tcW w:w="750" w:type="dxa"/>
                  <w:vMerge w:val="continue"/>
                  <w:noWrap w:val="0"/>
                  <w:vAlign w:val="center"/>
                </w:tcPr>
                <w:p w14:paraId="1CC9560E">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eastAsia" w:ascii="Times New Roman" w:hAnsi="Times New Roman" w:eastAsia="宋体" w:cs="Times New Roman"/>
                      <w:color w:val="auto"/>
                      <w:kern w:val="0"/>
                      <w:sz w:val="21"/>
                      <w:szCs w:val="24"/>
                      <w:highlight w:val="none"/>
                      <w:lang w:val="en-US" w:eastAsia="zh-CN" w:bidi="ar-SA"/>
                    </w:rPr>
                  </w:pPr>
                </w:p>
              </w:tc>
              <w:tc>
                <w:tcPr>
                  <w:tcW w:w="770" w:type="dxa"/>
                  <w:vMerge w:val="continue"/>
                  <w:noWrap w:val="0"/>
                  <w:vAlign w:val="center"/>
                </w:tcPr>
                <w:p w14:paraId="3E8EFFD1">
                  <w:pPr>
                    <w:keepNext w:val="0"/>
                    <w:keepLines w:val="0"/>
                    <w:widowControl w:val="0"/>
                    <w:suppressLineNumbers w:val="0"/>
                    <w:bidi w:val="0"/>
                    <w:adjustRightInd w:val="0"/>
                    <w:snapToGrid w:val="0"/>
                    <w:spacing w:before="10" w:beforeLines="10" w:beforeAutospacing="0" w:after="10" w:afterLines="10" w:afterAutospacing="0" w:line="240" w:lineRule="auto"/>
                    <w:ind w:left="0" w:leftChars="0" w:right="0" w:rightChars="0" w:firstLine="0" w:firstLineChars="0"/>
                    <w:jc w:val="center"/>
                    <w:rPr>
                      <w:rFonts w:hint="eastAsia" w:ascii="Times New Roman" w:hAnsi="Times New Roman" w:eastAsia="宋体" w:cs="Times New Roman"/>
                      <w:color w:val="auto"/>
                      <w:kern w:val="0"/>
                      <w:sz w:val="21"/>
                      <w:szCs w:val="24"/>
                      <w:highlight w:val="none"/>
                      <w:lang w:val="en-US" w:eastAsia="zh-CN" w:bidi="ar-SA"/>
                    </w:rPr>
                  </w:pPr>
                </w:p>
              </w:tc>
              <w:tc>
                <w:tcPr>
                  <w:tcW w:w="960" w:type="dxa"/>
                  <w:vMerge w:val="continue"/>
                  <w:noWrap w:val="0"/>
                  <w:vAlign w:val="center"/>
                </w:tcPr>
                <w:p w14:paraId="55506223">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ascii="Times New Roman" w:hAnsi="Times New Roman" w:eastAsia="宋体" w:cs="Times New Roman"/>
                      <w:color w:val="auto"/>
                      <w:kern w:val="0"/>
                      <w:sz w:val="21"/>
                      <w:szCs w:val="24"/>
                      <w:highlight w:val="none"/>
                      <w:lang w:val="en-US" w:eastAsia="zh-CN" w:bidi="ar-SA"/>
                    </w:rPr>
                  </w:pPr>
                </w:p>
              </w:tc>
              <w:tc>
                <w:tcPr>
                  <w:tcW w:w="1023" w:type="dxa"/>
                  <w:vMerge w:val="continue"/>
                  <w:noWrap w:val="0"/>
                  <w:vAlign w:val="center"/>
                </w:tcPr>
                <w:p w14:paraId="06619DE0">
                  <w:pPr>
                    <w:keepNext w:val="0"/>
                    <w:keepLines w:val="0"/>
                    <w:widowControl w:val="0"/>
                    <w:suppressLineNumbers w:val="0"/>
                    <w:adjustRightInd w:val="0"/>
                    <w:snapToGrid w:val="0"/>
                    <w:spacing w:before="0" w:beforeAutospacing="0" w:after="0" w:afterAutospacing="0" w:line="288" w:lineRule="auto"/>
                    <w:ind w:left="0" w:leftChars="0" w:right="0" w:rightChars="0" w:firstLine="0" w:firstLineChars="0"/>
                    <w:jc w:val="center"/>
                    <w:rPr>
                      <w:rFonts w:hint="default" w:ascii="Times New Roman" w:hAnsi="Times New Roman" w:eastAsia="宋体" w:cs="Times New Roman"/>
                      <w:color w:val="auto"/>
                      <w:kern w:val="0"/>
                      <w:sz w:val="21"/>
                      <w:szCs w:val="21"/>
                      <w:highlight w:val="none"/>
                      <w:lang w:val="en-US" w:eastAsia="zh-CN" w:bidi="ar-SA"/>
                    </w:rPr>
                  </w:pPr>
                </w:p>
              </w:tc>
              <w:tc>
                <w:tcPr>
                  <w:tcW w:w="940" w:type="dxa"/>
                  <w:vMerge w:val="continue"/>
                  <w:noWrap w:val="0"/>
                  <w:vAlign w:val="center"/>
                </w:tcPr>
                <w:p w14:paraId="6E9517D6">
                  <w:pPr>
                    <w:keepNext w:val="0"/>
                    <w:keepLines w:val="0"/>
                    <w:widowControl w:val="0"/>
                    <w:suppressLineNumbers w:val="0"/>
                    <w:adjustRightInd w:val="0"/>
                    <w:snapToGrid w:val="0"/>
                    <w:spacing w:before="0" w:beforeAutospacing="0" w:after="0" w:afterAutospacing="0" w:line="288" w:lineRule="auto"/>
                    <w:ind w:left="0" w:leftChars="0" w:right="0" w:rightChars="0" w:firstLine="0" w:firstLineChars="0"/>
                    <w:jc w:val="center"/>
                    <w:rPr>
                      <w:rFonts w:hint="default" w:ascii="Times New Roman" w:hAnsi="Times New Roman" w:eastAsia="宋体" w:cs="Times New Roman"/>
                      <w:color w:val="auto"/>
                      <w:kern w:val="0"/>
                      <w:sz w:val="21"/>
                      <w:szCs w:val="21"/>
                      <w:highlight w:val="none"/>
                      <w:lang w:val="en-US" w:eastAsia="zh-CN" w:bidi="ar-SA"/>
                    </w:rPr>
                  </w:pPr>
                </w:p>
              </w:tc>
              <w:tc>
                <w:tcPr>
                  <w:tcW w:w="2252" w:type="dxa"/>
                  <w:noWrap w:val="0"/>
                  <w:vAlign w:val="center"/>
                </w:tcPr>
                <w:p w14:paraId="062C6EDD">
                  <w:pPr>
                    <w:pStyle w:val="10"/>
                    <w:bidi w:val="0"/>
                    <w:rPr>
                      <w:rFonts w:hint="default"/>
                      <w:color w:val="auto"/>
                      <w:highlight w:val="none"/>
                      <w:lang w:eastAsia="zh-CN"/>
                    </w:rPr>
                  </w:pPr>
                  <w:r>
                    <w:rPr>
                      <w:rFonts w:hint="default"/>
                      <w:color w:val="auto"/>
                      <w:highlight w:val="none"/>
                    </w:rPr>
                    <w:t>《大气污染物综合排放标准》（GB16297-1996）</w:t>
                  </w:r>
                  <w:r>
                    <w:rPr>
                      <w:rFonts w:hint="eastAsia"/>
                      <w:color w:val="auto"/>
                      <w:highlight w:val="none"/>
                      <w:lang w:val="en-US" w:eastAsia="zh-CN"/>
                    </w:rPr>
                    <w:t>表2</w:t>
                  </w:r>
                </w:p>
              </w:tc>
              <w:tc>
                <w:tcPr>
                  <w:tcW w:w="1057" w:type="dxa"/>
                  <w:noWrap w:val="0"/>
                  <w:vAlign w:val="center"/>
                </w:tcPr>
                <w:p w14:paraId="3BE54016">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100</w:t>
                  </w:r>
                </w:p>
              </w:tc>
              <w:tc>
                <w:tcPr>
                  <w:tcW w:w="949" w:type="dxa"/>
                  <w:noWrap w:val="0"/>
                  <w:vAlign w:val="center"/>
                </w:tcPr>
                <w:p w14:paraId="74100CBF">
                  <w:pPr>
                    <w:keepNext w:val="0"/>
                    <w:keepLines w:val="0"/>
                    <w:widowControl w:val="0"/>
                    <w:suppressLineNumbers w:val="0"/>
                    <w:bidi w:val="0"/>
                    <w:adjustRightInd w:val="0"/>
                    <w:snapToGrid w:val="0"/>
                    <w:spacing w:before="10" w:beforeLines="10" w:beforeAutospacing="0" w:after="10" w:afterLines="10" w:afterAutospacing="0" w:line="240" w:lineRule="auto"/>
                    <w:ind w:left="0" w:right="0" w:firstLine="0" w:firstLineChars="0"/>
                    <w:jc w:val="center"/>
                    <w:rPr>
                      <w:rFonts w:hint="default"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0.26</w:t>
                  </w:r>
                </w:p>
              </w:tc>
            </w:tr>
          </w:tbl>
          <w:p w14:paraId="5FD664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color w:val="auto"/>
                <w:kern w:val="0"/>
                <w:sz w:val="21"/>
                <w:szCs w:val="24"/>
                <w:highlight w:val="none"/>
                <w:lang w:val="en-US" w:eastAsia="zh-CN" w:bidi="ar-SA"/>
              </w:rPr>
            </w:pPr>
          </w:p>
          <w:p w14:paraId="15165C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color w:val="auto"/>
                <w:kern w:val="0"/>
                <w:sz w:val="21"/>
                <w:szCs w:val="24"/>
                <w:highlight w:val="none"/>
                <w:lang w:val="en-US" w:eastAsia="zh-CN" w:bidi="ar-SA"/>
              </w:rPr>
            </w:pPr>
          </w:p>
          <w:p w14:paraId="4DA844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color w:val="auto"/>
                <w:kern w:val="0"/>
                <w:sz w:val="21"/>
                <w:szCs w:val="24"/>
                <w:highlight w:val="none"/>
                <w:lang w:val="en-US" w:eastAsia="zh-CN" w:bidi="ar-SA"/>
              </w:rPr>
            </w:pPr>
            <w:r>
              <w:rPr>
                <w:rFonts w:hint="default" w:ascii="Times New Roman" w:hAnsi="Times New Roman" w:eastAsia="宋体" w:cs="Times New Roman"/>
                <w:b/>
                <w:color w:val="auto"/>
                <w:kern w:val="0"/>
                <w:sz w:val="21"/>
                <w:szCs w:val="24"/>
                <w:highlight w:val="none"/>
                <w:lang w:val="en-US" w:eastAsia="zh-CN" w:bidi="ar-SA"/>
              </w:rPr>
              <w:t>表4-</w:t>
            </w:r>
            <w:r>
              <w:rPr>
                <w:rFonts w:hint="eastAsia" w:cs="Times New Roman"/>
                <w:b/>
                <w:color w:val="auto"/>
                <w:kern w:val="0"/>
                <w:sz w:val="21"/>
                <w:szCs w:val="24"/>
                <w:highlight w:val="none"/>
                <w:lang w:val="en-US" w:eastAsia="zh-CN" w:bidi="ar-SA"/>
              </w:rPr>
              <w:t>3 大气污染物无组织排放一览表</w:t>
            </w:r>
          </w:p>
          <w:tbl>
            <w:tblPr>
              <w:tblStyle w:val="27"/>
              <w:tblW w:w="1265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1031"/>
              <w:gridCol w:w="1691"/>
              <w:gridCol w:w="1343"/>
              <w:gridCol w:w="1806"/>
              <w:gridCol w:w="1994"/>
              <w:gridCol w:w="2639"/>
              <w:gridCol w:w="2154"/>
            </w:tblGrid>
            <w:tr w14:paraId="0F316DA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31" w:type="dxa"/>
                  <w:vMerge w:val="restart"/>
                  <w:tcBorders>
                    <w:top w:val="single" w:color="000000" w:sz="4" w:space="0"/>
                    <w:left w:val="single" w:color="000000" w:sz="4" w:space="0"/>
                    <w:bottom w:val="single" w:color="000000" w:sz="4" w:space="0"/>
                    <w:right w:val="single" w:color="000000" w:sz="4" w:space="0"/>
                    <w:tl2br w:val="nil"/>
                  </w:tcBorders>
                  <w:shd w:val="clear" w:color="auto" w:fill="FFFFFF"/>
                  <w:noWrap w:val="0"/>
                  <w:vAlign w:val="center"/>
                </w:tcPr>
                <w:p w14:paraId="32649E08">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r>
                    <w:rPr>
                      <w:rFonts w:hint="default" w:ascii="Times New Roman" w:hAnsi="Times New Roman" w:eastAsia="宋体" w:cs="Times New Roman"/>
                      <w:b w:val="0"/>
                      <w:color w:val="000000"/>
                      <w:sz w:val="21"/>
                      <w:szCs w:val="21"/>
                    </w:rPr>
                    <w:t>序号</w:t>
                  </w:r>
                </w:p>
              </w:tc>
              <w:tc>
                <w:tcPr>
                  <w:tcW w:w="169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EB5214">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r>
                    <w:rPr>
                      <w:rFonts w:hint="default" w:ascii="Times New Roman" w:hAnsi="Times New Roman" w:eastAsia="宋体" w:cs="Times New Roman"/>
                      <w:b w:val="0"/>
                      <w:color w:val="000000"/>
                      <w:sz w:val="21"/>
                      <w:szCs w:val="21"/>
                    </w:rPr>
                    <w:t>生产设施编号/无组织排放编号</w:t>
                  </w:r>
                </w:p>
              </w:tc>
              <w:tc>
                <w:tcPr>
                  <w:tcW w:w="1343"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EC7942">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r>
                    <w:rPr>
                      <w:rFonts w:hint="default" w:ascii="Times New Roman" w:hAnsi="Times New Roman" w:eastAsia="宋体" w:cs="Times New Roman"/>
                      <w:b w:val="0"/>
                      <w:color w:val="000000"/>
                      <w:sz w:val="21"/>
                      <w:szCs w:val="21"/>
                    </w:rPr>
                    <w:t>产污环节</w:t>
                  </w:r>
                </w:p>
              </w:tc>
              <w:tc>
                <w:tcPr>
                  <w:tcW w:w="180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F17772">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r>
                    <w:rPr>
                      <w:rFonts w:hint="default" w:ascii="Times New Roman" w:hAnsi="Times New Roman" w:eastAsia="宋体" w:cs="Times New Roman"/>
                      <w:b w:val="0"/>
                      <w:color w:val="000000"/>
                      <w:sz w:val="21"/>
                      <w:szCs w:val="21"/>
                    </w:rPr>
                    <w:t>污染物种类</w:t>
                  </w:r>
                </w:p>
              </w:tc>
              <w:tc>
                <w:tcPr>
                  <w:tcW w:w="199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2333D6">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r>
                    <w:rPr>
                      <w:rFonts w:hint="default" w:ascii="Times New Roman" w:hAnsi="Times New Roman" w:eastAsia="宋体" w:cs="Times New Roman"/>
                      <w:b w:val="0"/>
                      <w:color w:val="000000"/>
                      <w:sz w:val="21"/>
                      <w:szCs w:val="21"/>
                    </w:rPr>
                    <w:t>主要污染防治措施</w:t>
                  </w:r>
                </w:p>
              </w:tc>
              <w:tc>
                <w:tcPr>
                  <w:tcW w:w="4793"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95F5B2">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r>
                    <w:rPr>
                      <w:rFonts w:hint="default" w:ascii="Times New Roman" w:hAnsi="Times New Roman" w:eastAsia="宋体" w:cs="Times New Roman"/>
                      <w:b w:val="0"/>
                      <w:color w:val="000000"/>
                      <w:sz w:val="21"/>
                      <w:szCs w:val="21"/>
                    </w:rPr>
                    <w:t>国家或地方污染物排放标准</w:t>
                  </w:r>
                </w:p>
              </w:tc>
            </w:tr>
            <w:tr w14:paraId="069DF01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3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B3F2BA">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p>
              </w:tc>
              <w:tc>
                <w:tcPr>
                  <w:tcW w:w="169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E7F18A">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p>
              </w:tc>
              <w:tc>
                <w:tcPr>
                  <w:tcW w:w="1343"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819178">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p>
              </w:tc>
              <w:tc>
                <w:tcPr>
                  <w:tcW w:w="180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8BF562">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p>
              </w:tc>
              <w:tc>
                <w:tcPr>
                  <w:tcW w:w="1994"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AE8179">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p>
              </w:tc>
              <w:tc>
                <w:tcPr>
                  <w:tcW w:w="263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22D59B">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r>
                    <w:rPr>
                      <w:rFonts w:hint="default" w:ascii="Times New Roman" w:hAnsi="Times New Roman" w:eastAsia="宋体" w:cs="Times New Roman"/>
                      <w:b w:val="0"/>
                      <w:color w:val="000000"/>
                      <w:sz w:val="21"/>
                      <w:szCs w:val="21"/>
                    </w:rPr>
                    <w:t>名称</w:t>
                  </w:r>
                </w:p>
              </w:tc>
              <w:tc>
                <w:tcPr>
                  <w:tcW w:w="215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3AEA4D">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r>
                    <w:rPr>
                      <w:rFonts w:hint="default" w:ascii="Times New Roman" w:hAnsi="Times New Roman" w:eastAsia="宋体" w:cs="Times New Roman"/>
                      <w:b w:val="0"/>
                      <w:color w:val="000000"/>
                      <w:sz w:val="21"/>
                      <w:szCs w:val="21"/>
                    </w:rPr>
                    <w:t>浓度限值（mg/Nm</w:t>
                  </w:r>
                  <w:r>
                    <w:rPr>
                      <w:rFonts w:hint="default" w:ascii="Times New Roman" w:hAnsi="Times New Roman" w:eastAsia="宋体" w:cs="Times New Roman"/>
                      <w:b w:val="0"/>
                      <w:color w:val="000000"/>
                      <w:sz w:val="21"/>
                      <w:szCs w:val="21"/>
                      <w:vertAlign w:val="superscript"/>
                    </w:rPr>
                    <w:t>3</w:t>
                  </w:r>
                  <w:r>
                    <w:rPr>
                      <w:rFonts w:hint="default" w:ascii="Times New Roman" w:hAnsi="Times New Roman" w:eastAsia="宋体" w:cs="Times New Roman"/>
                      <w:b w:val="0"/>
                      <w:color w:val="000000"/>
                      <w:sz w:val="21"/>
                      <w:szCs w:val="21"/>
                    </w:rPr>
                    <w:t>）</w:t>
                  </w:r>
                </w:p>
              </w:tc>
            </w:tr>
            <w:tr w14:paraId="48DD852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3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D4B710">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r>
                    <w:rPr>
                      <w:rFonts w:hint="default" w:ascii="Times New Roman" w:hAnsi="Times New Roman" w:eastAsia="宋体" w:cs="Times New Roman"/>
                      <w:b w:val="0"/>
                      <w:color w:val="000000"/>
                      <w:sz w:val="21"/>
                      <w:szCs w:val="21"/>
                    </w:rPr>
                    <w:t>1</w:t>
                  </w:r>
                </w:p>
              </w:tc>
              <w:tc>
                <w:tcPr>
                  <w:tcW w:w="16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160452">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b w:val="0"/>
                      <w:color w:val="000000"/>
                      <w:sz w:val="21"/>
                      <w:szCs w:val="21"/>
                      <w:lang w:eastAsia="zh-CN"/>
                    </w:rPr>
                  </w:pPr>
                  <w:r>
                    <w:rPr>
                      <w:rFonts w:hint="eastAsia" w:ascii="Times New Roman" w:cs="Times New Roman"/>
                      <w:b w:val="0"/>
                      <w:color w:val="000000"/>
                      <w:sz w:val="21"/>
                      <w:szCs w:val="21"/>
                      <w:lang w:val="en-US" w:eastAsia="zh-CN"/>
                    </w:rPr>
                    <w:t>厂区</w:t>
                  </w:r>
                </w:p>
              </w:tc>
              <w:tc>
                <w:tcPr>
                  <w:tcW w:w="1343" w:type="dxa"/>
                  <w:vMerge w:val="restart"/>
                  <w:tcBorders>
                    <w:top w:val="single" w:color="000000" w:sz="4" w:space="0"/>
                    <w:left w:val="single" w:color="000000" w:sz="4" w:space="0"/>
                    <w:right w:val="single" w:color="000000" w:sz="4" w:space="0"/>
                  </w:tcBorders>
                  <w:shd w:val="clear" w:color="auto" w:fill="FFFFFF"/>
                  <w:noWrap w:val="0"/>
                  <w:vAlign w:val="center"/>
                </w:tcPr>
                <w:p w14:paraId="0204C4B9">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r>
                    <w:rPr>
                      <w:rFonts w:hint="default" w:ascii="Times New Roman" w:hAnsi="Times New Roman" w:eastAsia="宋体" w:cs="Times New Roman"/>
                      <w:b w:val="0"/>
                      <w:color w:val="000000"/>
                      <w:sz w:val="21"/>
                      <w:szCs w:val="21"/>
                    </w:rPr>
                    <w:t>生产过程</w:t>
                  </w:r>
                </w:p>
              </w:tc>
              <w:tc>
                <w:tcPr>
                  <w:tcW w:w="18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5FA3BB">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lang w:val="en-US" w:eastAsia="zh-CN"/>
                    </w:rPr>
                  </w:pPr>
                  <w:r>
                    <w:rPr>
                      <w:rFonts w:hint="eastAsia" w:ascii="Times New Roman" w:cs="Times New Roman"/>
                      <w:b w:val="0"/>
                      <w:color w:val="000000"/>
                      <w:sz w:val="21"/>
                      <w:szCs w:val="21"/>
                      <w:lang w:val="en-US" w:eastAsia="zh-CN"/>
                    </w:rPr>
                    <w:t>非甲烷总烃</w:t>
                  </w:r>
                </w:p>
              </w:tc>
              <w:tc>
                <w:tcPr>
                  <w:tcW w:w="1994" w:type="dxa"/>
                  <w:vMerge w:val="restart"/>
                  <w:tcBorders>
                    <w:top w:val="single" w:color="000000" w:sz="4" w:space="0"/>
                    <w:left w:val="single" w:color="000000" w:sz="4" w:space="0"/>
                    <w:right w:val="single" w:color="000000" w:sz="4" w:space="0"/>
                  </w:tcBorders>
                  <w:shd w:val="clear" w:color="auto" w:fill="FFFFFF"/>
                  <w:noWrap w:val="0"/>
                  <w:vAlign w:val="center"/>
                </w:tcPr>
                <w:p w14:paraId="63215E00">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lang w:val="en-US" w:eastAsia="zh-CN"/>
                    </w:rPr>
                  </w:pPr>
                  <w:r>
                    <w:rPr>
                      <w:rFonts w:hint="eastAsia" w:ascii="Times New Roman" w:cs="Times New Roman"/>
                      <w:b w:val="0"/>
                      <w:color w:val="000000"/>
                      <w:sz w:val="21"/>
                      <w:szCs w:val="21"/>
                      <w:lang w:val="en-US" w:eastAsia="zh-CN"/>
                    </w:rPr>
                    <w:t>/</w:t>
                  </w:r>
                </w:p>
              </w:tc>
              <w:tc>
                <w:tcPr>
                  <w:tcW w:w="263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7AAC59">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r>
                    <w:rPr>
                      <w:rFonts w:hint="default" w:ascii="Times New Roman" w:hAnsi="Times New Roman" w:eastAsia="宋体" w:cs="Times New Roman"/>
                      <w:b w:val="0"/>
                      <w:color w:val="000000"/>
                      <w:sz w:val="21"/>
                      <w:szCs w:val="21"/>
                      <w:lang w:val="en-US" w:eastAsia="zh-CN"/>
                    </w:rPr>
                    <w:t>DB 34/4812.6-2024</w:t>
                  </w:r>
                </w:p>
              </w:tc>
              <w:tc>
                <w:tcPr>
                  <w:tcW w:w="215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FB3003">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cs="Times New Roman"/>
                      <w:b w:val="0"/>
                      <w:color w:val="000000"/>
                      <w:sz w:val="21"/>
                      <w:szCs w:val="21"/>
                      <w:lang w:val="en-US" w:eastAsia="zh-CN"/>
                    </w:rPr>
                  </w:pPr>
                  <w:r>
                    <w:rPr>
                      <w:rFonts w:hint="eastAsia" w:ascii="Times New Roman" w:cs="Times New Roman"/>
                      <w:b w:val="0"/>
                      <w:color w:val="000000"/>
                      <w:sz w:val="21"/>
                      <w:szCs w:val="21"/>
                      <w:lang w:val="en-US" w:eastAsia="zh-CN"/>
                    </w:rPr>
                    <w:t>6（小时值）</w:t>
                  </w:r>
                </w:p>
                <w:p w14:paraId="26436015">
                  <w:pPr>
                    <w:rPr>
                      <w:rFonts w:hint="default"/>
                      <w:lang w:val="en-US" w:eastAsia="zh-CN"/>
                    </w:rPr>
                  </w:pPr>
                  <w:r>
                    <w:rPr>
                      <w:rFonts w:hint="eastAsia" w:cs="Times New Roman"/>
                      <w:b w:val="0"/>
                      <w:color w:val="000000"/>
                      <w:sz w:val="21"/>
                      <w:szCs w:val="21"/>
                      <w:lang w:val="en-US" w:eastAsia="zh-CN"/>
                    </w:rPr>
                    <w:t>20（一次值）</w:t>
                  </w:r>
                </w:p>
              </w:tc>
            </w:tr>
            <w:tr w14:paraId="5DD9917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3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9B9A47">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r>
                    <w:rPr>
                      <w:rFonts w:hint="default" w:ascii="Times New Roman" w:hAnsi="Times New Roman" w:eastAsia="宋体" w:cs="Times New Roman"/>
                      <w:b w:val="0"/>
                      <w:color w:val="000000"/>
                      <w:sz w:val="21"/>
                      <w:szCs w:val="21"/>
                    </w:rPr>
                    <w:t>2</w:t>
                  </w:r>
                </w:p>
              </w:tc>
              <w:tc>
                <w:tcPr>
                  <w:tcW w:w="16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9662F7">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r>
                    <w:rPr>
                      <w:rFonts w:hint="default" w:ascii="Times New Roman" w:hAnsi="Times New Roman" w:eastAsia="宋体" w:cs="Times New Roman"/>
                      <w:b w:val="0"/>
                      <w:color w:val="000000"/>
                      <w:sz w:val="21"/>
                      <w:szCs w:val="21"/>
                    </w:rPr>
                    <w:t>厂界</w:t>
                  </w:r>
                </w:p>
              </w:tc>
              <w:tc>
                <w:tcPr>
                  <w:tcW w:w="1343" w:type="dxa"/>
                  <w:vMerge w:val="continue"/>
                  <w:tcBorders>
                    <w:left w:val="single" w:color="000000" w:sz="4" w:space="0"/>
                    <w:right w:val="single" w:color="000000" w:sz="4" w:space="0"/>
                  </w:tcBorders>
                  <w:shd w:val="clear" w:color="auto" w:fill="FFFFFF"/>
                  <w:noWrap w:val="0"/>
                  <w:vAlign w:val="center"/>
                </w:tcPr>
                <w:p w14:paraId="39262A55">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p>
              </w:tc>
              <w:tc>
                <w:tcPr>
                  <w:tcW w:w="18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B85541">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lang w:val="en-US" w:eastAsia="zh-CN"/>
                    </w:rPr>
                  </w:pPr>
                  <w:r>
                    <w:rPr>
                      <w:rFonts w:hint="eastAsia" w:ascii="Times New Roman" w:cs="Times New Roman"/>
                      <w:b w:val="0"/>
                      <w:color w:val="000000"/>
                      <w:sz w:val="21"/>
                      <w:szCs w:val="21"/>
                      <w:lang w:val="en-US" w:eastAsia="zh-CN"/>
                    </w:rPr>
                    <w:t>非甲烷总烃</w:t>
                  </w:r>
                </w:p>
              </w:tc>
              <w:tc>
                <w:tcPr>
                  <w:tcW w:w="1994" w:type="dxa"/>
                  <w:vMerge w:val="continue"/>
                  <w:tcBorders>
                    <w:left w:val="single" w:color="000000" w:sz="4" w:space="0"/>
                    <w:right w:val="single" w:color="000000" w:sz="4" w:space="0"/>
                  </w:tcBorders>
                  <w:shd w:val="clear" w:color="auto" w:fill="FFFFFF"/>
                  <w:noWrap w:val="0"/>
                  <w:vAlign w:val="center"/>
                </w:tcPr>
                <w:p w14:paraId="362B1382">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p>
              </w:tc>
              <w:tc>
                <w:tcPr>
                  <w:tcW w:w="263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6080A8">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r>
                    <w:rPr>
                      <w:rFonts w:hint="default" w:ascii="Times New Roman" w:hAnsi="Times New Roman" w:eastAsia="宋体" w:cs="Times New Roman"/>
                      <w:b w:val="0"/>
                      <w:color w:val="000000"/>
                      <w:sz w:val="21"/>
                      <w:szCs w:val="21"/>
                    </w:rPr>
                    <w:t>GB16297-1996</w:t>
                  </w:r>
                </w:p>
              </w:tc>
              <w:tc>
                <w:tcPr>
                  <w:tcW w:w="215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51431A">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lang w:val="en-US" w:eastAsia="zh-CN"/>
                    </w:rPr>
                  </w:pPr>
                  <w:r>
                    <w:rPr>
                      <w:rFonts w:hint="eastAsia" w:ascii="Times New Roman" w:cs="Times New Roman"/>
                      <w:b w:val="0"/>
                      <w:color w:val="000000"/>
                      <w:sz w:val="21"/>
                      <w:szCs w:val="21"/>
                      <w:lang w:val="en-US" w:eastAsia="zh-CN"/>
                    </w:rPr>
                    <w:t>4.0</w:t>
                  </w:r>
                </w:p>
              </w:tc>
            </w:tr>
            <w:tr w14:paraId="348312F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3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D4DD84">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b w:val="0"/>
                      <w:color w:val="000000"/>
                      <w:sz w:val="21"/>
                      <w:szCs w:val="21"/>
                      <w:lang w:val="en-US" w:eastAsia="zh-CN"/>
                    </w:rPr>
                  </w:pPr>
                  <w:r>
                    <w:rPr>
                      <w:rFonts w:hint="eastAsia" w:ascii="Times New Roman" w:cs="Times New Roman"/>
                      <w:b w:val="0"/>
                      <w:color w:val="000000"/>
                      <w:sz w:val="21"/>
                      <w:szCs w:val="21"/>
                      <w:lang w:val="en-US" w:eastAsia="zh-CN"/>
                    </w:rPr>
                    <w:t>3</w:t>
                  </w:r>
                </w:p>
              </w:tc>
              <w:tc>
                <w:tcPr>
                  <w:tcW w:w="16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A12D33">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r>
                    <w:rPr>
                      <w:rFonts w:hint="default" w:ascii="Times New Roman" w:hAnsi="Times New Roman" w:eastAsia="宋体" w:cs="Times New Roman"/>
                      <w:b w:val="0"/>
                      <w:color w:val="000000"/>
                      <w:sz w:val="21"/>
                      <w:szCs w:val="21"/>
                    </w:rPr>
                    <w:t>厂界</w:t>
                  </w:r>
                </w:p>
              </w:tc>
              <w:tc>
                <w:tcPr>
                  <w:tcW w:w="1343" w:type="dxa"/>
                  <w:vMerge w:val="continue"/>
                  <w:tcBorders>
                    <w:left w:val="single" w:color="000000" w:sz="4" w:space="0"/>
                    <w:right w:val="single" w:color="000000" w:sz="4" w:space="0"/>
                  </w:tcBorders>
                  <w:shd w:val="clear" w:color="auto" w:fill="FFFFFF"/>
                  <w:noWrap w:val="0"/>
                  <w:vAlign w:val="center"/>
                </w:tcPr>
                <w:p w14:paraId="6BBFF806">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p>
              </w:tc>
              <w:tc>
                <w:tcPr>
                  <w:tcW w:w="18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F58C79">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cs="Times New Roman"/>
                      <w:b w:val="0"/>
                      <w:color w:val="000000"/>
                      <w:sz w:val="21"/>
                      <w:szCs w:val="21"/>
                      <w:lang w:val="en-US" w:eastAsia="zh-CN"/>
                    </w:rPr>
                  </w:pPr>
                  <w:r>
                    <w:rPr>
                      <w:rFonts w:hint="eastAsia" w:ascii="Times New Roman" w:cs="Times New Roman"/>
                      <w:b w:val="0"/>
                      <w:color w:val="000000"/>
                      <w:sz w:val="21"/>
                      <w:szCs w:val="21"/>
                      <w:lang w:val="en-US" w:eastAsia="zh-CN"/>
                    </w:rPr>
                    <w:t>颗粒物</w:t>
                  </w:r>
                </w:p>
              </w:tc>
              <w:tc>
                <w:tcPr>
                  <w:tcW w:w="1994" w:type="dxa"/>
                  <w:vMerge w:val="continue"/>
                  <w:tcBorders>
                    <w:left w:val="single" w:color="000000" w:sz="4" w:space="0"/>
                    <w:right w:val="single" w:color="000000" w:sz="4" w:space="0"/>
                  </w:tcBorders>
                  <w:shd w:val="clear" w:color="auto" w:fill="FFFFFF"/>
                  <w:noWrap w:val="0"/>
                  <w:vAlign w:val="center"/>
                </w:tcPr>
                <w:p w14:paraId="6441DA39">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p>
              </w:tc>
              <w:tc>
                <w:tcPr>
                  <w:tcW w:w="263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3EA9B2">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r>
                    <w:rPr>
                      <w:rFonts w:hint="default" w:ascii="Times New Roman" w:hAnsi="Times New Roman" w:eastAsia="宋体" w:cs="Times New Roman"/>
                      <w:b w:val="0"/>
                      <w:color w:val="000000"/>
                      <w:sz w:val="21"/>
                      <w:szCs w:val="21"/>
                    </w:rPr>
                    <w:t>GB16297-1996</w:t>
                  </w:r>
                </w:p>
              </w:tc>
              <w:tc>
                <w:tcPr>
                  <w:tcW w:w="215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8EEC51">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lang w:val="en-US" w:eastAsia="zh-CN"/>
                    </w:rPr>
                  </w:pPr>
                  <w:r>
                    <w:rPr>
                      <w:rFonts w:hint="eastAsia" w:ascii="Times New Roman" w:cs="Times New Roman"/>
                      <w:b w:val="0"/>
                      <w:color w:val="000000"/>
                      <w:sz w:val="21"/>
                      <w:szCs w:val="21"/>
                      <w:lang w:val="en-US" w:eastAsia="zh-CN"/>
                    </w:rPr>
                    <w:t>0.4</w:t>
                  </w:r>
                </w:p>
              </w:tc>
            </w:tr>
            <w:tr w14:paraId="2E6BC7A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3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1151D7">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b w:val="0"/>
                      <w:color w:val="000000"/>
                      <w:sz w:val="21"/>
                      <w:szCs w:val="21"/>
                      <w:lang w:val="en-US" w:eastAsia="zh-CN"/>
                    </w:rPr>
                  </w:pPr>
                  <w:r>
                    <w:rPr>
                      <w:rFonts w:hint="eastAsia" w:ascii="Times New Roman" w:cs="Times New Roman"/>
                      <w:b w:val="0"/>
                      <w:color w:val="000000"/>
                      <w:sz w:val="21"/>
                      <w:szCs w:val="21"/>
                      <w:lang w:val="en-US" w:eastAsia="zh-CN"/>
                    </w:rPr>
                    <w:t>4</w:t>
                  </w:r>
                </w:p>
              </w:tc>
              <w:tc>
                <w:tcPr>
                  <w:tcW w:w="16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092166">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r>
                    <w:rPr>
                      <w:rFonts w:hint="default" w:ascii="Times New Roman" w:hAnsi="Times New Roman" w:eastAsia="宋体" w:cs="Times New Roman"/>
                      <w:b w:val="0"/>
                      <w:color w:val="000000"/>
                      <w:sz w:val="21"/>
                      <w:szCs w:val="21"/>
                    </w:rPr>
                    <w:t>厂界</w:t>
                  </w:r>
                </w:p>
              </w:tc>
              <w:tc>
                <w:tcPr>
                  <w:tcW w:w="1343" w:type="dxa"/>
                  <w:vMerge w:val="continue"/>
                  <w:tcBorders>
                    <w:left w:val="single" w:color="000000" w:sz="4" w:space="0"/>
                    <w:right w:val="single" w:color="000000" w:sz="4" w:space="0"/>
                  </w:tcBorders>
                  <w:shd w:val="clear" w:color="auto" w:fill="FFFFFF"/>
                  <w:noWrap w:val="0"/>
                  <w:vAlign w:val="center"/>
                </w:tcPr>
                <w:p w14:paraId="589C8B04">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p>
              </w:tc>
              <w:tc>
                <w:tcPr>
                  <w:tcW w:w="18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DD84DE">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cs="Times New Roman"/>
                      <w:b w:val="0"/>
                      <w:color w:val="000000"/>
                      <w:sz w:val="21"/>
                      <w:szCs w:val="21"/>
                      <w:lang w:val="en-US" w:eastAsia="zh-CN"/>
                    </w:rPr>
                  </w:pPr>
                  <w:r>
                    <w:rPr>
                      <w:rFonts w:hint="eastAsia" w:ascii="Times New Roman" w:cs="Times New Roman"/>
                      <w:b w:val="0"/>
                      <w:color w:val="000000"/>
                      <w:sz w:val="21"/>
                      <w:szCs w:val="21"/>
                      <w:lang w:val="en-US" w:eastAsia="zh-CN"/>
                    </w:rPr>
                    <w:t>氯化氢</w:t>
                  </w:r>
                </w:p>
              </w:tc>
              <w:tc>
                <w:tcPr>
                  <w:tcW w:w="1994" w:type="dxa"/>
                  <w:vMerge w:val="continue"/>
                  <w:tcBorders>
                    <w:left w:val="single" w:color="000000" w:sz="4" w:space="0"/>
                    <w:right w:val="single" w:color="000000" w:sz="4" w:space="0"/>
                  </w:tcBorders>
                  <w:shd w:val="clear" w:color="auto" w:fill="FFFFFF"/>
                  <w:noWrap w:val="0"/>
                  <w:vAlign w:val="center"/>
                </w:tcPr>
                <w:p w14:paraId="04AD09D8">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p>
              </w:tc>
              <w:tc>
                <w:tcPr>
                  <w:tcW w:w="263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DF416A">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r>
                    <w:rPr>
                      <w:rFonts w:hint="default" w:ascii="Times New Roman" w:hAnsi="Times New Roman" w:eastAsia="宋体" w:cs="Times New Roman"/>
                      <w:b w:val="0"/>
                      <w:color w:val="000000"/>
                      <w:sz w:val="21"/>
                      <w:szCs w:val="21"/>
                    </w:rPr>
                    <w:t>GB16297-1996</w:t>
                  </w:r>
                </w:p>
              </w:tc>
              <w:tc>
                <w:tcPr>
                  <w:tcW w:w="215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01DB95">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lang w:val="en-US" w:eastAsia="zh-CN"/>
                    </w:rPr>
                  </w:pPr>
                  <w:r>
                    <w:rPr>
                      <w:rFonts w:hint="eastAsia" w:ascii="Times New Roman" w:cs="Times New Roman"/>
                      <w:b w:val="0"/>
                      <w:color w:val="000000"/>
                      <w:sz w:val="21"/>
                      <w:szCs w:val="21"/>
                      <w:lang w:val="en-US" w:eastAsia="zh-CN"/>
                    </w:rPr>
                    <w:t>0.2</w:t>
                  </w:r>
                </w:p>
              </w:tc>
            </w:tr>
            <w:tr w14:paraId="2FD5E12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3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75E421">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cs="Times New Roman"/>
                      <w:b w:val="0"/>
                      <w:color w:val="000000"/>
                      <w:sz w:val="21"/>
                      <w:szCs w:val="21"/>
                      <w:lang w:val="en-US" w:eastAsia="zh-CN"/>
                    </w:rPr>
                  </w:pPr>
                  <w:r>
                    <w:rPr>
                      <w:rFonts w:hint="eastAsia" w:ascii="Times New Roman" w:cs="Times New Roman"/>
                      <w:b w:val="0"/>
                      <w:color w:val="000000"/>
                      <w:sz w:val="21"/>
                      <w:szCs w:val="21"/>
                      <w:lang w:val="en-US" w:eastAsia="zh-CN"/>
                    </w:rPr>
                    <w:t>5</w:t>
                  </w:r>
                </w:p>
              </w:tc>
              <w:tc>
                <w:tcPr>
                  <w:tcW w:w="16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B44C0D">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lang w:val="en-US" w:eastAsia="zh-CN"/>
                    </w:rPr>
                  </w:pPr>
                  <w:r>
                    <w:rPr>
                      <w:rFonts w:hint="eastAsia" w:ascii="Times New Roman" w:cs="Times New Roman"/>
                      <w:b w:val="0"/>
                      <w:color w:val="000000"/>
                      <w:sz w:val="21"/>
                      <w:szCs w:val="21"/>
                      <w:lang w:val="en-US" w:eastAsia="zh-CN"/>
                    </w:rPr>
                    <w:t>厂界</w:t>
                  </w:r>
                </w:p>
              </w:tc>
              <w:tc>
                <w:tcPr>
                  <w:tcW w:w="1343" w:type="dxa"/>
                  <w:vMerge w:val="continue"/>
                  <w:tcBorders>
                    <w:left w:val="single" w:color="000000" w:sz="4" w:space="0"/>
                    <w:bottom w:val="single" w:color="000000" w:sz="4" w:space="0"/>
                    <w:right w:val="single" w:color="000000" w:sz="4" w:space="0"/>
                  </w:tcBorders>
                  <w:shd w:val="clear" w:color="auto" w:fill="FFFFFF"/>
                  <w:noWrap w:val="0"/>
                  <w:vAlign w:val="center"/>
                </w:tcPr>
                <w:p w14:paraId="3A3071B5">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p>
              </w:tc>
              <w:tc>
                <w:tcPr>
                  <w:tcW w:w="18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95B4BE">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cs="Times New Roman"/>
                      <w:b w:val="0"/>
                      <w:color w:val="000000"/>
                      <w:sz w:val="21"/>
                      <w:szCs w:val="21"/>
                      <w:lang w:val="en-US" w:eastAsia="zh-CN"/>
                    </w:rPr>
                  </w:pPr>
                  <w:r>
                    <w:rPr>
                      <w:rFonts w:hint="eastAsia" w:ascii="Times New Roman" w:cs="Times New Roman"/>
                      <w:b w:val="0"/>
                      <w:color w:val="000000"/>
                      <w:sz w:val="21"/>
                      <w:szCs w:val="21"/>
                      <w:lang w:val="en-US" w:eastAsia="zh-CN"/>
                    </w:rPr>
                    <w:t>氯乙烯</w:t>
                  </w:r>
                </w:p>
              </w:tc>
              <w:tc>
                <w:tcPr>
                  <w:tcW w:w="1994" w:type="dxa"/>
                  <w:vMerge w:val="continue"/>
                  <w:tcBorders>
                    <w:left w:val="single" w:color="000000" w:sz="4" w:space="0"/>
                    <w:bottom w:val="single" w:color="000000" w:sz="4" w:space="0"/>
                    <w:right w:val="single" w:color="000000" w:sz="4" w:space="0"/>
                  </w:tcBorders>
                  <w:shd w:val="clear" w:color="auto" w:fill="FFFFFF"/>
                  <w:noWrap w:val="0"/>
                  <w:vAlign w:val="center"/>
                </w:tcPr>
                <w:p w14:paraId="5D64F5B4">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p>
              </w:tc>
              <w:tc>
                <w:tcPr>
                  <w:tcW w:w="263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21B215">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val="0"/>
                      <w:color w:val="000000"/>
                      <w:sz w:val="21"/>
                      <w:szCs w:val="21"/>
                    </w:rPr>
                  </w:pPr>
                  <w:r>
                    <w:rPr>
                      <w:rFonts w:hint="default" w:ascii="Times New Roman" w:hAnsi="Times New Roman" w:eastAsia="宋体" w:cs="Times New Roman"/>
                      <w:b w:val="0"/>
                      <w:color w:val="000000"/>
                      <w:sz w:val="21"/>
                      <w:szCs w:val="21"/>
                      <w:lang w:val="en-US" w:eastAsia="zh-CN"/>
                    </w:rPr>
                    <w:t>DB 34/4812.6-2024</w:t>
                  </w:r>
                </w:p>
              </w:tc>
              <w:tc>
                <w:tcPr>
                  <w:tcW w:w="215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F0F615">
                  <w:pPr>
                    <w:pStyle w:val="55"/>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cs="Times New Roman"/>
                      <w:b w:val="0"/>
                      <w:color w:val="000000"/>
                      <w:sz w:val="21"/>
                      <w:szCs w:val="21"/>
                      <w:lang w:val="en-US" w:eastAsia="zh-CN"/>
                    </w:rPr>
                  </w:pPr>
                  <w:r>
                    <w:rPr>
                      <w:rFonts w:hint="eastAsia" w:ascii="Times New Roman" w:cs="Times New Roman"/>
                      <w:b w:val="0"/>
                      <w:color w:val="000000"/>
                      <w:sz w:val="21"/>
                      <w:szCs w:val="21"/>
                      <w:lang w:val="en-US" w:eastAsia="zh-CN"/>
                    </w:rPr>
                    <w:t>0.15</w:t>
                  </w:r>
                </w:p>
              </w:tc>
            </w:tr>
          </w:tbl>
          <w:p w14:paraId="59AC9EBA">
            <w:pPr>
              <w:bidi w:val="0"/>
              <w:ind w:left="0" w:leftChars="0" w:firstLine="0" w:firstLineChars="0"/>
              <w:rPr>
                <w:rFonts w:hint="eastAsia"/>
                <w:color w:val="auto"/>
                <w:highlight w:val="none"/>
              </w:rPr>
            </w:pPr>
          </w:p>
        </w:tc>
      </w:tr>
    </w:tbl>
    <w:p w14:paraId="08DEB646">
      <w:pPr>
        <w:pStyle w:val="7"/>
        <w:ind w:left="0" w:leftChars="0" w:firstLine="0" w:firstLineChars="0"/>
        <w:rPr>
          <w:rFonts w:hint="eastAsia"/>
          <w:color w:val="auto"/>
          <w:highlight w:val="none"/>
        </w:rPr>
        <w:sectPr>
          <w:pgSz w:w="16840" w:h="11907" w:orient="landscape"/>
          <w:pgMar w:top="1531" w:right="1701" w:bottom="1531" w:left="2126" w:header="851" w:footer="850" w:gutter="0"/>
          <w:pgBorders>
            <w:top w:val="none" w:sz="0" w:space="0"/>
            <w:left w:val="none" w:sz="0" w:space="0"/>
            <w:bottom w:val="none" w:sz="0" w:space="0"/>
            <w:right w:val="none" w:sz="0" w:space="0"/>
          </w:pgBorders>
          <w:pgNumType w:fmt="decimal"/>
          <w:cols w:space="720" w:num="1"/>
          <w:rtlGutter w:val="0"/>
          <w:docGrid w:type="lines" w:linePitch="312" w:charSpace="0"/>
        </w:sect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6"/>
        <w:gridCol w:w="8535"/>
      </w:tblGrid>
      <w:tr w14:paraId="6E7DE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2" w:hRule="atLeast"/>
        </w:trPr>
        <w:tc>
          <w:tcPr>
            <w:tcW w:w="526" w:type="dxa"/>
            <w:noWrap w:val="0"/>
            <w:vAlign w:val="top"/>
          </w:tcPr>
          <w:p w14:paraId="64AEAB88">
            <w:pPr>
              <w:pStyle w:val="10"/>
              <w:bidi w:val="0"/>
              <w:rPr>
                <w:rFonts w:hint="eastAsia"/>
                <w:color w:val="auto"/>
                <w:highlight w:val="none"/>
              </w:rPr>
            </w:pPr>
          </w:p>
        </w:tc>
        <w:tc>
          <w:tcPr>
            <w:tcW w:w="8535" w:type="dxa"/>
            <w:noWrap w:val="0"/>
            <w:vAlign w:val="top"/>
          </w:tcPr>
          <w:p w14:paraId="49A0127B">
            <w:pPr>
              <w:keepNext w:val="0"/>
              <w:keepLines w:val="0"/>
              <w:pageBreakBefore w:val="0"/>
              <w:widowControl/>
              <w:numPr>
                <w:ilvl w:val="0"/>
                <w:numId w:val="0"/>
              </w:numPr>
              <w:suppressLineNumbers w:val="0"/>
              <w:kinsoku/>
              <w:overflowPunct/>
              <w:bidi w:val="0"/>
              <w:spacing w:line="360" w:lineRule="auto"/>
              <w:ind w:leftChars="200"/>
              <w:jc w:val="left"/>
              <w:rPr>
                <w:rFonts w:hint="default" w:ascii="Times New Roman" w:hAnsi="Times New Roman" w:eastAsia="宋体" w:cs="Times New Roman"/>
                <w:b/>
                <w:bCs/>
                <w:color w:val="auto"/>
                <w:kern w:val="0"/>
                <w:sz w:val="24"/>
                <w:szCs w:val="24"/>
                <w:highlight w:val="none"/>
                <w:lang w:val="en-US" w:eastAsia="zh-CN" w:bidi="ar"/>
              </w:rPr>
            </w:pPr>
            <w:r>
              <w:rPr>
                <w:rFonts w:hint="eastAsia" w:cs="Times New Roman"/>
                <w:b/>
                <w:bCs/>
                <w:color w:val="auto"/>
                <w:kern w:val="0"/>
                <w:sz w:val="24"/>
                <w:szCs w:val="24"/>
                <w:highlight w:val="none"/>
                <w:lang w:val="en-US" w:eastAsia="zh-CN" w:bidi="ar"/>
              </w:rPr>
              <w:t>2、</w:t>
            </w:r>
            <w:r>
              <w:rPr>
                <w:rFonts w:hint="default" w:ascii="Times New Roman" w:hAnsi="Times New Roman" w:eastAsia="宋体" w:cs="Times New Roman"/>
                <w:b/>
                <w:bCs/>
                <w:color w:val="auto"/>
                <w:kern w:val="0"/>
                <w:sz w:val="24"/>
                <w:szCs w:val="24"/>
                <w:highlight w:val="none"/>
                <w:lang w:val="en-US" w:eastAsia="zh-CN" w:bidi="ar"/>
              </w:rPr>
              <w:t>废气处理措施可行性分析</w:t>
            </w:r>
          </w:p>
          <w:p w14:paraId="38CC4B8D">
            <w:pPr>
              <w:keepNext w:val="0"/>
              <w:keepLines w:val="0"/>
              <w:suppressLineNumbers w:val="0"/>
              <w:spacing w:before="0" w:beforeAutospacing="0" w:after="0" w:afterAutospacing="0" w:line="360" w:lineRule="auto"/>
              <w:ind w:left="0" w:right="0" w:firstLine="480" w:firstLineChars="200"/>
              <w:jc w:val="left"/>
              <w:rPr>
                <w:rFonts w:hint="eastAsia" w:ascii="Times New Roman" w:hAnsi="Times New Roman" w:eastAsia="宋体" w:cs="Times New Roman"/>
                <w:color w:val="auto"/>
                <w:sz w:val="24"/>
                <w:highlight w:val="none"/>
              </w:rPr>
            </w:pPr>
            <w:r>
              <w:rPr>
                <w:rFonts w:hint="eastAsia" w:cs="Times New Roman"/>
                <w:color w:val="auto"/>
                <w:sz w:val="24"/>
                <w:highlight w:val="none"/>
                <w:lang w:val="en-US" w:eastAsia="zh-CN"/>
              </w:rPr>
              <w:t>（1）</w:t>
            </w:r>
            <w:r>
              <w:rPr>
                <w:rFonts w:hint="eastAsia" w:ascii="Times New Roman" w:hAnsi="Times New Roman" w:eastAsia="宋体" w:cs="Times New Roman"/>
                <w:color w:val="auto"/>
                <w:sz w:val="24"/>
                <w:highlight w:val="none"/>
              </w:rPr>
              <w:t>布袋除尘器</w:t>
            </w:r>
          </w:p>
          <w:p w14:paraId="3B8B6CA0">
            <w:pPr>
              <w:keepNext w:val="0"/>
              <w:keepLines w:val="0"/>
              <w:suppressLineNumbers w:val="0"/>
              <w:spacing w:before="0" w:beforeAutospacing="0" w:after="0" w:afterAutospacing="0" w:line="360" w:lineRule="auto"/>
              <w:ind w:left="0" w:right="0" w:firstLine="480" w:firstLineChars="200"/>
              <w:jc w:val="left"/>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工作</w:t>
            </w:r>
            <w:r>
              <w:rPr>
                <w:rFonts w:hint="eastAsia" w:ascii="Times New Roman" w:hAnsi="Times New Roman" w:eastAsia="宋体" w:cs="Times New Roman"/>
                <w:color w:val="auto"/>
                <w:sz w:val="24"/>
                <w:highlight w:val="none"/>
                <w:lang w:val="en-US" w:eastAsia="zh-CN"/>
              </w:rPr>
              <w:t>原理</w:t>
            </w:r>
            <w:r>
              <w:rPr>
                <w:rFonts w:hint="eastAsia" w:ascii="Times New Roman" w:hAnsi="Times New Roman" w:eastAsia="宋体" w:cs="Times New Roman"/>
                <w:color w:val="auto"/>
                <w:sz w:val="24"/>
                <w:highlight w:val="none"/>
              </w:rPr>
              <w:t>图如下：</w:t>
            </w:r>
          </w:p>
          <w:p w14:paraId="6CF39D58">
            <w:pPr>
              <w:pStyle w:val="10"/>
              <w:bidi w:val="0"/>
              <w:rPr>
                <w:rFonts w:hint="default"/>
                <w:color w:val="auto"/>
                <w:highlight w:val="none"/>
              </w:rPr>
            </w:pPr>
            <w:r>
              <w:rPr>
                <w:rFonts w:hint="default"/>
                <w:color w:val="auto"/>
                <w:highlight w:val="none"/>
              </w:rPr>
              <w:drawing>
                <wp:inline distT="0" distB="0" distL="114300" distR="114300">
                  <wp:extent cx="4065270" cy="3630295"/>
                  <wp:effectExtent l="0" t="0" r="11430" b="1905"/>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30"/>
                          <a:stretch>
                            <a:fillRect/>
                          </a:stretch>
                        </pic:blipFill>
                        <pic:spPr>
                          <a:xfrm>
                            <a:off x="0" y="0"/>
                            <a:ext cx="4065270" cy="3630295"/>
                          </a:xfrm>
                          <a:prstGeom prst="rect">
                            <a:avLst/>
                          </a:prstGeom>
                          <a:noFill/>
                          <a:ln>
                            <a:noFill/>
                          </a:ln>
                        </pic:spPr>
                      </pic:pic>
                    </a:graphicData>
                  </a:graphic>
                </wp:inline>
              </w:drawing>
            </w:r>
          </w:p>
          <w:p w14:paraId="44FF3C50">
            <w:pPr>
              <w:pStyle w:val="5"/>
              <w:bidi w:val="0"/>
              <w:rPr>
                <w:rFonts w:hint="default"/>
                <w:color w:val="auto"/>
                <w:highlight w:val="none"/>
              </w:rPr>
            </w:pPr>
            <w:r>
              <w:rPr>
                <w:color w:val="auto"/>
                <w:highlight w:val="none"/>
              </w:rPr>
              <w:t>图</w:t>
            </w:r>
            <w:r>
              <w:rPr>
                <w:rFonts w:hint="eastAsia"/>
                <w:color w:val="auto"/>
                <w:highlight w:val="none"/>
              </w:rPr>
              <w:t>4</w:t>
            </w:r>
            <w:r>
              <w:rPr>
                <w:color w:val="auto"/>
                <w:highlight w:val="none"/>
              </w:rPr>
              <w:t>-</w:t>
            </w:r>
            <w:r>
              <w:rPr>
                <w:rFonts w:hint="eastAsia"/>
                <w:color w:val="auto"/>
                <w:highlight w:val="none"/>
              </w:rPr>
              <w:t>1</w:t>
            </w:r>
            <w:r>
              <w:rPr>
                <w:rFonts w:hint="eastAsia"/>
                <w:color w:val="auto"/>
                <w:highlight w:val="none"/>
                <w:lang w:val="en-US" w:eastAsia="zh-CN"/>
              </w:rPr>
              <w:t xml:space="preserve"> </w:t>
            </w:r>
            <w:r>
              <w:rPr>
                <w:rFonts w:hint="eastAsia"/>
                <w:color w:val="auto"/>
                <w:highlight w:val="none"/>
              </w:rPr>
              <w:t>布袋除尘器工作原理</w:t>
            </w:r>
            <w:r>
              <w:rPr>
                <w:color w:val="auto"/>
                <w:highlight w:val="none"/>
              </w:rPr>
              <w:t>图</w:t>
            </w:r>
          </w:p>
          <w:p w14:paraId="36A57B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布袋除尘器的工作机理是含尘烟气通过过滤材料，尘粒被过滤下来，过滤材料捕集粗粒粉尘主要靠惯性碰撞作用，捕集细粒粉尘主要靠扩散和筛分作用。滤料的粉尘层也有一定的过滤作用。它适用于捕集细小、干燥、非纤维性粉尘。布袋除尘器是目前处理效率最高的除尘器。</w:t>
            </w:r>
          </w:p>
          <w:p w14:paraId="2EC140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1"/>
                <w:highlight w:val="none"/>
                <w:lang w:val="en-US" w:eastAsia="zh-CN"/>
              </w:rPr>
            </w:pPr>
            <w:r>
              <w:rPr>
                <w:rFonts w:hint="eastAsia" w:ascii="Times New Roman" w:hAnsi="Times New Roman" w:cs="Times New Roman"/>
                <w:color w:val="auto"/>
                <w:sz w:val="24"/>
                <w:highlight w:val="none"/>
                <w:lang w:val="en-US" w:eastAsia="zh-CN"/>
              </w:rPr>
              <w:t>（2）</w:t>
            </w:r>
            <w:r>
              <w:rPr>
                <w:rFonts w:hint="default" w:ascii="Times New Roman" w:hAnsi="Times New Roman" w:eastAsia="宋体" w:cs="Times New Roman"/>
                <w:color w:val="auto"/>
                <w:sz w:val="24"/>
                <w:highlight w:val="none"/>
                <w:lang w:val="en-US" w:eastAsia="zh-CN"/>
              </w:rPr>
              <w:t>活性炭吸附装置</w:t>
            </w:r>
          </w:p>
          <w:p w14:paraId="396D0E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pacing w:val="-2"/>
                <w:kern w:val="0"/>
                <w:sz w:val="24"/>
                <w:szCs w:val="20"/>
                <w:highlight w:val="none"/>
              </w:rPr>
            </w:pPr>
            <w:r>
              <w:rPr>
                <w:rFonts w:hint="default" w:ascii="Times New Roman" w:hAnsi="Times New Roman" w:eastAsia="宋体" w:cs="Times New Roman"/>
                <w:color w:val="auto"/>
                <w:sz w:val="24"/>
                <w:highlight w:val="none"/>
              </w:rPr>
              <w:t>活性炭是一种非常优良的吸附剂，它是利用木炭、各种果壳和优质煤等作为原料，通过物理和化学方法对原料进行破碎、过筛、催化剂活化、漂洗、烘干和筛选等一系列工序加工制造而成。活性炭具有物理吸附和化学吸附的双重特性，可以有选择</w:t>
            </w:r>
            <w:r>
              <w:rPr>
                <w:rFonts w:hint="eastAsia" w:cs="Times New Roman"/>
                <w:color w:val="auto"/>
                <w:sz w:val="24"/>
                <w:highlight w:val="none"/>
                <w:lang w:eastAsia="zh-CN"/>
              </w:rPr>
              <w:t>地</w:t>
            </w:r>
            <w:r>
              <w:rPr>
                <w:rFonts w:hint="default" w:ascii="Times New Roman" w:hAnsi="Times New Roman" w:eastAsia="宋体" w:cs="Times New Roman"/>
                <w:color w:val="auto"/>
                <w:sz w:val="24"/>
                <w:highlight w:val="none"/>
              </w:rPr>
              <w:t>吸附气相、液相中的各种物质，以达到脱色精制、消毒除臭和去污提纯等目的。</w:t>
            </w:r>
            <w:r>
              <w:rPr>
                <w:rFonts w:hint="default" w:ascii="Times New Roman" w:hAnsi="Times New Roman" w:eastAsia="宋体" w:cs="Times New Roman"/>
                <w:color w:val="auto"/>
                <w:sz w:val="24"/>
                <w:highlight w:val="none"/>
                <w:lang w:val="en-US" w:eastAsia="zh-CN"/>
              </w:rPr>
              <w:t>本项目活性炭</w:t>
            </w:r>
            <w:r>
              <w:rPr>
                <w:rFonts w:hint="default" w:ascii="Times New Roman" w:hAnsi="Times New Roman" w:eastAsia="宋体" w:cs="Times New Roman"/>
                <w:color w:val="auto"/>
                <w:spacing w:val="-2"/>
                <w:kern w:val="0"/>
                <w:sz w:val="24"/>
                <w:szCs w:val="20"/>
                <w:highlight w:val="none"/>
                <w:lang w:val="en-US" w:eastAsia="zh-CN"/>
              </w:rPr>
              <w:t>吸附</w:t>
            </w:r>
            <w:r>
              <w:rPr>
                <w:rFonts w:hint="default" w:ascii="Times New Roman" w:hAnsi="Times New Roman" w:eastAsia="宋体" w:cs="Times New Roman"/>
                <w:color w:val="auto"/>
                <w:spacing w:val="-2"/>
                <w:kern w:val="0"/>
                <w:sz w:val="24"/>
                <w:szCs w:val="20"/>
                <w:highlight w:val="none"/>
              </w:rPr>
              <w:t>装置说明：活性炭吸附法是吸附剂所具有的较大的比表面对废气中所含的VOC发生吸附，吸附原理如下：</w:t>
            </w:r>
          </w:p>
          <w:p w14:paraId="27F1A1BA">
            <w:pPr>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default" w:ascii="Times New Roman" w:hAnsi="Times New Roman" w:eastAsia="宋体" w:cs="Times New Roman"/>
                <w:color w:val="auto"/>
                <w:spacing w:val="-2"/>
                <w:kern w:val="0"/>
                <w:sz w:val="24"/>
                <w:szCs w:val="20"/>
                <w:highlight w:val="none"/>
              </w:rPr>
            </w:pPr>
            <w:r>
              <w:rPr>
                <w:rFonts w:hint="default" w:ascii="Times New Roman" w:hAnsi="Times New Roman" w:eastAsia="宋体" w:cs="Times New Roman"/>
                <w:color w:val="auto"/>
                <w:spacing w:val="-2"/>
                <w:kern w:val="0"/>
                <w:sz w:val="24"/>
                <w:szCs w:val="20"/>
                <w:highlight w:val="none"/>
                <w:lang w:val="en-US" w:eastAsia="zh-CN"/>
              </w:rPr>
              <w:t>①</w:t>
            </w:r>
            <w:r>
              <w:rPr>
                <w:rFonts w:hint="default" w:ascii="Times New Roman" w:hAnsi="Times New Roman" w:eastAsia="宋体" w:cs="Times New Roman"/>
                <w:color w:val="auto"/>
                <w:spacing w:val="-2"/>
                <w:kern w:val="0"/>
                <w:sz w:val="24"/>
                <w:szCs w:val="20"/>
                <w:highlight w:val="none"/>
              </w:rPr>
              <w:t>依靠自身独特的孔隙结构</w:t>
            </w:r>
          </w:p>
          <w:p w14:paraId="70FDBD27">
            <w:pPr>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default" w:ascii="Times New Roman" w:hAnsi="Times New Roman" w:eastAsia="宋体" w:cs="Times New Roman"/>
                <w:color w:val="auto"/>
                <w:spacing w:val="-2"/>
                <w:kern w:val="0"/>
                <w:sz w:val="24"/>
                <w:szCs w:val="20"/>
                <w:highlight w:val="none"/>
              </w:rPr>
            </w:pPr>
            <w:r>
              <w:rPr>
                <w:rFonts w:hint="default" w:ascii="Times New Roman" w:hAnsi="Times New Roman" w:eastAsia="宋体" w:cs="Times New Roman"/>
                <w:color w:val="auto"/>
                <w:spacing w:val="-2"/>
                <w:kern w:val="0"/>
                <w:sz w:val="24"/>
                <w:szCs w:val="20"/>
                <w:highlight w:val="none"/>
              </w:rPr>
              <w:t>活性炭是一种主要由含碳材料制成的外观呈黑色，内部孔隙结构发达、比表面积大、吸附能力强的一类微晶质碳素材料。活性炭材料中有大量肉眼看不见的微孔，1克活性炭材料中微孔，将其展开后表面积可高达800~1500平方米，特殊用途的更高。也就是说，在一个米粒大小的活性炭颗粒中，微孔的内表面积可能相当于一个客厅面积的大小。正是这些高度发达，如人体毛细血管般的孔隙结构，使活性炭拥有了优良的吸附性能。</w:t>
            </w:r>
          </w:p>
          <w:p w14:paraId="25674D78">
            <w:pPr>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default" w:ascii="Times New Roman" w:hAnsi="Times New Roman" w:eastAsia="宋体" w:cs="Times New Roman"/>
                <w:color w:val="auto"/>
                <w:spacing w:val="-2"/>
                <w:kern w:val="0"/>
                <w:sz w:val="24"/>
                <w:szCs w:val="20"/>
                <w:highlight w:val="none"/>
              </w:rPr>
            </w:pPr>
            <w:r>
              <w:rPr>
                <w:rFonts w:hint="default" w:ascii="Times New Roman" w:hAnsi="Times New Roman" w:eastAsia="宋体" w:cs="Times New Roman"/>
                <w:color w:val="auto"/>
                <w:spacing w:val="-2"/>
                <w:kern w:val="0"/>
                <w:sz w:val="24"/>
                <w:szCs w:val="20"/>
                <w:highlight w:val="none"/>
                <w:lang w:val="en-US" w:eastAsia="zh-CN"/>
              </w:rPr>
              <w:t>②</w:t>
            </w:r>
            <w:r>
              <w:rPr>
                <w:rFonts w:hint="default" w:ascii="Times New Roman" w:hAnsi="Times New Roman" w:eastAsia="宋体" w:cs="Times New Roman"/>
                <w:color w:val="auto"/>
                <w:spacing w:val="-2"/>
                <w:kern w:val="0"/>
                <w:sz w:val="24"/>
                <w:szCs w:val="20"/>
                <w:highlight w:val="none"/>
              </w:rPr>
              <w:t>分子之间相互吸附的作用力</w:t>
            </w:r>
          </w:p>
          <w:p w14:paraId="37E3419A">
            <w:pPr>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default" w:ascii="Times New Roman" w:hAnsi="Times New Roman" w:eastAsia="宋体" w:cs="Times New Roman"/>
                <w:color w:val="auto"/>
                <w:spacing w:val="-2"/>
                <w:kern w:val="0"/>
                <w:sz w:val="24"/>
                <w:szCs w:val="20"/>
                <w:highlight w:val="none"/>
              </w:rPr>
            </w:pPr>
            <w:r>
              <w:rPr>
                <w:rFonts w:hint="default" w:ascii="Times New Roman" w:hAnsi="Times New Roman" w:eastAsia="宋体" w:cs="Times New Roman"/>
                <w:color w:val="auto"/>
                <w:spacing w:val="-2"/>
                <w:kern w:val="0"/>
                <w:sz w:val="24"/>
                <w:szCs w:val="20"/>
                <w:highlight w:val="none"/>
              </w:rPr>
              <w:t>也叫</w:t>
            </w:r>
            <w:r>
              <w:rPr>
                <w:rFonts w:hint="eastAsia" w:eastAsia="宋体" w:cs="Times New Roman"/>
                <w:color w:val="auto"/>
                <w:spacing w:val="-2"/>
                <w:kern w:val="0"/>
                <w:sz w:val="24"/>
                <w:szCs w:val="20"/>
                <w:highlight w:val="none"/>
                <w:lang w:eastAsia="zh-CN"/>
              </w:rPr>
              <w:t>“</w:t>
            </w:r>
            <w:r>
              <w:rPr>
                <w:rFonts w:hint="default" w:ascii="Times New Roman" w:hAnsi="Times New Roman" w:eastAsia="宋体" w:cs="Times New Roman"/>
                <w:color w:val="auto"/>
                <w:spacing w:val="-2"/>
                <w:kern w:val="0"/>
                <w:sz w:val="24"/>
                <w:szCs w:val="20"/>
                <w:highlight w:val="none"/>
              </w:rPr>
              <w:t>凡德瓦引力</w:t>
            </w:r>
            <w:r>
              <w:rPr>
                <w:rFonts w:hint="eastAsia" w:eastAsia="宋体" w:cs="Times New Roman"/>
                <w:color w:val="auto"/>
                <w:spacing w:val="-2"/>
                <w:kern w:val="0"/>
                <w:sz w:val="24"/>
                <w:szCs w:val="20"/>
                <w:highlight w:val="none"/>
                <w:lang w:eastAsia="zh-CN"/>
              </w:rPr>
              <w:t>”</w:t>
            </w:r>
            <w:r>
              <w:rPr>
                <w:rFonts w:hint="default" w:ascii="Times New Roman" w:hAnsi="Times New Roman" w:eastAsia="宋体" w:cs="Times New Roman"/>
                <w:color w:val="auto"/>
                <w:spacing w:val="-2"/>
                <w:kern w:val="0"/>
                <w:sz w:val="24"/>
                <w:szCs w:val="20"/>
                <w:highlight w:val="none"/>
              </w:rPr>
              <w:t>。虽然分子运动速度受温度和材质等原因的影响，但它在微环境下始终是不停运动的。由于分子之间拥有相互吸引的作用力，当一个分子被活性炭内孔捕捉</w:t>
            </w:r>
            <w:r>
              <w:rPr>
                <w:rFonts w:hint="eastAsia" w:cs="Times New Roman"/>
                <w:color w:val="auto"/>
                <w:spacing w:val="-2"/>
                <w:kern w:val="0"/>
                <w:sz w:val="24"/>
                <w:szCs w:val="20"/>
                <w:highlight w:val="none"/>
                <w:lang w:eastAsia="zh-CN"/>
              </w:rPr>
              <w:t>进入</w:t>
            </w:r>
            <w:r>
              <w:rPr>
                <w:rFonts w:hint="default" w:ascii="Times New Roman" w:hAnsi="Times New Roman" w:eastAsia="宋体" w:cs="Times New Roman"/>
                <w:color w:val="auto"/>
                <w:spacing w:val="-2"/>
                <w:kern w:val="0"/>
                <w:sz w:val="24"/>
                <w:szCs w:val="20"/>
                <w:highlight w:val="none"/>
              </w:rPr>
              <w:t>活性炭内孔隙中后，由于分子之间相互吸引的原因，会导致更多的分子不断被吸引，直到</w:t>
            </w:r>
            <w:r>
              <w:rPr>
                <w:rFonts w:hint="eastAsia" w:cs="Times New Roman"/>
                <w:color w:val="auto"/>
                <w:spacing w:val="-2"/>
                <w:kern w:val="0"/>
                <w:sz w:val="24"/>
                <w:szCs w:val="20"/>
                <w:highlight w:val="none"/>
                <w:lang w:eastAsia="zh-CN"/>
              </w:rPr>
              <w:t>填满</w:t>
            </w:r>
            <w:r>
              <w:rPr>
                <w:rFonts w:hint="default" w:ascii="Times New Roman" w:hAnsi="Times New Roman" w:eastAsia="宋体" w:cs="Times New Roman"/>
                <w:color w:val="auto"/>
                <w:spacing w:val="-2"/>
                <w:kern w:val="0"/>
                <w:sz w:val="24"/>
                <w:szCs w:val="20"/>
                <w:highlight w:val="none"/>
              </w:rPr>
              <w:t>活性炭内孔隙为止。</w:t>
            </w:r>
          </w:p>
          <w:p w14:paraId="6758BC4A">
            <w:pPr>
              <w:spacing w:line="360" w:lineRule="auto"/>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来自废气源的废气经由</w:t>
            </w:r>
            <w:r>
              <w:rPr>
                <w:rFonts w:hint="default" w:ascii="Times New Roman" w:hAnsi="Times New Roman" w:cs="Times New Roman"/>
                <w:color w:val="auto"/>
                <w:sz w:val="24"/>
                <w:highlight w:val="none"/>
                <w:lang w:val="en-US" w:eastAsia="zh-CN"/>
              </w:rPr>
              <w:t>集气罩</w:t>
            </w:r>
            <w:r>
              <w:rPr>
                <w:rFonts w:hint="default" w:ascii="Times New Roman" w:hAnsi="Times New Roman" w:cs="Times New Roman"/>
                <w:color w:val="auto"/>
                <w:sz w:val="24"/>
                <w:highlight w:val="none"/>
              </w:rPr>
              <w:t>经通风管道集中收集后，通过离心风机的抽送，被直接导入活性炭吸附装置，机械抽风，自然补风，收集点无需另设置送风机。采用蜂窝活性炭吸附时，横向强度不应低于0.3MPa，纵向强度应不低于0.8MPa，BET比表面积应不低于750m</w:t>
            </w:r>
            <w:r>
              <w:rPr>
                <w:rFonts w:hint="default" w:ascii="Times New Roman" w:hAnsi="Times New Roman" w:cs="Times New Roman"/>
                <w:color w:val="auto"/>
                <w:sz w:val="24"/>
                <w:highlight w:val="none"/>
                <w:vertAlign w:val="superscript"/>
              </w:rPr>
              <w:t>2</w:t>
            </w:r>
            <w:r>
              <w:rPr>
                <w:rFonts w:hint="default" w:ascii="Times New Roman" w:hAnsi="Times New Roman" w:cs="Times New Roman"/>
                <w:color w:val="auto"/>
                <w:sz w:val="24"/>
                <w:highlight w:val="none"/>
              </w:rPr>
              <w:t>/g，吸附单元的压力损失宜低于2.5kPa，气体流速</w:t>
            </w:r>
          </w:p>
          <w:p w14:paraId="577FD682">
            <w:pPr>
              <w:spacing w:line="240" w:lineRule="auto"/>
              <w:ind w:left="0" w:leftChars="0" w:firstLine="0" w:firstLineChars="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小于1.2m/s，二级净化效率</w:t>
            </w:r>
            <w:r>
              <w:rPr>
                <w:rFonts w:hint="default" w:ascii="Times New Roman" w:hAnsi="Times New Roman" w:cs="Times New Roman"/>
                <w:color w:val="auto"/>
                <w:sz w:val="24"/>
                <w:highlight w:val="none"/>
                <w:lang w:val="en-US" w:eastAsia="zh-CN"/>
              </w:rPr>
              <w:t>不低于</w:t>
            </w:r>
            <w:r>
              <w:rPr>
                <w:rFonts w:hint="default" w:ascii="Times New Roman" w:hAnsi="Times New Roman" w:cs="Times New Roman"/>
                <w:color w:val="auto"/>
                <w:sz w:val="24"/>
                <w:highlight w:val="none"/>
              </w:rPr>
              <w:t>9</w:t>
            </w:r>
            <w:r>
              <w:rPr>
                <w:rFonts w:hint="default" w:ascii="Times New Roman" w:hAnsi="Times New Roman" w:cs="Times New Roman"/>
                <w:color w:val="auto"/>
                <w:sz w:val="24"/>
                <w:highlight w:val="none"/>
                <w:lang w:val="en-US" w:eastAsia="zh-CN"/>
              </w:rPr>
              <w:t>0</w:t>
            </w:r>
            <w:r>
              <w:rPr>
                <w:rFonts w:hint="default" w:ascii="Times New Roman" w:hAnsi="Times New Roman" w:cs="Times New Roman"/>
                <w:color w:val="auto"/>
                <w:sz w:val="24"/>
                <w:highlight w:val="none"/>
              </w:rPr>
              <w:t>%</w:t>
            </w:r>
            <w:r>
              <w:rPr>
                <w:rFonts w:hint="default"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rPr>
              <w:t>活性炭吸附系统工作原理图如下：</w:t>
            </w:r>
          </w:p>
          <w:p w14:paraId="30509BA7">
            <w:pPr>
              <w:pStyle w:val="10"/>
              <w:bidi w:val="0"/>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fldChar w:fldCharType="begin"/>
            </w:r>
            <w:r>
              <w:rPr>
                <w:rFonts w:hint="default" w:ascii="Times New Roman" w:hAnsi="Times New Roman" w:cs="Times New Roman"/>
                <w:color w:val="auto"/>
                <w:sz w:val="21"/>
                <w:highlight w:val="none"/>
              </w:rPr>
              <w:instrText xml:space="preserve"> INCLUDEPICTURE "C:\\Users\\ADMINI~1\\AppData\\Local\\Temp\\ksohtml\\wps4AEE.tmp.png" \* MERGEFORMATINET </w:instrText>
            </w:r>
            <w:r>
              <w:rPr>
                <w:rFonts w:hint="default" w:ascii="Times New Roman" w:hAnsi="Times New Roman" w:cs="Times New Roman"/>
                <w:color w:val="auto"/>
                <w:sz w:val="21"/>
                <w:highlight w:val="none"/>
              </w:rPr>
              <w:fldChar w:fldCharType="separate"/>
            </w:r>
            <w:r>
              <w:rPr>
                <w:rFonts w:hint="default" w:ascii="Times New Roman" w:hAnsi="Times New Roman" w:cs="Times New Roman"/>
                <w:color w:val="auto"/>
                <w:sz w:val="21"/>
                <w:highlight w:val="none"/>
              </w:rPr>
              <w:drawing>
                <wp:inline distT="0" distB="0" distL="114300" distR="114300">
                  <wp:extent cx="4211955" cy="1663065"/>
                  <wp:effectExtent l="0" t="0" r="4445" b="635"/>
                  <wp:docPr id="7" name="图片 3" descr="wps4A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wps4AEE"/>
                          <pic:cNvPicPr>
                            <a:picLocks noChangeAspect="1"/>
                          </pic:cNvPicPr>
                        </pic:nvPicPr>
                        <pic:blipFill>
                          <a:blip r:embed="rId31"/>
                          <a:srcRect r="1703" b="2446"/>
                          <a:stretch>
                            <a:fillRect/>
                          </a:stretch>
                        </pic:blipFill>
                        <pic:spPr>
                          <a:xfrm>
                            <a:off x="0" y="0"/>
                            <a:ext cx="4211955" cy="1663065"/>
                          </a:xfrm>
                          <a:prstGeom prst="rect">
                            <a:avLst/>
                          </a:prstGeom>
                          <a:noFill/>
                          <a:ln>
                            <a:noFill/>
                          </a:ln>
                        </pic:spPr>
                      </pic:pic>
                    </a:graphicData>
                  </a:graphic>
                </wp:inline>
              </w:drawing>
            </w:r>
            <w:r>
              <w:rPr>
                <w:rFonts w:hint="default" w:ascii="Times New Roman" w:hAnsi="Times New Roman" w:cs="Times New Roman"/>
                <w:color w:val="auto"/>
                <w:sz w:val="21"/>
                <w:highlight w:val="none"/>
              </w:rPr>
              <w:fldChar w:fldCharType="end"/>
            </w:r>
          </w:p>
          <w:p w14:paraId="233DE9FA">
            <w:pPr>
              <w:pStyle w:val="5"/>
              <w:tabs>
                <w:tab w:val="left" w:pos="1284"/>
              </w:tabs>
              <w:bidi w:val="0"/>
              <w:rPr>
                <w:rFonts w:hint="default"/>
                <w:color w:val="auto"/>
                <w:highlight w:val="none"/>
                <w:lang w:val="en-US" w:eastAsia="zh-CN"/>
              </w:rPr>
            </w:pPr>
            <w:r>
              <w:rPr>
                <w:rFonts w:hint="default"/>
                <w:color w:val="auto"/>
                <w:highlight w:val="none"/>
                <w:lang w:val="en-US" w:eastAsia="zh-CN"/>
              </w:rPr>
              <w:t>图</w:t>
            </w:r>
            <w:r>
              <w:rPr>
                <w:rFonts w:hint="eastAsia"/>
                <w:color w:val="auto"/>
                <w:highlight w:val="none"/>
                <w:lang w:val="en-US" w:eastAsia="zh-CN"/>
              </w:rPr>
              <w:t xml:space="preserve"> 4</w:t>
            </w:r>
            <w:r>
              <w:rPr>
                <w:rFonts w:hint="default"/>
                <w:color w:val="auto"/>
                <w:highlight w:val="none"/>
                <w:lang w:val="en-US" w:eastAsia="zh-CN"/>
              </w:rPr>
              <w:t>-2  活性炭吸附工作原理图</w:t>
            </w:r>
          </w:p>
          <w:p w14:paraId="0B5AFD6A">
            <w:pPr>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eastAsia"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val="en-US" w:eastAsia="zh-CN"/>
              </w:rPr>
              <w:t>3</w:t>
            </w:r>
            <w:r>
              <w:rPr>
                <w:rFonts w:hint="eastAsia"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val="en-US" w:eastAsia="zh-CN"/>
              </w:rPr>
              <w:t>废气治理措施可行性分析</w:t>
            </w:r>
          </w:p>
          <w:p w14:paraId="00BDB71F">
            <w:pPr>
              <w:spacing w:line="360" w:lineRule="auto"/>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根据本行业已发布的排污许可技术规范《排污许可证申请与核发技术规范 橡胶和塑料制品工业》（HJ1122-2020），本项目废气产生情况及与可行技术对照情况如下表所示。</w:t>
            </w:r>
          </w:p>
          <w:p w14:paraId="5665F7F3">
            <w:pPr>
              <w:pStyle w:val="10"/>
              <w:spacing w:before="0" w:after="0" w:line="240" w:lineRule="auto"/>
              <w:ind w:right="0"/>
              <w:jc w:val="center"/>
              <w:rPr>
                <w:rFonts w:hint="default" w:ascii="Times New Roman" w:hAnsi="Times New Roman"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表4-6  项目废气产生及行业可行技术对照一览表</w:t>
            </w:r>
          </w:p>
          <w:tbl>
            <w:tblPr>
              <w:tblStyle w:val="27"/>
              <w:tblW w:w="8623"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970"/>
              <w:gridCol w:w="1449"/>
              <w:gridCol w:w="880"/>
              <w:gridCol w:w="940"/>
              <w:gridCol w:w="1913"/>
              <w:gridCol w:w="991"/>
            </w:tblGrid>
            <w:tr w14:paraId="4B00980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480" w:type="dxa"/>
                  <w:noWrap w:val="0"/>
                  <w:vAlign w:val="center"/>
                </w:tcPr>
                <w:p w14:paraId="58D594F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废气类别</w:t>
                  </w:r>
                </w:p>
              </w:tc>
              <w:tc>
                <w:tcPr>
                  <w:tcW w:w="970" w:type="dxa"/>
                  <w:noWrap w:val="0"/>
                  <w:vAlign w:val="center"/>
                </w:tcPr>
                <w:p w14:paraId="32A72EB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污染</w:t>
                  </w:r>
                </w:p>
                <w:p w14:paraId="7B879DB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因子</w:t>
                  </w:r>
                </w:p>
              </w:tc>
              <w:tc>
                <w:tcPr>
                  <w:tcW w:w="1449" w:type="dxa"/>
                  <w:noWrap w:val="0"/>
                  <w:vAlign w:val="center"/>
                </w:tcPr>
                <w:p w14:paraId="48E4A86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本项目拟采取的废气治理设施</w:t>
                  </w:r>
                </w:p>
              </w:tc>
              <w:tc>
                <w:tcPr>
                  <w:tcW w:w="880" w:type="dxa"/>
                  <w:noWrap w:val="0"/>
                  <w:vAlign w:val="center"/>
                </w:tcPr>
                <w:p w14:paraId="6AA809D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收集效率%</w:t>
                  </w:r>
                </w:p>
              </w:tc>
              <w:tc>
                <w:tcPr>
                  <w:tcW w:w="940" w:type="dxa"/>
                  <w:noWrap w:val="0"/>
                  <w:vAlign w:val="center"/>
                </w:tcPr>
                <w:p w14:paraId="3A23F80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处理效率%</w:t>
                  </w:r>
                </w:p>
              </w:tc>
              <w:tc>
                <w:tcPr>
                  <w:tcW w:w="1913" w:type="dxa"/>
                  <w:noWrap w:val="0"/>
                  <w:vAlign w:val="center"/>
                </w:tcPr>
                <w:p w14:paraId="704C5E1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HJ</w:t>
                  </w:r>
                  <w:r>
                    <w:rPr>
                      <w:rFonts w:hint="default" w:ascii="Times New Roman" w:hAnsi="Times New Roman" w:cs="Times New Roman"/>
                      <w:b/>
                      <w:bCs/>
                      <w:color w:val="auto"/>
                      <w:sz w:val="21"/>
                      <w:szCs w:val="21"/>
                      <w:highlight w:val="none"/>
                      <w:lang w:val="en-US" w:eastAsia="zh-CN"/>
                    </w:rPr>
                    <w:t>1122-</w:t>
                  </w:r>
                  <w:r>
                    <w:rPr>
                      <w:rFonts w:hint="default" w:ascii="Times New Roman" w:hAnsi="Times New Roman" w:cs="Times New Roman"/>
                      <w:b/>
                      <w:bCs/>
                      <w:color w:val="auto"/>
                      <w:sz w:val="21"/>
                      <w:szCs w:val="21"/>
                      <w:highlight w:val="none"/>
                    </w:rPr>
                    <w:t>20</w:t>
                  </w:r>
                  <w:r>
                    <w:rPr>
                      <w:rFonts w:hint="default" w:ascii="Times New Roman" w:hAnsi="Times New Roman" w:cs="Times New Roman"/>
                      <w:b/>
                      <w:bCs/>
                      <w:color w:val="auto"/>
                      <w:sz w:val="21"/>
                      <w:szCs w:val="21"/>
                      <w:highlight w:val="none"/>
                      <w:lang w:val="en-US" w:eastAsia="zh-CN"/>
                    </w:rPr>
                    <w:t>20</w:t>
                  </w:r>
                  <w:r>
                    <w:rPr>
                      <w:rFonts w:hint="default" w:ascii="Times New Roman" w:hAnsi="Times New Roman" w:cs="Times New Roman"/>
                      <w:b/>
                      <w:bCs/>
                      <w:color w:val="auto"/>
                      <w:sz w:val="21"/>
                      <w:szCs w:val="21"/>
                      <w:highlight w:val="none"/>
                    </w:rPr>
                    <w:t>推荐的可行技术</w:t>
                  </w:r>
                </w:p>
              </w:tc>
              <w:tc>
                <w:tcPr>
                  <w:tcW w:w="991" w:type="dxa"/>
                  <w:noWrap w:val="0"/>
                  <w:vAlign w:val="center"/>
                </w:tcPr>
                <w:p w14:paraId="1F31E806">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是否属于可行技术</w:t>
                  </w:r>
                </w:p>
              </w:tc>
            </w:tr>
            <w:tr w14:paraId="24BADD3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480" w:type="dxa"/>
                  <w:vMerge w:val="restart"/>
                  <w:noWrap w:val="0"/>
                  <w:vAlign w:val="center"/>
                </w:tcPr>
                <w:p w14:paraId="11EB311F">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挤出废气</w:t>
                  </w:r>
                  <w:r>
                    <w:rPr>
                      <w:rFonts w:hint="eastAsia" w:ascii="Times New Roman" w:hAnsi="Times New Roman" w:eastAsia="宋体" w:cs="Times New Roman"/>
                      <w:color w:val="auto"/>
                      <w:sz w:val="21"/>
                      <w:szCs w:val="21"/>
                      <w:highlight w:val="none"/>
                      <w:lang w:val="en-US" w:eastAsia="zh-CN"/>
                    </w:rPr>
                    <w:t>、喷码废气、注塑废气</w:t>
                  </w:r>
                </w:p>
              </w:tc>
              <w:tc>
                <w:tcPr>
                  <w:tcW w:w="970" w:type="dxa"/>
                  <w:noWrap w:val="0"/>
                  <w:vAlign w:val="center"/>
                </w:tcPr>
                <w:p w14:paraId="35606C41">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非甲烷总烃</w:t>
                  </w:r>
                </w:p>
              </w:tc>
              <w:tc>
                <w:tcPr>
                  <w:tcW w:w="1449" w:type="dxa"/>
                  <w:vMerge w:val="restart"/>
                  <w:noWrap w:val="0"/>
                  <w:vAlign w:val="center"/>
                </w:tcPr>
                <w:p w14:paraId="25F2CE3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静电式油雾净化器+</w:t>
                  </w:r>
                  <w:r>
                    <w:rPr>
                      <w:rFonts w:hint="default" w:ascii="Times New Roman" w:hAnsi="Times New Roman" w:cs="Times New Roman"/>
                      <w:color w:val="auto"/>
                      <w:sz w:val="21"/>
                      <w:szCs w:val="21"/>
                      <w:highlight w:val="none"/>
                      <w:lang w:val="en-US" w:eastAsia="zh-CN"/>
                    </w:rPr>
                    <w:t>二级活性炭吸附装置</w:t>
                  </w:r>
                </w:p>
              </w:tc>
              <w:tc>
                <w:tcPr>
                  <w:tcW w:w="880" w:type="dxa"/>
                  <w:vMerge w:val="restart"/>
                  <w:noWrap w:val="0"/>
                  <w:vAlign w:val="center"/>
                </w:tcPr>
                <w:p w14:paraId="427BF84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w:t>
                  </w:r>
                  <w:r>
                    <w:rPr>
                      <w:rFonts w:hint="eastAsia" w:ascii="Times New Roman" w:hAnsi="Times New Roman" w:eastAsia="宋体" w:cs="Times New Roman"/>
                      <w:color w:val="auto"/>
                      <w:sz w:val="21"/>
                      <w:szCs w:val="21"/>
                      <w:highlight w:val="none"/>
                      <w:lang w:val="en-US" w:eastAsia="zh-CN"/>
                    </w:rPr>
                    <w:t>5</w:t>
                  </w:r>
                </w:p>
              </w:tc>
              <w:tc>
                <w:tcPr>
                  <w:tcW w:w="940" w:type="dxa"/>
                  <w:vMerge w:val="restart"/>
                  <w:noWrap w:val="0"/>
                  <w:vAlign w:val="center"/>
                </w:tcPr>
                <w:p w14:paraId="25B8173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90</w:t>
                  </w:r>
                </w:p>
              </w:tc>
              <w:tc>
                <w:tcPr>
                  <w:tcW w:w="1913" w:type="dxa"/>
                  <w:vMerge w:val="restart"/>
                  <w:noWrap w:val="0"/>
                  <w:vAlign w:val="center"/>
                </w:tcPr>
                <w:p w14:paraId="279BE646">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除尘、喷淋、吸附、热力燃烧、催化燃烧、低温等离子体、UV光氧化/光催化、生物法、以上组合技术</w:t>
                  </w:r>
                </w:p>
                <w:p w14:paraId="69C9AF20">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袋式除尘；滤筒/滤芯除尘</w:t>
                  </w:r>
                </w:p>
              </w:tc>
              <w:tc>
                <w:tcPr>
                  <w:tcW w:w="991" w:type="dxa"/>
                  <w:vMerge w:val="restart"/>
                  <w:noWrap w:val="0"/>
                  <w:vAlign w:val="center"/>
                </w:tcPr>
                <w:p w14:paraId="640485B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是</w:t>
                  </w:r>
                </w:p>
              </w:tc>
            </w:tr>
            <w:tr w14:paraId="3522A17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480" w:type="dxa"/>
                  <w:vMerge w:val="continue"/>
                  <w:noWrap w:val="0"/>
                  <w:vAlign w:val="center"/>
                </w:tcPr>
                <w:p w14:paraId="7BC27535">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pPr>
                </w:p>
              </w:tc>
              <w:tc>
                <w:tcPr>
                  <w:tcW w:w="970" w:type="dxa"/>
                  <w:noWrap w:val="0"/>
                  <w:vAlign w:val="center"/>
                </w:tcPr>
                <w:p w14:paraId="246B5E72">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颗粒物</w:t>
                  </w:r>
                </w:p>
              </w:tc>
              <w:tc>
                <w:tcPr>
                  <w:tcW w:w="1449" w:type="dxa"/>
                  <w:vMerge w:val="continue"/>
                  <w:noWrap w:val="0"/>
                  <w:vAlign w:val="center"/>
                </w:tcPr>
                <w:p w14:paraId="04DF6CA8">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p>
              </w:tc>
              <w:tc>
                <w:tcPr>
                  <w:tcW w:w="880" w:type="dxa"/>
                  <w:vMerge w:val="continue"/>
                  <w:noWrap w:val="0"/>
                  <w:vAlign w:val="center"/>
                </w:tcPr>
                <w:p w14:paraId="6B0A7897">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p>
              </w:tc>
              <w:tc>
                <w:tcPr>
                  <w:tcW w:w="940" w:type="dxa"/>
                  <w:vMerge w:val="continue"/>
                  <w:noWrap w:val="0"/>
                  <w:vAlign w:val="center"/>
                </w:tcPr>
                <w:p w14:paraId="1F289599">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p>
              </w:tc>
              <w:tc>
                <w:tcPr>
                  <w:tcW w:w="1913" w:type="dxa"/>
                  <w:vMerge w:val="continue"/>
                  <w:noWrap w:val="0"/>
                  <w:vAlign w:val="center"/>
                </w:tcPr>
                <w:p w14:paraId="64CB318C">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p>
              </w:tc>
              <w:tc>
                <w:tcPr>
                  <w:tcW w:w="991" w:type="dxa"/>
                  <w:vMerge w:val="continue"/>
                  <w:noWrap w:val="0"/>
                  <w:vAlign w:val="center"/>
                </w:tcPr>
                <w:p w14:paraId="6F350D7B">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p>
              </w:tc>
            </w:tr>
            <w:tr w14:paraId="05D8F79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1480" w:type="dxa"/>
                  <w:vMerge w:val="restart"/>
                  <w:noWrap w:val="0"/>
                  <w:vAlign w:val="center"/>
                </w:tcPr>
                <w:p w14:paraId="1F916F8D">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熔融造粒废气</w:t>
                  </w:r>
                </w:p>
              </w:tc>
              <w:tc>
                <w:tcPr>
                  <w:tcW w:w="970" w:type="dxa"/>
                  <w:noWrap w:val="0"/>
                  <w:vAlign w:val="center"/>
                </w:tcPr>
                <w:p w14:paraId="24138480">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非甲烷总烃</w:t>
                  </w:r>
                </w:p>
              </w:tc>
              <w:tc>
                <w:tcPr>
                  <w:tcW w:w="1449" w:type="dxa"/>
                  <w:noWrap w:val="0"/>
                  <w:vAlign w:val="center"/>
                </w:tcPr>
                <w:p w14:paraId="0C4155F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静电式油雾净化器</w:t>
                  </w:r>
                  <w:r>
                    <w:rPr>
                      <w:rFonts w:hint="eastAsia" w:ascii="Times New Roman" w:hAnsi="Times New Roman" w:cs="Times New Roman"/>
                      <w:color w:val="auto"/>
                      <w:sz w:val="21"/>
                      <w:szCs w:val="21"/>
                      <w:highlight w:val="none"/>
                      <w:lang w:val="en-US" w:eastAsia="zh-CN"/>
                    </w:rPr>
                    <w:t>+二级活性炭吸附装置</w:t>
                  </w:r>
                </w:p>
              </w:tc>
              <w:tc>
                <w:tcPr>
                  <w:tcW w:w="880" w:type="dxa"/>
                  <w:noWrap w:val="0"/>
                  <w:vAlign w:val="center"/>
                </w:tcPr>
                <w:p w14:paraId="00C4322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100</w:t>
                  </w:r>
                </w:p>
              </w:tc>
              <w:tc>
                <w:tcPr>
                  <w:tcW w:w="940" w:type="dxa"/>
                  <w:noWrap w:val="0"/>
                  <w:vAlign w:val="center"/>
                </w:tcPr>
                <w:p w14:paraId="4646AFA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90</w:t>
                  </w:r>
                </w:p>
              </w:tc>
              <w:tc>
                <w:tcPr>
                  <w:tcW w:w="1913" w:type="dxa"/>
                  <w:vMerge w:val="continue"/>
                  <w:noWrap w:val="0"/>
                  <w:vAlign w:val="center"/>
                </w:tcPr>
                <w:p w14:paraId="2579ABE5">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highlight w:val="none"/>
                    </w:rPr>
                  </w:pPr>
                </w:p>
              </w:tc>
              <w:tc>
                <w:tcPr>
                  <w:tcW w:w="991" w:type="dxa"/>
                  <w:noWrap w:val="0"/>
                  <w:vAlign w:val="center"/>
                </w:tcPr>
                <w:p w14:paraId="7F5BE986">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是</w:t>
                  </w:r>
                </w:p>
              </w:tc>
            </w:tr>
            <w:tr w14:paraId="0D83AC8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1480" w:type="dxa"/>
                  <w:vMerge w:val="continue"/>
                  <w:noWrap w:val="0"/>
                  <w:vAlign w:val="center"/>
                </w:tcPr>
                <w:p w14:paraId="73F2CF36">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highlight w:val="none"/>
                      <w:lang w:val="en-US" w:eastAsia="zh-CN"/>
                    </w:rPr>
                  </w:pPr>
                </w:p>
              </w:tc>
              <w:tc>
                <w:tcPr>
                  <w:tcW w:w="970" w:type="dxa"/>
                  <w:noWrap w:val="0"/>
                  <w:vAlign w:val="center"/>
                </w:tcPr>
                <w:p w14:paraId="3A3EB04E">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颗粒物</w:t>
                  </w:r>
                </w:p>
              </w:tc>
              <w:tc>
                <w:tcPr>
                  <w:tcW w:w="1449" w:type="dxa"/>
                  <w:noWrap w:val="0"/>
                  <w:vAlign w:val="center"/>
                </w:tcPr>
                <w:p w14:paraId="5EBF0F0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袋式除尘器</w:t>
                  </w:r>
                </w:p>
              </w:tc>
              <w:tc>
                <w:tcPr>
                  <w:tcW w:w="880" w:type="dxa"/>
                  <w:noWrap w:val="0"/>
                  <w:vAlign w:val="center"/>
                </w:tcPr>
                <w:p w14:paraId="226FB38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100</w:t>
                  </w:r>
                </w:p>
              </w:tc>
              <w:tc>
                <w:tcPr>
                  <w:tcW w:w="940" w:type="dxa"/>
                  <w:noWrap w:val="0"/>
                  <w:vAlign w:val="center"/>
                </w:tcPr>
                <w:p w14:paraId="5BC04EA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99</w:t>
                  </w:r>
                </w:p>
              </w:tc>
              <w:tc>
                <w:tcPr>
                  <w:tcW w:w="1913" w:type="dxa"/>
                  <w:vMerge w:val="continue"/>
                  <w:noWrap w:val="0"/>
                  <w:vAlign w:val="center"/>
                </w:tcPr>
                <w:p w14:paraId="0619E1FD">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highlight w:val="none"/>
                    </w:rPr>
                  </w:pPr>
                </w:p>
              </w:tc>
              <w:tc>
                <w:tcPr>
                  <w:tcW w:w="991" w:type="dxa"/>
                  <w:noWrap w:val="0"/>
                  <w:vAlign w:val="center"/>
                </w:tcPr>
                <w:p w14:paraId="3C31AC3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是</w:t>
                  </w:r>
                </w:p>
              </w:tc>
            </w:tr>
            <w:tr w14:paraId="2B1914F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480" w:type="dxa"/>
                  <w:noWrap w:val="0"/>
                  <w:vAlign w:val="center"/>
                </w:tcPr>
                <w:p w14:paraId="1A92E33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投料粉尘</w:t>
                  </w:r>
                </w:p>
              </w:tc>
              <w:tc>
                <w:tcPr>
                  <w:tcW w:w="970" w:type="dxa"/>
                  <w:vMerge w:val="restart"/>
                  <w:noWrap w:val="0"/>
                  <w:vAlign w:val="center"/>
                </w:tcPr>
                <w:p w14:paraId="17463202">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颗粒物</w:t>
                  </w:r>
                </w:p>
              </w:tc>
              <w:tc>
                <w:tcPr>
                  <w:tcW w:w="1449" w:type="dxa"/>
                  <w:vMerge w:val="restart"/>
                  <w:noWrap w:val="0"/>
                  <w:vAlign w:val="center"/>
                </w:tcPr>
                <w:p w14:paraId="71D848C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布袋除尘器</w:t>
                  </w:r>
                </w:p>
              </w:tc>
              <w:tc>
                <w:tcPr>
                  <w:tcW w:w="880" w:type="dxa"/>
                  <w:noWrap w:val="0"/>
                  <w:vAlign w:val="center"/>
                </w:tcPr>
                <w:p w14:paraId="54B64E8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90</w:t>
                  </w:r>
                </w:p>
              </w:tc>
              <w:tc>
                <w:tcPr>
                  <w:tcW w:w="940" w:type="dxa"/>
                  <w:vMerge w:val="restart"/>
                  <w:noWrap w:val="0"/>
                  <w:vAlign w:val="center"/>
                </w:tcPr>
                <w:p w14:paraId="2DC19F5B">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highlight w:val="none"/>
                      <w:lang w:val="en-US"/>
                    </w:rPr>
                  </w:pPr>
                  <w:r>
                    <w:rPr>
                      <w:rFonts w:hint="default" w:ascii="Times New Roman" w:hAnsi="Times New Roman" w:cs="Times New Roman"/>
                      <w:color w:val="auto"/>
                      <w:sz w:val="21"/>
                      <w:szCs w:val="21"/>
                      <w:highlight w:val="none"/>
                    </w:rPr>
                    <w:t>9</w:t>
                  </w:r>
                  <w:r>
                    <w:rPr>
                      <w:rFonts w:hint="default" w:ascii="Times New Roman" w:hAnsi="Times New Roman" w:cs="Times New Roman"/>
                      <w:color w:val="auto"/>
                      <w:sz w:val="21"/>
                      <w:szCs w:val="21"/>
                      <w:highlight w:val="none"/>
                      <w:lang w:val="en-US" w:eastAsia="zh-CN"/>
                    </w:rPr>
                    <w:t>9</w:t>
                  </w:r>
                </w:p>
              </w:tc>
              <w:tc>
                <w:tcPr>
                  <w:tcW w:w="1913" w:type="dxa"/>
                  <w:vMerge w:val="continue"/>
                  <w:noWrap w:val="0"/>
                  <w:vAlign w:val="center"/>
                </w:tcPr>
                <w:p w14:paraId="03C9C549">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highlight w:val="none"/>
                      <w:lang w:val="en-US" w:eastAsia="zh-CN"/>
                    </w:rPr>
                  </w:pPr>
                </w:p>
              </w:tc>
              <w:tc>
                <w:tcPr>
                  <w:tcW w:w="991" w:type="dxa"/>
                  <w:vMerge w:val="restart"/>
                  <w:noWrap w:val="0"/>
                  <w:vAlign w:val="center"/>
                </w:tcPr>
                <w:p w14:paraId="2BDBDEA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是</w:t>
                  </w:r>
                </w:p>
              </w:tc>
            </w:tr>
            <w:tr w14:paraId="34BF98D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480" w:type="dxa"/>
                  <w:noWrap w:val="0"/>
                  <w:vAlign w:val="center"/>
                </w:tcPr>
                <w:p w14:paraId="0F7D96A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旋风分离废气</w:t>
                  </w:r>
                </w:p>
              </w:tc>
              <w:tc>
                <w:tcPr>
                  <w:tcW w:w="970" w:type="dxa"/>
                  <w:vMerge w:val="continue"/>
                  <w:noWrap w:val="0"/>
                  <w:vAlign w:val="center"/>
                </w:tcPr>
                <w:p w14:paraId="739CD3E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highlight w:val="none"/>
                      <w:lang w:val="en-US" w:eastAsia="zh-CN"/>
                    </w:rPr>
                  </w:pPr>
                </w:p>
              </w:tc>
              <w:tc>
                <w:tcPr>
                  <w:tcW w:w="1449" w:type="dxa"/>
                  <w:vMerge w:val="continue"/>
                  <w:noWrap w:val="0"/>
                  <w:vAlign w:val="center"/>
                </w:tcPr>
                <w:p w14:paraId="06BA43C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highlight w:val="none"/>
                      <w:lang w:val="en-US" w:eastAsia="zh-CN"/>
                    </w:rPr>
                  </w:pPr>
                </w:p>
              </w:tc>
              <w:tc>
                <w:tcPr>
                  <w:tcW w:w="880" w:type="dxa"/>
                  <w:noWrap w:val="0"/>
                  <w:vAlign w:val="center"/>
                </w:tcPr>
                <w:p w14:paraId="2882BD6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100</w:t>
                  </w:r>
                </w:p>
              </w:tc>
              <w:tc>
                <w:tcPr>
                  <w:tcW w:w="940" w:type="dxa"/>
                  <w:vMerge w:val="continue"/>
                  <w:noWrap w:val="0"/>
                  <w:vAlign w:val="center"/>
                </w:tcPr>
                <w:p w14:paraId="47B89F7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highlight w:val="none"/>
                      <w:lang w:val="en-US" w:eastAsia="zh-CN"/>
                    </w:rPr>
                  </w:pPr>
                </w:p>
              </w:tc>
              <w:tc>
                <w:tcPr>
                  <w:tcW w:w="1913" w:type="dxa"/>
                  <w:vMerge w:val="continue"/>
                  <w:noWrap w:val="0"/>
                  <w:vAlign w:val="center"/>
                </w:tcPr>
                <w:p w14:paraId="64C8B6C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highlight w:val="none"/>
                      <w:lang w:val="en-US" w:eastAsia="zh-CN"/>
                    </w:rPr>
                  </w:pPr>
                </w:p>
              </w:tc>
              <w:tc>
                <w:tcPr>
                  <w:tcW w:w="991" w:type="dxa"/>
                  <w:vMerge w:val="continue"/>
                  <w:noWrap w:val="0"/>
                  <w:vAlign w:val="center"/>
                </w:tcPr>
                <w:p w14:paraId="08D8C30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highlight w:val="none"/>
                      <w:lang w:val="en-US" w:eastAsia="zh-CN"/>
                    </w:rPr>
                  </w:pPr>
                </w:p>
              </w:tc>
            </w:tr>
          </w:tbl>
          <w:p w14:paraId="79D34ED2">
            <w:pPr>
              <w:spacing w:line="360" w:lineRule="auto"/>
              <w:ind w:firstLine="480" w:firstLineChars="200"/>
              <w:rPr>
                <w:rFonts w:hint="default"/>
              </w:rPr>
            </w:pPr>
            <w:r>
              <w:rPr>
                <w:rFonts w:hint="default" w:ascii="Times New Roman" w:hAnsi="Times New Roman" w:cs="Times New Roman"/>
                <w:color w:val="auto"/>
                <w:sz w:val="24"/>
                <w:highlight w:val="none"/>
              </w:rPr>
              <w:t>项目产生的废气处理设施可行性分析根据上表，项目废气治理设施均属于《排污许可证申请与核发技术规范 橡胶和塑料制品工业》（HJ1122-2020）中推荐的可行技术。因此本项目拟采取的废气污染防治设施是可行的。</w:t>
            </w:r>
          </w:p>
          <w:p w14:paraId="22776645">
            <w:pPr>
              <w:keepNext w:val="0"/>
              <w:keepLines w:val="0"/>
              <w:pageBreakBefore w:val="0"/>
              <w:widowControl/>
              <w:suppressLineNumbers w:val="0"/>
              <w:kinsoku/>
              <w:overflowPunct/>
              <w:bidi w:val="0"/>
              <w:spacing w:line="360" w:lineRule="auto"/>
              <w:ind w:firstLine="482" w:firstLineChars="200"/>
              <w:jc w:val="left"/>
              <w:rPr>
                <w:rFonts w:hint="default" w:ascii="Times New Roman" w:hAnsi="Times New Roman" w:eastAsia="宋体" w:cs="Times New Roman"/>
                <w:b/>
                <w:bCs/>
                <w:color w:val="auto"/>
                <w:kern w:val="0"/>
                <w:sz w:val="24"/>
                <w:szCs w:val="24"/>
                <w:highlight w:val="none"/>
                <w:lang w:val="en-US" w:eastAsia="zh-CN" w:bidi="ar"/>
              </w:rPr>
            </w:pPr>
            <w:r>
              <w:rPr>
                <w:rFonts w:hint="eastAsia" w:cs="Times New Roman"/>
                <w:b/>
                <w:bCs/>
                <w:color w:val="auto"/>
                <w:kern w:val="0"/>
                <w:sz w:val="24"/>
                <w:szCs w:val="24"/>
                <w:highlight w:val="none"/>
                <w:lang w:val="en-US" w:eastAsia="zh-CN" w:bidi="ar"/>
              </w:rPr>
              <w:t>3</w:t>
            </w:r>
            <w:r>
              <w:rPr>
                <w:rFonts w:hint="default" w:ascii="Times New Roman" w:hAnsi="Times New Roman" w:cs="Times New Roman"/>
                <w:b/>
                <w:bCs/>
                <w:color w:val="auto"/>
                <w:kern w:val="0"/>
                <w:sz w:val="24"/>
                <w:szCs w:val="24"/>
                <w:highlight w:val="none"/>
                <w:lang w:val="en-US" w:eastAsia="zh-CN" w:bidi="ar"/>
              </w:rPr>
              <w:t>、</w:t>
            </w:r>
            <w:r>
              <w:rPr>
                <w:rFonts w:hint="default" w:ascii="Times New Roman" w:hAnsi="Times New Roman" w:eastAsia="宋体" w:cs="Times New Roman"/>
                <w:b/>
                <w:bCs/>
                <w:color w:val="auto"/>
                <w:kern w:val="0"/>
                <w:sz w:val="24"/>
                <w:szCs w:val="24"/>
                <w:highlight w:val="none"/>
                <w:lang w:val="en-US" w:eastAsia="zh-CN" w:bidi="ar"/>
              </w:rPr>
              <w:t>非正常情况分析</w:t>
            </w:r>
          </w:p>
          <w:p w14:paraId="66F58C41">
            <w:pPr>
              <w:spacing w:line="360" w:lineRule="auto"/>
              <w:ind w:firstLine="480" w:firstLineChars="200"/>
              <w:jc w:val="left"/>
              <w:rPr>
                <w:bCs/>
                <w:sz w:val="24"/>
                <w:szCs w:val="32"/>
              </w:rPr>
            </w:pPr>
            <w:r>
              <w:rPr>
                <w:bCs/>
                <w:sz w:val="24"/>
                <w:szCs w:val="32"/>
              </w:rPr>
              <w:t>本次评价主要考虑废气污染物排放的非正常工况，非正常工况主要包括：设备检修、工艺设备运转异常等非正常工况下的污染物排放，以及污染物排放控制措施失去应有作用等情况下的排放。结合本项目主体生产工艺、相应污染防治措施，非正常工况情景主要设定为</w:t>
            </w:r>
            <w:r>
              <w:rPr>
                <w:rFonts w:hint="default" w:ascii="Times New Roman" w:hAnsi="Times New Roman" w:cs="Times New Roman"/>
                <w:color w:val="auto"/>
                <w:highlight w:val="none"/>
                <w:lang w:val="en-US" w:eastAsia="zh-CN"/>
              </w:rPr>
              <w:t>布袋除尘器</w:t>
            </w:r>
            <w:r>
              <w:rPr>
                <w:rFonts w:hint="eastAsia" w:cs="Times New Roman"/>
                <w:color w:val="auto"/>
                <w:highlight w:val="none"/>
                <w:lang w:val="en-US" w:eastAsia="zh-CN"/>
              </w:rPr>
              <w:t>以及</w:t>
            </w:r>
            <w:r>
              <w:rPr>
                <w:rFonts w:hint="default" w:ascii="Times New Roman" w:hAnsi="Times New Roman" w:cs="Times New Roman"/>
                <w:color w:val="auto"/>
                <w:highlight w:val="none"/>
                <w:lang w:val="en-US" w:eastAsia="zh-CN"/>
              </w:rPr>
              <w:t>活性炭吸附装置处理效率完全失去治理能力时项目产生的污染物的排放情况</w:t>
            </w:r>
            <w:r>
              <w:rPr>
                <w:bCs/>
                <w:sz w:val="24"/>
                <w:szCs w:val="32"/>
              </w:rPr>
              <w:t>。</w:t>
            </w:r>
          </w:p>
          <w:p w14:paraId="301335FE">
            <w:pPr>
              <w:spacing w:line="360" w:lineRule="auto"/>
              <w:ind w:firstLine="480" w:firstLineChars="200"/>
              <w:jc w:val="left"/>
              <w:rPr>
                <w:rFonts w:hint="default" w:ascii="Times New Roman" w:hAnsi="Times New Roman" w:cs="Times New Roman"/>
                <w:b/>
                <w:color w:val="auto"/>
                <w:sz w:val="21"/>
                <w:szCs w:val="21"/>
                <w:highlight w:val="none"/>
                <w:lang w:val="en-US" w:eastAsia="zh-CN"/>
              </w:rPr>
            </w:pPr>
            <w:r>
              <w:rPr>
                <w:bCs/>
                <w:sz w:val="24"/>
                <w:szCs w:val="32"/>
              </w:rPr>
              <w:t>工程非正常工况下的废气污染源强核算情况详见下表。</w:t>
            </w:r>
          </w:p>
          <w:p w14:paraId="27A9389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color w:val="auto"/>
                <w:sz w:val="21"/>
                <w:szCs w:val="21"/>
                <w:highlight w:val="none"/>
                <w:lang w:val="en-US" w:eastAsia="zh-CN"/>
              </w:rPr>
            </w:pPr>
            <w:r>
              <w:rPr>
                <w:rFonts w:hint="default" w:ascii="Times New Roman" w:hAnsi="Times New Roman" w:cs="Times New Roman"/>
                <w:b/>
                <w:color w:val="auto"/>
                <w:sz w:val="21"/>
                <w:szCs w:val="21"/>
                <w:highlight w:val="none"/>
                <w:lang w:val="en-US" w:eastAsia="zh-CN"/>
              </w:rPr>
              <w:t>表4-</w:t>
            </w:r>
            <w:r>
              <w:rPr>
                <w:rFonts w:hint="eastAsia" w:cs="Times New Roman"/>
                <w:b/>
                <w:color w:val="auto"/>
                <w:sz w:val="21"/>
                <w:szCs w:val="21"/>
                <w:highlight w:val="none"/>
                <w:lang w:val="en-US" w:eastAsia="zh-CN"/>
              </w:rPr>
              <w:t>4</w:t>
            </w:r>
            <w:r>
              <w:rPr>
                <w:rFonts w:hint="default" w:ascii="Times New Roman" w:hAnsi="Times New Roman" w:cs="Times New Roman"/>
                <w:b/>
                <w:color w:val="auto"/>
                <w:sz w:val="21"/>
                <w:szCs w:val="21"/>
                <w:highlight w:val="none"/>
                <w:lang w:val="en-US" w:eastAsia="zh-CN"/>
              </w:rPr>
              <w:t xml:space="preserve"> 非正常情况分析一览表</w:t>
            </w:r>
          </w:p>
          <w:tbl>
            <w:tblPr>
              <w:tblStyle w:val="28"/>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3"/>
              <w:gridCol w:w="849"/>
              <w:gridCol w:w="1071"/>
              <w:gridCol w:w="967"/>
              <w:gridCol w:w="1027"/>
              <w:gridCol w:w="1086"/>
              <w:gridCol w:w="987"/>
              <w:gridCol w:w="1219"/>
            </w:tblGrid>
            <w:tr w14:paraId="0C086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pct"/>
                  <w:noWrap w:val="0"/>
                  <w:vAlign w:val="center"/>
                </w:tcPr>
                <w:p w14:paraId="5C43BF61">
                  <w:pPr>
                    <w:pStyle w:val="10"/>
                    <w:bidi w:val="0"/>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非正常情况类型</w:t>
                  </w:r>
                </w:p>
              </w:tc>
              <w:tc>
                <w:tcPr>
                  <w:tcW w:w="511" w:type="pct"/>
                  <w:noWrap w:val="0"/>
                  <w:vAlign w:val="center"/>
                </w:tcPr>
                <w:p w14:paraId="01D54B41">
                  <w:pPr>
                    <w:pStyle w:val="10"/>
                    <w:bidi w:val="0"/>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排放源</w:t>
                  </w:r>
                </w:p>
              </w:tc>
              <w:tc>
                <w:tcPr>
                  <w:tcW w:w="645" w:type="pct"/>
                  <w:noWrap w:val="0"/>
                  <w:vAlign w:val="center"/>
                </w:tcPr>
                <w:p w14:paraId="169AFC0F">
                  <w:pPr>
                    <w:pStyle w:val="10"/>
                    <w:bidi w:val="0"/>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污染物</w:t>
                  </w:r>
                </w:p>
              </w:tc>
              <w:tc>
                <w:tcPr>
                  <w:tcW w:w="582" w:type="pct"/>
                  <w:noWrap w:val="0"/>
                  <w:vAlign w:val="center"/>
                </w:tcPr>
                <w:p w14:paraId="0286CEFC">
                  <w:pPr>
                    <w:pStyle w:val="10"/>
                    <w:bidi w:val="0"/>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频次</w:t>
                  </w:r>
                </w:p>
              </w:tc>
              <w:tc>
                <w:tcPr>
                  <w:tcW w:w="618" w:type="pct"/>
                  <w:noWrap w:val="0"/>
                  <w:vAlign w:val="center"/>
                </w:tcPr>
                <w:p w14:paraId="6CC4F2A7">
                  <w:pPr>
                    <w:pStyle w:val="10"/>
                    <w:bidi w:val="0"/>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排放速率kg/h</w:t>
                  </w:r>
                </w:p>
              </w:tc>
              <w:tc>
                <w:tcPr>
                  <w:tcW w:w="654" w:type="pct"/>
                  <w:noWrap w:val="0"/>
                  <w:vAlign w:val="center"/>
                </w:tcPr>
                <w:p w14:paraId="200B8961">
                  <w:pPr>
                    <w:pStyle w:val="10"/>
                    <w:bidi w:val="0"/>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排放浓度mg/m</w:t>
                  </w:r>
                  <w:r>
                    <w:rPr>
                      <w:rFonts w:hint="default" w:ascii="Times New Roman" w:hAnsi="Times New Roman" w:cs="Times New Roman"/>
                      <w:b/>
                      <w:bCs/>
                      <w:color w:val="auto"/>
                      <w:highlight w:val="none"/>
                      <w:vertAlign w:val="superscript"/>
                      <w:lang w:val="en-US" w:eastAsia="zh-CN"/>
                    </w:rPr>
                    <w:t>3</w:t>
                  </w:r>
                </w:p>
              </w:tc>
              <w:tc>
                <w:tcPr>
                  <w:tcW w:w="594" w:type="pct"/>
                  <w:noWrap w:val="0"/>
                  <w:vAlign w:val="center"/>
                </w:tcPr>
                <w:p w14:paraId="14EDD5EF">
                  <w:pPr>
                    <w:pStyle w:val="10"/>
                    <w:bidi w:val="0"/>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持续时间</w:t>
                  </w:r>
                </w:p>
              </w:tc>
              <w:tc>
                <w:tcPr>
                  <w:tcW w:w="734" w:type="pct"/>
                  <w:noWrap w:val="0"/>
                  <w:vAlign w:val="center"/>
                </w:tcPr>
                <w:p w14:paraId="45C8D658">
                  <w:pPr>
                    <w:pStyle w:val="10"/>
                    <w:bidi w:val="0"/>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措施</w:t>
                  </w:r>
                </w:p>
              </w:tc>
            </w:tr>
            <w:tr w14:paraId="6897A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658" w:type="pct"/>
                  <w:vMerge w:val="restart"/>
                  <w:noWrap w:val="0"/>
                  <w:vAlign w:val="center"/>
                </w:tcPr>
                <w:p w14:paraId="55FFEB0D">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废气处理系统异常</w:t>
                  </w:r>
                </w:p>
              </w:tc>
              <w:tc>
                <w:tcPr>
                  <w:tcW w:w="511" w:type="pct"/>
                  <w:vMerge w:val="restart"/>
                  <w:noWrap w:val="0"/>
                  <w:vAlign w:val="center"/>
                </w:tcPr>
                <w:p w14:paraId="3CA758CE">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DA001</w:t>
                  </w:r>
                </w:p>
              </w:tc>
              <w:tc>
                <w:tcPr>
                  <w:tcW w:w="645" w:type="pct"/>
                  <w:noWrap w:val="0"/>
                  <w:vAlign w:val="center"/>
                </w:tcPr>
                <w:p w14:paraId="348F12EE">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非甲烷总烃</w:t>
                  </w:r>
                </w:p>
              </w:tc>
              <w:tc>
                <w:tcPr>
                  <w:tcW w:w="582" w:type="pct"/>
                  <w:noWrap w:val="0"/>
                  <w:vAlign w:val="center"/>
                </w:tcPr>
                <w:p w14:paraId="3448874B">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1次/1年</w:t>
                  </w:r>
                </w:p>
              </w:tc>
              <w:tc>
                <w:tcPr>
                  <w:tcW w:w="618" w:type="pct"/>
                  <w:noWrap w:val="0"/>
                  <w:vAlign w:val="center"/>
                </w:tcPr>
                <w:p w14:paraId="4DBA0221">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cs="Times New Roman"/>
                      <w:color w:val="auto"/>
                      <w:highlight w:val="none"/>
                      <w:lang w:val="en-US" w:eastAsia="zh-CN"/>
                    </w:rPr>
                  </w:pPr>
                  <w:r>
                    <w:rPr>
                      <w:rFonts w:hint="eastAsia"/>
                      <w:color w:val="auto"/>
                      <w:highlight w:val="none"/>
                      <w:lang w:val="en-US" w:eastAsia="zh-CN"/>
                    </w:rPr>
                    <w:t>1.48</w:t>
                  </w:r>
                </w:p>
              </w:tc>
              <w:tc>
                <w:tcPr>
                  <w:tcW w:w="654" w:type="pct"/>
                  <w:noWrap w:val="0"/>
                  <w:vAlign w:val="center"/>
                </w:tcPr>
                <w:p w14:paraId="6031484D">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cs="Times New Roman"/>
                      <w:color w:val="auto"/>
                      <w:highlight w:val="none"/>
                      <w:lang w:val="en-US" w:eastAsia="zh-CN"/>
                    </w:rPr>
                  </w:pPr>
                  <w:r>
                    <w:rPr>
                      <w:rFonts w:hint="eastAsia"/>
                      <w:color w:val="auto"/>
                      <w:highlight w:val="none"/>
                      <w:lang w:val="en-US" w:eastAsia="zh-CN"/>
                    </w:rPr>
                    <w:t>26.429</w:t>
                  </w:r>
                </w:p>
              </w:tc>
              <w:tc>
                <w:tcPr>
                  <w:tcW w:w="594" w:type="pct"/>
                  <w:noWrap w:val="0"/>
                  <w:vAlign w:val="center"/>
                </w:tcPr>
                <w:p w14:paraId="54A168EC">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30min</w:t>
                  </w:r>
                </w:p>
              </w:tc>
              <w:tc>
                <w:tcPr>
                  <w:tcW w:w="734" w:type="pct"/>
                  <w:vMerge w:val="restart"/>
                  <w:noWrap w:val="0"/>
                  <w:vAlign w:val="center"/>
                </w:tcPr>
                <w:p w14:paraId="67415776">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日常加强废气处理装置的维护，保证设施的正常运行。一旦发生状况，停产检修30min</w:t>
                  </w:r>
                </w:p>
              </w:tc>
            </w:tr>
            <w:tr w14:paraId="30CE5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658" w:type="pct"/>
                  <w:vMerge w:val="continue"/>
                  <w:noWrap w:val="0"/>
                  <w:vAlign w:val="center"/>
                </w:tcPr>
                <w:p w14:paraId="2A20CE86">
                  <w:pPr>
                    <w:pStyle w:val="10"/>
                    <w:bidi w:val="0"/>
                    <w:rPr>
                      <w:rFonts w:hint="default" w:ascii="Times New Roman" w:hAnsi="Times New Roman" w:cs="Times New Roman"/>
                      <w:color w:val="auto"/>
                      <w:highlight w:val="none"/>
                      <w:lang w:val="en-US" w:eastAsia="zh-CN"/>
                    </w:rPr>
                  </w:pPr>
                </w:p>
              </w:tc>
              <w:tc>
                <w:tcPr>
                  <w:tcW w:w="511" w:type="pct"/>
                  <w:vMerge w:val="continue"/>
                  <w:noWrap w:val="0"/>
                  <w:vAlign w:val="center"/>
                </w:tcPr>
                <w:p w14:paraId="26732954">
                  <w:pPr>
                    <w:pStyle w:val="10"/>
                    <w:bidi w:val="0"/>
                    <w:rPr>
                      <w:rFonts w:hint="default" w:ascii="Times New Roman" w:hAnsi="Times New Roman" w:cs="Times New Roman"/>
                      <w:color w:val="auto"/>
                      <w:highlight w:val="none"/>
                      <w:lang w:val="en-US" w:eastAsia="zh-CN"/>
                    </w:rPr>
                  </w:pPr>
                </w:p>
              </w:tc>
              <w:tc>
                <w:tcPr>
                  <w:tcW w:w="645" w:type="pct"/>
                  <w:noWrap w:val="0"/>
                  <w:vAlign w:val="center"/>
                </w:tcPr>
                <w:p w14:paraId="450C1910">
                  <w:pPr>
                    <w:pStyle w:val="10"/>
                    <w:bidi w:val="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颗粒物</w:t>
                  </w:r>
                </w:p>
              </w:tc>
              <w:tc>
                <w:tcPr>
                  <w:tcW w:w="582" w:type="pct"/>
                  <w:noWrap w:val="0"/>
                  <w:vAlign w:val="center"/>
                </w:tcPr>
                <w:p w14:paraId="20A14A85">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1次/1年</w:t>
                  </w:r>
                </w:p>
              </w:tc>
              <w:tc>
                <w:tcPr>
                  <w:tcW w:w="618" w:type="pct"/>
                  <w:noWrap w:val="0"/>
                  <w:vAlign w:val="center"/>
                </w:tcPr>
                <w:p w14:paraId="6CED09EA">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cs="Times New Roman"/>
                      <w:color w:val="auto"/>
                      <w:highlight w:val="none"/>
                      <w:lang w:val="en-US" w:eastAsia="zh-CN"/>
                    </w:rPr>
                  </w:pPr>
                  <w:r>
                    <w:rPr>
                      <w:rFonts w:hint="eastAsia"/>
                      <w:color w:val="auto"/>
                      <w:highlight w:val="none"/>
                      <w:lang w:val="en-US" w:eastAsia="zh-CN"/>
                    </w:rPr>
                    <w:t>0.774</w:t>
                  </w:r>
                </w:p>
              </w:tc>
              <w:tc>
                <w:tcPr>
                  <w:tcW w:w="654" w:type="pct"/>
                  <w:noWrap w:val="0"/>
                  <w:vAlign w:val="center"/>
                </w:tcPr>
                <w:p w14:paraId="492F55F3">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s="Times New Roman"/>
                      <w:color w:val="auto"/>
                      <w:highlight w:val="none"/>
                      <w:lang w:val="en-US" w:eastAsia="zh-CN"/>
                    </w:rPr>
                  </w:pPr>
                  <w:r>
                    <w:rPr>
                      <w:rFonts w:hint="eastAsia"/>
                      <w:color w:val="auto"/>
                      <w:highlight w:val="none"/>
                      <w:lang w:val="en-US" w:eastAsia="zh-CN"/>
                    </w:rPr>
                    <w:t>13.821</w:t>
                  </w:r>
                </w:p>
              </w:tc>
              <w:tc>
                <w:tcPr>
                  <w:tcW w:w="594" w:type="pct"/>
                  <w:shd w:val="clear" w:color="auto" w:fill="auto"/>
                  <w:noWrap w:val="0"/>
                  <w:vAlign w:val="center"/>
                </w:tcPr>
                <w:p w14:paraId="1167F975">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highlight w:val="none"/>
                      <w:lang w:val="en-US" w:eastAsia="zh-CN"/>
                    </w:rPr>
                    <w:t>30min</w:t>
                  </w:r>
                </w:p>
              </w:tc>
              <w:tc>
                <w:tcPr>
                  <w:tcW w:w="734" w:type="pct"/>
                  <w:vMerge w:val="continue"/>
                  <w:shd w:val="clear" w:color="auto" w:fill="auto"/>
                  <w:noWrap w:val="0"/>
                  <w:vAlign w:val="center"/>
                </w:tcPr>
                <w:p w14:paraId="0C23FD39">
                  <w:pPr>
                    <w:pStyle w:val="10"/>
                    <w:bidi w:val="0"/>
                    <w:ind w:right="0" w:rightChars="0" w:firstLine="0" w:firstLineChars="0"/>
                    <w:rPr>
                      <w:rFonts w:hint="default" w:ascii="Times New Roman" w:hAnsi="Times New Roman" w:eastAsia="宋体" w:cs="Times New Roman"/>
                      <w:color w:val="auto"/>
                      <w:kern w:val="0"/>
                      <w:sz w:val="21"/>
                      <w:szCs w:val="21"/>
                      <w:highlight w:val="none"/>
                      <w:lang w:val="en-US" w:eastAsia="zh-CN" w:bidi="ar-SA"/>
                    </w:rPr>
                  </w:pPr>
                </w:p>
              </w:tc>
            </w:tr>
            <w:tr w14:paraId="17189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658" w:type="pct"/>
                  <w:vMerge w:val="continue"/>
                  <w:noWrap w:val="0"/>
                  <w:vAlign w:val="center"/>
                </w:tcPr>
                <w:p w14:paraId="7C24138B">
                  <w:pPr>
                    <w:pStyle w:val="10"/>
                    <w:bidi w:val="0"/>
                    <w:rPr>
                      <w:rFonts w:hint="default" w:ascii="Times New Roman" w:hAnsi="Times New Roman" w:cs="Times New Roman"/>
                      <w:color w:val="auto"/>
                      <w:highlight w:val="none"/>
                      <w:lang w:val="en-US" w:eastAsia="zh-CN"/>
                    </w:rPr>
                  </w:pPr>
                </w:p>
              </w:tc>
              <w:tc>
                <w:tcPr>
                  <w:tcW w:w="511" w:type="pct"/>
                  <w:vMerge w:val="continue"/>
                  <w:noWrap w:val="0"/>
                  <w:vAlign w:val="center"/>
                </w:tcPr>
                <w:p w14:paraId="2BB5EF77">
                  <w:pPr>
                    <w:pStyle w:val="10"/>
                    <w:bidi w:val="0"/>
                    <w:rPr>
                      <w:rFonts w:hint="default" w:ascii="Times New Roman" w:hAnsi="Times New Roman" w:cs="Times New Roman"/>
                      <w:color w:val="auto"/>
                      <w:highlight w:val="none"/>
                      <w:lang w:val="en-US" w:eastAsia="zh-CN"/>
                    </w:rPr>
                  </w:pPr>
                </w:p>
              </w:tc>
              <w:tc>
                <w:tcPr>
                  <w:tcW w:w="645" w:type="pct"/>
                  <w:noWrap w:val="0"/>
                  <w:vAlign w:val="center"/>
                </w:tcPr>
                <w:p w14:paraId="256C50E8">
                  <w:pPr>
                    <w:pStyle w:val="10"/>
                    <w:bidi w:val="0"/>
                    <w:rPr>
                      <w:rFonts w:hint="default" w:cs="Times New Roman"/>
                      <w:color w:val="auto"/>
                      <w:highlight w:val="none"/>
                      <w:lang w:val="en-US" w:eastAsia="zh-CN"/>
                    </w:rPr>
                  </w:pPr>
                  <w:r>
                    <w:rPr>
                      <w:rFonts w:hint="eastAsia" w:cs="Times New Roman"/>
                      <w:color w:val="auto"/>
                      <w:highlight w:val="none"/>
                      <w:lang w:val="en-US" w:eastAsia="zh-CN"/>
                    </w:rPr>
                    <w:t>氯化氢</w:t>
                  </w:r>
                </w:p>
              </w:tc>
              <w:tc>
                <w:tcPr>
                  <w:tcW w:w="582" w:type="pct"/>
                  <w:noWrap w:val="0"/>
                  <w:vAlign w:val="center"/>
                </w:tcPr>
                <w:p w14:paraId="777910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1次/1年</w:t>
                  </w:r>
                </w:p>
              </w:tc>
              <w:tc>
                <w:tcPr>
                  <w:tcW w:w="618" w:type="pct"/>
                  <w:noWrap w:val="0"/>
                  <w:vAlign w:val="center"/>
                </w:tcPr>
                <w:p w14:paraId="5BEE4144">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0.00006</w:t>
                  </w:r>
                </w:p>
              </w:tc>
              <w:tc>
                <w:tcPr>
                  <w:tcW w:w="654" w:type="pct"/>
                  <w:noWrap w:val="0"/>
                  <w:vAlign w:val="center"/>
                </w:tcPr>
                <w:p w14:paraId="2AA2AFA7">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0.00107</w:t>
                  </w:r>
                </w:p>
              </w:tc>
              <w:tc>
                <w:tcPr>
                  <w:tcW w:w="594" w:type="pct"/>
                  <w:shd w:val="clear" w:color="auto" w:fill="auto"/>
                  <w:noWrap w:val="0"/>
                  <w:vAlign w:val="center"/>
                </w:tcPr>
                <w:p w14:paraId="31088157">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30min</w:t>
                  </w:r>
                </w:p>
              </w:tc>
              <w:tc>
                <w:tcPr>
                  <w:tcW w:w="734" w:type="pct"/>
                  <w:vMerge w:val="continue"/>
                  <w:shd w:val="clear" w:color="auto" w:fill="auto"/>
                  <w:noWrap w:val="0"/>
                  <w:vAlign w:val="center"/>
                </w:tcPr>
                <w:p w14:paraId="15D299B7">
                  <w:pPr>
                    <w:pStyle w:val="10"/>
                    <w:bidi w:val="0"/>
                    <w:ind w:right="0" w:rightChars="0" w:firstLine="0" w:firstLineChars="0"/>
                    <w:rPr>
                      <w:rFonts w:hint="default" w:ascii="Times New Roman" w:hAnsi="Times New Roman" w:eastAsia="宋体" w:cs="Times New Roman"/>
                      <w:color w:val="auto"/>
                      <w:kern w:val="0"/>
                      <w:sz w:val="21"/>
                      <w:szCs w:val="21"/>
                      <w:highlight w:val="none"/>
                      <w:lang w:val="en-US" w:eastAsia="zh-CN" w:bidi="ar-SA"/>
                    </w:rPr>
                  </w:pPr>
                </w:p>
              </w:tc>
            </w:tr>
            <w:tr w14:paraId="56C90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658" w:type="pct"/>
                  <w:vMerge w:val="continue"/>
                  <w:noWrap w:val="0"/>
                  <w:vAlign w:val="center"/>
                </w:tcPr>
                <w:p w14:paraId="566990EE">
                  <w:pPr>
                    <w:pStyle w:val="10"/>
                    <w:bidi w:val="0"/>
                    <w:rPr>
                      <w:rFonts w:hint="default" w:ascii="Times New Roman" w:hAnsi="Times New Roman" w:cs="Times New Roman"/>
                      <w:color w:val="auto"/>
                      <w:highlight w:val="none"/>
                      <w:lang w:val="en-US" w:eastAsia="zh-CN"/>
                    </w:rPr>
                  </w:pPr>
                </w:p>
              </w:tc>
              <w:tc>
                <w:tcPr>
                  <w:tcW w:w="511" w:type="pct"/>
                  <w:vMerge w:val="continue"/>
                  <w:noWrap w:val="0"/>
                  <w:vAlign w:val="center"/>
                </w:tcPr>
                <w:p w14:paraId="049A2BDB">
                  <w:pPr>
                    <w:pStyle w:val="10"/>
                    <w:bidi w:val="0"/>
                    <w:rPr>
                      <w:rFonts w:hint="default" w:ascii="Times New Roman" w:hAnsi="Times New Roman" w:cs="Times New Roman"/>
                      <w:color w:val="auto"/>
                      <w:highlight w:val="none"/>
                      <w:lang w:val="en-US" w:eastAsia="zh-CN"/>
                    </w:rPr>
                  </w:pPr>
                </w:p>
              </w:tc>
              <w:tc>
                <w:tcPr>
                  <w:tcW w:w="645" w:type="pct"/>
                  <w:noWrap w:val="0"/>
                  <w:vAlign w:val="center"/>
                </w:tcPr>
                <w:p w14:paraId="00C48AD7">
                  <w:pPr>
                    <w:pStyle w:val="10"/>
                    <w:bidi w:val="0"/>
                    <w:rPr>
                      <w:rFonts w:hint="default" w:cs="Times New Roman"/>
                      <w:color w:val="auto"/>
                      <w:highlight w:val="none"/>
                      <w:lang w:val="en-US" w:eastAsia="zh-CN"/>
                    </w:rPr>
                  </w:pPr>
                  <w:r>
                    <w:rPr>
                      <w:rFonts w:hint="eastAsia" w:cs="Times New Roman"/>
                      <w:color w:val="auto"/>
                      <w:highlight w:val="none"/>
                      <w:lang w:val="en-US" w:eastAsia="zh-CN"/>
                    </w:rPr>
                    <w:t>氯乙烯</w:t>
                  </w:r>
                </w:p>
              </w:tc>
              <w:tc>
                <w:tcPr>
                  <w:tcW w:w="582" w:type="pct"/>
                  <w:noWrap w:val="0"/>
                  <w:vAlign w:val="center"/>
                </w:tcPr>
                <w:p w14:paraId="46411E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1次/1年</w:t>
                  </w:r>
                </w:p>
              </w:tc>
              <w:tc>
                <w:tcPr>
                  <w:tcW w:w="618" w:type="pct"/>
                  <w:noWrap w:val="0"/>
                  <w:vAlign w:val="center"/>
                </w:tcPr>
                <w:p w14:paraId="31C2AFEF">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0.00007</w:t>
                  </w:r>
                </w:p>
              </w:tc>
              <w:tc>
                <w:tcPr>
                  <w:tcW w:w="654" w:type="pct"/>
                  <w:noWrap w:val="0"/>
                  <w:vAlign w:val="center"/>
                </w:tcPr>
                <w:p w14:paraId="78B2E19A">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0.00125</w:t>
                  </w:r>
                </w:p>
              </w:tc>
              <w:tc>
                <w:tcPr>
                  <w:tcW w:w="594" w:type="pct"/>
                  <w:shd w:val="clear" w:color="auto" w:fill="auto"/>
                  <w:noWrap w:val="0"/>
                  <w:vAlign w:val="center"/>
                </w:tcPr>
                <w:p w14:paraId="72B15C1F">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30min</w:t>
                  </w:r>
                </w:p>
              </w:tc>
              <w:tc>
                <w:tcPr>
                  <w:tcW w:w="734" w:type="pct"/>
                  <w:vMerge w:val="continue"/>
                  <w:shd w:val="clear" w:color="auto" w:fill="auto"/>
                  <w:noWrap w:val="0"/>
                  <w:vAlign w:val="center"/>
                </w:tcPr>
                <w:p w14:paraId="22E9A362">
                  <w:pPr>
                    <w:pStyle w:val="10"/>
                    <w:bidi w:val="0"/>
                    <w:ind w:right="0" w:rightChars="0" w:firstLine="0" w:firstLineChars="0"/>
                    <w:rPr>
                      <w:rFonts w:hint="default" w:ascii="Times New Roman" w:hAnsi="Times New Roman" w:eastAsia="宋体" w:cs="Times New Roman"/>
                      <w:color w:val="auto"/>
                      <w:kern w:val="0"/>
                      <w:sz w:val="21"/>
                      <w:szCs w:val="21"/>
                      <w:highlight w:val="none"/>
                      <w:lang w:val="en-US" w:eastAsia="zh-CN" w:bidi="ar-SA"/>
                    </w:rPr>
                  </w:pPr>
                </w:p>
              </w:tc>
            </w:tr>
            <w:tr w14:paraId="623DD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58" w:type="pct"/>
                  <w:vMerge w:val="continue"/>
                  <w:noWrap w:val="0"/>
                  <w:vAlign w:val="center"/>
                </w:tcPr>
                <w:p w14:paraId="2103178F">
                  <w:pPr>
                    <w:pStyle w:val="10"/>
                    <w:bidi w:val="0"/>
                    <w:rPr>
                      <w:rFonts w:hint="default" w:ascii="Times New Roman" w:hAnsi="Times New Roman" w:cs="Times New Roman"/>
                      <w:color w:val="auto"/>
                      <w:highlight w:val="none"/>
                      <w:lang w:val="en-US" w:eastAsia="zh-CN"/>
                    </w:rPr>
                  </w:pPr>
                </w:p>
              </w:tc>
              <w:tc>
                <w:tcPr>
                  <w:tcW w:w="511" w:type="pct"/>
                  <w:shd w:val="clear" w:color="auto" w:fill="auto"/>
                  <w:noWrap w:val="0"/>
                  <w:vAlign w:val="center"/>
                </w:tcPr>
                <w:p w14:paraId="5DBBCA56">
                  <w:pPr>
                    <w:pStyle w:val="10"/>
                    <w:bidi w:val="0"/>
                    <w:ind w:right="0" w:rightChars="0" w:firstLine="0" w:firstLineChars="0"/>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highlight w:val="none"/>
                      <w:lang w:val="en-US" w:eastAsia="zh-CN"/>
                    </w:rPr>
                    <w:t>DA002</w:t>
                  </w:r>
                </w:p>
              </w:tc>
              <w:tc>
                <w:tcPr>
                  <w:tcW w:w="645" w:type="pct"/>
                  <w:noWrap w:val="0"/>
                  <w:vAlign w:val="center"/>
                </w:tcPr>
                <w:p w14:paraId="451CC1D5">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颗粒物</w:t>
                  </w:r>
                </w:p>
              </w:tc>
              <w:tc>
                <w:tcPr>
                  <w:tcW w:w="582" w:type="pct"/>
                  <w:noWrap w:val="0"/>
                  <w:vAlign w:val="center"/>
                </w:tcPr>
                <w:p w14:paraId="3F6D9F96">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1次/1年</w:t>
                  </w:r>
                </w:p>
              </w:tc>
              <w:tc>
                <w:tcPr>
                  <w:tcW w:w="618" w:type="pct"/>
                  <w:noWrap w:val="0"/>
                  <w:vAlign w:val="center"/>
                </w:tcPr>
                <w:p w14:paraId="45575685">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cs="Times New Roman"/>
                      <w:color w:val="auto"/>
                      <w:highlight w:val="none"/>
                      <w:lang w:val="en-US" w:eastAsia="zh-CN"/>
                    </w:rPr>
                  </w:pPr>
                  <w:r>
                    <w:rPr>
                      <w:rFonts w:hint="eastAsia"/>
                      <w:color w:val="auto"/>
                      <w:highlight w:val="none"/>
                      <w:lang w:val="en-US" w:eastAsia="zh-CN"/>
                    </w:rPr>
                    <w:t>2.622</w:t>
                  </w:r>
                </w:p>
              </w:tc>
              <w:tc>
                <w:tcPr>
                  <w:tcW w:w="654" w:type="pct"/>
                  <w:noWrap w:val="0"/>
                  <w:vAlign w:val="center"/>
                </w:tcPr>
                <w:p w14:paraId="2FEF03F1">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cs="Times New Roman"/>
                      <w:color w:val="auto"/>
                      <w:highlight w:val="none"/>
                      <w:lang w:val="en-US" w:eastAsia="zh-CN"/>
                    </w:rPr>
                  </w:pPr>
                  <w:r>
                    <w:rPr>
                      <w:rFonts w:hint="eastAsia"/>
                      <w:color w:val="auto"/>
                      <w:highlight w:val="none"/>
                      <w:lang w:val="en-US" w:eastAsia="zh-CN"/>
                    </w:rPr>
                    <w:t>209.76</w:t>
                  </w:r>
                </w:p>
              </w:tc>
              <w:tc>
                <w:tcPr>
                  <w:tcW w:w="594" w:type="pct"/>
                  <w:noWrap w:val="0"/>
                  <w:vAlign w:val="center"/>
                </w:tcPr>
                <w:p w14:paraId="02D12775">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30min</w:t>
                  </w:r>
                </w:p>
              </w:tc>
              <w:tc>
                <w:tcPr>
                  <w:tcW w:w="734" w:type="pct"/>
                  <w:vMerge w:val="continue"/>
                  <w:noWrap w:val="0"/>
                  <w:vAlign w:val="center"/>
                </w:tcPr>
                <w:p w14:paraId="37769FFA">
                  <w:pPr>
                    <w:pStyle w:val="10"/>
                    <w:bidi w:val="0"/>
                    <w:rPr>
                      <w:rFonts w:hint="default" w:ascii="Times New Roman" w:hAnsi="Times New Roman" w:cs="Times New Roman"/>
                      <w:color w:val="auto"/>
                      <w:highlight w:val="none"/>
                      <w:lang w:val="en-US" w:eastAsia="zh-CN"/>
                    </w:rPr>
                  </w:pPr>
                </w:p>
              </w:tc>
            </w:tr>
            <w:tr w14:paraId="68697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58" w:type="pct"/>
                  <w:vMerge w:val="continue"/>
                  <w:noWrap w:val="0"/>
                  <w:vAlign w:val="center"/>
                </w:tcPr>
                <w:p w14:paraId="0DD834EF">
                  <w:pPr>
                    <w:pStyle w:val="10"/>
                    <w:bidi w:val="0"/>
                    <w:rPr>
                      <w:rFonts w:hint="default" w:ascii="Times New Roman" w:hAnsi="Times New Roman" w:cs="Times New Roman"/>
                      <w:color w:val="auto"/>
                      <w:highlight w:val="none"/>
                      <w:lang w:val="en-US" w:eastAsia="zh-CN"/>
                    </w:rPr>
                  </w:pPr>
                </w:p>
              </w:tc>
              <w:tc>
                <w:tcPr>
                  <w:tcW w:w="511" w:type="pct"/>
                  <w:vMerge w:val="restart"/>
                  <w:shd w:val="clear" w:color="auto" w:fill="auto"/>
                  <w:noWrap w:val="0"/>
                  <w:vAlign w:val="center"/>
                </w:tcPr>
                <w:p w14:paraId="7802FF98">
                  <w:pPr>
                    <w:pStyle w:val="10"/>
                    <w:bidi w:val="0"/>
                    <w:ind w:right="0" w:rightChars="0" w:firstLine="0" w:firstLineChars="0"/>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highlight w:val="none"/>
                      <w:lang w:val="en-US" w:eastAsia="zh-CN"/>
                    </w:rPr>
                    <w:t>DA003</w:t>
                  </w:r>
                </w:p>
              </w:tc>
              <w:tc>
                <w:tcPr>
                  <w:tcW w:w="645" w:type="pct"/>
                  <w:noWrap w:val="0"/>
                  <w:vAlign w:val="center"/>
                </w:tcPr>
                <w:p w14:paraId="4A4C16D8">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颗粒物</w:t>
                  </w:r>
                </w:p>
              </w:tc>
              <w:tc>
                <w:tcPr>
                  <w:tcW w:w="582" w:type="pct"/>
                  <w:noWrap w:val="0"/>
                  <w:vAlign w:val="center"/>
                </w:tcPr>
                <w:p w14:paraId="439D6202">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1次/1年</w:t>
                  </w:r>
                </w:p>
              </w:tc>
              <w:tc>
                <w:tcPr>
                  <w:tcW w:w="618" w:type="pct"/>
                  <w:noWrap w:val="0"/>
                  <w:vAlign w:val="center"/>
                </w:tcPr>
                <w:p w14:paraId="7C6F8BE6">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cs="Times New Roman"/>
                      <w:color w:val="auto"/>
                      <w:highlight w:val="none"/>
                      <w:lang w:val="en-US" w:eastAsia="zh-CN"/>
                    </w:rPr>
                  </w:pPr>
                  <w:r>
                    <w:rPr>
                      <w:rFonts w:hint="eastAsia"/>
                      <w:color w:val="auto"/>
                      <w:highlight w:val="none"/>
                      <w:lang w:val="en-US" w:eastAsia="zh-CN"/>
                    </w:rPr>
                    <w:t>2.827</w:t>
                  </w:r>
                </w:p>
              </w:tc>
              <w:tc>
                <w:tcPr>
                  <w:tcW w:w="654" w:type="pct"/>
                  <w:noWrap w:val="0"/>
                  <w:vAlign w:val="center"/>
                </w:tcPr>
                <w:p w14:paraId="077EF5B7">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cs="Times New Roman"/>
                      <w:color w:val="auto"/>
                      <w:highlight w:val="none"/>
                      <w:lang w:val="en-US" w:eastAsia="zh-CN"/>
                    </w:rPr>
                  </w:pPr>
                  <w:r>
                    <w:rPr>
                      <w:rFonts w:hint="eastAsia"/>
                      <w:color w:val="auto"/>
                      <w:highlight w:val="none"/>
                      <w:lang w:val="en-US" w:eastAsia="zh-CN"/>
                    </w:rPr>
                    <w:t>353.375</w:t>
                  </w:r>
                </w:p>
              </w:tc>
              <w:tc>
                <w:tcPr>
                  <w:tcW w:w="594" w:type="pct"/>
                  <w:noWrap w:val="0"/>
                  <w:vAlign w:val="center"/>
                </w:tcPr>
                <w:p w14:paraId="0CC790D3">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30min</w:t>
                  </w:r>
                </w:p>
              </w:tc>
              <w:tc>
                <w:tcPr>
                  <w:tcW w:w="734" w:type="pct"/>
                  <w:vMerge w:val="continue"/>
                  <w:noWrap w:val="0"/>
                  <w:vAlign w:val="center"/>
                </w:tcPr>
                <w:p w14:paraId="73C1BFB9">
                  <w:pPr>
                    <w:pStyle w:val="10"/>
                    <w:bidi w:val="0"/>
                    <w:rPr>
                      <w:rFonts w:hint="default" w:ascii="Times New Roman" w:hAnsi="Times New Roman" w:cs="Times New Roman"/>
                      <w:color w:val="auto"/>
                      <w:highlight w:val="none"/>
                      <w:lang w:val="en-US" w:eastAsia="zh-CN"/>
                    </w:rPr>
                  </w:pPr>
                </w:p>
              </w:tc>
            </w:tr>
            <w:tr w14:paraId="0B184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658" w:type="pct"/>
                  <w:vMerge w:val="continue"/>
                  <w:noWrap w:val="0"/>
                  <w:vAlign w:val="center"/>
                </w:tcPr>
                <w:p w14:paraId="161BB662">
                  <w:pPr>
                    <w:pStyle w:val="10"/>
                    <w:bidi w:val="0"/>
                    <w:rPr>
                      <w:rFonts w:hint="default" w:ascii="Times New Roman" w:hAnsi="Times New Roman" w:cs="Times New Roman"/>
                      <w:color w:val="auto"/>
                      <w:highlight w:val="none"/>
                      <w:lang w:val="en-US" w:eastAsia="zh-CN"/>
                    </w:rPr>
                  </w:pPr>
                </w:p>
              </w:tc>
              <w:tc>
                <w:tcPr>
                  <w:tcW w:w="511" w:type="pct"/>
                  <w:vMerge w:val="continue"/>
                  <w:shd w:val="clear" w:color="auto" w:fill="auto"/>
                  <w:noWrap w:val="0"/>
                  <w:vAlign w:val="center"/>
                </w:tcPr>
                <w:p w14:paraId="1433534B">
                  <w:pPr>
                    <w:pStyle w:val="10"/>
                    <w:bidi w:val="0"/>
                    <w:ind w:right="0" w:rightChars="0" w:firstLine="0" w:firstLineChars="0"/>
                    <w:rPr>
                      <w:rFonts w:hint="default" w:ascii="Times New Roman" w:hAnsi="Times New Roman" w:cs="Times New Roman"/>
                      <w:color w:val="auto"/>
                      <w:highlight w:val="none"/>
                      <w:lang w:val="en-US" w:eastAsia="zh-CN"/>
                    </w:rPr>
                  </w:pPr>
                </w:p>
              </w:tc>
              <w:tc>
                <w:tcPr>
                  <w:tcW w:w="645" w:type="pct"/>
                  <w:noWrap w:val="0"/>
                  <w:vAlign w:val="center"/>
                </w:tcPr>
                <w:p w14:paraId="09ACE502">
                  <w:pPr>
                    <w:pStyle w:val="10"/>
                    <w:bidi w:val="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非甲烷总烃</w:t>
                  </w:r>
                </w:p>
              </w:tc>
              <w:tc>
                <w:tcPr>
                  <w:tcW w:w="582" w:type="pct"/>
                  <w:noWrap w:val="0"/>
                  <w:vAlign w:val="center"/>
                </w:tcPr>
                <w:p w14:paraId="24CC39F2">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1次/1年</w:t>
                  </w:r>
                </w:p>
              </w:tc>
              <w:tc>
                <w:tcPr>
                  <w:tcW w:w="618" w:type="pct"/>
                  <w:noWrap w:val="0"/>
                  <w:vAlign w:val="center"/>
                </w:tcPr>
                <w:p w14:paraId="7F976080">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cs="Times New Roman"/>
                      <w:color w:val="auto"/>
                      <w:highlight w:val="none"/>
                      <w:lang w:val="en-US" w:eastAsia="zh-CN"/>
                    </w:rPr>
                  </w:pPr>
                  <w:r>
                    <w:rPr>
                      <w:rFonts w:hint="eastAsia"/>
                      <w:color w:val="auto"/>
                      <w:highlight w:val="none"/>
                      <w:lang w:val="en-US" w:eastAsia="zh-CN"/>
                    </w:rPr>
                    <w:t>1.548</w:t>
                  </w:r>
                </w:p>
              </w:tc>
              <w:tc>
                <w:tcPr>
                  <w:tcW w:w="654" w:type="pct"/>
                  <w:noWrap w:val="0"/>
                  <w:vAlign w:val="center"/>
                </w:tcPr>
                <w:p w14:paraId="572596C9">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cs="Times New Roman"/>
                      <w:color w:val="auto"/>
                      <w:highlight w:val="none"/>
                      <w:lang w:val="en-US" w:eastAsia="zh-CN"/>
                    </w:rPr>
                  </w:pPr>
                  <w:r>
                    <w:rPr>
                      <w:rFonts w:hint="eastAsia"/>
                      <w:color w:val="auto"/>
                      <w:highlight w:val="none"/>
                      <w:lang w:val="en-US" w:eastAsia="zh-CN"/>
                    </w:rPr>
                    <w:t>193.5</w:t>
                  </w:r>
                </w:p>
              </w:tc>
              <w:tc>
                <w:tcPr>
                  <w:tcW w:w="594" w:type="pct"/>
                  <w:noWrap w:val="0"/>
                  <w:vAlign w:val="center"/>
                </w:tcPr>
                <w:p w14:paraId="6ED74A7D">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30min</w:t>
                  </w:r>
                </w:p>
              </w:tc>
              <w:tc>
                <w:tcPr>
                  <w:tcW w:w="734" w:type="pct"/>
                  <w:vMerge w:val="continue"/>
                  <w:noWrap w:val="0"/>
                  <w:vAlign w:val="center"/>
                </w:tcPr>
                <w:p w14:paraId="7FAA6062">
                  <w:pPr>
                    <w:pStyle w:val="10"/>
                    <w:bidi w:val="0"/>
                    <w:rPr>
                      <w:rFonts w:hint="default" w:ascii="Times New Roman" w:hAnsi="Times New Roman" w:cs="Times New Roman"/>
                      <w:color w:val="auto"/>
                      <w:highlight w:val="none"/>
                      <w:lang w:val="en-US" w:eastAsia="zh-CN"/>
                    </w:rPr>
                  </w:pPr>
                </w:p>
              </w:tc>
            </w:tr>
            <w:tr w14:paraId="17D35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6" w:hRule="atLeast"/>
              </w:trPr>
              <w:tc>
                <w:tcPr>
                  <w:tcW w:w="658" w:type="pct"/>
                  <w:vMerge w:val="continue"/>
                  <w:noWrap w:val="0"/>
                  <w:vAlign w:val="center"/>
                </w:tcPr>
                <w:p w14:paraId="155F885D">
                  <w:pPr>
                    <w:pStyle w:val="10"/>
                    <w:bidi w:val="0"/>
                    <w:rPr>
                      <w:rFonts w:hint="default" w:ascii="Times New Roman" w:hAnsi="Times New Roman" w:cs="Times New Roman"/>
                      <w:color w:val="auto"/>
                      <w:highlight w:val="none"/>
                      <w:lang w:val="en-US" w:eastAsia="zh-CN"/>
                    </w:rPr>
                  </w:pPr>
                </w:p>
              </w:tc>
              <w:tc>
                <w:tcPr>
                  <w:tcW w:w="511" w:type="pct"/>
                  <w:vMerge w:val="continue"/>
                  <w:shd w:val="clear" w:color="auto" w:fill="auto"/>
                  <w:noWrap w:val="0"/>
                  <w:vAlign w:val="center"/>
                </w:tcPr>
                <w:p w14:paraId="34F1DE76">
                  <w:pPr>
                    <w:pStyle w:val="10"/>
                    <w:bidi w:val="0"/>
                    <w:ind w:right="0" w:rightChars="0" w:firstLine="0" w:firstLineChars="0"/>
                    <w:rPr>
                      <w:rFonts w:hint="default" w:ascii="Times New Roman" w:hAnsi="Times New Roman" w:cs="Times New Roman"/>
                      <w:color w:val="auto"/>
                      <w:highlight w:val="none"/>
                      <w:lang w:val="en-US" w:eastAsia="zh-CN"/>
                    </w:rPr>
                  </w:pPr>
                </w:p>
              </w:tc>
              <w:tc>
                <w:tcPr>
                  <w:tcW w:w="645" w:type="pct"/>
                  <w:noWrap w:val="0"/>
                  <w:vAlign w:val="center"/>
                </w:tcPr>
                <w:p w14:paraId="101C4F9A">
                  <w:pPr>
                    <w:pStyle w:val="10"/>
                    <w:bidi w:val="0"/>
                    <w:ind w:right="0" w:rightChars="0" w:firstLine="0" w:firstLineChars="0"/>
                    <w:rPr>
                      <w:rFonts w:hint="eastAsia" w:cs="Times New Roman"/>
                      <w:color w:val="auto"/>
                      <w:highlight w:val="none"/>
                      <w:lang w:val="en-US" w:eastAsia="zh-CN"/>
                    </w:rPr>
                  </w:pPr>
                  <w:r>
                    <w:rPr>
                      <w:rFonts w:hint="eastAsia" w:cs="Times New Roman"/>
                      <w:color w:val="auto"/>
                      <w:highlight w:val="none"/>
                      <w:lang w:val="en-US" w:eastAsia="zh-CN"/>
                    </w:rPr>
                    <w:t>氯化氢</w:t>
                  </w:r>
                </w:p>
              </w:tc>
              <w:tc>
                <w:tcPr>
                  <w:tcW w:w="582" w:type="pct"/>
                  <w:noWrap w:val="0"/>
                  <w:vAlign w:val="center"/>
                </w:tcPr>
                <w:p w14:paraId="43DB94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sz w:val="21"/>
                      <w:szCs w:val="21"/>
                      <w:highlight w:val="none"/>
                      <w:lang w:val="en-US" w:eastAsia="zh-CN"/>
                    </w:rPr>
                    <w:t>1次/1年</w:t>
                  </w:r>
                </w:p>
              </w:tc>
              <w:tc>
                <w:tcPr>
                  <w:tcW w:w="618" w:type="pct"/>
                  <w:noWrap w:val="0"/>
                  <w:vAlign w:val="center"/>
                </w:tcPr>
                <w:p w14:paraId="4FDAFF5B">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0.00007</w:t>
                  </w:r>
                </w:p>
              </w:tc>
              <w:tc>
                <w:tcPr>
                  <w:tcW w:w="654" w:type="pct"/>
                  <w:noWrap w:val="0"/>
                  <w:vAlign w:val="center"/>
                </w:tcPr>
                <w:p w14:paraId="483D86B5">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0.00875</w:t>
                  </w:r>
                </w:p>
              </w:tc>
              <w:tc>
                <w:tcPr>
                  <w:tcW w:w="594" w:type="pct"/>
                  <w:noWrap w:val="0"/>
                  <w:vAlign w:val="center"/>
                </w:tcPr>
                <w:p w14:paraId="6E2B32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30min</w:t>
                  </w:r>
                </w:p>
              </w:tc>
              <w:tc>
                <w:tcPr>
                  <w:tcW w:w="734" w:type="pct"/>
                  <w:vMerge w:val="continue"/>
                  <w:noWrap w:val="0"/>
                  <w:vAlign w:val="center"/>
                </w:tcPr>
                <w:p w14:paraId="281CC1D4">
                  <w:pPr>
                    <w:pStyle w:val="10"/>
                    <w:bidi w:val="0"/>
                    <w:rPr>
                      <w:rFonts w:hint="default" w:ascii="Times New Roman" w:hAnsi="Times New Roman" w:cs="Times New Roman"/>
                      <w:color w:val="auto"/>
                      <w:highlight w:val="none"/>
                      <w:lang w:val="en-US" w:eastAsia="zh-CN"/>
                    </w:rPr>
                  </w:pPr>
                </w:p>
              </w:tc>
            </w:tr>
            <w:tr w14:paraId="351A5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6" w:hRule="atLeast"/>
              </w:trPr>
              <w:tc>
                <w:tcPr>
                  <w:tcW w:w="658" w:type="pct"/>
                  <w:vMerge w:val="continue"/>
                  <w:noWrap w:val="0"/>
                  <w:vAlign w:val="center"/>
                </w:tcPr>
                <w:p w14:paraId="444F8C4D">
                  <w:pPr>
                    <w:pStyle w:val="10"/>
                    <w:bidi w:val="0"/>
                    <w:rPr>
                      <w:rFonts w:hint="default" w:ascii="Times New Roman" w:hAnsi="Times New Roman" w:cs="Times New Roman"/>
                      <w:color w:val="auto"/>
                      <w:highlight w:val="none"/>
                      <w:lang w:val="en-US" w:eastAsia="zh-CN"/>
                    </w:rPr>
                  </w:pPr>
                </w:p>
              </w:tc>
              <w:tc>
                <w:tcPr>
                  <w:tcW w:w="511" w:type="pct"/>
                  <w:vMerge w:val="continue"/>
                  <w:shd w:val="clear" w:color="auto" w:fill="auto"/>
                  <w:noWrap w:val="0"/>
                  <w:vAlign w:val="center"/>
                </w:tcPr>
                <w:p w14:paraId="2B937CB2">
                  <w:pPr>
                    <w:pStyle w:val="10"/>
                    <w:bidi w:val="0"/>
                    <w:ind w:right="0" w:rightChars="0" w:firstLine="0" w:firstLineChars="0"/>
                    <w:rPr>
                      <w:rFonts w:hint="default" w:ascii="Times New Roman" w:hAnsi="Times New Roman" w:cs="Times New Roman"/>
                      <w:color w:val="auto"/>
                      <w:highlight w:val="none"/>
                      <w:lang w:val="en-US" w:eastAsia="zh-CN"/>
                    </w:rPr>
                  </w:pPr>
                </w:p>
              </w:tc>
              <w:tc>
                <w:tcPr>
                  <w:tcW w:w="645" w:type="pct"/>
                  <w:noWrap w:val="0"/>
                  <w:vAlign w:val="center"/>
                </w:tcPr>
                <w:p w14:paraId="598ACF54">
                  <w:pPr>
                    <w:pStyle w:val="10"/>
                    <w:bidi w:val="0"/>
                    <w:ind w:right="0" w:rightChars="0" w:firstLine="0" w:firstLineChars="0"/>
                    <w:rPr>
                      <w:rFonts w:hint="eastAsia" w:cs="Times New Roman"/>
                      <w:color w:val="auto"/>
                      <w:highlight w:val="none"/>
                      <w:lang w:val="en-US" w:eastAsia="zh-CN"/>
                    </w:rPr>
                  </w:pPr>
                  <w:r>
                    <w:rPr>
                      <w:rFonts w:hint="eastAsia" w:cs="Times New Roman"/>
                      <w:color w:val="auto"/>
                      <w:highlight w:val="none"/>
                      <w:lang w:val="en-US" w:eastAsia="zh-CN"/>
                    </w:rPr>
                    <w:t>氯乙烯</w:t>
                  </w:r>
                </w:p>
              </w:tc>
              <w:tc>
                <w:tcPr>
                  <w:tcW w:w="582" w:type="pct"/>
                  <w:noWrap w:val="0"/>
                  <w:vAlign w:val="center"/>
                </w:tcPr>
                <w:p w14:paraId="00723F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sz w:val="21"/>
                      <w:szCs w:val="21"/>
                      <w:highlight w:val="none"/>
                      <w:lang w:val="en-US" w:eastAsia="zh-CN"/>
                    </w:rPr>
                    <w:t>1次/1年</w:t>
                  </w:r>
                </w:p>
              </w:tc>
              <w:tc>
                <w:tcPr>
                  <w:tcW w:w="618" w:type="pct"/>
                  <w:noWrap w:val="0"/>
                  <w:vAlign w:val="center"/>
                </w:tcPr>
                <w:p w14:paraId="51933B7D">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0.00008</w:t>
                  </w:r>
                </w:p>
              </w:tc>
              <w:tc>
                <w:tcPr>
                  <w:tcW w:w="654" w:type="pct"/>
                  <w:noWrap w:val="0"/>
                  <w:vAlign w:val="center"/>
                </w:tcPr>
                <w:p w14:paraId="49B3134C">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0.01</w:t>
                  </w:r>
                </w:p>
              </w:tc>
              <w:tc>
                <w:tcPr>
                  <w:tcW w:w="594" w:type="pct"/>
                  <w:noWrap w:val="0"/>
                  <w:vAlign w:val="center"/>
                </w:tcPr>
                <w:p w14:paraId="38AB31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30min</w:t>
                  </w:r>
                </w:p>
              </w:tc>
              <w:tc>
                <w:tcPr>
                  <w:tcW w:w="734" w:type="pct"/>
                  <w:vMerge w:val="continue"/>
                  <w:noWrap w:val="0"/>
                  <w:vAlign w:val="center"/>
                </w:tcPr>
                <w:p w14:paraId="0FA2D2C1">
                  <w:pPr>
                    <w:pStyle w:val="10"/>
                    <w:bidi w:val="0"/>
                    <w:rPr>
                      <w:rFonts w:hint="default" w:ascii="Times New Roman" w:hAnsi="Times New Roman" w:cs="Times New Roman"/>
                      <w:color w:val="auto"/>
                      <w:highlight w:val="none"/>
                      <w:lang w:val="en-US" w:eastAsia="zh-CN"/>
                    </w:rPr>
                  </w:pPr>
                </w:p>
              </w:tc>
            </w:tr>
          </w:tbl>
          <w:p w14:paraId="191862D6">
            <w:pPr>
              <w:keepNext w:val="0"/>
              <w:keepLines w:val="0"/>
              <w:pageBreakBefore w:val="0"/>
              <w:widowControl/>
              <w:suppressLineNumbers w:val="0"/>
              <w:kinsoku/>
              <w:overflowPunct/>
              <w:bidi w:val="0"/>
              <w:spacing w:line="360" w:lineRule="auto"/>
              <w:ind w:firstLine="480" w:firstLineChars="200"/>
              <w:jc w:val="left"/>
              <w:rPr>
                <w:rFonts w:hint="eastAsia"/>
                <w:bCs/>
                <w:sz w:val="24"/>
                <w:highlight w:val="none"/>
                <w:lang w:eastAsia="zh-CN"/>
              </w:rPr>
            </w:pPr>
            <w:r>
              <w:rPr>
                <w:bCs/>
                <w:color w:val="auto"/>
                <w:sz w:val="24"/>
              </w:rPr>
              <w:t>由上表可知，非正常排放情况下，</w:t>
            </w:r>
            <w:r>
              <w:rPr>
                <w:rFonts w:hint="eastAsia"/>
                <w:color w:val="auto"/>
                <w:highlight w:val="none"/>
                <w:lang w:val="en-US" w:eastAsia="zh-CN"/>
              </w:rPr>
              <w:t>挤出、喷码、注塑</w:t>
            </w:r>
            <w:r>
              <w:rPr>
                <w:rFonts w:hint="default"/>
                <w:color w:val="auto"/>
                <w:highlight w:val="none"/>
                <w:lang w:eastAsia="zh-CN"/>
              </w:rPr>
              <w:t>工序非甲烷总烃</w:t>
            </w:r>
            <w:r>
              <w:rPr>
                <w:rFonts w:hint="eastAsia"/>
                <w:color w:val="auto"/>
                <w:highlight w:val="none"/>
                <w:lang w:val="en-US" w:eastAsia="zh-CN"/>
              </w:rPr>
              <w:t>有组织</w:t>
            </w:r>
            <w:r>
              <w:rPr>
                <w:rFonts w:hint="default"/>
                <w:color w:val="auto"/>
                <w:highlight w:val="none"/>
                <w:lang w:eastAsia="zh-CN"/>
              </w:rPr>
              <w:t>排放</w:t>
            </w:r>
            <w:r>
              <w:rPr>
                <w:rFonts w:hint="eastAsia"/>
                <w:color w:val="auto"/>
                <w:highlight w:val="none"/>
                <w:lang w:val="en-US" w:eastAsia="zh-CN"/>
              </w:rPr>
              <w:t>可以满足《固定源挥发性有机物综合排放标准 第6部分：其他行业》（DB 34/4812.6-2024）表1中</w:t>
            </w:r>
            <w:r>
              <w:rPr>
                <w:rFonts w:hint="default"/>
                <w:color w:val="auto"/>
                <w:highlight w:val="none"/>
                <w:lang w:eastAsia="zh-CN"/>
              </w:rPr>
              <w:t>标准</w:t>
            </w:r>
            <w:r>
              <w:rPr>
                <w:rFonts w:hint="eastAsia"/>
                <w:color w:val="auto"/>
                <w:highlight w:val="none"/>
                <w:lang w:val="en-US" w:eastAsia="zh-CN"/>
              </w:rPr>
              <w:t>限值要求</w:t>
            </w:r>
            <w:r>
              <w:rPr>
                <w:rFonts w:hint="eastAsia"/>
                <w:bCs/>
                <w:sz w:val="24"/>
                <w:highlight w:val="none"/>
                <w:lang w:val="en-US" w:eastAsia="zh-CN"/>
              </w:rPr>
              <w:t>。混合熔融、挤出造粒工序非甲烷总烃有组织排放量不能</w:t>
            </w:r>
            <w:r>
              <w:rPr>
                <w:rFonts w:hint="eastAsia"/>
                <w:color w:val="auto"/>
                <w:highlight w:val="none"/>
                <w:lang w:val="en-US" w:eastAsia="zh-CN"/>
              </w:rPr>
              <w:t>满足《固定源挥发性有机物综合排放标准 第6部分：其他行业》（DB 34/4812.6-2024）表1中</w:t>
            </w:r>
            <w:r>
              <w:rPr>
                <w:rFonts w:hint="default"/>
                <w:color w:val="auto"/>
                <w:highlight w:val="none"/>
                <w:lang w:eastAsia="zh-CN"/>
              </w:rPr>
              <w:t>标准</w:t>
            </w:r>
            <w:r>
              <w:rPr>
                <w:rFonts w:hint="eastAsia"/>
                <w:color w:val="auto"/>
                <w:highlight w:val="none"/>
                <w:lang w:val="en-US" w:eastAsia="zh-CN"/>
              </w:rPr>
              <w:t>限值要求；投料、冷却工序颗粒物不可以满足</w:t>
            </w:r>
            <w:r>
              <w:rPr>
                <w:rFonts w:hint="default"/>
                <w:color w:val="auto"/>
                <w:highlight w:val="none"/>
              </w:rPr>
              <w:t>《大气污染物综合排放标准》（GB16297-1996）</w:t>
            </w:r>
            <w:r>
              <w:rPr>
                <w:rFonts w:hint="eastAsia"/>
                <w:color w:val="auto"/>
                <w:highlight w:val="none"/>
                <w:lang w:val="en-US" w:eastAsia="zh-CN"/>
              </w:rPr>
              <w:t>表2中限值要求。故</w:t>
            </w:r>
            <w:r>
              <w:rPr>
                <w:bCs/>
                <w:sz w:val="24"/>
                <w:highlight w:val="none"/>
              </w:rPr>
              <w:t>非正常工况下会对周边环境产生一定的影响。</w:t>
            </w:r>
          </w:p>
          <w:p w14:paraId="066C38CE">
            <w:pPr>
              <w:bidi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为避免或减少非正常排放，本次环评提出以下措施：</w:t>
            </w:r>
          </w:p>
          <w:p w14:paraId="2533A6E6">
            <w:pPr>
              <w:bidi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①制定作业规程，首先运行废气处理装置，然后再开启车间的生产设备；车间停工时，废气处理装置继续运行，待工艺中产生的废气全部排出之后再关闭；</w:t>
            </w:r>
          </w:p>
          <w:p w14:paraId="410F67AA">
            <w:pPr>
              <w:bidi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②废气处理设备设施发生故障时，涉及的生产工序应停止生产，直至设备正常工作；</w:t>
            </w:r>
          </w:p>
          <w:p w14:paraId="6530508D">
            <w:pPr>
              <w:bidi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③平时注意废气处理设施的维护保养，及时发现处理设备的隐患，确保废气处理系统正常运行。</w:t>
            </w:r>
          </w:p>
          <w:p w14:paraId="4997DC27">
            <w:pPr>
              <w:pStyle w:val="10"/>
              <w:rPr>
                <w:rFonts w:hint="eastAsia"/>
                <w:lang w:val="en-US" w:eastAsia="zh-CN"/>
              </w:rPr>
            </w:pPr>
          </w:p>
          <w:p w14:paraId="645664CA">
            <w:pPr>
              <w:keepNext w:val="0"/>
              <w:keepLines w:val="0"/>
              <w:pageBreakBefore w:val="0"/>
              <w:widowControl/>
              <w:suppressLineNumbers w:val="0"/>
              <w:kinsoku/>
              <w:overflowPunct/>
              <w:bidi w:val="0"/>
              <w:spacing w:line="360" w:lineRule="auto"/>
              <w:ind w:firstLine="482" w:firstLineChars="200"/>
              <w:jc w:val="left"/>
              <w:rPr>
                <w:rFonts w:hint="default" w:ascii="Times New Roman" w:hAnsi="Times New Roman" w:cs="Times New Roman"/>
                <w:color w:val="auto"/>
                <w:sz w:val="24"/>
                <w:szCs w:val="24"/>
                <w:highlight w:val="none"/>
              </w:rPr>
            </w:pPr>
            <w:r>
              <w:rPr>
                <w:rFonts w:hint="eastAsia" w:cs="Times New Roman"/>
                <w:b/>
                <w:bCs/>
                <w:color w:val="auto"/>
                <w:kern w:val="0"/>
                <w:sz w:val="24"/>
                <w:szCs w:val="24"/>
                <w:highlight w:val="none"/>
                <w:lang w:val="en-US" w:eastAsia="zh-CN" w:bidi="ar"/>
              </w:rPr>
              <w:t>4</w:t>
            </w:r>
            <w:r>
              <w:rPr>
                <w:rFonts w:hint="default" w:ascii="Times New Roman" w:hAnsi="Times New Roman" w:cs="Times New Roman"/>
                <w:b/>
                <w:bCs/>
                <w:color w:val="auto"/>
                <w:kern w:val="0"/>
                <w:sz w:val="24"/>
                <w:szCs w:val="24"/>
                <w:highlight w:val="none"/>
                <w:lang w:val="en-US" w:eastAsia="zh-CN" w:bidi="ar"/>
              </w:rPr>
              <w:t>、监测计划</w:t>
            </w:r>
          </w:p>
          <w:p w14:paraId="5A7D8BD2">
            <w:pPr>
              <w:bidi w:val="0"/>
              <w:rPr>
                <w:rFonts w:hint="eastAsia"/>
                <w:color w:val="auto"/>
                <w:highlight w:val="none"/>
                <w:lang w:val="en-US" w:eastAsia="zh-CN"/>
              </w:rPr>
            </w:pPr>
            <w:r>
              <w:rPr>
                <w:rFonts w:hint="eastAsia" w:ascii="Times New Roman" w:hAnsi="Times New Roman" w:eastAsia="宋体" w:cs="Times New Roman"/>
                <w:color w:val="auto"/>
                <w:sz w:val="24"/>
                <w:highlight w:val="none"/>
                <w:lang w:val="en-US" w:eastAsia="zh-CN"/>
              </w:rPr>
              <w:t>本项目属于国民经济行业类别中的C3831电线、电缆制造，对照《固定污染源排污许可分类管理名录》（2019年版），本项目为登记管理，不需要申领排污许可证，亦不需要开展自行监测。鉴于本项目排放污染物，建议本项目开展污染源监测，废气污染源监测点位、监测项目及监测频次见下表。</w:t>
            </w:r>
          </w:p>
          <w:p w14:paraId="1D8BBCFE">
            <w:pPr>
              <w:pStyle w:val="5"/>
              <w:bidi w:val="0"/>
              <w:rPr>
                <w:color w:val="auto"/>
                <w:highlight w:val="none"/>
              </w:rPr>
            </w:pPr>
          </w:p>
          <w:p w14:paraId="07FF3E99">
            <w:pPr>
              <w:pStyle w:val="5"/>
              <w:bidi w:val="0"/>
              <w:rPr>
                <w:color w:val="auto"/>
                <w:highlight w:val="none"/>
              </w:rPr>
            </w:pPr>
          </w:p>
          <w:p w14:paraId="66B1525C">
            <w:pPr>
              <w:pStyle w:val="5"/>
              <w:bidi w:val="0"/>
              <w:rPr>
                <w:color w:val="auto"/>
                <w:highlight w:val="none"/>
              </w:rPr>
            </w:pPr>
          </w:p>
          <w:p w14:paraId="10364075">
            <w:pPr>
              <w:pStyle w:val="5"/>
              <w:bidi w:val="0"/>
              <w:rPr>
                <w:color w:val="auto"/>
                <w:highlight w:val="none"/>
              </w:rPr>
            </w:pPr>
          </w:p>
          <w:p w14:paraId="744AAE87">
            <w:pPr>
              <w:pStyle w:val="5"/>
              <w:bidi w:val="0"/>
              <w:rPr>
                <w:color w:val="auto"/>
                <w:highlight w:val="none"/>
              </w:rPr>
            </w:pPr>
          </w:p>
          <w:p w14:paraId="0D25F482">
            <w:pPr>
              <w:pStyle w:val="5"/>
              <w:bidi w:val="0"/>
              <w:rPr>
                <w:color w:val="auto"/>
                <w:highlight w:val="none"/>
              </w:rPr>
            </w:pPr>
          </w:p>
          <w:p w14:paraId="6356B9C6">
            <w:pPr>
              <w:pStyle w:val="5"/>
              <w:bidi w:val="0"/>
              <w:rPr>
                <w:color w:val="auto"/>
                <w:highlight w:val="none"/>
              </w:rPr>
            </w:pPr>
          </w:p>
          <w:p w14:paraId="3B3FFD32">
            <w:pPr>
              <w:pStyle w:val="5"/>
              <w:bidi w:val="0"/>
              <w:rPr>
                <w:color w:val="auto"/>
                <w:highlight w:val="none"/>
              </w:rPr>
            </w:pPr>
          </w:p>
          <w:p w14:paraId="01D4F1B4">
            <w:pPr>
              <w:pStyle w:val="5"/>
              <w:bidi w:val="0"/>
              <w:rPr>
                <w:color w:val="auto"/>
                <w:highlight w:val="none"/>
              </w:rPr>
            </w:pPr>
          </w:p>
          <w:p w14:paraId="17F798C0">
            <w:pPr>
              <w:pStyle w:val="5"/>
              <w:bidi w:val="0"/>
              <w:rPr>
                <w:rFonts w:hint="eastAsia"/>
                <w:color w:val="auto"/>
                <w:highlight w:val="none"/>
              </w:rPr>
            </w:pPr>
            <w:r>
              <w:rPr>
                <w:color w:val="auto"/>
                <w:highlight w:val="none"/>
              </w:rPr>
              <w:t>表4-</w:t>
            </w:r>
            <w:r>
              <w:rPr>
                <w:rFonts w:hint="eastAsia"/>
                <w:color w:val="auto"/>
                <w:highlight w:val="none"/>
                <w:lang w:val="en-US" w:eastAsia="zh-CN"/>
              </w:rPr>
              <w:t xml:space="preserve">5 </w:t>
            </w:r>
            <w:r>
              <w:rPr>
                <w:color w:val="auto"/>
                <w:highlight w:val="none"/>
              </w:rPr>
              <w:t>废气</w:t>
            </w:r>
            <w:r>
              <w:rPr>
                <w:rFonts w:hint="eastAsia"/>
                <w:color w:val="auto"/>
                <w:highlight w:val="none"/>
                <w:lang w:val="en-US" w:eastAsia="zh-CN"/>
              </w:rPr>
              <w:t>污染源监测</w:t>
            </w:r>
            <w:r>
              <w:rPr>
                <w:color w:val="auto"/>
                <w:highlight w:val="none"/>
              </w:rPr>
              <w:t>信息表</w:t>
            </w:r>
          </w:p>
          <w:tbl>
            <w:tblPr>
              <w:tblStyle w:val="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4"/>
              <w:gridCol w:w="961"/>
              <w:gridCol w:w="1316"/>
              <w:gridCol w:w="3874"/>
              <w:gridCol w:w="1521"/>
            </w:tblGrid>
            <w:tr w14:paraId="1F857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2" w:type="pct"/>
                  <w:noWrap w:val="0"/>
                  <w:vAlign w:val="center"/>
                </w:tcPr>
                <w:p w14:paraId="243FC986">
                  <w:pPr>
                    <w:pStyle w:val="10"/>
                    <w:keepNext w:val="0"/>
                    <w:keepLines w:val="0"/>
                    <w:pageBreakBefore w:val="0"/>
                    <w:kinsoku/>
                    <w:wordWrap/>
                    <w:overflowPunct/>
                    <w:topLinePunct w:val="0"/>
                    <w:autoSpaceDE/>
                    <w:autoSpaceDN/>
                    <w:bidi w:val="0"/>
                    <w:adjustRightInd w:val="0"/>
                    <w:snapToGrid w:val="0"/>
                    <w:textAlignment w:val="auto"/>
                    <w:rPr>
                      <w:rFonts w:hint="default" w:eastAsia="宋体"/>
                      <w:b/>
                      <w:bCs/>
                      <w:color w:val="auto"/>
                      <w:highlight w:val="none"/>
                      <w:lang w:val="en-US" w:eastAsia="zh-CN"/>
                    </w:rPr>
                  </w:pPr>
                  <w:r>
                    <w:rPr>
                      <w:rFonts w:hint="eastAsia"/>
                      <w:b/>
                      <w:bCs/>
                      <w:color w:val="auto"/>
                      <w:highlight w:val="none"/>
                      <w:lang w:val="en-US" w:eastAsia="zh-CN"/>
                    </w:rPr>
                    <w:t>序号</w:t>
                  </w:r>
                </w:p>
              </w:tc>
              <w:tc>
                <w:tcPr>
                  <w:tcW w:w="578" w:type="pct"/>
                  <w:noWrap w:val="0"/>
                  <w:vAlign w:val="center"/>
                </w:tcPr>
                <w:p w14:paraId="06B0DB30">
                  <w:pPr>
                    <w:pStyle w:val="10"/>
                    <w:keepNext w:val="0"/>
                    <w:keepLines w:val="0"/>
                    <w:pageBreakBefore w:val="0"/>
                    <w:kinsoku/>
                    <w:wordWrap/>
                    <w:overflowPunct/>
                    <w:topLinePunct w:val="0"/>
                    <w:autoSpaceDE/>
                    <w:autoSpaceDN/>
                    <w:bidi w:val="0"/>
                    <w:adjustRightInd w:val="0"/>
                    <w:snapToGrid w:val="0"/>
                    <w:textAlignment w:val="auto"/>
                    <w:rPr>
                      <w:rFonts w:hint="default" w:eastAsia="宋体"/>
                      <w:b/>
                      <w:bCs/>
                      <w:color w:val="auto"/>
                      <w:highlight w:val="none"/>
                      <w:lang w:val="en-US" w:eastAsia="zh-CN"/>
                    </w:rPr>
                  </w:pPr>
                  <w:r>
                    <w:rPr>
                      <w:rFonts w:hint="eastAsia" w:eastAsia="宋体"/>
                      <w:b/>
                      <w:bCs/>
                      <w:color w:val="auto"/>
                      <w:highlight w:val="none"/>
                      <w:lang w:val="en-US" w:eastAsia="zh-CN"/>
                    </w:rPr>
                    <w:t>类别</w:t>
                  </w:r>
                </w:p>
              </w:tc>
              <w:tc>
                <w:tcPr>
                  <w:tcW w:w="792" w:type="pct"/>
                  <w:noWrap w:val="0"/>
                  <w:vAlign w:val="center"/>
                </w:tcPr>
                <w:p w14:paraId="0AA0B33E">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rPr>
                      <w:rFonts w:hint="eastAsia" w:eastAsia="宋体"/>
                      <w:b/>
                      <w:bCs/>
                      <w:color w:val="auto"/>
                      <w:highlight w:val="none"/>
                      <w:lang w:val="en-US" w:eastAsia="zh-CN"/>
                    </w:rPr>
                  </w:pPr>
                  <w:r>
                    <w:rPr>
                      <w:rFonts w:hint="eastAsia"/>
                      <w:b/>
                      <w:bCs/>
                      <w:color w:val="auto"/>
                      <w:highlight w:val="none"/>
                      <w:lang w:val="en-US" w:eastAsia="zh-CN"/>
                    </w:rPr>
                    <w:t>监测点</w:t>
                  </w:r>
                </w:p>
              </w:tc>
              <w:tc>
                <w:tcPr>
                  <w:tcW w:w="2331" w:type="pct"/>
                  <w:noWrap w:val="0"/>
                  <w:vAlign w:val="center"/>
                </w:tcPr>
                <w:p w14:paraId="5095DED6">
                  <w:pPr>
                    <w:pStyle w:val="10"/>
                    <w:keepNext w:val="0"/>
                    <w:keepLines w:val="0"/>
                    <w:pageBreakBefore w:val="0"/>
                    <w:kinsoku/>
                    <w:wordWrap/>
                    <w:overflowPunct/>
                    <w:topLinePunct w:val="0"/>
                    <w:autoSpaceDE/>
                    <w:autoSpaceDN/>
                    <w:bidi w:val="0"/>
                    <w:adjustRightInd w:val="0"/>
                    <w:snapToGrid w:val="0"/>
                    <w:textAlignment w:val="auto"/>
                    <w:rPr>
                      <w:rFonts w:hint="eastAsia" w:eastAsia="宋体"/>
                      <w:b/>
                      <w:bCs/>
                      <w:color w:val="auto"/>
                      <w:highlight w:val="none"/>
                      <w:lang w:val="en-US" w:eastAsia="zh-CN"/>
                    </w:rPr>
                  </w:pPr>
                  <w:r>
                    <w:rPr>
                      <w:rFonts w:hint="eastAsia"/>
                      <w:b/>
                      <w:bCs/>
                      <w:color w:val="auto"/>
                      <w:highlight w:val="none"/>
                      <w:lang w:val="en-US" w:eastAsia="zh-CN"/>
                    </w:rPr>
                    <w:t>污染物名称</w:t>
                  </w:r>
                </w:p>
              </w:tc>
              <w:tc>
                <w:tcPr>
                  <w:tcW w:w="915" w:type="pct"/>
                  <w:noWrap w:val="0"/>
                  <w:vAlign w:val="center"/>
                </w:tcPr>
                <w:p w14:paraId="7164089B">
                  <w:pPr>
                    <w:pStyle w:val="10"/>
                    <w:keepNext w:val="0"/>
                    <w:keepLines w:val="0"/>
                    <w:pageBreakBefore w:val="0"/>
                    <w:kinsoku/>
                    <w:wordWrap/>
                    <w:overflowPunct/>
                    <w:topLinePunct w:val="0"/>
                    <w:autoSpaceDE/>
                    <w:autoSpaceDN/>
                    <w:bidi w:val="0"/>
                    <w:adjustRightInd w:val="0"/>
                    <w:snapToGrid w:val="0"/>
                    <w:textAlignment w:val="auto"/>
                    <w:rPr>
                      <w:rFonts w:hint="eastAsia" w:eastAsia="宋体"/>
                      <w:b/>
                      <w:bCs/>
                      <w:color w:val="auto"/>
                      <w:highlight w:val="none"/>
                      <w:lang w:val="en-US" w:eastAsia="zh-CN"/>
                    </w:rPr>
                  </w:pPr>
                  <w:r>
                    <w:rPr>
                      <w:rFonts w:hint="eastAsia"/>
                      <w:b/>
                      <w:bCs/>
                      <w:color w:val="auto"/>
                      <w:highlight w:val="none"/>
                      <w:lang w:val="en-US" w:eastAsia="zh-CN"/>
                    </w:rPr>
                    <w:t>检测频次</w:t>
                  </w:r>
                </w:p>
              </w:tc>
            </w:tr>
            <w:tr w14:paraId="597F9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2" w:type="pct"/>
                  <w:vMerge w:val="restart"/>
                  <w:noWrap w:val="0"/>
                  <w:vAlign w:val="center"/>
                </w:tcPr>
                <w:p w14:paraId="70454299">
                  <w:pPr>
                    <w:pStyle w:val="10"/>
                    <w:keepNext w:val="0"/>
                    <w:keepLines w:val="0"/>
                    <w:pageBreakBefore w:val="0"/>
                    <w:kinsoku/>
                    <w:wordWrap/>
                    <w:overflowPunct/>
                    <w:topLinePunct w:val="0"/>
                    <w:autoSpaceDE/>
                    <w:autoSpaceDN/>
                    <w:bidi w:val="0"/>
                    <w:adjustRightInd w:val="0"/>
                    <w:snapToGrid w:val="0"/>
                    <w:textAlignment w:val="auto"/>
                    <w:rPr>
                      <w:rFonts w:hint="default" w:eastAsia="宋体"/>
                      <w:color w:val="auto"/>
                      <w:highlight w:val="none"/>
                      <w:lang w:val="en-US" w:eastAsia="zh-CN"/>
                    </w:rPr>
                  </w:pPr>
                  <w:r>
                    <w:rPr>
                      <w:rFonts w:hint="eastAsia"/>
                      <w:color w:val="auto"/>
                      <w:highlight w:val="none"/>
                      <w:lang w:val="en-US" w:eastAsia="zh-CN"/>
                    </w:rPr>
                    <w:t>1</w:t>
                  </w:r>
                </w:p>
              </w:tc>
              <w:tc>
                <w:tcPr>
                  <w:tcW w:w="578" w:type="pct"/>
                  <w:vMerge w:val="restart"/>
                  <w:noWrap w:val="0"/>
                  <w:vAlign w:val="center"/>
                </w:tcPr>
                <w:p w14:paraId="4A754BF8">
                  <w:pPr>
                    <w:pStyle w:val="10"/>
                    <w:keepNext w:val="0"/>
                    <w:keepLines w:val="0"/>
                    <w:pageBreakBefore w:val="0"/>
                    <w:kinsoku/>
                    <w:wordWrap/>
                    <w:overflowPunct/>
                    <w:topLinePunct w:val="0"/>
                    <w:autoSpaceDE/>
                    <w:autoSpaceDN/>
                    <w:bidi w:val="0"/>
                    <w:adjustRightInd w:val="0"/>
                    <w:snapToGrid w:val="0"/>
                    <w:textAlignment w:val="auto"/>
                    <w:rPr>
                      <w:rFonts w:hint="default"/>
                      <w:color w:val="auto"/>
                      <w:highlight w:val="none"/>
                      <w:lang w:val="en-US" w:eastAsia="zh-CN"/>
                    </w:rPr>
                  </w:pPr>
                  <w:r>
                    <w:rPr>
                      <w:rFonts w:hint="eastAsia"/>
                      <w:color w:val="auto"/>
                      <w:highlight w:val="none"/>
                      <w:lang w:val="en-US" w:eastAsia="zh-CN"/>
                    </w:rPr>
                    <w:t>有组织废气</w:t>
                  </w:r>
                </w:p>
              </w:tc>
              <w:tc>
                <w:tcPr>
                  <w:tcW w:w="792" w:type="pct"/>
                  <w:vMerge w:val="restart"/>
                  <w:noWrap w:val="0"/>
                  <w:vAlign w:val="center"/>
                </w:tcPr>
                <w:p w14:paraId="23579E96">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DA001</w:t>
                  </w:r>
                </w:p>
              </w:tc>
              <w:tc>
                <w:tcPr>
                  <w:tcW w:w="2331" w:type="pct"/>
                  <w:noWrap w:val="0"/>
                  <w:vAlign w:val="center"/>
                </w:tcPr>
                <w:p w14:paraId="3D7C1145">
                  <w:pPr>
                    <w:pStyle w:val="10"/>
                    <w:keepNext w:val="0"/>
                    <w:keepLines w:val="0"/>
                    <w:pageBreakBefore w:val="0"/>
                    <w:kinsoku/>
                    <w:wordWrap/>
                    <w:overflowPunct/>
                    <w:topLinePunct w:val="0"/>
                    <w:autoSpaceDE/>
                    <w:autoSpaceDN/>
                    <w:bidi w:val="0"/>
                    <w:adjustRightInd w:val="0"/>
                    <w:snapToGrid w:val="0"/>
                    <w:textAlignment w:val="auto"/>
                    <w:rPr>
                      <w:rFonts w:hint="default" w:eastAsia="宋体"/>
                      <w:color w:val="auto"/>
                      <w:highlight w:val="none"/>
                      <w:lang w:val="en-US" w:eastAsia="zh-CN"/>
                    </w:rPr>
                  </w:pPr>
                  <w:r>
                    <w:rPr>
                      <w:rFonts w:hint="eastAsia"/>
                      <w:color w:val="auto"/>
                      <w:highlight w:val="none"/>
                      <w:lang w:val="en-US" w:eastAsia="zh-CN"/>
                    </w:rPr>
                    <w:t>非甲烷总烃</w:t>
                  </w:r>
                </w:p>
              </w:tc>
              <w:tc>
                <w:tcPr>
                  <w:tcW w:w="915" w:type="pct"/>
                  <w:noWrap w:val="0"/>
                  <w:vAlign w:val="center"/>
                </w:tcPr>
                <w:p w14:paraId="6613D405">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rPr>
                      <w:rFonts w:hint="eastAsia"/>
                      <w:color w:val="auto"/>
                      <w:highlight w:val="none"/>
                    </w:rPr>
                  </w:pPr>
                  <w:r>
                    <w:rPr>
                      <w:rFonts w:hint="default" w:ascii="Times New Roman" w:hAnsi="Times New Roman" w:eastAsia="宋体" w:cs="Times New Roman"/>
                      <w:b w:val="0"/>
                      <w:bCs w:val="0"/>
                      <w:color w:val="auto"/>
                      <w:szCs w:val="21"/>
                      <w:highlight w:val="none"/>
                      <w:lang w:val="en-US" w:eastAsia="zh-CN"/>
                    </w:rPr>
                    <w:t>1次/</w:t>
                  </w:r>
                  <w:r>
                    <w:rPr>
                      <w:rFonts w:hint="eastAsia" w:cs="Times New Roman"/>
                      <w:b w:val="0"/>
                      <w:bCs w:val="0"/>
                      <w:color w:val="auto"/>
                      <w:szCs w:val="21"/>
                      <w:highlight w:val="none"/>
                      <w:lang w:val="en-US" w:eastAsia="zh-CN"/>
                    </w:rPr>
                    <w:t>半</w:t>
                  </w:r>
                  <w:r>
                    <w:rPr>
                      <w:rFonts w:hint="default" w:ascii="Times New Roman" w:hAnsi="Times New Roman" w:eastAsia="宋体" w:cs="Times New Roman"/>
                      <w:b w:val="0"/>
                      <w:bCs w:val="0"/>
                      <w:color w:val="auto"/>
                      <w:szCs w:val="21"/>
                      <w:highlight w:val="none"/>
                      <w:lang w:val="en-US" w:eastAsia="zh-CN"/>
                    </w:rPr>
                    <w:t>年</w:t>
                  </w:r>
                </w:p>
              </w:tc>
            </w:tr>
            <w:tr w14:paraId="1C4C4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2" w:type="pct"/>
                  <w:vMerge w:val="continue"/>
                  <w:noWrap w:val="0"/>
                  <w:vAlign w:val="center"/>
                </w:tcPr>
                <w:p w14:paraId="382125D0">
                  <w:pPr>
                    <w:pStyle w:val="10"/>
                    <w:keepNext w:val="0"/>
                    <w:keepLines w:val="0"/>
                    <w:pageBreakBefore w:val="0"/>
                    <w:kinsoku/>
                    <w:wordWrap/>
                    <w:overflowPunct/>
                    <w:topLinePunct w:val="0"/>
                    <w:autoSpaceDE/>
                    <w:autoSpaceDN/>
                    <w:bidi w:val="0"/>
                    <w:adjustRightInd w:val="0"/>
                    <w:snapToGrid w:val="0"/>
                    <w:textAlignment w:val="auto"/>
                  </w:pPr>
                </w:p>
              </w:tc>
              <w:tc>
                <w:tcPr>
                  <w:tcW w:w="578" w:type="pct"/>
                  <w:vMerge w:val="continue"/>
                  <w:noWrap w:val="0"/>
                  <w:vAlign w:val="center"/>
                </w:tcPr>
                <w:p w14:paraId="2F260A3F">
                  <w:pPr>
                    <w:pStyle w:val="10"/>
                    <w:keepNext w:val="0"/>
                    <w:keepLines w:val="0"/>
                    <w:pageBreakBefore w:val="0"/>
                    <w:kinsoku/>
                    <w:wordWrap/>
                    <w:overflowPunct/>
                    <w:topLinePunct w:val="0"/>
                    <w:autoSpaceDE/>
                    <w:autoSpaceDN/>
                    <w:bidi w:val="0"/>
                    <w:adjustRightInd w:val="0"/>
                    <w:snapToGrid w:val="0"/>
                    <w:textAlignment w:val="auto"/>
                  </w:pPr>
                </w:p>
              </w:tc>
              <w:tc>
                <w:tcPr>
                  <w:tcW w:w="792" w:type="pct"/>
                  <w:vMerge w:val="continue"/>
                  <w:noWrap w:val="0"/>
                  <w:vAlign w:val="center"/>
                </w:tcPr>
                <w:p w14:paraId="4194FA5F">
                  <w:pPr>
                    <w:pStyle w:val="10"/>
                    <w:keepNext w:val="0"/>
                    <w:keepLines w:val="0"/>
                    <w:pageBreakBefore w:val="0"/>
                    <w:kinsoku/>
                    <w:wordWrap/>
                    <w:overflowPunct/>
                    <w:topLinePunct w:val="0"/>
                    <w:autoSpaceDE/>
                    <w:autoSpaceDN/>
                    <w:bidi w:val="0"/>
                    <w:adjustRightInd w:val="0"/>
                    <w:snapToGrid w:val="0"/>
                    <w:textAlignment w:val="auto"/>
                  </w:pPr>
                </w:p>
              </w:tc>
              <w:tc>
                <w:tcPr>
                  <w:tcW w:w="2331" w:type="pct"/>
                  <w:noWrap w:val="0"/>
                  <w:vAlign w:val="center"/>
                </w:tcPr>
                <w:p w14:paraId="1CF5EAD5">
                  <w:pPr>
                    <w:pStyle w:val="10"/>
                    <w:keepNext w:val="0"/>
                    <w:keepLines w:val="0"/>
                    <w:pageBreakBefore w:val="0"/>
                    <w:kinsoku/>
                    <w:wordWrap/>
                    <w:overflowPunct/>
                    <w:topLinePunct w:val="0"/>
                    <w:autoSpaceDE/>
                    <w:autoSpaceDN/>
                    <w:bidi w:val="0"/>
                    <w:adjustRightInd w:val="0"/>
                    <w:snapToGrid w:val="0"/>
                    <w:textAlignment w:val="auto"/>
                    <w:rPr>
                      <w:rFonts w:hint="eastAsia"/>
                      <w:color w:val="auto"/>
                      <w:highlight w:val="none"/>
                      <w:lang w:val="en-US" w:eastAsia="zh-CN"/>
                    </w:rPr>
                  </w:pPr>
                  <w:r>
                    <w:rPr>
                      <w:rFonts w:hint="eastAsia"/>
                      <w:color w:val="auto"/>
                      <w:highlight w:val="none"/>
                      <w:lang w:val="en-US" w:eastAsia="zh-CN"/>
                    </w:rPr>
                    <w:t>颗粒物、氯化氢、氯乙烯、臭气浓度</w:t>
                  </w:r>
                </w:p>
              </w:tc>
              <w:tc>
                <w:tcPr>
                  <w:tcW w:w="915" w:type="pct"/>
                  <w:noWrap w:val="0"/>
                  <w:vAlign w:val="center"/>
                </w:tcPr>
                <w:p w14:paraId="22C030D4">
                  <w:pPr>
                    <w:pStyle w:val="10"/>
                    <w:keepNext w:val="0"/>
                    <w:keepLines w:val="0"/>
                    <w:pageBreakBefore w:val="0"/>
                    <w:kinsoku/>
                    <w:wordWrap/>
                    <w:overflowPunct/>
                    <w:topLinePunct w:val="0"/>
                    <w:autoSpaceDE/>
                    <w:autoSpaceDN/>
                    <w:bidi w:val="0"/>
                    <w:adjustRightInd w:val="0"/>
                    <w:snapToGrid w:val="0"/>
                    <w:textAlignment w:val="auto"/>
                    <w:rPr>
                      <w:rFonts w:hint="eastAsia"/>
                      <w:color w:val="auto"/>
                      <w:highlight w:val="none"/>
                      <w:lang w:val="en-US" w:eastAsia="zh-CN"/>
                    </w:rPr>
                  </w:pPr>
                  <w:r>
                    <w:rPr>
                      <w:rFonts w:hint="default" w:ascii="Times New Roman" w:hAnsi="Times New Roman" w:eastAsia="宋体" w:cs="Times New Roman"/>
                      <w:b w:val="0"/>
                      <w:bCs w:val="0"/>
                      <w:color w:val="auto"/>
                      <w:szCs w:val="21"/>
                      <w:highlight w:val="none"/>
                      <w:lang w:val="en-US" w:eastAsia="zh-CN"/>
                    </w:rPr>
                    <w:t>1次/年</w:t>
                  </w:r>
                </w:p>
              </w:tc>
            </w:tr>
            <w:tr w14:paraId="6A575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2" w:type="pct"/>
                  <w:vMerge w:val="continue"/>
                  <w:noWrap w:val="0"/>
                  <w:vAlign w:val="center"/>
                </w:tcPr>
                <w:p w14:paraId="10BACDBD">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pPr>
                </w:p>
              </w:tc>
              <w:tc>
                <w:tcPr>
                  <w:tcW w:w="578" w:type="pct"/>
                  <w:vMerge w:val="continue"/>
                  <w:noWrap w:val="0"/>
                  <w:vAlign w:val="center"/>
                </w:tcPr>
                <w:p w14:paraId="58F5F521">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pPr>
                </w:p>
              </w:tc>
              <w:tc>
                <w:tcPr>
                  <w:tcW w:w="792" w:type="pct"/>
                  <w:vMerge w:val="restart"/>
                  <w:noWrap w:val="0"/>
                  <w:vAlign w:val="center"/>
                </w:tcPr>
                <w:p w14:paraId="37814D19">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pPr>
                  <w:r>
                    <w:rPr>
                      <w:rFonts w:hint="eastAsia"/>
                      <w:color w:val="auto"/>
                      <w:sz w:val="21"/>
                      <w:szCs w:val="21"/>
                      <w:highlight w:val="none"/>
                      <w:lang w:val="en-US" w:eastAsia="zh-CN"/>
                    </w:rPr>
                    <w:t>DA002</w:t>
                  </w:r>
                </w:p>
              </w:tc>
              <w:tc>
                <w:tcPr>
                  <w:tcW w:w="2331" w:type="pct"/>
                  <w:noWrap w:val="0"/>
                  <w:vAlign w:val="center"/>
                </w:tcPr>
                <w:p w14:paraId="63505642">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pPr>
                  <w:r>
                    <w:rPr>
                      <w:rFonts w:hint="eastAsia"/>
                      <w:color w:val="auto"/>
                      <w:highlight w:val="none"/>
                      <w:lang w:val="en-US" w:eastAsia="zh-CN"/>
                    </w:rPr>
                    <w:t>非甲烷总烃</w:t>
                  </w:r>
                </w:p>
              </w:tc>
              <w:tc>
                <w:tcPr>
                  <w:tcW w:w="915" w:type="pct"/>
                  <w:noWrap w:val="0"/>
                  <w:vAlign w:val="center"/>
                </w:tcPr>
                <w:p w14:paraId="7E184FB4">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default" w:ascii="Times New Roman" w:hAnsi="Times New Roman" w:eastAsia="宋体" w:cs="Times New Roman"/>
                      <w:b w:val="0"/>
                      <w:bCs w:val="0"/>
                      <w:color w:val="auto"/>
                      <w:szCs w:val="21"/>
                      <w:highlight w:val="none"/>
                      <w:lang w:val="en-US" w:eastAsia="zh-CN"/>
                    </w:rPr>
                    <w:t>1次/</w:t>
                  </w:r>
                  <w:r>
                    <w:rPr>
                      <w:rFonts w:hint="eastAsia" w:cs="Times New Roman"/>
                      <w:b w:val="0"/>
                      <w:bCs w:val="0"/>
                      <w:color w:val="auto"/>
                      <w:szCs w:val="21"/>
                      <w:highlight w:val="none"/>
                      <w:lang w:val="en-US" w:eastAsia="zh-CN"/>
                    </w:rPr>
                    <w:t>半</w:t>
                  </w:r>
                  <w:r>
                    <w:rPr>
                      <w:rFonts w:hint="default" w:ascii="Times New Roman" w:hAnsi="Times New Roman" w:eastAsia="宋体" w:cs="Times New Roman"/>
                      <w:b w:val="0"/>
                      <w:bCs w:val="0"/>
                      <w:color w:val="auto"/>
                      <w:szCs w:val="21"/>
                      <w:highlight w:val="none"/>
                      <w:lang w:val="en-US" w:eastAsia="zh-CN"/>
                    </w:rPr>
                    <w:t>年</w:t>
                  </w:r>
                </w:p>
              </w:tc>
            </w:tr>
            <w:tr w14:paraId="1B115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2" w:type="pct"/>
                  <w:vMerge w:val="continue"/>
                  <w:noWrap w:val="0"/>
                  <w:vAlign w:val="center"/>
                </w:tcPr>
                <w:p w14:paraId="2B402E84">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pPr>
                </w:p>
              </w:tc>
              <w:tc>
                <w:tcPr>
                  <w:tcW w:w="578" w:type="pct"/>
                  <w:vMerge w:val="continue"/>
                  <w:noWrap w:val="0"/>
                  <w:vAlign w:val="center"/>
                </w:tcPr>
                <w:p w14:paraId="4360667E">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pPr>
                </w:p>
              </w:tc>
              <w:tc>
                <w:tcPr>
                  <w:tcW w:w="792" w:type="pct"/>
                  <w:vMerge w:val="continue"/>
                  <w:noWrap w:val="0"/>
                  <w:vAlign w:val="center"/>
                </w:tcPr>
                <w:p w14:paraId="15429F0E">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pPr>
                </w:p>
              </w:tc>
              <w:tc>
                <w:tcPr>
                  <w:tcW w:w="2331" w:type="pct"/>
                  <w:noWrap w:val="0"/>
                  <w:vAlign w:val="center"/>
                </w:tcPr>
                <w:p w14:paraId="1D6350F0">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pPr>
                  <w:r>
                    <w:rPr>
                      <w:rFonts w:hint="eastAsia"/>
                      <w:color w:val="auto"/>
                      <w:highlight w:val="none"/>
                      <w:lang w:val="en-US" w:eastAsia="zh-CN"/>
                    </w:rPr>
                    <w:t>颗粒物、氯化氢、氯乙烯、臭气浓度</w:t>
                  </w:r>
                </w:p>
              </w:tc>
              <w:tc>
                <w:tcPr>
                  <w:tcW w:w="915" w:type="pct"/>
                  <w:noWrap w:val="0"/>
                  <w:vAlign w:val="center"/>
                </w:tcPr>
                <w:p w14:paraId="052DF309">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pPr>
                  <w:r>
                    <w:rPr>
                      <w:rFonts w:hint="default" w:ascii="Times New Roman" w:hAnsi="Times New Roman" w:eastAsia="宋体" w:cs="Times New Roman"/>
                      <w:b w:val="0"/>
                      <w:bCs w:val="0"/>
                      <w:color w:val="auto"/>
                      <w:szCs w:val="21"/>
                      <w:highlight w:val="none"/>
                      <w:lang w:val="en-US" w:eastAsia="zh-CN"/>
                    </w:rPr>
                    <w:t>1次/年</w:t>
                  </w:r>
                </w:p>
              </w:tc>
            </w:tr>
            <w:tr w14:paraId="3FD26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2" w:type="pct"/>
                  <w:vMerge w:val="continue"/>
                  <w:noWrap w:val="0"/>
                  <w:vAlign w:val="center"/>
                </w:tcPr>
                <w:p w14:paraId="2A6E4CC7">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p>
              </w:tc>
              <w:tc>
                <w:tcPr>
                  <w:tcW w:w="578" w:type="pct"/>
                  <w:vMerge w:val="continue"/>
                  <w:noWrap w:val="0"/>
                  <w:vAlign w:val="center"/>
                </w:tcPr>
                <w:p w14:paraId="1983F90A">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p>
              </w:tc>
              <w:tc>
                <w:tcPr>
                  <w:tcW w:w="792" w:type="pct"/>
                  <w:vMerge w:val="restart"/>
                  <w:noWrap w:val="0"/>
                  <w:vAlign w:val="center"/>
                </w:tcPr>
                <w:p w14:paraId="7DFBFE36">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highlight w:val="none"/>
                      <w:lang w:val="en-US" w:eastAsia="zh-CN"/>
                    </w:rPr>
                  </w:pPr>
                  <w:r>
                    <w:rPr>
                      <w:rFonts w:hint="eastAsia"/>
                      <w:color w:val="auto"/>
                      <w:sz w:val="21"/>
                      <w:szCs w:val="21"/>
                      <w:highlight w:val="none"/>
                      <w:lang w:val="en-US" w:eastAsia="zh-CN"/>
                    </w:rPr>
                    <w:t>DA003</w:t>
                  </w:r>
                </w:p>
              </w:tc>
              <w:tc>
                <w:tcPr>
                  <w:tcW w:w="2331" w:type="pct"/>
                  <w:noWrap w:val="0"/>
                  <w:vAlign w:val="center"/>
                </w:tcPr>
                <w:p w14:paraId="4804690B">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非甲烷总烃</w:t>
                  </w:r>
                </w:p>
              </w:tc>
              <w:tc>
                <w:tcPr>
                  <w:tcW w:w="915" w:type="pct"/>
                  <w:noWrap w:val="0"/>
                  <w:vAlign w:val="center"/>
                </w:tcPr>
                <w:p w14:paraId="66366E25">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default" w:ascii="Times New Roman" w:hAnsi="Times New Roman" w:eastAsia="宋体" w:cs="Times New Roman"/>
                      <w:b w:val="0"/>
                      <w:bCs w:val="0"/>
                      <w:color w:val="auto"/>
                      <w:szCs w:val="21"/>
                      <w:highlight w:val="none"/>
                      <w:lang w:val="en-US" w:eastAsia="zh-CN"/>
                    </w:rPr>
                    <w:t>1次/</w:t>
                  </w:r>
                  <w:r>
                    <w:rPr>
                      <w:rFonts w:hint="eastAsia" w:cs="Times New Roman"/>
                      <w:b w:val="0"/>
                      <w:bCs w:val="0"/>
                      <w:color w:val="auto"/>
                      <w:szCs w:val="21"/>
                      <w:highlight w:val="none"/>
                      <w:lang w:val="en-US" w:eastAsia="zh-CN"/>
                    </w:rPr>
                    <w:t>半</w:t>
                  </w:r>
                  <w:r>
                    <w:rPr>
                      <w:rFonts w:hint="default" w:ascii="Times New Roman" w:hAnsi="Times New Roman" w:eastAsia="宋体" w:cs="Times New Roman"/>
                      <w:b w:val="0"/>
                      <w:bCs w:val="0"/>
                      <w:color w:val="auto"/>
                      <w:szCs w:val="21"/>
                      <w:highlight w:val="none"/>
                      <w:lang w:val="en-US" w:eastAsia="zh-CN"/>
                    </w:rPr>
                    <w:t>年</w:t>
                  </w:r>
                </w:p>
              </w:tc>
            </w:tr>
            <w:tr w14:paraId="6E48A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2" w:type="pct"/>
                  <w:vMerge w:val="continue"/>
                  <w:noWrap w:val="0"/>
                  <w:vAlign w:val="center"/>
                </w:tcPr>
                <w:p w14:paraId="6446205C">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pPr>
                </w:p>
              </w:tc>
              <w:tc>
                <w:tcPr>
                  <w:tcW w:w="578" w:type="pct"/>
                  <w:vMerge w:val="continue"/>
                  <w:noWrap w:val="0"/>
                  <w:vAlign w:val="center"/>
                </w:tcPr>
                <w:p w14:paraId="769C7F66">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pPr>
                </w:p>
              </w:tc>
              <w:tc>
                <w:tcPr>
                  <w:tcW w:w="792" w:type="pct"/>
                  <w:vMerge w:val="continue"/>
                  <w:noWrap w:val="0"/>
                  <w:vAlign w:val="center"/>
                </w:tcPr>
                <w:p w14:paraId="1E28B7F1">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pPr>
                </w:p>
              </w:tc>
              <w:tc>
                <w:tcPr>
                  <w:tcW w:w="2331" w:type="pct"/>
                  <w:noWrap w:val="0"/>
                  <w:vAlign w:val="center"/>
                </w:tcPr>
                <w:p w14:paraId="3D89DB96">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颗粒物、氯化氢、氯乙烯、臭气浓度</w:t>
                  </w:r>
                </w:p>
              </w:tc>
              <w:tc>
                <w:tcPr>
                  <w:tcW w:w="915" w:type="pct"/>
                  <w:noWrap w:val="0"/>
                  <w:vAlign w:val="center"/>
                </w:tcPr>
                <w:p w14:paraId="4C8C31B1">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default" w:ascii="Times New Roman" w:hAnsi="Times New Roman" w:eastAsia="宋体" w:cs="Times New Roman"/>
                      <w:b w:val="0"/>
                      <w:bCs w:val="0"/>
                      <w:color w:val="auto"/>
                      <w:szCs w:val="21"/>
                      <w:highlight w:val="none"/>
                      <w:lang w:val="en-US" w:eastAsia="zh-CN"/>
                    </w:rPr>
                    <w:t>1次/年</w:t>
                  </w:r>
                </w:p>
              </w:tc>
            </w:tr>
            <w:tr w14:paraId="6013E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382" w:type="pct"/>
                  <w:noWrap w:val="0"/>
                  <w:vAlign w:val="center"/>
                </w:tcPr>
                <w:p w14:paraId="4DC2FFA5">
                  <w:pPr>
                    <w:pStyle w:val="10"/>
                    <w:keepNext w:val="0"/>
                    <w:keepLines w:val="0"/>
                    <w:pageBreakBefore w:val="0"/>
                    <w:kinsoku/>
                    <w:wordWrap/>
                    <w:overflowPunct/>
                    <w:topLinePunct w:val="0"/>
                    <w:autoSpaceDE/>
                    <w:autoSpaceDN/>
                    <w:bidi w:val="0"/>
                    <w:adjustRightInd w:val="0"/>
                    <w:snapToGrid w:val="0"/>
                    <w:textAlignment w:val="auto"/>
                    <w:rPr>
                      <w:rFonts w:hint="eastAsia" w:eastAsia="宋体"/>
                      <w:color w:val="auto"/>
                      <w:highlight w:val="none"/>
                      <w:lang w:val="en-US" w:eastAsia="zh-CN"/>
                    </w:rPr>
                  </w:pPr>
                  <w:r>
                    <w:rPr>
                      <w:rFonts w:hint="eastAsia"/>
                      <w:color w:val="auto"/>
                      <w:highlight w:val="none"/>
                      <w:lang w:val="en-US" w:eastAsia="zh-CN"/>
                    </w:rPr>
                    <w:t>2</w:t>
                  </w:r>
                </w:p>
              </w:tc>
              <w:tc>
                <w:tcPr>
                  <w:tcW w:w="578" w:type="pct"/>
                  <w:noWrap w:val="0"/>
                  <w:vAlign w:val="center"/>
                </w:tcPr>
                <w:p w14:paraId="4244BF36">
                  <w:pPr>
                    <w:pStyle w:val="10"/>
                    <w:keepNext w:val="0"/>
                    <w:keepLines w:val="0"/>
                    <w:pageBreakBefore w:val="0"/>
                    <w:kinsoku/>
                    <w:wordWrap/>
                    <w:overflowPunct/>
                    <w:topLinePunct w:val="0"/>
                    <w:autoSpaceDE/>
                    <w:autoSpaceDN/>
                    <w:bidi w:val="0"/>
                    <w:adjustRightInd w:val="0"/>
                    <w:snapToGrid w:val="0"/>
                    <w:textAlignment w:val="auto"/>
                    <w:rPr>
                      <w:rFonts w:hint="default" w:eastAsia="宋体"/>
                      <w:color w:val="auto"/>
                      <w:highlight w:val="none"/>
                      <w:lang w:val="en-US" w:eastAsia="zh-CN"/>
                    </w:rPr>
                  </w:pPr>
                  <w:r>
                    <w:rPr>
                      <w:rFonts w:hint="eastAsia"/>
                      <w:color w:val="auto"/>
                      <w:highlight w:val="none"/>
                      <w:lang w:val="en-US" w:eastAsia="zh-CN"/>
                    </w:rPr>
                    <w:t>无组织废气</w:t>
                  </w:r>
                </w:p>
              </w:tc>
              <w:tc>
                <w:tcPr>
                  <w:tcW w:w="792" w:type="pct"/>
                  <w:noWrap w:val="0"/>
                  <w:vAlign w:val="center"/>
                </w:tcPr>
                <w:p w14:paraId="59832FC7">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rPr>
                      <w:rFonts w:hint="eastAsia"/>
                      <w:color w:val="auto"/>
                      <w:highlight w:val="none"/>
                      <w:lang w:val="en-US" w:eastAsia="zh-CN"/>
                    </w:rPr>
                  </w:pPr>
                  <w:r>
                    <w:rPr>
                      <w:rFonts w:hint="eastAsia"/>
                      <w:color w:val="auto"/>
                      <w:highlight w:val="none"/>
                      <w:lang w:val="en-US" w:eastAsia="zh-CN"/>
                    </w:rPr>
                    <w:t>厂界</w:t>
                  </w:r>
                </w:p>
              </w:tc>
              <w:tc>
                <w:tcPr>
                  <w:tcW w:w="2331" w:type="pct"/>
                  <w:noWrap w:val="0"/>
                  <w:vAlign w:val="center"/>
                </w:tcPr>
                <w:p w14:paraId="73E38C43">
                  <w:pPr>
                    <w:pStyle w:val="10"/>
                    <w:keepNext w:val="0"/>
                    <w:keepLines w:val="0"/>
                    <w:pageBreakBefore w:val="0"/>
                    <w:kinsoku/>
                    <w:wordWrap/>
                    <w:overflowPunct/>
                    <w:topLinePunct w:val="0"/>
                    <w:autoSpaceDE/>
                    <w:autoSpaceDN/>
                    <w:bidi w:val="0"/>
                    <w:adjustRightInd w:val="0"/>
                    <w:snapToGrid w:val="0"/>
                    <w:textAlignment w:val="auto"/>
                    <w:rPr>
                      <w:rFonts w:hint="default"/>
                      <w:color w:val="auto"/>
                      <w:highlight w:val="none"/>
                      <w:lang w:val="en-US"/>
                    </w:rPr>
                  </w:pPr>
                  <w:r>
                    <w:rPr>
                      <w:rFonts w:hint="eastAsia" w:cs="Times New Roman"/>
                      <w:color w:val="auto"/>
                      <w:kern w:val="0"/>
                      <w:sz w:val="21"/>
                      <w:szCs w:val="24"/>
                      <w:highlight w:val="none"/>
                      <w:lang w:val="en-US" w:eastAsia="zh-CN" w:bidi="ar-SA"/>
                    </w:rPr>
                    <w:t>非甲烷总烃、</w:t>
                  </w:r>
                  <w:r>
                    <w:rPr>
                      <w:rFonts w:hint="eastAsia" w:ascii="Times New Roman" w:hAnsi="Times New Roman" w:eastAsia="宋体" w:cs="Times New Roman"/>
                      <w:color w:val="auto"/>
                      <w:kern w:val="0"/>
                      <w:sz w:val="21"/>
                      <w:szCs w:val="24"/>
                      <w:highlight w:val="none"/>
                      <w:lang w:val="en-US" w:eastAsia="zh-CN" w:bidi="ar-SA"/>
                    </w:rPr>
                    <w:t>颗粒物</w:t>
                  </w:r>
                  <w:r>
                    <w:rPr>
                      <w:rFonts w:hint="eastAsia" w:cs="Times New Roman"/>
                      <w:color w:val="auto"/>
                      <w:kern w:val="0"/>
                      <w:sz w:val="21"/>
                      <w:szCs w:val="24"/>
                      <w:highlight w:val="none"/>
                      <w:lang w:val="en-US" w:eastAsia="zh-CN" w:bidi="ar-SA"/>
                    </w:rPr>
                    <w:t>、氯化氢、氯乙烯、臭气浓度</w:t>
                  </w:r>
                </w:p>
              </w:tc>
              <w:tc>
                <w:tcPr>
                  <w:tcW w:w="915" w:type="pct"/>
                  <w:noWrap w:val="0"/>
                  <w:vAlign w:val="center"/>
                </w:tcPr>
                <w:p w14:paraId="55D3D742">
                  <w:pPr>
                    <w:pStyle w:val="10"/>
                    <w:keepNext w:val="0"/>
                    <w:keepLines w:val="0"/>
                    <w:pageBreakBefore w:val="0"/>
                    <w:kinsoku/>
                    <w:wordWrap/>
                    <w:overflowPunct/>
                    <w:topLinePunct w:val="0"/>
                    <w:autoSpaceDE/>
                    <w:autoSpaceDN/>
                    <w:bidi w:val="0"/>
                    <w:adjustRightInd w:val="0"/>
                    <w:snapToGrid w:val="0"/>
                    <w:ind w:right="0" w:rightChars="0" w:firstLine="0" w:firstLineChars="0"/>
                    <w:textAlignment w:val="auto"/>
                    <w:rPr>
                      <w:rFonts w:hint="eastAsia"/>
                      <w:color w:val="auto"/>
                      <w:highlight w:val="none"/>
                    </w:rPr>
                  </w:pPr>
                  <w:r>
                    <w:rPr>
                      <w:rFonts w:hint="default" w:ascii="Times New Roman" w:hAnsi="Times New Roman" w:eastAsia="宋体" w:cs="Times New Roman"/>
                      <w:b w:val="0"/>
                      <w:bCs w:val="0"/>
                      <w:color w:val="auto"/>
                      <w:szCs w:val="21"/>
                      <w:highlight w:val="none"/>
                      <w:lang w:val="en-US" w:eastAsia="zh-CN"/>
                    </w:rPr>
                    <w:t>1次/年</w:t>
                  </w:r>
                </w:p>
              </w:tc>
            </w:tr>
          </w:tbl>
          <w:p w14:paraId="68744ED6">
            <w:pPr>
              <w:keepNext w:val="0"/>
              <w:keepLines w:val="0"/>
              <w:suppressLineNumbers w:val="0"/>
              <w:spacing w:before="0" w:beforeAutospacing="0" w:after="0" w:afterAutospacing="0" w:line="360" w:lineRule="auto"/>
              <w:ind w:left="0" w:right="0" w:firstLine="482"/>
              <w:rPr>
                <w:rFonts w:hint="default" w:ascii="Times New Roman" w:hAnsi="Times New Roman" w:cs="Times New Roman"/>
                <w:b/>
                <w:bCs w:val="0"/>
                <w:color w:val="auto"/>
                <w:sz w:val="24"/>
                <w:szCs w:val="24"/>
                <w:highlight w:val="none"/>
              </w:rPr>
            </w:pPr>
            <w:r>
              <w:rPr>
                <w:rFonts w:hint="default" w:ascii="Times New Roman" w:hAnsi="Times New Roman" w:cs="Times New Roman"/>
                <w:b/>
                <w:bCs w:val="0"/>
                <w:color w:val="auto"/>
                <w:sz w:val="24"/>
                <w:szCs w:val="24"/>
                <w:highlight w:val="none"/>
                <w:lang w:val="en-US" w:eastAsia="zh-CN"/>
              </w:rPr>
              <w:t>5、</w:t>
            </w:r>
            <w:r>
              <w:rPr>
                <w:rFonts w:hint="default" w:ascii="Times New Roman" w:hAnsi="Times New Roman" w:cs="Times New Roman"/>
                <w:b/>
                <w:bCs w:val="0"/>
                <w:color w:val="auto"/>
                <w:sz w:val="24"/>
                <w:szCs w:val="24"/>
                <w:highlight w:val="none"/>
              </w:rPr>
              <w:t>大气环境影响分析</w:t>
            </w:r>
          </w:p>
          <w:p w14:paraId="5414D876">
            <w:pPr>
              <w:keepNext w:val="0"/>
              <w:keepLines w:val="0"/>
              <w:pageBreakBefore w:val="0"/>
              <w:kinsoku/>
              <w:overflowPunct/>
              <w:bidi w:val="0"/>
              <w:spacing w:line="360" w:lineRule="auto"/>
              <w:ind w:firstLine="480" w:firstLineChars="200"/>
              <w:jc w:val="left"/>
              <w:rPr>
                <w:rFonts w:hint="default" w:ascii="Times New Roman" w:hAnsi="Times New Roman" w:cs="Times New Roman"/>
                <w:b w:val="0"/>
                <w:color w:val="auto"/>
                <w:highlight w:val="none"/>
              </w:rPr>
            </w:pPr>
            <w:r>
              <w:rPr>
                <w:rFonts w:hint="default" w:ascii="Times New Roman" w:hAnsi="Times New Roman" w:cs="Times New Roman"/>
                <w:color w:val="auto"/>
                <w:sz w:val="24"/>
                <w:highlight w:val="none"/>
                <w:lang w:val="en-US" w:eastAsia="zh-CN" w:bidi="ar"/>
              </w:rPr>
              <w:t>本项目</w:t>
            </w:r>
            <w:r>
              <w:rPr>
                <w:rFonts w:hint="eastAsia" w:cs="Times New Roman"/>
                <w:color w:val="auto"/>
                <w:sz w:val="24"/>
                <w:highlight w:val="none"/>
                <w:lang w:val="en-US" w:eastAsia="zh-CN" w:bidi="ar"/>
              </w:rPr>
              <w:t>对生产过程中产生的非甲烷总烃、颗粒等</w:t>
            </w:r>
            <w:r>
              <w:rPr>
                <w:rFonts w:hint="eastAsia" w:ascii="Times New Roman" w:hAnsi="Times New Roman" w:cs="Times New Roman"/>
                <w:color w:val="auto"/>
                <w:sz w:val="24"/>
                <w:highlight w:val="none"/>
                <w:lang w:val="en-US" w:eastAsia="zh-CN" w:bidi="ar"/>
              </w:rPr>
              <w:t>进行收集并配套可行的治理设施，减少了废气无组织排放量，</w:t>
            </w:r>
            <w:r>
              <w:rPr>
                <w:rFonts w:hint="default" w:ascii="Times New Roman" w:hAnsi="Times New Roman" w:cs="Times New Roman"/>
                <w:color w:val="auto"/>
                <w:sz w:val="24"/>
                <w:highlight w:val="none"/>
                <w:lang w:val="en-US" w:eastAsia="zh-CN" w:bidi="ar"/>
              </w:rPr>
              <w:t>并实现有组织及无组织废气污染物达标排放。项目所在区域环境空气质量良好，通过设置污染防治措施后，对周边居民点保护目标影响较小。因此，本次评价认为，项目建成后对周边大气环境的影响是可接受的。</w:t>
            </w:r>
          </w:p>
          <w:p w14:paraId="1A26E848">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color w:val="auto"/>
                <w:spacing w:val="0"/>
                <w:kern w:val="0"/>
                <w:sz w:val="24"/>
                <w:szCs w:val="24"/>
                <w:highlight w:val="none"/>
                <w:lang w:val="en-US" w:eastAsia="zh-CN" w:bidi="ar"/>
              </w:rPr>
            </w:pPr>
            <w:r>
              <w:rPr>
                <w:rFonts w:hint="eastAsia" w:ascii="Times New Roman" w:hAnsi="Times New Roman" w:eastAsia="宋体" w:cs="Times New Roman"/>
                <w:b/>
                <w:bCs/>
                <w:color w:val="auto"/>
                <w:spacing w:val="0"/>
                <w:sz w:val="24"/>
                <w:szCs w:val="24"/>
                <w:highlight w:val="none"/>
                <w:lang w:val="en-US" w:eastAsia="zh-CN"/>
              </w:rPr>
              <w:t>二、</w:t>
            </w:r>
            <w:r>
              <w:rPr>
                <w:rFonts w:hint="default" w:ascii="Times New Roman" w:hAnsi="Times New Roman" w:cs="Times New Roman"/>
                <w:b/>
                <w:bCs w:val="0"/>
                <w:color w:val="auto"/>
                <w:highlight w:val="none"/>
                <w:lang w:val="en-US" w:eastAsia="zh-CN"/>
              </w:rPr>
              <w:t>废水环境影响和保护措施</w:t>
            </w:r>
          </w:p>
          <w:p w14:paraId="2488F1C7">
            <w:pPr>
              <w:bidi w:val="0"/>
              <w:rPr>
                <w:rFonts w:hint="default"/>
                <w:color w:val="auto"/>
                <w:highlight w:val="none"/>
                <w:lang w:val="en-US" w:eastAsia="zh-CN"/>
              </w:rPr>
            </w:pPr>
            <w:r>
              <w:rPr>
                <w:rFonts w:hint="default" w:ascii="Times New Roman" w:hAnsi="Times New Roman" w:eastAsia="Times New Roman" w:cs="Times New Roman"/>
                <w:b/>
                <w:bCs/>
                <w:color w:val="auto"/>
                <w:spacing w:val="-5"/>
                <w:highlight w:val="none"/>
              </w:rPr>
              <w:t>1</w:t>
            </w:r>
            <w:r>
              <w:rPr>
                <w:rFonts w:hint="default" w:ascii="Times New Roman" w:hAnsi="Times New Roman" w:cs="Times New Roman"/>
                <w:b/>
                <w:bCs/>
                <w:color w:val="auto"/>
                <w:spacing w:val="-5"/>
                <w:highlight w:val="none"/>
              </w:rPr>
              <w:t>、项目用排水分析</w:t>
            </w:r>
          </w:p>
          <w:p w14:paraId="269FEB6B">
            <w:pPr>
              <w:widowControl/>
              <w:spacing w:line="360" w:lineRule="auto"/>
              <w:ind w:firstLine="480"/>
              <w:textAlignment w:val="baseline"/>
              <w:rPr>
                <w:rFonts w:hint="default" w:ascii="Times New Roman" w:hAnsi="Times New Roman" w:eastAsia="宋体"/>
                <w:color w:val="auto"/>
                <w:sz w:val="24"/>
                <w:szCs w:val="24"/>
                <w:lang w:val="en-US" w:eastAsia="zh-CN"/>
              </w:rPr>
            </w:pPr>
            <w:r>
              <w:rPr>
                <w:rFonts w:hint="eastAsia"/>
                <w:color w:val="auto"/>
                <w:sz w:val="24"/>
                <w:szCs w:val="24"/>
                <w:lang w:val="en-US" w:eastAsia="zh-CN"/>
              </w:rPr>
              <w:t>根据前文分析，项目外排废水主要为</w:t>
            </w:r>
            <w:r>
              <w:rPr>
                <w:rFonts w:hint="default" w:ascii="Times New Roman" w:hAnsi="Times New Roman" w:cs="Times New Roman"/>
                <w:color w:val="auto"/>
                <w:highlight w:val="none"/>
                <w:lang w:val="en-US" w:eastAsia="zh-CN"/>
              </w:rPr>
              <w:t>生活污水</w:t>
            </w:r>
            <w:r>
              <w:rPr>
                <w:rFonts w:hint="eastAsia" w:cs="Times New Roman"/>
                <w:color w:val="auto"/>
                <w:highlight w:val="none"/>
                <w:lang w:val="en-US" w:eastAsia="zh-CN"/>
              </w:rPr>
              <w:t>、餐饮废水和冷却水定期排水。生活污水经化粪池处理后汇同经隔油池处理后的餐饮废水一同与冷却水定期排水一起通过园区污水管网送往青阳县污水处理厂，处理达标后排放。</w:t>
            </w:r>
          </w:p>
          <w:p w14:paraId="566C8AA9">
            <w:pPr>
              <w:bidi w:val="0"/>
              <w:rPr>
                <w:rFonts w:hint="default" w:ascii="Times New Roman" w:hAnsi="Times New Roman" w:cs="Times New Roman"/>
                <w:color w:val="auto"/>
                <w:highlight w:val="none"/>
                <w:lang w:val="en-US" w:eastAsia="zh-CN"/>
              </w:rPr>
            </w:pPr>
            <w:r>
              <w:rPr>
                <w:rFonts w:hint="eastAsia"/>
                <w:color w:val="auto"/>
                <w:sz w:val="24"/>
                <w:szCs w:val="24"/>
                <w:highlight w:val="none"/>
                <w:lang w:val="en-US" w:eastAsia="zh-CN"/>
              </w:rPr>
              <w:t>根据前述水平衡分析内容，本</w:t>
            </w:r>
            <w:r>
              <w:rPr>
                <w:color w:val="auto"/>
                <w:sz w:val="24"/>
                <w:szCs w:val="24"/>
                <w:highlight w:val="none"/>
              </w:rPr>
              <w:t>项目职工生活</w:t>
            </w:r>
            <w:r>
              <w:rPr>
                <w:rFonts w:hint="eastAsia"/>
                <w:color w:val="auto"/>
                <w:sz w:val="24"/>
                <w:szCs w:val="24"/>
                <w:highlight w:val="none"/>
                <w:lang w:val="en-US" w:eastAsia="zh-CN"/>
              </w:rPr>
              <w:t>污水</w:t>
            </w:r>
            <w:r>
              <w:rPr>
                <w:color w:val="auto"/>
                <w:sz w:val="24"/>
                <w:szCs w:val="24"/>
                <w:highlight w:val="none"/>
              </w:rPr>
              <w:t>量为</w:t>
            </w:r>
            <w:r>
              <w:rPr>
                <w:rFonts w:hint="eastAsia" w:cs="Times New Roman"/>
                <w:color w:val="auto"/>
                <w:sz w:val="24"/>
                <w:szCs w:val="24"/>
                <w:highlight w:val="none"/>
                <w:lang w:val="en-US" w:eastAsia="zh-CN"/>
              </w:rPr>
              <w:t>3.51</w:t>
            </w:r>
            <w:r>
              <w:rPr>
                <w:rFonts w:ascii="Times New Roman" w:hAnsi="Times New Roman" w:cs="Times New Roman"/>
                <w:color w:val="auto"/>
                <w:sz w:val="24"/>
                <w:szCs w:val="24"/>
                <w:highlight w:val="none"/>
              </w:rPr>
              <w:t>t/d</w:t>
            </w:r>
            <w:r>
              <w:rPr>
                <w:rFonts w:hint="eastAsia" w:ascii="Times New Roman" w:hAnsi="Times New Roman" w:cs="Times New Roman"/>
                <w:color w:val="auto"/>
                <w:sz w:val="24"/>
                <w:szCs w:val="24"/>
                <w:highlight w:val="none"/>
                <w:lang w:val="en-US" w:eastAsia="zh-CN"/>
              </w:rPr>
              <w:t>（912</w:t>
            </w:r>
            <w:r>
              <w:rPr>
                <w:rFonts w:ascii="Times New Roman" w:hAnsi="Times New Roman" w:cs="Times New Roman"/>
                <w:color w:val="auto"/>
                <w:sz w:val="24"/>
                <w:szCs w:val="24"/>
                <w:highlight w:val="none"/>
              </w:rPr>
              <w:t>t/a</w:t>
            </w:r>
            <w:r>
              <w:rPr>
                <w:rFonts w:hint="eastAsia" w:ascii="Times New Roman" w:hAnsi="Times New Roman" w:cs="Times New Roman"/>
                <w:color w:val="auto"/>
                <w:sz w:val="24"/>
                <w:szCs w:val="24"/>
                <w:highlight w:val="none"/>
                <w:lang w:eastAsia="zh-CN"/>
              </w:rPr>
              <w:t>）</w:t>
            </w:r>
            <w:r>
              <w:rPr>
                <w:color w:val="auto"/>
                <w:sz w:val="24"/>
                <w:szCs w:val="24"/>
                <w:highlight w:val="none"/>
              </w:rPr>
              <w:t>，</w:t>
            </w:r>
            <w:r>
              <w:rPr>
                <w:rFonts w:hint="eastAsia"/>
                <w:color w:val="auto"/>
                <w:sz w:val="24"/>
                <w:szCs w:val="24"/>
                <w:highlight w:val="none"/>
                <w:lang w:val="en-US" w:eastAsia="zh-CN"/>
              </w:rPr>
              <w:t>餐饮用水污水量为0.</w:t>
            </w:r>
            <w:r>
              <w:rPr>
                <w:rFonts w:hint="default" w:ascii="Times New Roman" w:hAnsi="Times New Roman" w:eastAsia="宋体" w:cs="Times New Roman"/>
                <w:b w:val="0"/>
                <w:bCs w:val="0"/>
                <w:color w:val="auto"/>
                <w:sz w:val="24"/>
                <w:szCs w:val="24"/>
                <w:highlight w:val="none"/>
                <w:lang w:val="en-US" w:eastAsia="zh-CN"/>
              </w:rPr>
              <w:t>6t/d（156t/a）</w:t>
            </w:r>
            <w:r>
              <w:rPr>
                <w:rFonts w:hint="eastAsia" w:ascii="Times New Roman" w:hAnsi="Times New Roman" w:eastAsia="宋体" w:cs="Times New Roman"/>
                <w:b w:val="0"/>
                <w:bCs w:val="0"/>
                <w:color w:val="auto"/>
                <w:sz w:val="24"/>
                <w:szCs w:val="24"/>
                <w:highlight w:val="none"/>
                <w:lang w:val="en-US" w:eastAsia="zh-CN"/>
              </w:rPr>
              <w:t>，</w:t>
            </w:r>
            <w:r>
              <w:rPr>
                <w:rFonts w:hint="eastAsia" w:ascii="Times New Roman" w:hAnsi="Times New Roman" w:eastAsia="宋体" w:cs="Times New Roman"/>
                <w:color w:val="auto"/>
                <w:sz w:val="24"/>
                <w:szCs w:val="24"/>
                <w:lang w:val="en-US" w:eastAsia="zh-CN"/>
              </w:rPr>
              <w:t>冷却水定期排水产生量为</w:t>
            </w:r>
            <w:r>
              <w:rPr>
                <w:rFonts w:hint="eastAsia" w:cs="Times New Roman"/>
                <w:b w:val="0"/>
                <w:bCs w:val="0"/>
                <w:color w:val="auto"/>
                <w:sz w:val="24"/>
                <w:szCs w:val="24"/>
                <w:highlight w:val="none"/>
                <w:lang w:val="en-US" w:eastAsia="zh-CN"/>
              </w:rPr>
              <w:t>28</w:t>
            </w:r>
            <w:r>
              <w:rPr>
                <w:rFonts w:hint="default" w:ascii="Times New Roman" w:hAnsi="Times New Roman" w:eastAsia="宋体" w:cs="Times New Roman"/>
                <w:b w:val="0"/>
                <w:bCs w:val="0"/>
                <w:color w:val="auto"/>
                <w:sz w:val="24"/>
                <w:szCs w:val="24"/>
                <w:highlight w:val="none"/>
                <w:lang w:val="en-US" w:eastAsia="zh-CN"/>
              </w:rPr>
              <w:t>t/a</w:t>
            </w:r>
            <w:r>
              <w:rPr>
                <w:rFonts w:hint="eastAsia"/>
                <w:color w:val="auto"/>
                <w:sz w:val="24"/>
                <w:szCs w:val="24"/>
                <w:highlight w:val="none"/>
                <w:lang w:eastAsia="zh-CN"/>
              </w:rPr>
              <w:t>。</w:t>
            </w:r>
            <w:r>
              <w:rPr>
                <w:rFonts w:hint="eastAsia"/>
                <w:color w:val="auto"/>
                <w:sz w:val="24"/>
                <w:szCs w:val="24"/>
                <w:highlight w:val="none"/>
                <w:lang w:val="en-US" w:eastAsia="zh-CN"/>
              </w:rPr>
              <w:t>生活污水经化粪池处理后汇同经隔油池处理后的餐饮废水一同与冷却水定期排水一起通过园区污水管网送往青阳县污水处理厂</w:t>
            </w:r>
            <w:r>
              <w:rPr>
                <w:rFonts w:hint="eastAsia"/>
                <w:color w:val="auto"/>
                <w:sz w:val="24"/>
                <w:szCs w:val="24"/>
                <w:highlight w:val="none"/>
                <w:lang w:eastAsia="zh-CN"/>
              </w:rPr>
              <w:t>，</w:t>
            </w:r>
            <w:r>
              <w:rPr>
                <w:rFonts w:hint="eastAsia"/>
                <w:color w:val="auto"/>
                <w:sz w:val="24"/>
                <w:szCs w:val="24"/>
                <w:highlight w:val="none"/>
              </w:rPr>
              <w:t>处理达到《城镇污水处理厂污染物排放标准》（GB18918-2002）中一级A标准后</w:t>
            </w:r>
            <w:r>
              <w:rPr>
                <w:rFonts w:hint="eastAsia"/>
                <w:color w:val="auto"/>
                <w:sz w:val="24"/>
                <w:szCs w:val="24"/>
                <w:highlight w:val="none"/>
                <w:lang w:val="en-US" w:eastAsia="zh-CN"/>
              </w:rPr>
              <w:t>排入青通河。</w:t>
            </w:r>
          </w:p>
          <w:p w14:paraId="653CE384">
            <w:pPr>
              <w:bidi w:val="0"/>
              <w:rPr>
                <w:rFonts w:hint="default" w:ascii="Times New Roman" w:hAnsi="Times New Roman" w:cs="Times New Roman"/>
                <w:b/>
                <w:bCs/>
                <w:color w:val="auto"/>
                <w:highlight w:val="none"/>
                <w:lang w:val="en-US" w:eastAsia="zh-CN"/>
              </w:rPr>
            </w:pPr>
          </w:p>
          <w:p w14:paraId="16C55162">
            <w:pPr>
              <w:bidi w:val="0"/>
              <w:rPr>
                <w:rFonts w:hint="default" w:ascii="Times New Roman" w:hAnsi="Times New Roman" w:cs="Times New Roman"/>
                <w:b/>
                <w:bCs/>
                <w:color w:val="auto"/>
                <w:highlight w:val="none"/>
                <w:lang w:val="en-US" w:eastAsia="zh-CN"/>
              </w:rPr>
            </w:pPr>
          </w:p>
          <w:p w14:paraId="5FD97940">
            <w:pPr>
              <w:bidi w:val="0"/>
              <w:rPr>
                <w:rFonts w:hint="default" w:ascii="Times New Roman" w:hAnsi="Times New Roman" w:cs="Times New Roman"/>
                <w:b/>
                <w:bCs/>
                <w:color w:val="auto"/>
                <w:highlight w:val="none"/>
                <w:lang w:val="en-US" w:eastAsia="zh-CN"/>
              </w:rPr>
            </w:pPr>
          </w:p>
          <w:p w14:paraId="18FF71A2">
            <w:pPr>
              <w:bidi w:val="0"/>
              <w:rPr>
                <w:rFonts w:hint="default" w:ascii="Times New Roman" w:hAnsi="Times New Roman" w:cs="Times New Roman"/>
                <w:color w:val="auto"/>
                <w:highlight w:val="none"/>
                <w:lang w:val="en-US" w:eastAsia="zh-CN"/>
              </w:rPr>
            </w:pPr>
            <w:r>
              <w:rPr>
                <w:rFonts w:hint="default" w:ascii="Times New Roman" w:hAnsi="Times New Roman" w:cs="Times New Roman"/>
                <w:b/>
                <w:bCs/>
                <w:color w:val="auto"/>
                <w:highlight w:val="none"/>
                <w:lang w:val="en-US" w:eastAsia="zh-CN"/>
              </w:rPr>
              <w:t>2、项目用排水情况</w:t>
            </w:r>
          </w:p>
          <w:p w14:paraId="2351EDDF">
            <w:pPr>
              <w:pStyle w:val="5"/>
              <w:tabs>
                <w:tab w:val="left" w:pos="1284"/>
              </w:tabs>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表</w:t>
            </w:r>
            <w:r>
              <w:rPr>
                <w:rFonts w:hint="eastAsia" w:cs="Times New Roman"/>
                <w:color w:val="auto"/>
                <w:highlight w:val="none"/>
                <w:lang w:val="en-US" w:eastAsia="zh-CN"/>
              </w:rPr>
              <w:t xml:space="preserve"> </w:t>
            </w:r>
            <w:r>
              <w:rPr>
                <w:rFonts w:hint="default" w:ascii="Times New Roman" w:hAnsi="Times New Roman" w:cs="Times New Roman"/>
                <w:color w:val="auto"/>
                <w:highlight w:val="none"/>
                <w:lang w:val="en-US" w:eastAsia="zh-CN"/>
              </w:rPr>
              <w:t>4-</w:t>
            </w:r>
            <w:r>
              <w:rPr>
                <w:rFonts w:hint="eastAsia" w:cs="Times New Roman"/>
                <w:color w:val="auto"/>
                <w:highlight w:val="none"/>
                <w:lang w:val="en-US" w:eastAsia="zh-CN"/>
              </w:rPr>
              <w:t xml:space="preserve">6  </w:t>
            </w:r>
            <w:r>
              <w:rPr>
                <w:rFonts w:hint="default" w:ascii="Times New Roman" w:hAnsi="Times New Roman" w:cs="Times New Roman"/>
                <w:color w:val="auto"/>
                <w:highlight w:val="none"/>
                <w:lang w:val="en-US" w:eastAsia="zh-CN"/>
              </w:rPr>
              <w:t>项目废水排放情况汇总一览表</w:t>
            </w:r>
          </w:p>
          <w:tbl>
            <w:tblPr>
              <w:tblStyle w:val="27"/>
              <w:tblW w:w="8419" w:type="dxa"/>
              <w:tblInd w:w="-5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57" w:type="dxa"/>
                <w:bottom w:w="0" w:type="dxa"/>
                <w:right w:w="57" w:type="dxa"/>
              </w:tblCellMar>
            </w:tblPr>
            <w:tblGrid>
              <w:gridCol w:w="306"/>
              <w:gridCol w:w="2"/>
              <w:gridCol w:w="1"/>
              <w:gridCol w:w="596"/>
              <w:gridCol w:w="4"/>
              <w:gridCol w:w="2"/>
              <w:gridCol w:w="657"/>
              <w:gridCol w:w="1"/>
              <w:gridCol w:w="4"/>
              <w:gridCol w:w="926"/>
              <w:gridCol w:w="1"/>
              <w:gridCol w:w="5"/>
              <w:gridCol w:w="712"/>
              <w:gridCol w:w="1"/>
              <w:gridCol w:w="6"/>
              <w:gridCol w:w="292"/>
              <w:gridCol w:w="1"/>
              <w:gridCol w:w="7"/>
              <w:gridCol w:w="931"/>
              <w:gridCol w:w="1"/>
              <w:gridCol w:w="8"/>
              <w:gridCol w:w="627"/>
              <w:gridCol w:w="1"/>
              <w:gridCol w:w="1"/>
              <w:gridCol w:w="8"/>
              <w:gridCol w:w="370"/>
              <w:gridCol w:w="1"/>
              <w:gridCol w:w="1"/>
              <w:gridCol w:w="9"/>
              <w:gridCol w:w="351"/>
              <w:gridCol w:w="1"/>
              <w:gridCol w:w="11"/>
              <w:gridCol w:w="447"/>
              <w:gridCol w:w="1"/>
              <w:gridCol w:w="3"/>
              <w:gridCol w:w="16"/>
              <w:gridCol w:w="666"/>
              <w:gridCol w:w="1"/>
              <w:gridCol w:w="13"/>
              <w:gridCol w:w="1008"/>
              <w:gridCol w:w="1"/>
              <w:gridCol w:w="4"/>
              <w:gridCol w:w="17"/>
              <w:gridCol w:w="373"/>
              <w:gridCol w:w="1"/>
              <w:gridCol w:w="4"/>
              <w:gridCol w:w="19"/>
            </w:tblGrid>
            <w:tr w14:paraId="3D864B7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gridAfter w:val="1"/>
                <w:wAfter w:w="2" w:type="pct"/>
                <w:trHeight w:val="454" w:hRule="atLeast"/>
              </w:trPr>
              <w:tc>
                <w:tcPr>
                  <w:tcW w:w="182" w:type="pct"/>
                  <w:vMerge w:val="restart"/>
                  <w:noWrap w:val="0"/>
                  <w:vAlign w:val="center"/>
                </w:tcPr>
                <w:p w14:paraId="57037475">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废水</w:t>
                  </w:r>
                </w:p>
                <w:p w14:paraId="011BAC0D">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来源</w:t>
                  </w:r>
                </w:p>
              </w:tc>
              <w:tc>
                <w:tcPr>
                  <w:tcW w:w="356" w:type="pct"/>
                  <w:gridSpan w:val="3"/>
                  <w:vMerge w:val="restart"/>
                  <w:noWrap w:val="0"/>
                  <w:vAlign w:val="center"/>
                </w:tcPr>
                <w:p w14:paraId="0FBD158A">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r>
                    <w:rPr>
                      <w:color w:val="auto"/>
                      <w:sz w:val="21"/>
                      <w:szCs w:val="21"/>
                      <w:highlight w:val="none"/>
                    </w:rPr>
                    <w:t>废水量</w:t>
                  </w:r>
                </w:p>
                <w:p w14:paraId="45872C49">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(m</w:t>
                  </w:r>
                  <w:r>
                    <w:rPr>
                      <w:color w:val="auto"/>
                      <w:sz w:val="21"/>
                      <w:szCs w:val="21"/>
                      <w:highlight w:val="none"/>
                      <w:vertAlign w:val="superscript"/>
                    </w:rPr>
                    <w:t>3</w:t>
                  </w:r>
                  <w:r>
                    <w:rPr>
                      <w:color w:val="auto"/>
                      <w:sz w:val="21"/>
                      <w:szCs w:val="21"/>
                      <w:highlight w:val="none"/>
                    </w:rPr>
                    <w:t>/a)</w:t>
                  </w:r>
                </w:p>
              </w:tc>
              <w:tc>
                <w:tcPr>
                  <w:tcW w:w="394" w:type="pct"/>
                  <w:gridSpan w:val="3"/>
                  <w:vMerge w:val="restart"/>
                  <w:noWrap w:val="0"/>
                  <w:vAlign w:val="center"/>
                </w:tcPr>
                <w:p w14:paraId="08118167">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污染因子</w:t>
                  </w:r>
                </w:p>
              </w:tc>
              <w:tc>
                <w:tcPr>
                  <w:tcW w:w="980" w:type="pct"/>
                  <w:gridSpan w:val="7"/>
                  <w:noWrap w:val="0"/>
                  <w:vAlign w:val="center"/>
                </w:tcPr>
                <w:p w14:paraId="52DD096F">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产生情况</w:t>
                  </w:r>
                </w:p>
              </w:tc>
              <w:tc>
                <w:tcPr>
                  <w:tcW w:w="178" w:type="pct"/>
                  <w:gridSpan w:val="3"/>
                  <w:vMerge w:val="restart"/>
                  <w:noWrap w:val="0"/>
                  <w:vAlign w:val="center"/>
                </w:tcPr>
                <w:p w14:paraId="696A3CE1">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处理</w:t>
                  </w:r>
                </w:p>
                <w:p w14:paraId="6BBF6684">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措施</w:t>
                  </w:r>
                </w:p>
              </w:tc>
              <w:tc>
                <w:tcPr>
                  <w:tcW w:w="936" w:type="pct"/>
                  <w:gridSpan w:val="7"/>
                  <w:noWrap w:val="0"/>
                  <w:vAlign w:val="center"/>
                </w:tcPr>
                <w:p w14:paraId="6B665576">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排放情况</w:t>
                  </w:r>
                </w:p>
              </w:tc>
              <w:tc>
                <w:tcPr>
                  <w:tcW w:w="226" w:type="pct"/>
                  <w:gridSpan w:val="4"/>
                  <w:vMerge w:val="restart"/>
                  <w:noWrap w:val="0"/>
                  <w:vAlign w:val="center"/>
                </w:tcPr>
                <w:p w14:paraId="773AC368">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排放地点</w:t>
                  </w:r>
                </w:p>
              </w:tc>
              <w:tc>
                <w:tcPr>
                  <w:tcW w:w="489" w:type="pct"/>
                  <w:gridSpan w:val="7"/>
                  <w:noWrap w:val="0"/>
                  <w:vAlign w:val="center"/>
                </w:tcPr>
                <w:p w14:paraId="6582C7D6">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排放口信息</w:t>
                  </w:r>
                </w:p>
              </w:tc>
              <w:tc>
                <w:tcPr>
                  <w:tcW w:w="1015" w:type="pct"/>
                  <w:gridSpan w:val="7"/>
                  <w:noWrap w:val="0"/>
                  <w:vAlign w:val="center"/>
                </w:tcPr>
                <w:p w14:paraId="7E8C8879">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排放标准</w:t>
                  </w:r>
                </w:p>
              </w:tc>
              <w:tc>
                <w:tcPr>
                  <w:tcW w:w="235" w:type="pct"/>
                  <w:gridSpan w:val="4"/>
                  <w:noWrap w:val="0"/>
                  <w:vAlign w:val="center"/>
                </w:tcPr>
                <w:p w14:paraId="34952F8F">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监测要求</w:t>
                  </w:r>
                </w:p>
              </w:tc>
            </w:tr>
            <w:tr w14:paraId="0CAD8D9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454" w:hRule="atLeast"/>
              </w:trPr>
              <w:tc>
                <w:tcPr>
                  <w:tcW w:w="182" w:type="pct"/>
                  <w:gridSpan w:val="2"/>
                  <w:vMerge w:val="continue"/>
                  <w:noWrap w:val="0"/>
                  <w:vAlign w:val="center"/>
                </w:tcPr>
                <w:p w14:paraId="68A1675A">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356" w:type="pct"/>
                  <w:gridSpan w:val="3"/>
                  <w:vMerge w:val="continue"/>
                  <w:noWrap w:val="0"/>
                  <w:vAlign w:val="center"/>
                </w:tcPr>
                <w:p w14:paraId="31A5F29B">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394" w:type="pct"/>
                  <w:gridSpan w:val="4"/>
                  <w:vMerge w:val="continue"/>
                  <w:noWrap w:val="0"/>
                  <w:vAlign w:val="center"/>
                </w:tcPr>
                <w:p w14:paraId="6DF53680">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553" w:type="pct"/>
                  <w:gridSpan w:val="3"/>
                  <w:noWrap w:val="0"/>
                  <w:vAlign w:val="center"/>
                </w:tcPr>
                <w:p w14:paraId="53D05255">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浓度</w:t>
                  </w:r>
                  <w:r>
                    <w:rPr>
                      <w:rFonts w:hint="eastAsia"/>
                      <w:color w:val="auto"/>
                      <w:sz w:val="21"/>
                      <w:szCs w:val="21"/>
                      <w:highlight w:val="none"/>
                      <w:lang w:eastAsia="zh-CN"/>
                    </w:rPr>
                    <w:t>（</w:t>
                  </w:r>
                  <w:r>
                    <w:rPr>
                      <w:color w:val="auto"/>
                      <w:sz w:val="21"/>
                      <w:szCs w:val="21"/>
                      <w:highlight w:val="none"/>
                    </w:rPr>
                    <w:t>mg/L</w:t>
                  </w:r>
                  <w:r>
                    <w:rPr>
                      <w:rFonts w:hint="eastAsia"/>
                      <w:color w:val="auto"/>
                      <w:sz w:val="21"/>
                      <w:szCs w:val="21"/>
                      <w:highlight w:val="none"/>
                      <w:lang w:eastAsia="zh-CN"/>
                    </w:rPr>
                    <w:t>）</w:t>
                  </w:r>
                </w:p>
              </w:tc>
              <w:tc>
                <w:tcPr>
                  <w:tcW w:w="427" w:type="pct"/>
                  <w:gridSpan w:val="3"/>
                  <w:noWrap w:val="0"/>
                  <w:vAlign w:val="center"/>
                </w:tcPr>
                <w:p w14:paraId="748CEFF2">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产生量</w:t>
                  </w:r>
                  <w:r>
                    <w:rPr>
                      <w:rFonts w:hint="eastAsia"/>
                      <w:color w:val="auto"/>
                      <w:sz w:val="21"/>
                      <w:szCs w:val="21"/>
                      <w:highlight w:val="none"/>
                      <w:lang w:eastAsia="zh-CN"/>
                    </w:rPr>
                    <w:t>（</w:t>
                  </w:r>
                  <w:r>
                    <w:rPr>
                      <w:color w:val="auto"/>
                      <w:sz w:val="21"/>
                      <w:szCs w:val="21"/>
                      <w:highlight w:val="none"/>
                    </w:rPr>
                    <w:t>t/a</w:t>
                  </w:r>
                  <w:r>
                    <w:rPr>
                      <w:rFonts w:hint="eastAsia"/>
                      <w:color w:val="auto"/>
                      <w:sz w:val="21"/>
                      <w:szCs w:val="21"/>
                      <w:highlight w:val="none"/>
                      <w:lang w:eastAsia="zh-CN"/>
                    </w:rPr>
                    <w:t>）</w:t>
                  </w:r>
                </w:p>
              </w:tc>
              <w:tc>
                <w:tcPr>
                  <w:tcW w:w="178" w:type="pct"/>
                  <w:gridSpan w:val="3"/>
                  <w:vMerge w:val="continue"/>
                  <w:noWrap w:val="0"/>
                  <w:vAlign w:val="center"/>
                </w:tcPr>
                <w:p w14:paraId="3FB73410">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558" w:type="pct"/>
                  <w:gridSpan w:val="3"/>
                  <w:noWrap w:val="0"/>
                  <w:vAlign w:val="center"/>
                </w:tcPr>
                <w:p w14:paraId="5DF86169">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浓度</w:t>
                  </w:r>
                  <w:r>
                    <w:rPr>
                      <w:rFonts w:hint="eastAsia"/>
                      <w:color w:val="auto"/>
                      <w:sz w:val="21"/>
                      <w:szCs w:val="21"/>
                      <w:highlight w:val="none"/>
                      <w:lang w:eastAsia="zh-CN"/>
                    </w:rPr>
                    <w:t>（</w:t>
                  </w:r>
                  <w:r>
                    <w:rPr>
                      <w:color w:val="auto"/>
                      <w:sz w:val="21"/>
                      <w:szCs w:val="21"/>
                      <w:highlight w:val="none"/>
                    </w:rPr>
                    <w:t>mg/L</w:t>
                  </w:r>
                  <w:r>
                    <w:rPr>
                      <w:rFonts w:hint="eastAsia"/>
                      <w:color w:val="auto"/>
                      <w:sz w:val="21"/>
                      <w:szCs w:val="21"/>
                      <w:highlight w:val="none"/>
                      <w:lang w:eastAsia="zh-CN"/>
                    </w:rPr>
                    <w:t>）</w:t>
                  </w:r>
                </w:p>
              </w:tc>
              <w:tc>
                <w:tcPr>
                  <w:tcW w:w="378" w:type="pct"/>
                  <w:gridSpan w:val="4"/>
                  <w:noWrap w:val="0"/>
                  <w:vAlign w:val="center"/>
                </w:tcPr>
                <w:p w14:paraId="4C3AF92A">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排放量</w:t>
                  </w:r>
                </w:p>
                <w:p w14:paraId="45C98FF3">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(t/a)</w:t>
                  </w:r>
                </w:p>
              </w:tc>
              <w:tc>
                <w:tcPr>
                  <w:tcW w:w="226" w:type="pct"/>
                  <w:gridSpan w:val="4"/>
                  <w:vMerge w:val="continue"/>
                  <w:noWrap w:val="0"/>
                  <w:vAlign w:val="center"/>
                </w:tcPr>
                <w:p w14:paraId="6861BA6F">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215" w:type="pct"/>
                  <w:gridSpan w:val="3"/>
                  <w:noWrap w:val="0"/>
                  <w:vAlign w:val="center"/>
                </w:tcPr>
                <w:p w14:paraId="7F146123">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编号</w:t>
                  </w:r>
                </w:p>
              </w:tc>
              <w:tc>
                <w:tcPr>
                  <w:tcW w:w="277" w:type="pct"/>
                  <w:gridSpan w:val="4"/>
                  <w:noWrap w:val="0"/>
                  <w:vAlign w:val="center"/>
                </w:tcPr>
                <w:p w14:paraId="766170E5">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类别</w:t>
                  </w:r>
                </w:p>
              </w:tc>
              <w:tc>
                <w:tcPr>
                  <w:tcW w:w="403" w:type="pct"/>
                  <w:gridSpan w:val="3"/>
                  <w:noWrap w:val="0"/>
                  <w:vAlign w:val="center"/>
                </w:tcPr>
                <w:p w14:paraId="29691858">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标准名称</w:t>
                  </w:r>
                </w:p>
              </w:tc>
              <w:tc>
                <w:tcPr>
                  <w:tcW w:w="611" w:type="pct"/>
                  <w:gridSpan w:val="4"/>
                  <w:noWrap w:val="0"/>
                  <w:vAlign w:val="center"/>
                </w:tcPr>
                <w:p w14:paraId="42528ECD">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限值</w:t>
                  </w:r>
                </w:p>
                <w:p w14:paraId="57AF49BD">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(mg/L)</w:t>
                  </w:r>
                </w:p>
              </w:tc>
              <w:tc>
                <w:tcPr>
                  <w:tcW w:w="235" w:type="pct"/>
                  <w:gridSpan w:val="4"/>
                  <w:noWrap w:val="0"/>
                  <w:vAlign w:val="center"/>
                </w:tcPr>
                <w:p w14:paraId="48135EDA">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r>
            <w:tr w14:paraId="28DF4E7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gridAfter w:val="3"/>
                <w:wAfter w:w="4" w:type="pct"/>
                <w:trHeight w:val="454" w:hRule="atLeast"/>
              </w:trPr>
              <w:tc>
                <w:tcPr>
                  <w:tcW w:w="182" w:type="pct"/>
                  <w:vMerge w:val="restart"/>
                  <w:noWrap w:val="0"/>
                  <w:vAlign w:val="center"/>
                </w:tcPr>
                <w:p w14:paraId="72780C50">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生活污水</w:t>
                  </w:r>
                </w:p>
              </w:tc>
              <w:tc>
                <w:tcPr>
                  <w:tcW w:w="356" w:type="pct"/>
                  <w:gridSpan w:val="3"/>
                  <w:vMerge w:val="restart"/>
                  <w:noWrap w:val="0"/>
                  <w:vAlign w:val="center"/>
                </w:tcPr>
                <w:p w14:paraId="5A20CE2C">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912</w:t>
                  </w:r>
                </w:p>
              </w:tc>
              <w:tc>
                <w:tcPr>
                  <w:tcW w:w="394" w:type="pct"/>
                  <w:gridSpan w:val="3"/>
                  <w:noWrap w:val="0"/>
                  <w:vAlign w:val="center"/>
                </w:tcPr>
                <w:p w14:paraId="180C67F1">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r>
                    <w:rPr>
                      <w:color w:val="auto"/>
                      <w:sz w:val="21"/>
                      <w:szCs w:val="21"/>
                      <w:highlight w:val="none"/>
                    </w:rPr>
                    <w:t>COD</w:t>
                  </w:r>
                </w:p>
              </w:tc>
              <w:tc>
                <w:tcPr>
                  <w:tcW w:w="553" w:type="pct"/>
                  <w:gridSpan w:val="3"/>
                  <w:noWrap w:val="0"/>
                  <w:vAlign w:val="center"/>
                </w:tcPr>
                <w:p w14:paraId="6114284C">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r>
                    <w:rPr>
                      <w:color w:val="auto"/>
                      <w:sz w:val="21"/>
                      <w:szCs w:val="21"/>
                      <w:highlight w:val="none"/>
                    </w:rPr>
                    <w:t>300</w:t>
                  </w:r>
                </w:p>
              </w:tc>
              <w:tc>
                <w:tcPr>
                  <w:tcW w:w="427" w:type="pct"/>
                  <w:gridSpan w:val="3"/>
                  <w:noWrap w:val="0"/>
                  <w:vAlign w:val="center"/>
                </w:tcPr>
                <w:p w14:paraId="053B72BA">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olor w:val="auto"/>
                      <w:sz w:val="21"/>
                      <w:szCs w:val="21"/>
                      <w:highlight w:val="none"/>
                      <w:lang w:val="en-US" w:eastAsia="zh-CN"/>
                    </w:rPr>
                  </w:pPr>
                  <w:r>
                    <w:rPr>
                      <w:color w:val="auto"/>
                      <w:sz w:val="21"/>
                      <w:szCs w:val="21"/>
                      <w:highlight w:val="none"/>
                    </w:rPr>
                    <w:t>0.2</w:t>
                  </w:r>
                  <w:r>
                    <w:rPr>
                      <w:rFonts w:hint="eastAsia"/>
                      <w:color w:val="auto"/>
                      <w:sz w:val="21"/>
                      <w:szCs w:val="21"/>
                      <w:highlight w:val="none"/>
                      <w:lang w:val="en-US" w:eastAsia="zh-CN"/>
                    </w:rPr>
                    <w:t>74</w:t>
                  </w:r>
                </w:p>
              </w:tc>
              <w:tc>
                <w:tcPr>
                  <w:tcW w:w="178" w:type="pct"/>
                  <w:gridSpan w:val="3"/>
                  <w:vMerge w:val="restart"/>
                  <w:noWrap w:val="0"/>
                  <w:vAlign w:val="center"/>
                </w:tcPr>
                <w:p w14:paraId="0D3E2332">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化粪池</w:t>
                  </w:r>
                </w:p>
              </w:tc>
              <w:tc>
                <w:tcPr>
                  <w:tcW w:w="558" w:type="pct"/>
                  <w:gridSpan w:val="3"/>
                  <w:noWrap w:val="0"/>
                  <w:vAlign w:val="center"/>
                </w:tcPr>
                <w:p w14:paraId="3C3D19DE">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280</w:t>
                  </w:r>
                </w:p>
              </w:tc>
              <w:tc>
                <w:tcPr>
                  <w:tcW w:w="378" w:type="pct"/>
                  <w:gridSpan w:val="3"/>
                  <w:noWrap w:val="0"/>
                  <w:vAlign w:val="center"/>
                </w:tcPr>
                <w:p w14:paraId="13FE79A5">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rPr>
                  </w:pPr>
                  <w:r>
                    <w:rPr>
                      <w:color w:val="auto"/>
                      <w:sz w:val="21"/>
                      <w:szCs w:val="21"/>
                      <w:highlight w:val="none"/>
                    </w:rPr>
                    <w:t>0.2</w:t>
                  </w:r>
                  <w:r>
                    <w:rPr>
                      <w:rFonts w:hint="eastAsia"/>
                      <w:color w:val="auto"/>
                      <w:sz w:val="21"/>
                      <w:szCs w:val="21"/>
                      <w:highlight w:val="none"/>
                      <w:lang w:val="en-US" w:eastAsia="zh-CN"/>
                    </w:rPr>
                    <w:t>55</w:t>
                  </w:r>
                </w:p>
              </w:tc>
              <w:tc>
                <w:tcPr>
                  <w:tcW w:w="226" w:type="pct"/>
                  <w:gridSpan w:val="4"/>
                  <w:vMerge w:val="restart"/>
                  <w:noWrap w:val="0"/>
                  <w:vAlign w:val="center"/>
                </w:tcPr>
                <w:p w14:paraId="5611F9C4">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青阳县污水处理厂</w:t>
                  </w:r>
                </w:p>
              </w:tc>
              <w:tc>
                <w:tcPr>
                  <w:tcW w:w="215" w:type="pct"/>
                  <w:gridSpan w:val="4"/>
                  <w:vMerge w:val="restart"/>
                  <w:noWrap w:val="0"/>
                  <w:vAlign w:val="center"/>
                </w:tcPr>
                <w:p w14:paraId="75C6318E">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DW001</w:t>
                  </w:r>
                </w:p>
              </w:tc>
              <w:tc>
                <w:tcPr>
                  <w:tcW w:w="273" w:type="pct"/>
                  <w:gridSpan w:val="3"/>
                  <w:vMerge w:val="restart"/>
                  <w:noWrap w:val="0"/>
                  <w:vAlign w:val="center"/>
                </w:tcPr>
                <w:p w14:paraId="58DB3C34">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企业总排口</w:t>
                  </w:r>
                </w:p>
              </w:tc>
              <w:tc>
                <w:tcPr>
                  <w:tcW w:w="408" w:type="pct"/>
                  <w:gridSpan w:val="4"/>
                  <w:vMerge w:val="restart"/>
                  <w:noWrap w:val="0"/>
                  <w:vAlign w:val="center"/>
                </w:tcPr>
                <w:p w14:paraId="37496160">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rFonts w:hint="eastAsia"/>
                      <w:color w:val="auto"/>
                      <w:sz w:val="21"/>
                      <w:szCs w:val="21"/>
                      <w:highlight w:val="none"/>
                      <w:lang w:val="en-US" w:eastAsia="zh-CN"/>
                    </w:rPr>
                    <w:t>青阳县污水处理厂接管标准、</w:t>
                  </w:r>
                  <w:r>
                    <w:rPr>
                      <w:color w:val="auto"/>
                      <w:sz w:val="21"/>
                      <w:szCs w:val="21"/>
                      <w:highlight w:val="none"/>
                    </w:rPr>
                    <w:t>GB8978-1996</w:t>
                  </w:r>
                </w:p>
                <w:p w14:paraId="56E78AD0">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表4三级标准</w:t>
                  </w:r>
                </w:p>
              </w:tc>
              <w:tc>
                <w:tcPr>
                  <w:tcW w:w="607" w:type="pct"/>
                  <w:gridSpan w:val="3"/>
                  <w:noWrap w:val="0"/>
                  <w:vAlign w:val="center"/>
                </w:tcPr>
                <w:p w14:paraId="0E46462B">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rFonts w:hint="eastAsia"/>
                      <w:color w:val="auto"/>
                      <w:sz w:val="21"/>
                      <w:szCs w:val="21"/>
                      <w:highlight w:val="none"/>
                      <w:lang w:val="en-US" w:eastAsia="zh-CN"/>
                    </w:rPr>
                    <w:t>3</w:t>
                  </w:r>
                  <w:r>
                    <w:rPr>
                      <w:color w:val="auto"/>
                      <w:sz w:val="21"/>
                      <w:szCs w:val="21"/>
                      <w:highlight w:val="none"/>
                    </w:rPr>
                    <w:t>00</w:t>
                  </w:r>
                </w:p>
              </w:tc>
              <w:tc>
                <w:tcPr>
                  <w:tcW w:w="235" w:type="pct"/>
                  <w:gridSpan w:val="4"/>
                  <w:vMerge w:val="restart"/>
                  <w:noWrap w:val="0"/>
                  <w:vAlign w:val="center"/>
                </w:tcPr>
                <w:p w14:paraId="5D0F4A53">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1次/年</w:t>
                  </w:r>
                </w:p>
              </w:tc>
            </w:tr>
            <w:tr w14:paraId="3FFD8AA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gridAfter w:val="3"/>
                <w:wAfter w:w="4" w:type="pct"/>
                <w:trHeight w:val="454" w:hRule="atLeast"/>
              </w:trPr>
              <w:tc>
                <w:tcPr>
                  <w:tcW w:w="182" w:type="pct"/>
                  <w:vMerge w:val="continue"/>
                  <w:noWrap w:val="0"/>
                  <w:vAlign w:val="center"/>
                </w:tcPr>
                <w:p w14:paraId="7EBD0728">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356" w:type="pct"/>
                  <w:gridSpan w:val="3"/>
                  <w:vMerge w:val="continue"/>
                  <w:noWrap w:val="0"/>
                  <w:vAlign w:val="center"/>
                </w:tcPr>
                <w:p w14:paraId="0E7EE0CA">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p>
              </w:tc>
              <w:tc>
                <w:tcPr>
                  <w:tcW w:w="394" w:type="pct"/>
                  <w:gridSpan w:val="3"/>
                  <w:noWrap w:val="0"/>
                  <w:vAlign w:val="center"/>
                </w:tcPr>
                <w:p w14:paraId="0F92E71E">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r>
                    <w:rPr>
                      <w:color w:val="auto"/>
                      <w:sz w:val="21"/>
                      <w:szCs w:val="21"/>
                      <w:highlight w:val="none"/>
                    </w:rPr>
                    <w:t>NH</w:t>
                  </w:r>
                  <w:r>
                    <w:rPr>
                      <w:color w:val="auto"/>
                      <w:sz w:val="21"/>
                      <w:szCs w:val="21"/>
                      <w:highlight w:val="none"/>
                      <w:vertAlign w:val="subscript"/>
                    </w:rPr>
                    <w:t>3</w:t>
                  </w:r>
                  <w:r>
                    <w:rPr>
                      <w:color w:val="auto"/>
                      <w:sz w:val="21"/>
                      <w:szCs w:val="21"/>
                      <w:highlight w:val="none"/>
                    </w:rPr>
                    <w:t>-N</w:t>
                  </w:r>
                </w:p>
              </w:tc>
              <w:tc>
                <w:tcPr>
                  <w:tcW w:w="553" w:type="pct"/>
                  <w:gridSpan w:val="3"/>
                  <w:noWrap w:val="0"/>
                  <w:vAlign w:val="center"/>
                </w:tcPr>
                <w:p w14:paraId="7433CF7F">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25</w:t>
                  </w:r>
                </w:p>
              </w:tc>
              <w:tc>
                <w:tcPr>
                  <w:tcW w:w="427" w:type="pct"/>
                  <w:gridSpan w:val="3"/>
                  <w:noWrap w:val="0"/>
                  <w:vAlign w:val="center"/>
                </w:tcPr>
                <w:p w14:paraId="5C3E8183">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olor w:val="auto"/>
                      <w:sz w:val="21"/>
                      <w:szCs w:val="21"/>
                      <w:highlight w:val="none"/>
                      <w:lang w:eastAsia="zh-CN"/>
                    </w:rPr>
                  </w:pPr>
                  <w:r>
                    <w:rPr>
                      <w:color w:val="auto"/>
                      <w:sz w:val="21"/>
                      <w:szCs w:val="21"/>
                      <w:highlight w:val="none"/>
                    </w:rPr>
                    <w:t>0.02</w:t>
                  </w:r>
                  <w:r>
                    <w:rPr>
                      <w:rFonts w:hint="eastAsia"/>
                      <w:color w:val="auto"/>
                      <w:sz w:val="21"/>
                      <w:szCs w:val="21"/>
                      <w:highlight w:val="none"/>
                      <w:lang w:val="en-US" w:eastAsia="zh-CN"/>
                    </w:rPr>
                    <w:t>3</w:t>
                  </w:r>
                </w:p>
              </w:tc>
              <w:tc>
                <w:tcPr>
                  <w:tcW w:w="178" w:type="pct"/>
                  <w:gridSpan w:val="3"/>
                  <w:vMerge w:val="continue"/>
                  <w:noWrap w:val="0"/>
                  <w:vAlign w:val="center"/>
                </w:tcPr>
                <w:p w14:paraId="185C56A3">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558" w:type="pct"/>
                  <w:gridSpan w:val="3"/>
                  <w:noWrap w:val="0"/>
                  <w:vAlign w:val="center"/>
                </w:tcPr>
                <w:p w14:paraId="0EEEAA97">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20</w:t>
                  </w:r>
                </w:p>
              </w:tc>
              <w:tc>
                <w:tcPr>
                  <w:tcW w:w="378" w:type="pct"/>
                  <w:gridSpan w:val="3"/>
                  <w:noWrap w:val="0"/>
                  <w:vAlign w:val="center"/>
                </w:tcPr>
                <w:p w14:paraId="4CFF528A">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olor w:val="auto"/>
                      <w:sz w:val="21"/>
                      <w:szCs w:val="21"/>
                      <w:highlight w:val="none"/>
                      <w:lang w:val="en-US" w:eastAsia="zh-CN"/>
                    </w:rPr>
                  </w:pPr>
                  <w:r>
                    <w:rPr>
                      <w:color w:val="auto"/>
                      <w:sz w:val="21"/>
                      <w:szCs w:val="21"/>
                      <w:highlight w:val="none"/>
                    </w:rPr>
                    <w:t>0.0</w:t>
                  </w:r>
                  <w:r>
                    <w:rPr>
                      <w:rFonts w:hint="eastAsia"/>
                      <w:color w:val="auto"/>
                      <w:sz w:val="21"/>
                      <w:szCs w:val="21"/>
                      <w:highlight w:val="none"/>
                      <w:lang w:val="en-US" w:eastAsia="zh-CN"/>
                    </w:rPr>
                    <w:t>18</w:t>
                  </w:r>
                </w:p>
              </w:tc>
              <w:tc>
                <w:tcPr>
                  <w:tcW w:w="226" w:type="pct"/>
                  <w:gridSpan w:val="4"/>
                  <w:vMerge w:val="continue"/>
                  <w:noWrap w:val="0"/>
                  <w:vAlign w:val="center"/>
                </w:tcPr>
                <w:p w14:paraId="4297BA71">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215" w:type="pct"/>
                  <w:gridSpan w:val="4"/>
                  <w:vMerge w:val="continue"/>
                  <w:noWrap w:val="0"/>
                  <w:vAlign w:val="center"/>
                </w:tcPr>
                <w:p w14:paraId="4C22957C">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273" w:type="pct"/>
                  <w:gridSpan w:val="3"/>
                  <w:vMerge w:val="continue"/>
                  <w:noWrap w:val="0"/>
                  <w:vAlign w:val="center"/>
                </w:tcPr>
                <w:p w14:paraId="3CF2ECA8">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408" w:type="pct"/>
                  <w:gridSpan w:val="4"/>
                  <w:vMerge w:val="continue"/>
                  <w:noWrap w:val="0"/>
                  <w:vAlign w:val="center"/>
                </w:tcPr>
                <w:p w14:paraId="60BBDEAD">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607" w:type="pct"/>
                  <w:gridSpan w:val="3"/>
                  <w:noWrap w:val="0"/>
                  <w:vAlign w:val="center"/>
                </w:tcPr>
                <w:p w14:paraId="794A17FB">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rFonts w:hint="eastAsia"/>
                      <w:color w:val="auto"/>
                      <w:sz w:val="21"/>
                      <w:szCs w:val="21"/>
                      <w:highlight w:val="none"/>
                      <w:lang w:val="en-US" w:eastAsia="zh-CN"/>
                    </w:rPr>
                    <w:t>2</w:t>
                  </w:r>
                  <w:r>
                    <w:rPr>
                      <w:color w:val="auto"/>
                      <w:sz w:val="21"/>
                      <w:szCs w:val="21"/>
                      <w:highlight w:val="none"/>
                    </w:rPr>
                    <w:t>5</w:t>
                  </w:r>
                </w:p>
              </w:tc>
              <w:tc>
                <w:tcPr>
                  <w:tcW w:w="235" w:type="pct"/>
                  <w:gridSpan w:val="4"/>
                  <w:vMerge w:val="continue"/>
                  <w:noWrap w:val="0"/>
                  <w:vAlign w:val="center"/>
                </w:tcPr>
                <w:p w14:paraId="39CCA370">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r>
            <w:tr w14:paraId="02B4737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gridAfter w:val="2"/>
                <w:wAfter w:w="4" w:type="pct"/>
                <w:trHeight w:val="454" w:hRule="atLeast"/>
              </w:trPr>
              <w:tc>
                <w:tcPr>
                  <w:tcW w:w="184" w:type="pct"/>
                  <w:gridSpan w:val="3"/>
                  <w:vMerge w:val="continue"/>
                  <w:noWrap w:val="0"/>
                  <w:vAlign w:val="center"/>
                </w:tcPr>
                <w:p w14:paraId="56FAF0B3">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358" w:type="pct"/>
                  <w:gridSpan w:val="3"/>
                  <w:vMerge w:val="continue"/>
                  <w:noWrap w:val="0"/>
                  <w:vAlign w:val="center"/>
                </w:tcPr>
                <w:p w14:paraId="0F4F90AD">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p>
              </w:tc>
              <w:tc>
                <w:tcPr>
                  <w:tcW w:w="391" w:type="pct"/>
                  <w:gridSpan w:val="2"/>
                  <w:noWrap w:val="0"/>
                  <w:vAlign w:val="center"/>
                </w:tcPr>
                <w:p w14:paraId="1ABBC912">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r>
                    <w:rPr>
                      <w:color w:val="auto"/>
                      <w:sz w:val="21"/>
                      <w:szCs w:val="21"/>
                      <w:highlight w:val="none"/>
                    </w:rPr>
                    <w:t>BOD</w:t>
                  </w:r>
                  <w:r>
                    <w:rPr>
                      <w:color w:val="auto"/>
                      <w:sz w:val="21"/>
                      <w:szCs w:val="21"/>
                      <w:highlight w:val="none"/>
                      <w:vertAlign w:val="subscript"/>
                    </w:rPr>
                    <w:t>5</w:t>
                  </w:r>
                </w:p>
              </w:tc>
              <w:tc>
                <w:tcPr>
                  <w:tcW w:w="553" w:type="pct"/>
                  <w:gridSpan w:val="3"/>
                  <w:noWrap w:val="0"/>
                  <w:vAlign w:val="center"/>
                </w:tcPr>
                <w:p w14:paraId="3A4E90DD">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r>
                    <w:rPr>
                      <w:color w:val="auto"/>
                      <w:sz w:val="21"/>
                      <w:szCs w:val="21"/>
                      <w:highlight w:val="none"/>
                    </w:rPr>
                    <w:t>1</w:t>
                  </w:r>
                  <w:r>
                    <w:rPr>
                      <w:rFonts w:hint="eastAsia"/>
                      <w:color w:val="auto"/>
                      <w:sz w:val="21"/>
                      <w:szCs w:val="21"/>
                      <w:highlight w:val="none"/>
                      <w:lang w:val="en-US" w:eastAsia="zh-CN"/>
                    </w:rPr>
                    <w:t>5</w:t>
                  </w:r>
                  <w:r>
                    <w:rPr>
                      <w:color w:val="auto"/>
                      <w:sz w:val="21"/>
                      <w:szCs w:val="21"/>
                      <w:highlight w:val="none"/>
                    </w:rPr>
                    <w:t>0</w:t>
                  </w:r>
                </w:p>
              </w:tc>
              <w:tc>
                <w:tcPr>
                  <w:tcW w:w="427" w:type="pct"/>
                  <w:gridSpan w:val="3"/>
                  <w:noWrap w:val="0"/>
                  <w:vAlign w:val="center"/>
                </w:tcPr>
                <w:p w14:paraId="1B0B8087">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olor w:val="auto"/>
                      <w:sz w:val="21"/>
                      <w:szCs w:val="21"/>
                      <w:highlight w:val="none"/>
                      <w:lang w:val="en-US" w:eastAsia="zh-CN"/>
                    </w:rPr>
                  </w:pPr>
                  <w:r>
                    <w:rPr>
                      <w:color w:val="auto"/>
                      <w:sz w:val="21"/>
                      <w:szCs w:val="21"/>
                      <w:highlight w:val="none"/>
                    </w:rPr>
                    <w:t>0.1</w:t>
                  </w:r>
                  <w:r>
                    <w:rPr>
                      <w:rFonts w:hint="eastAsia"/>
                      <w:color w:val="auto"/>
                      <w:sz w:val="21"/>
                      <w:szCs w:val="21"/>
                      <w:highlight w:val="none"/>
                      <w:lang w:val="en-US" w:eastAsia="zh-CN"/>
                    </w:rPr>
                    <w:t>37</w:t>
                  </w:r>
                </w:p>
              </w:tc>
              <w:tc>
                <w:tcPr>
                  <w:tcW w:w="178" w:type="pct"/>
                  <w:gridSpan w:val="3"/>
                  <w:vMerge w:val="continue"/>
                  <w:noWrap w:val="0"/>
                  <w:vAlign w:val="center"/>
                </w:tcPr>
                <w:p w14:paraId="244ED5EF">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558" w:type="pct"/>
                  <w:gridSpan w:val="3"/>
                  <w:noWrap w:val="0"/>
                  <w:vAlign w:val="center"/>
                </w:tcPr>
                <w:p w14:paraId="0E6172D4">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eastAsia="宋体"/>
                      <w:color w:val="auto"/>
                      <w:sz w:val="21"/>
                      <w:szCs w:val="21"/>
                      <w:highlight w:val="none"/>
                      <w:lang w:val="en-US" w:eastAsia="zh-CN"/>
                    </w:rPr>
                  </w:pPr>
                  <w:r>
                    <w:rPr>
                      <w:color w:val="auto"/>
                      <w:sz w:val="21"/>
                      <w:szCs w:val="21"/>
                      <w:highlight w:val="none"/>
                    </w:rPr>
                    <w:t>1</w:t>
                  </w:r>
                  <w:r>
                    <w:rPr>
                      <w:rFonts w:hint="eastAsia"/>
                      <w:color w:val="auto"/>
                      <w:sz w:val="21"/>
                      <w:szCs w:val="21"/>
                      <w:highlight w:val="none"/>
                      <w:lang w:val="en-US" w:eastAsia="zh-CN"/>
                    </w:rPr>
                    <w:t>20</w:t>
                  </w:r>
                </w:p>
              </w:tc>
              <w:tc>
                <w:tcPr>
                  <w:tcW w:w="378" w:type="pct"/>
                  <w:gridSpan w:val="3"/>
                  <w:noWrap w:val="0"/>
                  <w:vAlign w:val="center"/>
                </w:tcPr>
                <w:p w14:paraId="2A3C914E">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rPr>
                  </w:pPr>
                  <w:r>
                    <w:rPr>
                      <w:color w:val="auto"/>
                      <w:sz w:val="21"/>
                      <w:szCs w:val="21"/>
                      <w:highlight w:val="none"/>
                    </w:rPr>
                    <w:t>0.1</w:t>
                  </w:r>
                  <w:r>
                    <w:rPr>
                      <w:rFonts w:hint="eastAsia"/>
                      <w:color w:val="auto"/>
                      <w:sz w:val="21"/>
                      <w:szCs w:val="21"/>
                      <w:highlight w:val="none"/>
                      <w:lang w:val="en-US" w:eastAsia="zh-CN"/>
                    </w:rPr>
                    <w:t>09</w:t>
                  </w:r>
                </w:p>
              </w:tc>
              <w:tc>
                <w:tcPr>
                  <w:tcW w:w="226" w:type="pct"/>
                  <w:gridSpan w:val="4"/>
                  <w:vMerge w:val="continue"/>
                  <w:noWrap w:val="0"/>
                  <w:vAlign w:val="center"/>
                </w:tcPr>
                <w:p w14:paraId="2A6ADC45">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215" w:type="pct"/>
                  <w:gridSpan w:val="4"/>
                  <w:vMerge w:val="continue"/>
                  <w:noWrap w:val="0"/>
                  <w:vAlign w:val="center"/>
                </w:tcPr>
                <w:p w14:paraId="518A779F">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273" w:type="pct"/>
                  <w:gridSpan w:val="3"/>
                  <w:vMerge w:val="continue"/>
                  <w:noWrap w:val="0"/>
                  <w:vAlign w:val="center"/>
                </w:tcPr>
                <w:p w14:paraId="228C3E88">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408" w:type="pct"/>
                  <w:gridSpan w:val="4"/>
                  <w:vMerge w:val="continue"/>
                  <w:noWrap w:val="0"/>
                  <w:vAlign w:val="center"/>
                </w:tcPr>
                <w:p w14:paraId="0A4D22F1">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607" w:type="pct"/>
                  <w:gridSpan w:val="3"/>
                  <w:noWrap w:val="0"/>
                  <w:vAlign w:val="center"/>
                </w:tcPr>
                <w:p w14:paraId="36E74C26">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rFonts w:hint="eastAsia"/>
                      <w:color w:val="auto"/>
                      <w:sz w:val="21"/>
                      <w:szCs w:val="21"/>
                      <w:highlight w:val="none"/>
                      <w:lang w:val="en-US" w:eastAsia="zh-CN"/>
                    </w:rPr>
                    <w:t>1</w:t>
                  </w:r>
                  <w:r>
                    <w:rPr>
                      <w:color w:val="auto"/>
                      <w:sz w:val="21"/>
                      <w:szCs w:val="21"/>
                      <w:highlight w:val="none"/>
                    </w:rPr>
                    <w:t>50</w:t>
                  </w:r>
                </w:p>
              </w:tc>
              <w:tc>
                <w:tcPr>
                  <w:tcW w:w="235" w:type="pct"/>
                  <w:gridSpan w:val="4"/>
                  <w:vMerge w:val="continue"/>
                  <w:noWrap w:val="0"/>
                  <w:vAlign w:val="center"/>
                </w:tcPr>
                <w:p w14:paraId="72787DB1">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r>
            <w:tr w14:paraId="68310BA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gridAfter w:val="2"/>
                <w:wAfter w:w="4" w:type="pct"/>
                <w:trHeight w:val="454" w:hRule="atLeast"/>
              </w:trPr>
              <w:tc>
                <w:tcPr>
                  <w:tcW w:w="184" w:type="pct"/>
                  <w:gridSpan w:val="3"/>
                  <w:vMerge w:val="continue"/>
                  <w:noWrap w:val="0"/>
                  <w:vAlign w:val="center"/>
                </w:tcPr>
                <w:p w14:paraId="629DC19E">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358" w:type="pct"/>
                  <w:gridSpan w:val="3"/>
                  <w:vMerge w:val="continue"/>
                  <w:noWrap w:val="0"/>
                  <w:vAlign w:val="center"/>
                </w:tcPr>
                <w:p w14:paraId="67EC1F5C">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p>
              </w:tc>
              <w:tc>
                <w:tcPr>
                  <w:tcW w:w="391" w:type="pct"/>
                  <w:gridSpan w:val="2"/>
                  <w:noWrap w:val="0"/>
                  <w:vAlign w:val="center"/>
                </w:tcPr>
                <w:p w14:paraId="7CD6A61A">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r>
                    <w:rPr>
                      <w:color w:val="auto"/>
                      <w:sz w:val="21"/>
                      <w:szCs w:val="21"/>
                      <w:highlight w:val="none"/>
                    </w:rPr>
                    <w:t>SS</w:t>
                  </w:r>
                </w:p>
              </w:tc>
              <w:tc>
                <w:tcPr>
                  <w:tcW w:w="553" w:type="pct"/>
                  <w:gridSpan w:val="3"/>
                  <w:noWrap w:val="0"/>
                  <w:vAlign w:val="center"/>
                </w:tcPr>
                <w:p w14:paraId="7FB54CE1">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r>
                    <w:rPr>
                      <w:color w:val="auto"/>
                      <w:sz w:val="21"/>
                      <w:szCs w:val="21"/>
                      <w:highlight w:val="none"/>
                    </w:rPr>
                    <w:t>200</w:t>
                  </w:r>
                </w:p>
              </w:tc>
              <w:tc>
                <w:tcPr>
                  <w:tcW w:w="427" w:type="pct"/>
                  <w:gridSpan w:val="3"/>
                  <w:noWrap w:val="0"/>
                  <w:vAlign w:val="center"/>
                </w:tcPr>
                <w:p w14:paraId="493B277E">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olor w:val="auto"/>
                      <w:sz w:val="21"/>
                      <w:szCs w:val="21"/>
                      <w:highlight w:val="none"/>
                      <w:lang w:val="en-US" w:eastAsia="zh-CN"/>
                    </w:rPr>
                  </w:pPr>
                  <w:r>
                    <w:rPr>
                      <w:color w:val="auto"/>
                      <w:sz w:val="21"/>
                      <w:szCs w:val="21"/>
                      <w:highlight w:val="none"/>
                    </w:rPr>
                    <w:t>0.1</w:t>
                  </w:r>
                  <w:r>
                    <w:rPr>
                      <w:rFonts w:hint="eastAsia"/>
                      <w:color w:val="auto"/>
                      <w:sz w:val="21"/>
                      <w:szCs w:val="21"/>
                      <w:highlight w:val="none"/>
                      <w:lang w:val="en-US" w:eastAsia="zh-CN"/>
                    </w:rPr>
                    <w:t>82</w:t>
                  </w:r>
                </w:p>
              </w:tc>
              <w:tc>
                <w:tcPr>
                  <w:tcW w:w="178" w:type="pct"/>
                  <w:gridSpan w:val="3"/>
                  <w:vMerge w:val="continue"/>
                  <w:noWrap w:val="0"/>
                  <w:vAlign w:val="center"/>
                </w:tcPr>
                <w:p w14:paraId="7A1705F5">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558" w:type="pct"/>
                  <w:gridSpan w:val="3"/>
                  <w:noWrap w:val="0"/>
                  <w:vAlign w:val="center"/>
                </w:tcPr>
                <w:p w14:paraId="5E8E61E0">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150</w:t>
                  </w:r>
                </w:p>
              </w:tc>
              <w:tc>
                <w:tcPr>
                  <w:tcW w:w="378" w:type="pct"/>
                  <w:gridSpan w:val="3"/>
                  <w:noWrap w:val="0"/>
                  <w:vAlign w:val="center"/>
                </w:tcPr>
                <w:p w14:paraId="510FC689">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rPr>
                  </w:pPr>
                  <w:r>
                    <w:rPr>
                      <w:color w:val="auto"/>
                      <w:sz w:val="21"/>
                      <w:szCs w:val="21"/>
                      <w:highlight w:val="none"/>
                    </w:rPr>
                    <w:t>0.1</w:t>
                  </w:r>
                  <w:r>
                    <w:rPr>
                      <w:rFonts w:hint="eastAsia"/>
                      <w:color w:val="auto"/>
                      <w:sz w:val="21"/>
                      <w:szCs w:val="21"/>
                      <w:highlight w:val="none"/>
                      <w:lang w:val="en-US" w:eastAsia="zh-CN"/>
                    </w:rPr>
                    <w:t>37</w:t>
                  </w:r>
                </w:p>
              </w:tc>
              <w:tc>
                <w:tcPr>
                  <w:tcW w:w="226" w:type="pct"/>
                  <w:gridSpan w:val="4"/>
                  <w:vMerge w:val="continue"/>
                  <w:noWrap w:val="0"/>
                  <w:vAlign w:val="center"/>
                </w:tcPr>
                <w:p w14:paraId="41E8E324">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215" w:type="pct"/>
                  <w:gridSpan w:val="4"/>
                  <w:vMerge w:val="continue"/>
                  <w:noWrap w:val="0"/>
                  <w:vAlign w:val="center"/>
                </w:tcPr>
                <w:p w14:paraId="4CC93251">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273" w:type="pct"/>
                  <w:gridSpan w:val="3"/>
                  <w:vMerge w:val="continue"/>
                  <w:noWrap w:val="0"/>
                  <w:vAlign w:val="center"/>
                </w:tcPr>
                <w:p w14:paraId="539BCA43">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408" w:type="pct"/>
                  <w:gridSpan w:val="4"/>
                  <w:vMerge w:val="continue"/>
                  <w:noWrap w:val="0"/>
                  <w:vAlign w:val="center"/>
                </w:tcPr>
                <w:p w14:paraId="1384404A">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607" w:type="pct"/>
                  <w:gridSpan w:val="3"/>
                  <w:noWrap w:val="0"/>
                  <w:vAlign w:val="center"/>
                </w:tcPr>
                <w:p w14:paraId="60DE5C01">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rFonts w:hint="eastAsia"/>
                      <w:color w:val="auto"/>
                      <w:sz w:val="21"/>
                      <w:szCs w:val="21"/>
                      <w:highlight w:val="none"/>
                      <w:lang w:val="en-US" w:eastAsia="zh-CN"/>
                    </w:rPr>
                    <w:t>25</w:t>
                  </w:r>
                  <w:r>
                    <w:rPr>
                      <w:color w:val="auto"/>
                      <w:sz w:val="21"/>
                      <w:szCs w:val="21"/>
                      <w:highlight w:val="none"/>
                    </w:rPr>
                    <w:t>0</w:t>
                  </w:r>
                </w:p>
              </w:tc>
              <w:tc>
                <w:tcPr>
                  <w:tcW w:w="235" w:type="pct"/>
                  <w:gridSpan w:val="4"/>
                  <w:vMerge w:val="continue"/>
                  <w:noWrap w:val="0"/>
                  <w:vAlign w:val="center"/>
                </w:tcPr>
                <w:p w14:paraId="7F94E8AA">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r>
            <w:tr w14:paraId="0ADBE61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gridAfter w:val="2"/>
                <w:wAfter w:w="4" w:type="pct"/>
                <w:trHeight w:val="454" w:hRule="atLeast"/>
              </w:trPr>
              <w:tc>
                <w:tcPr>
                  <w:tcW w:w="184" w:type="pct"/>
                  <w:gridSpan w:val="3"/>
                  <w:vMerge w:val="continue"/>
                  <w:noWrap w:val="0"/>
                  <w:vAlign w:val="center"/>
                </w:tcPr>
                <w:p w14:paraId="6011D5A5">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358" w:type="pct"/>
                  <w:gridSpan w:val="3"/>
                  <w:vMerge w:val="continue"/>
                  <w:noWrap w:val="0"/>
                  <w:vAlign w:val="center"/>
                </w:tcPr>
                <w:p w14:paraId="6666303A">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p>
              </w:tc>
              <w:tc>
                <w:tcPr>
                  <w:tcW w:w="391" w:type="pct"/>
                  <w:gridSpan w:val="2"/>
                  <w:noWrap w:val="0"/>
                  <w:vAlign w:val="center"/>
                </w:tcPr>
                <w:p w14:paraId="52A49B44">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r>
                    <w:rPr>
                      <w:rFonts w:hint="eastAsia"/>
                      <w:color w:val="auto"/>
                      <w:highlight w:val="none"/>
                      <w:lang w:val="en-US" w:eastAsia="zh-CN"/>
                    </w:rPr>
                    <w:t>TP</w:t>
                  </w:r>
                </w:p>
              </w:tc>
              <w:tc>
                <w:tcPr>
                  <w:tcW w:w="553" w:type="pct"/>
                  <w:gridSpan w:val="3"/>
                  <w:noWrap w:val="0"/>
                  <w:vAlign w:val="center"/>
                </w:tcPr>
                <w:p w14:paraId="653FB6F8">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eastAsia" w:eastAsia="宋体"/>
                      <w:color w:val="auto"/>
                      <w:sz w:val="21"/>
                      <w:szCs w:val="21"/>
                      <w:highlight w:val="none"/>
                      <w:lang w:val="en-US" w:eastAsia="zh-CN"/>
                    </w:rPr>
                  </w:pPr>
                  <w:r>
                    <w:rPr>
                      <w:rFonts w:hint="eastAsia"/>
                      <w:color w:val="auto"/>
                      <w:sz w:val="21"/>
                      <w:szCs w:val="21"/>
                      <w:highlight w:val="none"/>
                      <w:lang w:val="en-US" w:eastAsia="zh-CN"/>
                    </w:rPr>
                    <w:t>3</w:t>
                  </w:r>
                </w:p>
              </w:tc>
              <w:tc>
                <w:tcPr>
                  <w:tcW w:w="427" w:type="pct"/>
                  <w:gridSpan w:val="3"/>
                  <w:noWrap w:val="0"/>
                  <w:vAlign w:val="center"/>
                </w:tcPr>
                <w:p w14:paraId="78A64F6C">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0.003</w:t>
                  </w:r>
                </w:p>
              </w:tc>
              <w:tc>
                <w:tcPr>
                  <w:tcW w:w="178" w:type="pct"/>
                  <w:gridSpan w:val="3"/>
                  <w:vMerge w:val="continue"/>
                  <w:noWrap w:val="0"/>
                  <w:vAlign w:val="center"/>
                </w:tcPr>
                <w:p w14:paraId="1C0D03C4">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558" w:type="pct"/>
                  <w:gridSpan w:val="3"/>
                  <w:noWrap w:val="0"/>
                  <w:vAlign w:val="center"/>
                </w:tcPr>
                <w:p w14:paraId="224D35AF">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color w:val="auto"/>
                      <w:sz w:val="21"/>
                      <w:szCs w:val="21"/>
                      <w:highlight w:val="none"/>
                      <w:lang w:val="en-US" w:eastAsia="zh-CN"/>
                    </w:rPr>
                  </w:pPr>
                  <w:r>
                    <w:rPr>
                      <w:rFonts w:hint="eastAsia"/>
                      <w:color w:val="auto"/>
                      <w:sz w:val="21"/>
                      <w:szCs w:val="21"/>
                      <w:highlight w:val="none"/>
                      <w:lang w:val="en-US" w:eastAsia="zh-CN"/>
                    </w:rPr>
                    <w:t>2</w:t>
                  </w:r>
                </w:p>
              </w:tc>
              <w:tc>
                <w:tcPr>
                  <w:tcW w:w="378" w:type="pct"/>
                  <w:gridSpan w:val="3"/>
                  <w:noWrap w:val="0"/>
                  <w:vAlign w:val="center"/>
                </w:tcPr>
                <w:p w14:paraId="2D7B5A07">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0.002</w:t>
                  </w:r>
                </w:p>
              </w:tc>
              <w:tc>
                <w:tcPr>
                  <w:tcW w:w="226" w:type="pct"/>
                  <w:gridSpan w:val="4"/>
                  <w:vMerge w:val="continue"/>
                  <w:noWrap w:val="0"/>
                  <w:vAlign w:val="center"/>
                </w:tcPr>
                <w:p w14:paraId="6C429DA4">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215" w:type="pct"/>
                  <w:gridSpan w:val="4"/>
                  <w:vMerge w:val="continue"/>
                  <w:noWrap w:val="0"/>
                  <w:vAlign w:val="center"/>
                </w:tcPr>
                <w:p w14:paraId="623E0CD2">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273" w:type="pct"/>
                  <w:gridSpan w:val="3"/>
                  <w:vMerge w:val="continue"/>
                  <w:noWrap w:val="0"/>
                  <w:vAlign w:val="center"/>
                </w:tcPr>
                <w:p w14:paraId="65024BC8">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408" w:type="pct"/>
                  <w:gridSpan w:val="4"/>
                  <w:vMerge w:val="continue"/>
                  <w:noWrap w:val="0"/>
                  <w:vAlign w:val="center"/>
                </w:tcPr>
                <w:p w14:paraId="43F85ACC">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607" w:type="pct"/>
                  <w:gridSpan w:val="3"/>
                  <w:noWrap w:val="0"/>
                  <w:vAlign w:val="center"/>
                </w:tcPr>
                <w:p w14:paraId="7EBD9883">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3</w:t>
                  </w:r>
                </w:p>
              </w:tc>
              <w:tc>
                <w:tcPr>
                  <w:tcW w:w="235" w:type="pct"/>
                  <w:gridSpan w:val="4"/>
                  <w:vMerge w:val="continue"/>
                  <w:noWrap w:val="0"/>
                  <w:vAlign w:val="center"/>
                </w:tcPr>
                <w:p w14:paraId="3E259E23">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r>
            <w:tr w14:paraId="3CC452A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gridAfter w:val="2"/>
                <w:wAfter w:w="4" w:type="pct"/>
                <w:trHeight w:val="106" w:hRule="atLeast"/>
              </w:trPr>
              <w:tc>
                <w:tcPr>
                  <w:tcW w:w="184" w:type="pct"/>
                  <w:gridSpan w:val="3"/>
                  <w:vMerge w:val="restart"/>
                  <w:noWrap w:val="0"/>
                  <w:vAlign w:val="center"/>
                </w:tcPr>
                <w:p w14:paraId="3D0DD710">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餐饮废水</w:t>
                  </w:r>
                </w:p>
              </w:tc>
              <w:tc>
                <w:tcPr>
                  <w:tcW w:w="358" w:type="pct"/>
                  <w:gridSpan w:val="3"/>
                  <w:vMerge w:val="restart"/>
                  <w:noWrap w:val="0"/>
                  <w:vAlign w:val="center"/>
                </w:tcPr>
                <w:p w14:paraId="6EC7F43B">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156</w:t>
                  </w:r>
                </w:p>
              </w:tc>
              <w:tc>
                <w:tcPr>
                  <w:tcW w:w="391" w:type="pct"/>
                  <w:gridSpan w:val="2"/>
                  <w:noWrap w:val="0"/>
                  <w:vAlign w:val="center"/>
                </w:tcPr>
                <w:p w14:paraId="60DE7F9B">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r>
                    <w:rPr>
                      <w:color w:val="auto"/>
                      <w:sz w:val="21"/>
                      <w:szCs w:val="21"/>
                      <w:highlight w:val="none"/>
                    </w:rPr>
                    <w:t>COD</w:t>
                  </w:r>
                </w:p>
              </w:tc>
              <w:tc>
                <w:tcPr>
                  <w:tcW w:w="553" w:type="pct"/>
                  <w:gridSpan w:val="3"/>
                  <w:noWrap w:val="0"/>
                  <w:vAlign w:val="center"/>
                </w:tcPr>
                <w:p w14:paraId="49B2CFE2">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eastAsia="宋体"/>
                      <w:color w:val="auto"/>
                      <w:sz w:val="21"/>
                      <w:szCs w:val="21"/>
                      <w:highlight w:val="none"/>
                      <w:lang w:val="en-US" w:eastAsia="zh-CN"/>
                    </w:rPr>
                  </w:pPr>
                  <w:r>
                    <w:rPr>
                      <w:color w:val="auto"/>
                      <w:sz w:val="21"/>
                      <w:szCs w:val="21"/>
                      <w:highlight w:val="none"/>
                    </w:rPr>
                    <w:t>300</w:t>
                  </w:r>
                </w:p>
              </w:tc>
              <w:tc>
                <w:tcPr>
                  <w:tcW w:w="427" w:type="pct"/>
                  <w:gridSpan w:val="3"/>
                  <w:noWrap w:val="0"/>
                  <w:vAlign w:val="center"/>
                </w:tcPr>
                <w:p w14:paraId="2ED87222">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olor w:val="auto"/>
                      <w:sz w:val="21"/>
                      <w:szCs w:val="21"/>
                      <w:highlight w:val="none"/>
                      <w:lang w:val="en-US" w:eastAsia="zh-CN"/>
                    </w:rPr>
                  </w:pPr>
                  <w:r>
                    <w:rPr>
                      <w:color w:val="auto"/>
                      <w:sz w:val="21"/>
                      <w:szCs w:val="21"/>
                      <w:highlight w:val="none"/>
                    </w:rPr>
                    <w:t>0.</w:t>
                  </w:r>
                  <w:r>
                    <w:rPr>
                      <w:rFonts w:hint="eastAsia"/>
                      <w:color w:val="auto"/>
                      <w:sz w:val="21"/>
                      <w:szCs w:val="21"/>
                      <w:highlight w:val="none"/>
                      <w:lang w:val="en-US" w:eastAsia="zh-CN"/>
                    </w:rPr>
                    <w:t>047</w:t>
                  </w:r>
                </w:p>
              </w:tc>
              <w:tc>
                <w:tcPr>
                  <w:tcW w:w="178" w:type="pct"/>
                  <w:gridSpan w:val="3"/>
                  <w:vMerge w:val="restart"/>
                  <w:noWrap w:val="0"/>
                  <w:vAlign w:val="center"/>
                </w:tcPr>
                <w:p w14:paraId="29F4B58B">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olor w:val="auto"/>
                      <w:sz w:val="21"/>
                      <w:szCs w:val="21"/>
                      <w:highlight w:val="none"/>
                      <w:lang w:val="en-US" w:eastAsia="zh-CN"/>
                    </w:rPr>
                  </w:pPr>
                  <w:r>
                    <w:rPr>
                      <w:rFonts w:hint="eastAsia"/>
                      <w:color w:val="auto"/>
                      <w:sz w:val="21"/>
                      <w:szCs w:val="21"/>
                      <w:highlight w:val="none"/>
                      <w:lang w:val="en-US" w:eastAsia="zh-CN"/>
                    </w:rPr>
                    <w:t>隔油池</w:t>
                  </w:r>
                </w:p>
              </w:tc>
              <w:tc>
                <w:tcPr>
                  <w:tcW w:w="558" w:type="pct"/>
                  <w:gridSpan w:val="3"/>
                  <w:noWrap w:val="0"/>
                  <w:vAlign w:val="center"/>
                </w:tcPr>
                <w:p w14:paraId="0C536D17">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280</w:t>
                  </w:r>
                </w:p>
              </w:tc>
              <w:tc>
                <w:tcPr>
                  <w:tcW w:w="378" w:type="pct"/>
                  <w:gridSpan w:val="3"/>
                  <w:noWrap w:val="0"/>
                  <w:vAlign w:val="center"/>
                </w:tcPr>
                <w:p w14:paraId="62D50416">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0.</w:t>
                  </w:r>
                  <w:r>
                    <w:rPr>
                      <w:rFonts w:hint="eastAsia"/>
                      <w:color w:val="auto"/>
                      <w:sz w:val="21"/>
                      <w:szCs w:val="21"/>
                      <w:highlight w:val="none"/>
                      <w:lang w:val="en-US" w:eastAsia="zh-CN"/>
                    </w:rPr>
                    <w:t>044</w:t>
                  </w:r>
                </w:p>
              </w:tc>
              <w:tc>
                <w:tcPr>
                  <w:tcW w:w="226" w:type="pct"/>
                  <w:gridSpan w:val="4"/>
                  <w:vMerge w:val="continue"/>
                  <w:noWrap w:val="0"/>
                  <w:vAlign w:val="center"/>
                </w:tcPr>
                <w:p w14:paraId="01E36F7C">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215" w:type="pct"/>
                  <w:gridSpan w:val="4"/>
                  <w:vMerge w:val="continue"/>
                  <w:noWrap w:val="0"/>
                  <w:vAlign w:val="center"/>
                </w:tcPr>
                <w:p w14:paraId="2E6A5328">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273" w:type="pct"/>
                  <w:gridSpan w:val="3"/>
                  <w:vMerge w:val="continue"/>
                  <w:noWrap w:val="0"/>
                  <w:vAlign w:val="center"/>
                </w:tcPr>
                <w:p w14:paraId="59626369">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408" w:type="pct"/>
                  <w:gridSpan w:val="4"/>
                  <w:vMerge w:val="continue"/>
                  <w:noWrap w:val="0"/>
                  <w:vAlign w:val="center"/>
                </w:tcPr>
                <w:p w14:paraId="32867BD2">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607" w:type="pct"/>
                  <w:gridSpan w:val="3"/>
                  <w:noWrap w:val="0"/>
                  <w:vAlign w:val="center"/>
                </w:tcPr>
                <w:p w14:paraId="1FD3544C">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rFonts w:hint="eastAsia"/>
                      <w:color w:val="auto"/>
                      <w:sz w:val="21"/>
                      <w:szCs w:val="21"/>
                      <w:highlight w:val="none"/>
                      <w:lang w:val="en-US" w:eastAsia="zh-CN"/>
                    </w:rPr>
                    <w:t>3</w:t>
                  </w:r>
                  <w:r>
                    <w:rPr>
                      <w:color w:val="auto"/>
                      <w:sz w:val="21"/>
                      <w:szCs w:val="21"/>
                      <w:highlight w:val="none"/>
                    </w:rPr>
                    <w:t>00</w:t>
                  </w:r>
                </w:p>
              </w:tc>
              <w:tc>
                <w:tcPr>
                  <w:tcW w:w="235" w:type="pct"/>
                  <w:gridSpan w:val="4"/>
                  <w:vMerge w:val="continue"/>
                  <w:noWrap w:val="0"/>
                  <w:vAlign w:val="center"/>
                </w:tcPr>
                <w:p w14:paraId="3E804396">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r>
            <w:tr w14:paraId="450A695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gridAfter w:val="2"/>
                <w:wAfter w:w="4" w:type="pct"/>
                <w:trHeight w:val="106" w:hRule="atLeast"/>
              </w:trPr>
              <w:tc>
                <w:tcPr>
                  <w:tcW w:w="184" w:type="pct"/>
                  <w:gridSpan w:val="3"/>
                  <w:vMerge w:val="continue"/>
                  <w:noWrap w:val="0"/>
                  <w:vAlign w:val="center"/>
                </w:tcPr>
                <w:p w14:paraId="4B9C8492">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highlight w:val="none"/>
                    </w:rPr>
                  </w:pPr>
                </w:p>
              </w:tc>
              <w:tc>
                <w:tcPr>
                  <w:tcW w:w="358" w:type="pct"/>
                  <w:gridSpan w:val="3"/>
                  <w:vMerge w:val="continue"/>
                  <w:noWrap w:val="0"/>
                  <w:vAlign w:val="center"/>
                </w:tcPr>
                <w:p w14:paraId="1BC40D0A">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highlight w:val="none"/>
                    </w:rPr>
                  </w:pPr>
                </w:p>
              </w:tc>
              <w:tc>
                <w:tcPr>
                  <w:tcW w:w="391" w:type="pct"/>
                  <w:gridSpan w:val="2"/>
                  <w:noWrap w:val="0"/>
                  <w:vAlign w:val="center"/>
                </w:tcPr>
                <w:p w14:paraId="2CACA574">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r>
                    <w:rPr>
                      <w:color w:val="auto"/>
                      <w:sz w:val="21"/>
                      <w:szCs w:val="21"/>
                      <w:highlight w:val="none"/>
                    </w:rPr>
                    <w:t>NH</w:t>
                  </w:r>
                  <w:r>
                    <w:rPr>
                      <w:color w:val="auto"/>
                      <w:sz w:val="21"/>
                      <w:szCs w:val="21"/>
                      <w:highlight w:val="none"/>
                      <w:vertAlign w:val="subscript"/>
                    </w:rPr>
                    <w:t>3</w:t>
                  </w:r>
                  <w:r>
                    <w:rPr>
                      <w:color w:val="auto"/>
                      <w:sz w:val="21"/>
                      <w:szCs w:val="21"/>
                      <w:highlight w:val="none"/>
                    </w:rPr>
                    <w:t>-N</w:t>
                  </w:r>
                </w:p>
              </w:tc>
              <w:tc>
                <w:tcPr>
                  <w:tcW w:w="553" w:type="pct"/>
                  <w:gridSpan w:val="3"/>
                  <w:noWrap w:val="0"/>
                  <w:vAlign w:val="center"/>
                </w:tcPr>
                <w:p w14:paraId="36D24CF4">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25</w:t>
                  </w:r>
                </w:p>
              </w:tc>
              <w:tc>
                <w:tcPr>
                  <w:tcW w:w="427" w:type="pct"/>
                  <w:gridSpan w:val="3"/>
                  <w:noWrap w:val="0"/>
                  <w:vAlign w:val="center"/>
                </w:tcPr>
                <w:p w14:paraId="3946A6E1">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olor w:val="auto"/>
                      <w:sz w:val="21"/>
                      <w:szCs w:val="21"/>
                      <w:highlight w:val="none"/>
                      <w:lang w:val="en-US" w:eastAsia="zh-CN"/>
                    </w:rPr>
                  </w:pPr>
                  <w:r>
                    <w:rPr>
                      <w:color w:val="auto"/>
                      <w:sz w:val="21"/>
                      <w:szCs w:val="21"/>
                      <w:highlight w:val="none"/>
                    </w:rPr>
                    <w:t>0.0</w:t>
                  </w:r>
                  <w:r>
                    <w:rPr>
                      <w:rFonts w:hint="eastAsia"/>
                      <w:color w:val="auto"/>
                      <w:sz w:val="21"/>
                      <w:szCs w:val="21"/>
                      <w:highlight w:val="none"/>
                      <w:lang w:val="en-US" w:eastAsia="zh-CN"/>
                    </w:rPr>
                    <w:t>04</w:t>
                  </w:r>
                </w:p>
              </w:tc>
              <w:tc>
                <w:tcPr>
                  <w:tcW w:w="178" w:type="pct"/>
                  <w:gridSpan w:val="3"/>
                  <w:vMerge w:val="continue"/>
                  <w:noWrap w:val="0"/>
                  <w:vAlign w:val="center"/>
                </w:tcPr>
                <w:p w14:paraId="7CC33077">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558" w:type="pct"/>
                  <w:gridSpan w:val="3"/>
                  <w:noWrap w:val="0"/>
                  <w:vAlign w:val="center"/>
                </w:tcPr>
                <w:p w14:paraId="2E09578B">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color w:val="auto"/>
                      <w:sz w:val="21"/>
                      <w:szCs w:val="21"/>
                      <w:highlight w:val="none"/>
                      <w:lang w:val="en-US"/>
                    </w:rPr>
                  </w:pPr>
                  <w:r>
                    <w:rPr>
                      <w:rFonts w:hint="eastAsia"/>
                      <w:color w:val="auto"/>
                      <w:sz w:val="21"/>
                      <w:szCs w:val="21"/>
                      <w:highlight w:val="none"/>
                      <w:lang w:val="en-US" w:eastAsia="zh-CN"/>
                    </w:rPr>
                    <w:t>20</w:t>
                  </w:r>
                </w:p>
              </w:tc>
              <w:tc>
                <w:tcPr>
                  <w:tcW w:w="378" w:type="pct"/>
                  <w:gridSpan w:val="3"/>
                  <w:noWrap w:val="0"/>
                  <w:vAlign w:val="center"/>
                </w:tcPr>
                <w:p w14:paraId="564790EE">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0.0</w:t>
                  </w:r>
                  <w:r>
                    <w:rPr>
                      <w:rFonts w:hint="eastAsia"/>
                      <w:color w:val="auto"/>
                      <w:sz w:val="21"/>
                      <w:szCs w:val="21"/>
                      <w:highlight w:val="none"/>
                      <w:lang w:val="en-US" w:eastAsia="zh-CN"/>
                    </w:rPr>
                    <w:t>03</w:t>
                  </w:r>
                </w:p>
              </w:tc>
              <w:tc>
                <w:tcPr>
                  <w:tcW w:w="226" w:type="pct"/>
                  <w:gridSpan w:val="4"/>
                  <w:vMerge w:val="continue"/>
                  <w:noWrap w:val="0"/>
                  <w:vAlign w:val="center"/>
                </w:tcPr>
                <w:p w14:paraId="7D0C3FD9">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215" w:type="pct"/>
                  <w:gridSpan w:val="4"/>
                  <w:vMerge w:val="continue"/>
                  <w:noWrap w:val="0"/>
                  <w:vAlign w:val="center"/>
                </w:tcPr>
                <w:p w14:paraId="554B1769">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273" w:type="pct"/>
                  <w:gridSpan w:val="3"/>
                  <w:vMerge w:val="continue"/>
                  <w:noWrap w:val="0"/>
                  <w:vAlign w:val="center"/>
                </w:tcPr>
                <w:p w14:paraId="1D6A0B69">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408" w:type="pct"/>
                  <w:gridSpan w:val="4"/>
                  <w:vMerge w:val="continue"/>
                  <w:noWrap w:val="0"/>
                  <w:vAlign w:val="center"/>
                </w:tcPr>
                <w:p w14:paraId="7D2C7C82">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607" w:type="pct"/>
                  <w:gridSpan w:val="3"/>
                  <w:noWrap w:val="0"/>
                  <w:vAlign w:val="center"/>
                </w:tcPr>
                <w:p w14:paraId="1253E8F6">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rFonts w:hint="eastAsia"/>
                      <w:color w:val="auto"/>
                      <w:sz w:val="21"/>
                      <w:szCs w:val="21"/>
                      <w:highlight w:val="none"/>
                      <w:lang w:val="en-US" w:eastAsia="zh-CN"/>
                    </w:rPr>
                    <w:t>2</w:t>
                  </w:r>
                  <w:r>
                    <w:rPr>
                      <w:color w:val="auto"/>
                      <w:sz w:val="21"/>
                      <w:szCs w:val="21"/>
                      <w:highlight w:val="none"/>
                    </w:rPr>
                    <w:t>5</w:t>
                  </w:r>
                </w:p>
              </w:tc>
              <w:tc>
                <w:tcPr>
                  <w:tcW w:w="235" w:type="pct"/>
                  <w:gridSpan w:val="4"/>
                  <w:vMerge w:val="continue"/>
                  <w:noWrap w:val="0"/>
                  <w:vAlign w:val="center"/>
                </w:tcPr>
                <w:p w14:paraId="7392FE0D">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r>
            <w:tr w14:paraId="53F8EC6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gridAfter w:val="2"/>
                <w:wAfter w:w="4" w:type="pct"/>
                <w:trHeight w:val="106" w:hRule="atLeast"/>
              </w:trPr>
              <w:tc>
                <w:tcPr>
                  <w:tcW w:w="184" w:type="pct"/>
                  <w:gridSpan w:val="3"/>
                  <w:vMerge w:val="continue"/>
                  <w:noWrap w:val="0"/>
                  <w:vAlign w:val="center"/>
                </w:tcPr>
                <w:p w14:paraId="2B50851B">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358" w:type="pct"/>
                  <w:gridSpan w:val="3"/>
                  <w:vMerge w:val="continue"/>
                  <w:noWrap w:val="0"/>
                  <w:vAlign w:val="center"/>
                </w:tcPr>
                <w:p w14:paraId="2B34304F">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391" w:type="pct"/>
                  <w:gridSpan w:val="2"/>
                  <w:noWrap w:val="0"/>
                  <w:vAlign w:val="center"/>
                </w:tcPr>
                <w:p w14:paraId="56A92B00">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r>
                    <w:rPr>
                      <w:color w:val="auto"/>
                      <w:sz w:val="21"/>
                      <w:szCs w:val="21"/>
                      <w:highlight w:val="none"/>
                    </w:rPr>
                    <w:t>BOD</w:t>
                  </w:r>
                  <w:r>
                    <w:rPr>
                      <w:color w:val="auto"/>
                      <w:sz w:val="21"/>
                      <w:szCs w:val="21"/>
                      <w:highlight w:val="none"/>
                      <w:vertAlign w:val="subscript"/>
                    </w:rPr>
                    <w:t>5</w:t>
                  </w:r>
                </w:p>
              </w:tc>
              <w:tc>
                <w:tcPr>
                  <w:tcW w:w="553" w:type="pct"/>
                  <w:gridSpan w:val="3"/>
                  <w:noWrap w:val="0"/>
                  <w:vAlign w:val="center"/>
                </w:tcPr>
                <w:p w14:paraId="0E1AB416">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eastAsia="宋体"/>
                      <w:color w:val="auto"/>
                      <w:sz w:val="21"/>
                      <w:szCs w:val="21"/>
                      <w:highlight w:val="none"/>
                      <w:lang w:val="en-US" w:eastAsia="zh-CN"/>
                    </w:rPr>
                  </w:pPr>
                  <w:r>
                    <w:rPr>
                      <w:color w:val="auto"/>
                      <w:sz w:val="21"/>
                      <w:szCs w:val="21"/>
                      <w:highlight w:val="none"/>
                    </w:rPr>
                    <w:t>1</w:t>
                  </w:r>
                  <w:r>
                    <w:rPr>
                      <w:rFonts w:hint="eastAsia"/>
                      <w:color w:val="auto"/>
                      <w:sz w:val="21"/>
                      <w:szCs w:val="21"/>
                      <w:highlight w:val="none"/>
                      <w:lang w:val="en-US" w:eastAsia="zh-CN"/>
                    </w:rPr>
                    <w:t>5</w:t>
                  </w:r>
                  <w:r>
                    <w:rPr>
                      <w:color w:val="auto"/>
                      <w:sz w:val="21"/>
                      <w:szCs w:val="21"/>
                      <w:highlight w:val="none"/>
                    </w:rPr>
                    <w:t>0</w:t>
                  </w:r>
                </w:p>
              </w:tc>
              <w:tc>
                <w:tcPr>
                  <w:tcW w:w="427" w:type="pct"/>
                  <w:gridSpan w:val="3"/>
                  <w:noWrap w:val="0"/>
                  <w:vAlign w:val="center"/>
                </w:tcPr>
                <w:p w14:paraId="51846377">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olor w:val="auto"/>
                      <w:sz w:val="21"/>
                      <w:szCs w:val="21"/>
                      <w:highlight w:val="none"/>
                      <w:lang w:val="en-US" w:eastAsia="zh-CN"/>
                    </w:rPr>
                  </w:pPr>
                  <w:r>
                    <w:rPr>
                      <w:color w:val="auto"/>
                      <w:sz w:val="21"/>
                      <w:szCs w:val="21"/>
                      <w:highlight w:val="none"/>
                    </w:rPr>
                    <w:t>0.</w:t>
                  </w:r>
                  <w:r>
                    <w:rPr>
                      <w:rFonts w:hint="eastAsia"/>
                      <w:color w:val="auto"/>
                      <w:sz w:val="21"/>
                      <w:szCs w:val="21"/>
                      <w:highlight w:val="none"/>
                      <w:lang w:val="en-US" w:eastAsia="zh-CN"/>
                    </w:rPr>
                    <w:t>023</w:t>
                  </w:r>
                </w:p>
              </w:tc>
              <w:tc>
                <w:tcPr>
                  <w:tcW w:w="178" w:type="pct"/>
                  <w:gridSpan w:val="3"/>
                  <w:vMerge w:val="continue"/>
                  <w:noWrap w:val="0"/>
                  <w:vAlign w:val="center"/>
                </w:tcPr>
                <w:p w14:paraId="2E6FF56B">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558" w:type="pct"/>
                  <w:gridSpan w:val="3"/>
                  <w:noWrap w:val="0"/>
                  <w:vAlign w:val="center"/>
                </w:tcPr>
                <w:p w14:paraId="5D372410">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eastAsia="宋体"/>
                      <w:color w:val="auto"/>
                      <w:sz w:val="21"/>
                      <w:szCs w:val="21"/>
                      <w:highlight w:val="none"/>
                      <w:lang w:val="en-US" w:eastAsia="zh-CN"/>
                    </w:rPr>
                  </w:pPr>
                  <w:r>
                    <w:rPr>
                      <w:color w:val="auto"/>
                      <w:sz w:val="21"/>
                      <w:szCs w:val="21"/>
                      <w:highlight w:val="none"/>
                    </w:rPr>
                    <w:t>1</w:t>
                  </w:r>
                  <w:r>
                    <w:rPr>
                      <w:rFonts w:hint="eastAsia"/>
                      <w:color w:val="auto"/>
                      <w:sz w:val="21"/>
                      <w:szCs w:val="21"/>
                      <w:highlight w:val="none"/>
                      <w:lang w:val="en-US" w:eastAsia="zh-CN"/>
                    </w:rPr>
                    <w:t>20</w:t>
                  </w:r>
                </w:p>
              </w:tc>
              <w:tc>
                <w:tcPr>
                  <w:tcW w:w="378" w:type="pct"/>
                  <w:gridSpan w:val="3"/>
                  <w:noWrap w:val="0"/>
                  <w:vAlign w:val="center"/>
                </w:tcPr>
                <w:p w14:paraId="4886EF0A">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rPr>
                  </w:pPr>
                  <w:r>
                    <w:rPr>
                      <w:color w:val="auto"/>
                      <w:sz w:val="21"/>
                      <w:szCs w:val="21"/>
                      <w:highlight w:val="none"/>
                    </w:rPr>
                    <w:t>0.</w:t>
                  </w:r>
                  <w:r>
                    <w:rPr>
                      <w:rFonts w:hint="eastAsia"/>
                      <w:color w:val="auto"/>
                      <w:sz w:val="21"/>
                      <w:szCs w:val="21"/>
                      <w:highlight w:val="none"/>
                      <w:lang w:val="en-US" w:eastAsia="zh-CN"/>
                    </w:rPr>
                    <w:t>019</w:t>
                  </w:r>
                </w:p>
              </w:tc>
              <w:tc>
                <w:tcPr>
                  <w:tcW w:w="226" w:type="pct"/>
                  <w:gridSpan w:val="4"/>
                  <w:vMerge w:val="continue"/>
                  <w:noWrap w:val="0"/>
                  <w:vAlign w:val="center"/>
                </w:tcPr>
                <w:p w14:paraId="7E25D988">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215" w:type="pct"/>
                  <w:gridSpan w:val="4"/>
                  <w:vMerge w:val="continue"/>
                  <w:noWrap w:val="0"/>
                  <w:vAlign w:val="center"/>
                </w:tcPr>
                <w:p w14:paraId="28D7D604">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273" w:type="pct"/>
                  <w:gridSpan w:val="3"/>
                  <w:vMerge w:val="continue"/>
                  <w:noWrap w:val="0"/>
                  <w:vAlign w:val="center"/>
                </w:tcPr>
                <w:p w14:paraId="6E8726BD">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408" w:type="pct"/>
                  <w:gridSpan w:val="4"/>
                  <w:vMerge w:val="continue"/>
                  <w:noWrap w:val="0"/>
                  <w:vAlign w:val="center"/>
                </w:tcPr>
                <w:p w14:paraId="7FED3546">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607" w:type="pct"/>
                  <w:gridSpan w:val="3"/>
                  <w:noWrap w:val="0"/>
                  <w:vAlign w:val="center"/>
                </w:tcPr>
                <w:p w14:paraId="0B062624">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rFonts w:hint="eastAsia"/>
                      <w:color w:val="auto"/>
                      <w:sz w:val="21"/>
                      <w:szCs w:val="21"/>
                      <w:highlight w:val="none"/>
                      <w:lang w:val="en-US" w:eastAsia="zh-CN"/>
                    </w:rPr>
                    <w:t>1</w:t>
                  </w:r>
                  <w:r>
                    <w:rPr>
                      <w:color w:val="auto"/>
                      <w:sz w:val="21"/>
                      <w:szCs w:val="21"/>
                      <w:highlight w:val="none"/>
                    </w:rPr>
                    <w:t>50</w:t>
                  </w:r>
                </w:p>
              </w:tc>
              <w:tc>
                <w:tcPr>
                  <w:tcW w:w="235" w:type="pct"/>
                  <w:gridSpan w:val="4"/>
                  <w:vMerge w:val="continue"/>
                  <w:noWrap w:val="0"/>
                  <w:vAlign w:val="center"/>
                </w:tcPr>
                <w:p w14:paraId="5AABB01E">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r>
            <w:tr w14:paraId="0066C1F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gridAfter w:val="2"/>
                <w:wAfter w:w="4" w:type="pct"/>
                <w:trHeight w:val="106" w:hRule="atLeast"/>
              </w:trPr>
              <w:tc>
                <w:tcPr>
                  <w:tcW w:w="184" w:type="pct"/>
                  <w:gridSpan w:val="3"/>
                  <w:vMerge w:val="continue"/>
                  <w:noWrap w:val="0"/>
                  <w:vAlign w:val="center"/>
                </w:tcPr>
                <w:p w14:paraId="4214BC55">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358" w:type="pct"/>
                  <w:gridSpan w:val="3"/>
                  <w:vMerge w:val="continue"/>
                  <w:noWrap w:val="0"/>
                  <w:vAlign w:val="center"/>
                </w:tcPr>
                <w:p w14:paraId="0E06EA05">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391" w:type="pct"/>
                  <w:gridSpan w:val="2"/>
                  <w:noWrap w:val="0"/>
                  <w:vAlign w:val="center"/>
                </w:tcPr>
                <w:p w14:paraId="436BEC91">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r>
                    <w:rPr>
                      <w:color w:val="auto"/>
                      <w:sz w:val="21"/>
                      <w:szCs w:val="21"/>
                      <w:highlight w:val="none"/>
                    </w:rPr>
                    <w:t>SS</w:t>
                  </w:r>
                </w:p>
              </w:tc>
              <w:tc>
                <w:tcPr>
                  <w:tcW w:w="553" w:type="pct"/>
                  <w:gridSpan w:val="3"/>
                  <w:noWrap w:val="0"/>
                  <w:vAlign w:val="center"/>
                </w:tcPr>
                <w:p w14:paraId="15E50E9F">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eastAsia="宋体"/>
                      <w:color w:val="auto"/>
                      <w:sz w:val="21"/>
                      <w:szCs w:val="21"/>
                      <w:highlight w:val="none"/>
                      <w:lang w:val="en-US" w:eastAsia="zh-CN"/>
                    </w:rPr>
                  </w:pPr>
                  <w:r>
                    <w:rPr>
                      <w:color w:val="auto"/>
                      <w:sz w:val="21"/>
                      <w:szCs w:val="21"/>
                      <w:highlight w:val="none"/>
                    </w:rPr>
                    <w:t>200</w:t>
                  </w:r>
                </w:p>
              </w:tc>
              <w:tc>
                <w:tcPr>
                  <w:tcW w:w="427" w:type="pct"/>
                  <w:gridSpan w:val="3"/>
                  <w:noWrap w:val="0"/>
                  <w:vAlign w:val="center"/>
                </w:tcPr>
                <w:p w14:paraId="61B59E59">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olor w:val="auto"/>
                      <w:sz w:val="21"/>
                      <w:szCs w:val="21"/>
                      <w:highlight w:val="none"/>
                      <w:lang w:val="en-US" w:eastAsia="zh-CN"/>
                    </w:rPr>
                  </w:pPr>
                  <w:r>
                    <w:rPr>
                      <w:color w:val="auto"/>
                      <w:sz w:val="21"/>
                      <w:szCs w:val="21"/>
                      <w:highlight w:val="none"/>
                    </w:rPr>
                    <w:t>0.</w:t>
                  </w:r>
                  <w:r>
                    <w:rPr>
                      <w:rFonts w:hint="eastAsia"/>
                      <w:color w:val="auto"/>
                      <w:sz w:val="21"/>
                      <w:szCs w:val="21"/>
                      <w:highlight w:val="none"/>
                      <w:lang w:val="en-US" w:eastAsia="zh-CN"/>
                    </w:rPr>
                    <w:t>031</w:t>
                  </w:r>
                </w:p>
              </w:tc>
              <w:tc>
                <w:tcPr>
                  <w:tcW w:w="178" w:type="pct"/>
                  <w:gridSpan w:val="3"/>
                  <w:vMerge w:val="continue"/>
                  <w:noWrap w:val="0"/>
                  <w:vAlign w:val="center"/>
                </w:tcPr>
                <w:p w14:paraId="0739CFAA">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558" w:type="pct"/>
                  <w:gridSpan w:val="3"/>
                  <w:noWrap w:val="0"/>
                  <w:vAlign w:val="center"/>
                </w:tcPr>
                <w:p w14:paraId="075E1A22">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150</w:t>
                  </w:r>
                </w:p>
              </w:tc>
              <w:tc>
                <w:tcPr>
                  <w:tcW w:w="378" w:type="pct"/>
                  <w:gridSpan w:val="3"/>
                  <w:noWrap w:val="0"/>
                  <w:vAlign w:val="center"/>
                </w:tcPr>
                <w:p w14:paraId="347C1912">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sz w:val="21"/>
                      <w:szCs w:val="21"/>
                      <w:highlight w:val="none"/>
                      <w:lang w:val="en-US"/>
                    </w:rPr>
                  </w:pPr>
                  <w:r>
                    <w:rPr>
                      <w:color w:val="auto"/>
                      <w:sz w:val="21"/>
                      <w:szCs w:val="21"/>
                      <w:highlight w:val="none"/>
                    </w:rPr>
                    <w:t>0.</w:t>
                  </w:r>
                  <w:r>
                    <w:rPr>
                      <w:rFonts w:hint="eastAsia"/>
                      <w:color w:val="auto"/>
                      <w:sz w:val="21"/>
                      <w:szCs w:val="21"/>
                      <w:highlight w:val="none"/>
                      <w:lang w:val="en-US" w:eastAsia="zh-CN"/>
                    </w:rPr>
                    <w:t>023</w:t>
                  </w:r>
                </w:p>
              </w:tc>
              <w:tc>
                <w:tcPr>
                  <w:tcW w:w="226" w:type="pct"/>
                  <w:gridSpan w:val="4"/>
                  <w:vMerge w:val="continue"/>
                  <w:noWrap w:val="0"/>
                  <w:vAlign w:val="center"/>
                </w:tcPr>
                <w:p w14:paraId="1BEAB7B1">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215" w:type="pct"/>
                  <w:gridSpan w:val="4"/>
                  <w:vMerge w:val="continue"/>
                  <w:noWrap w:val="0"/>
                  <w:vAlign w:val="center"/>
                </w:tcPr>
                <w:p w14:paraId="736D5331">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273" w:type="pct"/>
                  <w:gridSpan w:val="3"/>
                  <w:vMerge w:val="continue"/>
                  <w:noWrap w:val="0"/>
                  <w:vAlign w:val="center"/>
                </w:tcPr>
                <w:p w14:paraId="0FBAE366">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408" w:type="pct"/>
                  <w:gridSpan w:val="4"/>
                  <w:vMerge w:val="continue"/>
                  <w:noWrap w:val="0"/>
                  <w:vAlign w:val="center"/>
                </w:tcPr>
                <w:p w14:paraId="3042D8FB">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607" w:type="pct"/>
                  <w:gridSpan w:val="3"/>
                  <w:noWrap w:val="0"/>
                  <w:vAlign w:val="center"/>
                </w:tcPr>
                <w:p w14:paraId="3D7D7BE6">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rFonts w:hint="eastAsia"/>
                      <w:color w:val="auto"/>
                      <w:sz w:val="21"/>
                      <w:szCs w:val="21"/>
                      <w:highlight w:val="none"/>
                      <w:lang w:val="en-US" w:eastAsia="zh-CN"/>
                    </w:rPr>
                    <w:t>25</w:t>
                  </w:r>
                  <w:r>
                    <w:rPr>
                      <w:color w:val="auto"/>
                      <w:sz w:val="21"/>
                      <w:szCs w:val="21"/>
                      <w:highlight w:val="none"/>
                    </w:rPr>
                    <w:t>0</w:t>
                  </w:r>
                </w:p>
              </w:tc>
              <w:tc>
                <w:tcPr>
                  <w:tcW w:w="235" w:type="pct"/>
                  <w:gridSpan w:val="4"/>
                  <w:vMerge w:val="continue"/>
                  <w:noWrap w:val="0"/>
                  <w:vAlign w:val="center"/>
                </w:tcPr>
                <w:p w14:paraId="1C2C58B1">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r>
            <w:tr w14:paraId="10CD21A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gridAfter w:val="2"/>
                <w:wAfter w:w="4" w:type="pct"/>
                <w:trHeight w:val="106" w:hRule="atLeast"/>
              </w:trPr>
              <w:tc>
                <w:tcPr>
                  <w:tcW w:w="184" w:type="pct"/>
                  <w:gridSpan w:val="3"/>
                  <w:vMerge w:val="continue"/>
                  <w:noWrap w:val="0"/>
                  <w:vAlign w:val="center"/>
                </w:tcPr>
                <w:p w14:paraId="53C64A6E">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358" w:type="pct"/>
                  <w:gridSpan w:val="3"/>
                  <w:vMerge w:val="continue"/>
                  <w:noWrap w:val="0"/>
                  <w:vAlign w:val="center"/>
                </w:tcPr>
                <w:p w14:paraId="52339DB0">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391" w:type="pct"/>
                  <w:gridSpan w:val="2"/>
                  <w:noWrap w:val="0"/>
                  <w:vAlign w:val="center"/>
                </w:tcPr>
                <w:p w14:paraId="0DEC5F96">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动植物油</w:t>
                  </w:r>
                </w:p>
              </w:tc>
              <w:tc>
                <w:tcPr>
                  <w:tcW w:w="553" w:type="pct"/>
                  <w:gridSpan w:val="3"/>
                  <w:noWrap w:val="0"/>
                  <w:vAlign w:val="center"/>
                </w:tcPr>
                <w:p w14:paraId="3E8A81AE">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20</w:t>
                  </w:r>
                </w:p>
              </w:tc>
              <w:tc>
                <w:tcPr>
                  <w:tcW w:w="427" w:type="pct"/>
                  <w:gridSpan w:val="3"/>
                  <w:noWrap w:val="0"/>
                  <w:vAlign w:val="center"/>
                </w:tcPr>
                <w:p w14:paraId="338B2F29">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0.003</w:t>
                  </w:r>
                </w:p>
              </w:tc>
              <w:tc>
                <w:tcPr>
                  <w:tcW w:w="178" w:type="pct"/>
                  <w:gridSpan w:val="3"/>
                  <w:vMerge w:val="continue"/>
                  <w:noWrap w:val="0"/>
                  <w:vAlign w:val="center"/>
                </w:tcPr>
                <w:p w14:paraId="49F6F9A3">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558" w:type="pct"/>
                  <w:gridSpan w:val="3"/>
                  <w:noWrap w:val="0"/>
                  <w:vAlign w:val="center"/>
                </w:tcPr>
                <w:p w14:paraId="6D6A4A4A">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15</w:t>
                  </w:r>
                </w:p>
              </w:tc>
              <w:tc>
                <w:tcPr>
                  <w:tcW w:w="378" w:type="pct"/>
                  <w:gridSpan w:val="3"/>
                  <w:noWrap w:val="0"/>
                  <w:vAlign w:val="center"/>
                </w:tcPr>
                <w:p w14:paraId="4B8F5D31">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rFonts w:hint="eastAsia"/>
                      <w:color w:val="auto"/>
                      <w:sz w:val="21"/>
                      <w:szCs w:val="21"/>
                      <w:highlight w:val="none"/>
                      <w:lang w:val="en-US" w:eastAsia="zh-CN"/>
                    </w:rPr>
                    <w:t>0.002</w:t>
                  </w:r>
                </w:p>
              </w:tc>
              <w:tc>
                <w:tcPr>
                  <w:tcW w:w="226" w:type="pct"/>
                  <w:gridSpan w:val="4"/>
                  <w:vMerge w:val="continue"/>
                  <w:noWrap w:val="0"/>
                  <w:vAlign w:val="center"/>
                </w:tcPr>
                <w:p w14:paraId="7B5DC2B4">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215" w:type="pct"/>
                  <w:gridSpan w:val="4"/>
                  <w:vMerge w:val="continue"/>
                  <w:noWrap w:val="0"/>
                  <w:vAlign w:val="center"/>
                </w:tcPr>
                <w:p w14:paraId="185D6DC1">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273" w:type="pct"/>
                  <w:gridSpan w:val="3"/>
                  <w:vMerge w:val="continue"/>
                  <w:noWrap w:val="0"/>
                  <w:vAlign w:val="center"/>
                </w:tcPr>
                <w:p w14:paraId="753204DC">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408" w:type="pct"/>
                  <w:gridSpan w:val="4"/>
                  <w:vMerge w:val="continue"/>
                  <w:noWrap w:val="0"/>
                  <w:vAlign w:val="center"/>
                </w:tcPr>
                <w:p w14:paraId="7A244174">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607" w:type="pct"/>
                  <w:gridSpan w:val="3"/>
                  <w:noWrap w:val="0"/>
                  <w:vAlign w:val="center"/>
                </w:tcPr>
                <w:p w14:paraId="514F9055">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100</w:t>
                  </w:r>
                </w:p>
              </w:tc>
              <w:tc>
                <w:tcPr>
                  <w:tcW w:w="235" w:type="pct"/>
                  <w:gridSpan w:val="4"/>
                  <w:vMerge w:val="continue"/>
                  <w:noWrap w:val="0"/>
                  <w:vAlign w:val="center"/>
                </w:tcPr>
                <w:p w14:paraId="549399F6">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r>
            <w:tr w14:paraId="0AB12E5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gridAfter w:val="2"/>
                <w:wAfter w:w="4" w:type="pct"/>
                <w:trHeight w:val="454" w:hRule="atLeast"/>
              </w:trPr>
              <w:tc>
                <w:tcPr>
                  <w:tcW w:w="184" w:type="pct"/>
                  <w:gridSpan w:val="3"/>
                  <w:vMerge w:val="restart"/>
                  <w:noWrap w:val="0"/>
                  <w:vAlign w:val="center"/>
                </w:tcPr>
                <w:p w14:paraId="7A3A9636">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生产废水</w:t>
                  </w:r>
                </w:p>
              </w:tc>
              <w:tc>
                <w:tcPr>
                  <w:tcW w:w="358" w:type="pct"/>
                  <w:gridSpan w:val="3"/>
                  <w:vMerge w:val="restart"/>
                  <w:noWrap w:val="0"/>
                  <w:vAlign w:val="center"/>
                </w:tcPr>
                <w:p w14:paraId="0D6480D4">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28</w:t>
                  </w:r>
                </w:p>
              </w:tc>
              <w:tc>
                <w:tcPr>
                  <w:tcW w:w="391" w:type="pct"/>
                  <w:gridSpan w:val="2"/>
                  <w:noWrap w:val="0"/>
                  <w:vAlign w:val="center"/>
                </w:tcPr>
                <w:p w14:paraId="5F054B3A">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r>
                    <w:rPr>
                      <w:color w:val="auto"/>
                      <w:sz w:val="21"/>
                      <w:szCs w:val="21"/>
                      <w:highlight w:val="none"/>
                    </w:rPr>
                    <w:t>COD</w:t>
                  </w:r>
                </w:p>
              </w:tc>
              <w:tc>
                <w:tcPr>
                  <w:tcW w:w="553" w:type="pct"/>
                  <w:gridSpan w:val="3"/>
                  <w:noWrap w:val="0"/>
                  <w:vAlign w:val="center"/>
                </w:tcPr>
                <w:p w14:paraId="55A01C68">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200</w:t>
                  </w:r>
                </w:p>
              </w:tc>
              <w:tc>
                <w:tcPr>
                  <w:tcW w:w="427" w:type="pct"/>
                  <w:gridSpan w:val="3"/>
                  <w:noWrap w:val="0"/>
                  <w:vAlign w:val="center"/>
                </w:tcPr>
                <w:p w14:paraId="5BC4D3B2">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olor w:val="auto"/>
                      <w:sz w:val="21"/>
                      <w:szCs w:val="21"/>
                      <w:highlight w:val="none"/>
                      <w:lang w:eastAsia="zh-CN"/>
                    </w:rPr>
                  </w:pPr>
                  <w:r>
                    <w:rPr>
                      <w:color w:val="auto"/>
                      <w:sz w:val="21"/>
                      <w:szCs w:val="21"/>
                      <w:highlight w:val="none"/>
                    </w:rPr>
                    <w:t>0.00</w:t>
                  </w:r>
                  <w:r>
                    <w:rPr>
                      <w:rFonts w:hint="eastAsia"/>
                      <w:color w:val="auto"/>
                      <w:sz w:val="21"/>
                      <w:szCs w:val="21"/>
                      <w:highlight w:val="none"/>
                      <w:lang w:val="en-US" w:eastAsia="zh-CN"/>
                    </w:rPr>
                    <w:t>6</w:t>
                  </w:r>
                </w:p>
              </w:tc>
              <w:tc>
                <w:tcPr>
                  <w:tcW w:w="178" w:type="pct"/>
                  <w:gridSpan w:val="3"/>
                  <w:vMerge w:val="restart"/>
                  <w:noWrap w:val="0"/>
                  <w:vAlign w:val="center"/>
                </w:tcPr>
                <w:p w14:paraId="36528463">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558" w:type="pct"/>
                  <w:gridSpan w:val="3"/>
                  <w:noWrap w:val="0"/>
                  <w:vAlign w:val="center"/>
                </w:tcPr>
                <w:p w14:paraId="02DCDAF8">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rFonts w:hint="eastAsia"/>
                      <w:color w:val="auto"/>
                      <w:sz w:val="21"/>
                      <w:szCs w:val="21"/>
                      <w:highlight w:val="none"/>
                      <w:lang w:val="en-US" w:eastAsia="zh-CN"/>
                    </w:rPr>
                    <w:t>200</w:t>
                  </w:r>
                </w:p>
              </w:tc>
              <w:tc>
                <w:tcPr>
                  <w:tcW w:w="378" w:type="pct"/>
                  <w:gridSpan w:val="3"/>
                  <w:noWrap w:val="0"/>
                  <w:vAlign w:val="center"/>
                </w:tcPr>
                <w:p w14:paraId="23D89C28">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color w:val="auto"/>
                      <w:sz w:val="21"/>
                      <w:szCs w:val="21"/>
                      <w:highlight w:val="none"/>
                    </w:rPr>
                    <w:t>0.00</w:t>
                  </w:r>
                  <w:r>
                    <w:rPr>
                      <w:rFonts w:hint="eastAsia"/>
                      <w:color w:val="auto"/>
                      <w:sz w:val="21"/>
                      <w:szCs w:val="21"/>
                      <w:highlight w:val="none"/>
                      <w:lang w:val="en-US" w:eastAsia="zh-CN"/>
                    </w:rPr>
                    <w:t>6</w:t>
                  </w:r>
                </w:p>
              </w:tc>
              <w:tc>
                <w:tcPr>
                  <w:tcW w:w="226" w:type="pct"/>
                  <w:gridSpan w:val="4"/>
                  <w:vMerge w:val="continue"/>
                  <w:noWrap w:val="0"/>
                  <w:vAlign w:val="center"/>
                </w:tcPr>
                <w:p w14:paraId="70A7C293">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215" w:type="pct"/>
                  <w:gridSpan w:val="4"/>
                  <w:vMerge w:val="continue"/>
                  <w:noWrap w:val="0"/>
                  <w:vAlign w:val="center"/>
                </w:tcPr>
                <w:p w14:paraId="3004341F">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273" w:type="pct"/>
                  <w:gridSpan w:val="3"/>
                  <w:vMerge w:val="continue"/>
                  <w:noWrap w:val="0"/>
                  <w:vAlign w:val="center"/>
                </w:tcPr>
                <w:p w14:paraId="667CF456">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408" w:type="pct"/>
                  <w:gridSpan w:val="4"/>
                  <w:vMerge w:val="continue"/>
                  <w:noWrap w:val="0"/>
                  <w:vAlign w:val="center"/>
                </w:tcPr>
                <w:p w14:paraId="3A297DD2">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c>
                <w:tcPr>
                  <w:tcW w:w="607" w:type="pct"/>
                  <w:gridSpan w:val="3"/>
                  <w:noWrap w:val="0"/>
                  <w:vAlign w:val="center"/>
                </w:tcPr>
                <w:p w14:paraId="070D3383">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rFonts w:hint="eastAsia"/>
                      <w:color w:val="auto"/>
                      <w:sz w:val="21"/>
                      <w:szCs w:val="21"/>
                      <w:highlight w:val="none"/>
                      <w:lang w:val="en-US" w:eastAsia="zh-CN"/>
                    </w:rPr>
                    <w:t>3</w:t>
                  </w:r>
                  <w:r>
                    <w:rPr>
                      <w:color w:val="auto"/>
                      <w:sz w:val="21"/>
                      <w:szCs w:val="21"/>
                      <w:highlight w:val="none"/>
                    </w:rPr>
                    <w:t>00</w:t>
                  </w:r>
                </w:p>
              </w:tc>
              <w:tc>
                <w:tcPr>
                  <w:tcW w:w="235" w:type="pct"/>
                  <w:gridSpan w:val="4"/>
                  <w:vMerge w:val="continue"/>
                  <w:noWrap w:val="0"/>
                  <w:vAlign w:val="center"/>
                </w:tcPr>
                <w:p w14:paraId="3C886388">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p>
              </w:tc>
            </w:tr>
            <w:tr w14:paraId="0427D06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gridAfter w:val="2"/>
                <w:wAfter w:w="4" w:type="pct"/>
                <w:trHeight w:val="454" w:hRule="atLeast"/>
              </w:trPr>
              <w:tc>
                <w:tcPr>
                  <w:tcW w:w="184" w:type="pct"/>
                  <w:gridSpan w:val="3"/>
                  <w:vMerge w:val="continue"/>
                  <w:noWrap w:val="0"/>
                  <w:vAlign w:val="center"/>
                </w:tcPr>
                <w:p w14:paraId="2256BCFF">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p>
              </w:tc>
              <w:tc>
                <w:tcPr>
                  <w:tcW w:w="358" w:type="pct"/>
                  <w:gridSpan w:val="3"/>
                  <w:vMerge w:val="continue"/>
                  <w:noWrap w:val="0"/>
                  <w:vAlign w:val="center"/>
                </w:tcPr>
                <w:p w14:paraId="0147E412">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p>
              </w:tc>
              <w:tc>
                <w:tcPr>
                  <w:tcW w:w="391" w:type="pct"/>
                  <w:gridSpan w:val="2"/>
                  <w:noWrap w:val="0"/>
                  <w:vAlign w:val="center"/>
                </w:tcPr>
                <w:p w14:paraId="5116FFA3">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r>
                    <w:rPr>
                      <w:color w:val="auto"/>
                      <w:sz w:val="21"/>
                      <w:szCs w:val="21"/>
                      <w:highlight w:val="none"/>
                    </w:rPr>
                    <w:t>SS</w:t>
                  </w:r>
                </w:p>
              </w:tc>
              <w:tc>
                <w:tcPr>
                  <w:tcW w:w="553" w:type="pct"/>
                  <w:gridSpan w:val="3"/>
                  <w:noWrap w:val="0"/>
                  <w:vAlign w:val="center"/>
                </w:tcPr>
                <w:p w14:paraId="38BA31E5">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180</w:t>
                  </w:r>
                </w:p>
              </w:tc>
              <w:tc>
                <w:tcPr>
                  <w:tcW w:w="427" w:type="pct"/>
                  <w:gridSpan w:val="3"/>
                  <w:noWrap w:val="0"/>
                  <w:vAlign w:val="center"/>
                </w:tcPr>
                <w:p w14:paraId="05E7F8EC">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eastAsia="宋体"/>
                      <w:color w:val="auto"/>
                      <w:sz w:val="21"/>
                      <w:szCs w:val="21"/>
                      <w:highlight w:val="none"/>
                      <w:lang w:val="en-US" w:eastAsia="zh-CN"/>
                    </w:rPr>
                  </w:pPr>
                  <w:r>
                    <w:rPr>
                      <w:color w:val="auto"/>
                      <w:sz w:val="21"/>
                      <w:szCs w:val="21"/>
                      <w:highlight w:val="none"/>
                    </w:rPr>
                    <w:t>0.00</w:t>
                  </w:r>
                  <w:r>
                    <w:rPr>
                      <w:rFonts w:hint="eastAsia"/>
                      <w:color w:val="auto"/>
                      <w:sz w:val="21"/>
                      <w:szCs w:val="21"/>
                      <w:highlight w:val="none"/>
                      <w:lang w:val="en-US" w:eastAsia="zh-CN"/>
                    </w:rPr>
                    <w:t>5</w:t>
                  </w:r>
                </w:p>
              </w:tc>
              <w:tc>
                <w:tcPr>
                  <w:tcW w:w="178" w:type="pct"/>
                  <w:gridSpan w:val="3"/>
                  <w:vMerge w:val="continue"/>
                  <w:noWrap w:val="0"/>
                  <w:vAlign w:val="center"/>
                </w:tcPr>
                <w:p w14:paraId="58B2BFC2">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p>
              </w:tc>
              <w:tc>
                <w:tcPr>
                  <w:tcW w:w="558" w:type="pct"/>
                  <w:gridSpan w:val="3"/>
                  <w:noWrap w:val="0"/>
                  <w:vAlign w:val="center"/>
                </w:tcPr>
                <w:p w14:paraId="1E19216E">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r>
                    <w:rPr>
                      <w:rFonts w:hint="eastAsia"/>
                      <w:color w:val="auto"/>
                      <w:sz w:val="21"/>
                      <w:szCs w:val="21"/>
                      <w:highlight w:val="none"/>
                      <w:lang w:val="en-US" w:eastAsia="zh-CN"/>
                    </w:rPr>
                    <w:t>180</w:t>
                  </w:r>
                </w:p>
              </w:tc>
              <w:tc>
                <w:tcPr>
                  <w:tcW w:w="378" w:type="pct"/>
                  <w:gridSpan w:val="3"/>
                  <w:noWrap w:val="0"/>
                  <w:vAlign w:val="center"/>
                </w:tcPr>
                <w:p w14:paraId="0C93422E">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r>
                    <w:rPr>
                      <w:color w:val="auto"/>
                      <w:sz w:val="21"/>
                      <w:szCs w:val="21"/>
                      <w:highlight w:val="none"/>
                    </w:rPr>
                    <w:t>0.00</w:t>
                  </w:r>
                  <w:r>
                    <w:rPr>
                      <w:rFonts w:hint="eastAsia"/>
                      <w:color w:val="auto"/>
                      <w:sz w:val="21"/>
                      <w:szCs w:val="21"/>
                      <w:highlight w:val="none"/>
                      <w:lang w:val="en-US" w:eastAsia="zh-CN"/>
                    </w:rPr>
                    <w:t>5</w:t>
                  </w:r>
                </w:p>
              </w:tc>
              <w:tc>
                <w:tcPr>
                  <w:tcW w:w="226" w:type="pct"/>
                  <w:gridSpan w:val="4"/>
                  <w:vMerge w:val="continue"/>
                  <w:noWrap w:val="0"/>
                  <w:vAlign w:val="center"/>
                </w:tcPr>
                <w:p w14:paraId="069C7422">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p>
              </w:tc>
              <w:tc>
                <w:tcPr>
                  <w:tcW w:w="215" w:type="pct"/>
                  <w:gridSpan w:val="4"/>
                  <w:vMerge w:val="continue"/>
                  <w:noWrap w:val="0"/>
                  <w:vAlign w:val="center"/>
                </w:tcPr>
                <w:p w14:paraId="089A7C5F">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p>
              </w:tc>
              <w:tc>
                <w:tcPr>
                  <w:tcW w:w="273" w:type="pct"/>
                  <w:gridSpan w:val="3"/>
                  <w:vMerge w:val="continue"/>
                  <w:noWrap w:val="0"/>
                  <w:vAlign w:val="center"/>
                </w:tcPr>
                <w:p w14:paraId="04343AC4">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p>
              </w:tc>
              <w:tc>
                <w:tcPr>
                  <w:tcW w:w="408" w:type="pct"/>
                  <w:gridSpan w:val="4"/>
                  <w:vMerge w:val="continue"/>
                  <w:noWrap w:val="0"/>
                  <w:vAlign w:val="center"/>
                </w:tcPr>
                <w:p w14:paraId="4797DFD7">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p>
              </w:tc>
              <w:tc>
                <w:tcPr>
                  <w:tcW w:w="607" w:type="pct"/>
                  <w:gridSpan w:val="3"/>
                  <w:noWrap w:val="0"/>
                  <w:vAlign w:val="center"/>
                </w:tcPr>
                <w:p w14:paraId="42A08124">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highlight w:val="none"/>
                    </w:rPr>
                  </w:pPr>
                  <w:r>
                    <w:rPr>
                      <w:rFonts w:hint="eastAsia"/>
                      <w:color w:val="auto"/>
                      <w:sz w:val="21"/>
                      <w:szCs w:val="21"/>
                      <w:highlight w:val="none"/>
                      <w:lang w:val="en-US" w:eastAsia="zh-CN"/>
                    </w:rPr>
                    <w:t>25</w:t>
                  </w:r>
                  <w:r>
                    <w:rPr>
                      <w:color w:val="auto"/>
                      <w:sz w:val="21"/>
                      <w:szCs w:val="21"/>
                      <w:highlight w:val="none"/>
                    </w:rPr>
                    <w:t>0</w:t>
                  </w:r>
                </w:p>
              </w:tc>
              <w:tc>
                <w:tcPr>
                  <w:tcW w:w="235" w:type="pct"/>
                  <w:gridSpan w:val="4"/>
                  <w:vMerge w:val="continue"/>
                  <w:noWrap w:val="0"/>
                  <w:vAlign w:val="center"/>
                </w:tcPr>
                <w:p w14:paraId="22DF5737">
                  <w:pPr>
                    <w:pStyle w:val="74"/>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color w:val="auto"/>
                      <w:sz w:val="21"/>
                      <w:szCs w:val="21"/>
                      <w:highlight w:val="none"/>
                    </w:rPr>
                  </w:pPr>
                </w:p>
              </w:tc>
            </w:tr>
          </w:tbl>
          <w:p w14:paraId="21AF93DA">
            <w:pPr>
              <w:bidi w:val="0"/>
              <w:rPr>
                <w:rFonts w:hint="default" w:ascii="Times New Roman" w:hAnsi="Times New Roman" w:cs="Times New Roman"/>
                <w:b/>
                <w:bCs/>
                <w:color w:val="auto"/>
                <w:highlight w:val="none"/>
              </w:rPr>
            </w:pPr>
            <w:r>
              <w:rPr>
                <w:rFonts w:hint="eastAsia" w:cs="Times New Roman"/>
                <w:b/>
                <w:bCs/>
                <w:color w:val="auto"/>
                <w:highlight w:val="none"/>
                <w:lang w:val="en-US" w:eastAsia="zh-CN"/>
              </w:rPr>
              <w:t>3</w:t>
            </w:r>
            <w:r>
              <w:rPr>
                <w:rFonts w:hint="default" w:ascii="Times New Roman" w:hAnsi="Times New Roman" w:cs="Times New Roman"/>
                <w:b/>
                <w:bCs/>
                <w:color w:val="auto"/>
                <w:highlight w:val="none"/>
              </w:rPr>
              <w:t>、接管可行性分析</w:t>
            </w:r>
          </w:p>
          <w:p w14:paraId="155B1A60">
            <w:pPr>
              <w:adjustRightInd w:val="0"/>
              <w:snapToGrid w:val="0"/>
              <w:spacing w:line="360" w:lineRule="auto"/>
              <w:ind w:firstLine="440" w:firstLineChars="200"/>
              <w:jc w:val="both"/>
              <w:rPr>
                <w:rFonts w:hint="default" w:ascii="Times New Roman" w:hAnsi="Times New Roman" w:eastAsia="宋体" w:cs="Times New Roman"/>
                <w:bCs/>
                <w:spacing w:val="-10"/>
                <w:sz w:val="24"/>
              </w:rPr>
            </w:pPr>
            <w:r>
              <w:rPr>
                <w:rFonts w:hint="default" w:ascii="Times New Roman" w:hAnsi="Times New Roman" w:eastAsia="宋体" w:cs="Times New Roman"/>
                <w:bCs/>
                <w:spacing w:val="-10"/>
                <w:sz w:val="24"/>
              </w:rPr>
              <w:t>青阳县蓉城污水处理有限责任公司青阳县污水处理厂，坐落于安徽池州市，厂区具体位于安徽省池州市青阳县蓉城镇分姚村，设计处理能力为日处理污水2.00万立方米。主要建设内容包括厂区土建施工，工艺设备、工艺管道安装，电气、自控系统安装，照明，防雷接地，采暖，通风，厂区道路施工及绿化等。青阳县蓉城污水处理有限责任公司青阳县污水处理厂自2010年6月正式投入运行以来，污水处理设备运转良好，日平均处理污水量为1.34万立方米。该项目采用先进的污水处理设备，厂区主体工艺采用氧化沟处理工艺。青阳县蓉城污水处理有限责任公司青阳县污水处理厂建成后极大地改善了城市水环境，对治理污染，保护当地流域水质和生态平衡具有十分重要的作用，同时对改善池州市的投资环境，实现池州市经济社会可持续发展具有积极的推进作用。</w:t>
            </w:r>
          </w:p>
          <w:p w14:paraId="55C271D8">
            <w:pPr>
              <w:adjustRightInd w:val="0"/>
              <w:snapToGrid w:val="0"/>
              <w:spacing w:line="360" w:lineRule="auto"/>
              <w:ind w:firstLine="440" w:firstLineChars="200"/>
              <w:jc w:val="both"/>
              <w:rPr>
                <w:rFonts w:hint="eastAsia" w:cs="Times New Roman"/>
                <w:b/>
                <w:bCs/>
                <w:color w:val="auto"/>
                <w:highlight w:val="none"/>
                <w:lang w:val="en-US" w:eastAsia="zh-CN"/>
              </w:rPr>
            </w:pPr>
            <w:r>
              <w:rPr>
                <w:bCs/>
                <w:color w:val="auto"/>
                <w:spacing w:val="-10"/>
                <w:sz w:val="24"/>
              </w:rPr>
              <w:t>项目所在地废水属于青阳县污水处理厂的污水接管范围之内。本项目废水</w:t>
            </w:r>
            <w:r>
              <w:rPr>
                <w:rFonts w:hint="eastAsia"/>
                <w:bCs/>
                <w:color w:val="auto"/>
                <w:spacing w:val="-10"/>
                <w:sz w:val="24"/>
                <w:lang w:val="en-US" w:eastAsia="zh-CN"/>
              </w:rPr>
              <w:t>因子经化粪池和隔油池预处理后均可达到青阳县污水处理厂接管标准和</w:t>
            </w:r>
            <w:r>
              <w:rPr>
                <w:color w:val="auto"/>
                <w:sz w:val="24"/>
              </w:rPr>
              <w:t>《污水综合排放标准》</w:t>
            </w:r>
            <w:r>
              <w:rPr>
                <w:rFonts w:hint="eastAsia"/>
                <w:color w:val="auto"/>
                <w:sz w:val="24"/>
                <w:lang w:eastAsia="zh-CN"/>
              </w:rPr>
              <w:t>（</w:t>
            </w:r>
            <w:r>
              <w:rPr>
                <w:color w:val="auto"/>
                <w:sz w:val="24"/>
              </w:rPr>
              <w:t>GB978-1996</w:t>
            </w:r>
            <w:r>
              <w:rPr>
                <w:rFonts w:hint="eastAsia"/>
                <w:color w:val="auto"/>
                <w:sz w:val="24"/>
                <w:lang w:eastAsia="zh-CN"/>
              </w:rPr>
              <w:t>）</w:t>
            </w:r>
            <w:r>
              <w:rPr>
                <w:color w:val="auto"/>
                <w:sz w:val="24"/>
              </w:rPr>
              <w:t>中三级标准</w:t>
            </w:r>
            <w:r>
              <w:rPr>
                <w:rFonts w:hint="eastAsia"/>
                <w:color w:val="auto"/>
                <w:sz w:val="24"/>
                <w:lang w:eastAsia="zh-CN"/>
              </w:rPr>
              <w:t>，</w:t>
            </w:r>
            <w:r>
              <w:rPr>
                <w:rFonts w:hint="eastAsia"/>
                <w:color w:val="auto"/>
                <w:sz w:val="24"/>
                <w:highlight w:val="none"/>
                <w:lang w:val="en-US" w:eastAsia="zh-CN"/>
              </w:rPr>
              <w:t>且本项目废水</w:t>
            </w:r>
            <w:r>
              <w:rPr>
                <w:bCs/>
                <w:color w:val="auto"/>
                <w:spacing w:val="-10"/>
                <w:sz w:val="24"/>
                <w:highlight w:val="none"/>
              </w:rPr>
              <w:t>排放量为</w:t>
            </w:r>
            <w:r>
              <w:rPr>
                <w:rFonts w:hint="eastAsia"/>
                <w:bCs/>
                <w:color w:val="auto"/>
                <w:spacing w:val="-10"/>
                <w:sz w:val="24"/>
                <w:highlight w:val="none"/>
                <w:lang w:val="en-US" w:eastAsia="zh-CN"/>
              </w:rPr>
              <w:t>1096</w:t>
            </w:r>
            <w:r>
              <w:rPr>
                <w:bCs/>
                <w:color w:val="auto"/>
                <w:spacing w:val="-10"/>
                <w:sz w:val="24"/>
                <w:highlight w:val="none"/>
              </w:rPr>
              <w:t>t/a</w:t>
            </w:r>
            <w:r>
              <w:rPr>
                <w:rFonts w:hint="default" w:ascii="Times New Roman" w:hAnsi="Times New Roman" w:cs="Times New Roman"/>
                <w:color w:val="auto"/>
                <w:sz w:val="24"/>
                <w:szCs w:val="24"/>
                <w:highlight w:val="none"/>
                <w:lang w:eastAsia="zh-CN"/>
              </w:rPr>
              <w:t>（</w:t>
            </w:r>
            <w:r>
              <w:rPr>
                <w:rFonts w:hint="eastAsia" w:cs="Times New Roman"/>
                <w:color w:val="auto"/>
                <w:sz w:val="24"/>
                <w:szCs w:val="24"/>
                <w:highlight w:val="none"/>
                <w:lang w:val="en-US" w:eastAsia="zh-CN"/>
              </w:rPr>
              <w:t>0.527</w:t>
            </w:r>
            <w:r>
              <w:rPr>
                <w:rFonts w:hint="default" w:ascii="Times New Roman" w:hAnsi="Times New Roman" w:cs="Times New Roman"/>
                <w:color w:val="auto"/>
                <w:sz w:val="24"/>
                <w:szCs w:val="24"/>
                <w:highlight w:val="none"/>
                <w:lang w:val="en-US" w:eastAsia="zh-CN"/>
              </w:rPr>
              <w:t>t/d</w:t>
            </w:r>
            <w:r>
              <w:rPr>
                <w:rFonts w:hint="default" w:ascii="Times New Roman" w:hAnsi="Times New Roman" w:cs="Times New Roman"/>
                <w:color w:val="auto"/>
                <w:sz w:val="24"/>
                <w:szCs w:val="24"/>
                <w:highlight w:val="none"/>
                <w:lang w:eastAsia="zh-CN"/>
              </w:rPr>
              <w:t>）</w:t>
            </w:r>
            <w:r>
              <w:rPr>
                <w:bCs/>
                <w:color w:val="auto"/>
                <w:spacing w:val="-10"/>
                <w:sz w:val="24"/>
                <w:highlight w:val="none"/>
              </w:rPr>
              <w:t>，</w:t>
            </w:r>
            <w:r>
              <w:rPr>
                <w:bCs/>
                <w:color w:val="auto"/>
                <w:spacing w:val="-10"/>
                <w:sz w:val="24"/>
              </w:rPr>
              <w:t>青阳县污水处理厂日处理能力为2万吨，</w:t>
            </w:r>
            <w:r>
              <w:rPr>
                <w:rFonts w:hint="eastAsia"/>
                <w:color w:val="auto"/>
                <w:sz w:val="24"/>
                <w:lang w:val="en-US" w:eastAsia="zh-CN"/>
              </w:rPr>
              <w:t>本项目废水排放量</w:t>
            </w:r>
            <w:r>
              <w:rPr>
                <w:rFonts w:hint="eastAsia"/>
                <w:bCs/>
                <w:color w:val="auto"/>
                <w:sz w:val="24"/>
                <w:lang w:val="en-US" w:eastAsia="zh-CN"/>
              </w:rPr>
              <w:t>占污水处理厂日处理能力的0.0026%</w:t>
            </w:r>
            <w:r>
              <w:rPr>
                <w:rFonts w:hint="eastAsia"/>
                <w:bCs/>
                <w:color w:val="auto"/>
                <w:sz w:val="24"/>
                <w:lang w:eastAsia="zh-CN"/>
              </w:rPr>
              <w:t>。</w:t>
            </w:r>
            <w:r>
              <w:rPr>
                <w:rFonts w:hint="eastAsia"/>
                <w:bCs/>
                <w:color w:val="auto"/>
                <w:sz w:val="24"/>
                <w:lang w:val="en-US" w:eastAsia="zh-CN"/>
              </w:rPr>
              <w:t>青阳县污水处理厂已建设完成并投入使用</w:t>
            </w:r>
            <w:r>
              <w:rPr>
                <w:rFonts w:hint="eastAsia"/>
                <w:bCs/>
                <w:color w:val="auto"/>
                <w:sz w:val="24"/>
                <w:lang w:eastAsia="zh-CN"/>
              </w:rPr>
              <w:t>，</w:t>
            </w:r>
            <w:r>
              <w:rPr>
                <w:rFonts w:hint="eastAsia"/>
                <w:bCs/>
                <w:color w:val="auto"/>
                <w:sz w:val="24"/>
                <w:lang w:val="en-US" w:eastAsia="zh-CN"/>
              </w:rPr>
              <w:t>运行稳定</w:t>
            </w:r>
            <w:r>
              <w:rPr>
                <w:rFonts w:hint="eastAsia"/>
                <w:bCs/>
                <w:color w:val="auto"/>
                <w:sz w:val="24"/>
                <w:lang w:eastAsia="zh-CN"/>
              </w:rPr>
              <w:t>，</w:t>
            </w:r>
            <w:r>
              <w:rPr>
                <w:rFonts w:hint="eastAsia"/>
                <w:bCs/>
                <w:color w:val="auto"/>
                <w:sz w:val="24"/>
                <w:lang w:val="en-US" w:eastAsia="zh-CN"/>
              </w:rPr>
              <w:t>目前尚有余量来接纳本项目污水</w:t>
            </w:r>
            <w:r>
              <w:rPr>
                <w:rFonts w:hint="eastAsia"/>
                <w:bCs/>
                <w:color w:val="auto"/>
                <w:sz w:val="24"/>
                <w:lang w:eastAsia="zh-CN"/>
              </w:rPr>
              <w:t>，</w:t>
            </w:r>
            <w:r>
              <w:rPr>
                <w:rFonts w:hint="eastAsia"/>
                <w:bCs/>
                <w:color w:val="auto"/>
                <w:sz w:val="24"/>
                <w:lang w:val="en-US" w:eastAsia="zh-CN"/>
              </w:rPr>
              <w:t>本项目废水水量不会对污水处理厂造成冲击</w:t>
            </w:r>
            <w:r>
              <w:rPr>
                <w:rFonts w:hint="eastAsia"/>
                <w:bCs/>
                <w:color w:val="auto"/>
                <w:sz w:val="24"/>
                <w:lang w:eastAsia="zh-CN"/>
              </w:rPr>
              <w:t>。</w:t>
            </w:r>
            <w:r>
              <w:rPr>
                <w:bCs/>
                <w:color w:val="auto"/>
                <w:spacing w:val="-10"/>
                <w:sz w:val="24"/>
              </w:rPr>
              <w:t>因此，本项目废水排入青阳县污水处理厂处理措施可行。</w:t>
            </w:r>
          </w:p>
          <w:p w14:paraId="1241E064">
            <w:pPr>
              <w:bidi w:val="0"/>
              <w:rPr>
                <w:rFonts w:hint="default" w:ascii="Times New Roman" w:hAnsi="Times New Roman" w:cs="Times New Roman"/>
                <w:b/>
                <w:bCs/>
                <w:color w:val="auto"/>
                <w:highlight w:val="none"/>
                <w:lang w:val="en-US" w:eastAsia="zh-CN"/>
              </w:rPr>
            </w:pPr>
            <w:r>
              <w:rPr>
                <w:rFonts w:hint="eastAsia" w:cs="Times New Roman"/>
                <w:b/>
                <w:bCs/>
                <w:color w:val="auto"/>
                <w:highlight w:val="none"/>
                <w:lang w:val="en-US" w:eastAsia="zh-CN"/>
              </w:rPr>
              <w:t>4</w:t>
            </w:r>
            <w:r>
              <w:rPr>
                <w:rFonts w:hint="default" w:ascii="Times New Roman" w:hAnsi="Times New Roman" w:cs="Times New Roman"/>
                <w:b/>
                <w:bCs/>
                <w:color w:val="auto"/>
                <w:highlight w:val="none"/>
                <w:lang w:val="en-US" w:eastAsia="zh-CN"/>
              </w:rPr>
              <w:t>、污染源排放量核算</w:t>
            </w:r>
          </w:p>
          <w:p w14:paraId="2CC1BA4E">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根据《环境影响评价技术导则 地表水环境》（HJ2.3-2018），</w:t>
            </w:r>
            <w:r>
              <w:rPr>
                <w:rFonts w:hint="default" w:ascii="Times New Roman" w:hAnsi="Times New Roman" w:cs="Times New Roman"/>
                <w:color w:val="auto"/>
                <w:highlight w:val="none"/>
                <w:lang w:eastAsia="zh-CN"/>
              </w:rPr>
              <w:t>本</w:t>
            </w:r>
            <w:r>
              <w:rPr>
                <w:rFonts w:hint="eastAsia" w:cs="Times New Roman"/>
                <w:color w:val="auto"/>
                <w:highlight w:val="none"/>
                <w:lang w:val="en-US" w:eastAsia="zh-CN"/>
              </w:rPr>
              <w:t>项目</w:t>
            </w:r>
            <w:r>
              <w:rPr>
                <w:rFonts w:hint="default" w:ascii="Times New Roman" w:hAnsi="Times New Roman" w:cs="Times New Roman"/>
                <w:color w:val="auto"/>
                <w:highlight w:val="none"/>
              </w:rPr>
              <w:t>地表水环境影响评价等级属于三级B，环评中需明确给出污染源排放量核算结果，填写建设项目污染物排放信息表，其中废水类别、污染物及污染物治理设施信息表见表4-</w:t>
            </w:r>
            <w:r>
              <w:rPr>
                <w:rFonts w:hint="eastAsia" w:cs="Times New Roman"/>
                <w:color w:val="auto"/>
                <w:highlight w:val="none"/>
                <w:lang w:val="en-US" w:eastAsia="zh-CN"/>
              </w:rPr>
              <w:t>13</w:t>
            </w:r>
            <w:r>
              <w:rPr>
                <w:rFonts w:hint="default" w:ascii="Times New Roman" w:hAnsi="Times New Roman" w:cs="Times New Roman"/>
                <w:color w:val="auto"/>
                <w:highlight w:val="none"/>
              </w:rPr>
              <w:t>，废水间接排放口基本情况表见表4-</w:t>
            </w:r>
            <w:r>
              <w:rPr>
                <w:rFonts w:hint="eastAsia" w:cs="Times New Roman"/>
                <w:color w:val="auto"/>
                <w:highlight w:val="none"/>
                <w:lang w:val="en-US" w:eastAsia="zh-CN"/>
              </w:rPr>
              <w:t>14</w:t>
            </w:r>
            <w:r>
              <w:rPr>
                <w:rFonts w:hint="default" w:ascii="Times New Roman" w:hAnsi="Times New Roman" w:cs="Times New Roman"/>
                <w:color w:val="auto"/>
                <w:highlight w:val="none"/>
              </w:rPr>
              <w:t>，废水水污染物排放执行标准表见表4-</w:t>
            </w:r>
            <w:r>
              <w:rPr>
                <w:rFonts w:hint="eastAsia" w:cs="Times New Roman"/>
                <w:color w:val="auto"/>
                <w:highlight w:val="none"/>
                <w:lang w:val="en-US" w:eastAsia="zh-CN"/>
              </w:rPr>
              <w:t>15</w:t>
            </w:r>
            <w:r>
              <w:rPr>
                <w:rFonts w:hint="default" w:ascii="Times New Roman" w:hAnsi="Times New Roman" w:cs="Times New Roman"/>
                <w:color w:val="auto"/>
                <w:highlight w:val="none"/>
              </w:rPr>
              <w:t>，废水污染物排放信息表4-</w:t>
            </w:r>
            <w:r>
              <w:rPr>
                <w:rFonts w:hint="eastAsia" w:cs="Times New Roman"/>
                <w:color w:val="auto"/>
                <w:highlight w:val="none"/>
                <w:lang w:val="en-US" w:eastAsia="zh-CN"/>
              </w:rPr>
              <w:t>16</w:t>
            </w:r>
            <w:r>
              <w:rPr>
                <w:rFonts w:hint="default" w:ascii="Times New Roman" w:hAnsi="Times New Roman" w:cs="Times New Roman"/>
                <w:color w:val="auto"/>
                <w:highlight w:val="none"/>
              </w:rPr>
              <w:t>，废水污染物排放信息如下</w:t>
            </w:r>
            <w:r>
              <w:rPr>
                <w:rFonts w:hint="default" w:ascii="Times New Roman" w:hAnsi="Times New Roman" w:cs="Times New Roman"/>
                <w:color w:val="auto"/>
                <w:highlight w:val="none"/>
                <w:lang w:eastAsia="zh-CN"/>
              </w:rPr>
              <w:t>：</w:t>
            </w:r>
          </w:p>
          <w:p w14:paraId="492C27D7">
            <w:pPr>
              <w:pStyle w:val="5"/>
              <w:tabs>
                <w:tab w:val="left" w:pos="1284"/>
              </w:tabs>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表</w:t>
            </w:r>
            <w:r>
              <w:rPr>
                <w:rFonts w:hint="eastAsia" w:cs="Times New Roman"/>
                <w:color w:val="auto"/>
                <w:highlight w:val="none"/>
                <w:lang w:val="en-US" w:eastAsia="zh-CN"/>
              </w:rPr>
              <w:t xml:space="preserve"> </w:t>
            </w:r>
            <w:r>
              <w:rPr>
                <w:rFonts w:hint="default" w:ascii="Times New Roman" w:hAnsi="Times New Roman" w:cs="Times New Roman"/>
                <w:color w:val="auto"/>
                <w:highlight w:val="none"/>
              </w:rPr>
              <w:t>4-</w:t>
            </w:r>
            <w:r>
              <w:rPr>
                <w:rFonts w:hint="eastAsia" w:cs="Times New Roman"/>
                <w:color w:val="auto"/>
                <w:highlight w:val="none"/>
                <w:lang w:val="en-US" w:eastAsia="zh-CN"/>
              </w:rPr>
              <w:t>7</w:t>
            </w:r>
            <w:r>
              <w:rPr>
                <w:rFonts w:hint="default" w:ascii="Times New Roman" w:hAnsi="Times New Roman" w:cs="Times New Roman"/>
                <w:color w:val="auto"/>
                <w:highlight w:val="none"/>
                <w:lang w:val="en-US" w:eastAsia="zh-CN"/>
              </w:rPr>
              <w:t xml:space="preserve"> </w:t>
            </w:r>
            <w:r>
              <w:rPr>
                <w:rFonts w:hint="eastAsia" w:cs="Times New Roman"/>
                <w:color w:val="auto"/>
                <w:highlight w:val="none"/>
                <w:lang w:val="en-US" w:eastAsia="zh-CN"/>
              </w:rPr>
              <w:t xml:space="preserve"> </w:t>
            </w:r>
            <w:r>
              <w:rPr>
                <w:rFonts w:hint="default" w:ascii="Times New Roman" w:hAnsi="Times New Roman" w:cs="Times New Roman"/>
                <w:color w:val="auto"/>
                <w:highlight w:val="none"/>
                <w:lang w:val="en-US" w:eastAsia="zh-CN"/>
              </w:rPr>
              <w:t>废</w:t>
            </w:r>
            <w:r>
              <w:rPr>
                <w:rFonts w:hint="default" w:ascii="Times New Roman" w:hAnsi="Times New Roman" w:cs="Times New Roman"/>
                <w:color w:val="auto"/>
                <w:highlight w:val="none"/>
              </w:rPr>
              <w:t>水类别、污染物及污染治理设施信息表</w:t>
            </w:r>
          </w:p>
          <w:tbl>
            <w:tblPr>
              <w:tblStyle w:val="6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88"/>
              <w:gridCol w:w="556"/>
              <w:gridCol w:w="877"/>
              <w:gridCol w:w="668"/>
              <w:gridCol w:w="726"/>
              <w:gridCol w:w="678"/>
              <w:gridCol w:w="771"/>
              <w:gridCol w:w="670"/>
              <w:gridCol w:w="492"/>
              <w:gridCol w:w="677"/>
              <w:gridCol w:w="1798"/>
            </w:tblGrid>
            <w:tr w14:paraId="66A6C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390" w:type="dxa"/>
                  <w:vMerge w:val="restart"/>
                  <w:noWrap w:val="0"/>
                  <w:vAlign w:val="center"/>
                </w:tcPr>
                <w:p w14:paraId="022A0F56">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序号</w:t>
                  </w:r>
                </w:p>
              </w:tc>
              <w:tc>
                <w:tcPr>
                  <w:tcW w:w="558" w:type="dxa"/>
                  <w:vMerge w:val="restart"/>
                  <w:noWrap w:val="0"/>
                  <w:vAlign w:val="center"/>
                </w:tcPr>
                <w:p w14:paraId="3A4B4717">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废水类别</w:t>
                  </w:r>
                </w:p>
              </w:tc>
              <w:tc>
                <w:tcPr>
                  <w:tcW w:w="880" w:type="dxa"/>
                  <w:vMerge w:val="restart"/>
                  <w:noWrap w:val="0"/>
                  <w:vAlign w:val="center"/>
                </w:tcPr>
                <w:p w14:paraId="6ABC4704">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污染物种类</w:t>
                  </w:r>
                </w:p>
              </w:tc>
              <w:tc>
                <w:tcPr>
                  <w:tcW w:w="670" w:type="dxa"/>
                  <w:vMerge w:val="restart"/>
                  <w:noWrap w:val="0"/>
                  <w:vAlign w:val="center"/>
                </w:tcPr>
                <w:p w14:paraId="7BFC6EF6">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排放规律</w:t>
                  </w:r>
                </w:p>
              </w:tc>
              <w:tc>
                <w:tcPr>
                  <w:tcW w:w="2181" w:type="dxa"/>
                  <w:gridSpan w:val="3"/>
                  <w:noWrap w:val="0"/>
                  <w:vAlign w:val="center"/>
                </w:tcPr>
                <w:p w14:paraId="6F20C272">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污染治理设施</w:t>
                  </w:r>
                </w:p>
              </w:tc>
              <w:tc>
                <w:tcPr>
                  <w:tcW w:w="672" w:type="dxa"/>
                  <w:vMerge w:val="restart"/>
                  <w:noWrap w:val="0"/>
                  <w:vAlign w:val="center"/>
                </w:tcPr>
                <w:p w14:paraId="3C48D4DD">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是否为可行技术</w:t>
                  </w:r>
                </w:p>
              </w:tc>
              <w:tc>
                <w:tcPr>
                  <w:tcW w:w="493" w:type="dxa"/>
                  <w:vMerge w:val="restart"/>
                  <w:noWrap w:val="0"/>
                  <w:vAlign w:val="center"/>
                </w:tcPr>
                <w:p w14:paraId="2FFAA5F5">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排放口编号</w:t>
                  </w:r>
                </w:p>
              </w:tc>
              <w:tc>
                <w:tcPr>
                  <w:tcW w:w="679" w:type="dxa"/>
                  <w:vMerge w:val="restart"/>
                  <w:noWrap w:val="0"/>
                  <w:vAlign w:val="center"/>
                </w:tcPr>
                <w:p w14:paraId="4E6F4A0B">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排放口设施是否符合要求</w:t>
                  </w:r>
                </w:p>
              </w:tc>
              <w:tc>
                <w:tcPr>
                  <w:tcW w:w="1803" w:type="dxa"/>
                  <w:vMerge w:val="restart"/>
                  <w:noWrap w:val="0"/>
                  <w:vAlign w:val="center"/>
                </w:tcPr>
                <w:p w14:paraId="6A25F948">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排放口类型</w:t>
                  </w:r>
                </w:p>
              </w:tc>
            </w:tr>
            <w:tr w14:paraId="3FC7F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390" w:type="dxa"/>
                  <w:vMerge w:val="continue"/>
                  <w:noWrap w:val="0"/>
                  <w:vAlign w:val="center"/>
                </w:tcPr>
                <w:p w14:paraId="1331CA4D">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b/>
                      <w:bCs/>
                      <w:color w:val="auto"/>
                      <w:highlight w:val="none"/>
                    </w:rPr>
                  </w:pPr>
                </w:p>
              </w:tc>
              <w:tc>
                <w:tcPr>
                  <w:tcW w:w="558" w:type="dxa"/>
                  <w:vMerge w:val="continue"/>
                  <w:noWrap w:val="0"/>
                  <w:vAlign w:val="center"/>
                </w:tcPr>
                <w:p w14:paraId="39249095">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b/>
                      <w:bCs/>
                      <w:color w:val="auto"/>
                      <w:highlight w:val="none"/>
                    </w:rPr>
                  </w:pPr>
                </w:p>
              </w:tc>
              <w:tc>
                <w:tcPr>
                  <w:tcW w:w="880" w:type="dxa"/>
                  <w:vMerge w:val="continue"/>
                  <w:noWrap w:val="0"/>
                  <w:vAlign w:val="center"/>
                </w:tcPr>
                <w:p w14:paraId="7B84F10D">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b/>
                      <w:bCs/>
                      <w:color w:val="auto"/>
                      <w:highlight w:val="none"/>
                    </w:rPr>
                  </w:pPr>
                </w:p>
              </w:tc>
              <w:tc>
                <w:tcPr>
                  <w:tcW w:w="670" w:type="dxa"/>
                  <w:vMerge w:val="continue"/>
                  <w:noWrap w:val="0"/>
                  <w:vAlign w:val="center"/>
                </w:tcPr>
                <w:p w14:paraId="238D1E54">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b/>
                      <w:bCs/>
                      <w:color w:val="auto"/>
                      <w:highlight w:val="none"/>
                    </w:rPr>
                  </w:pPr>
                </w:p>
              </w:tc>
              <w:tc>
                <w:tcPr>
                  <w:tcW w:w="728" w:type="dxa"/>
                  <w:noWrap w:val="0"/>
                  <w:vAlign w:val="center"/>
                </w:tcPr>
                <w:p w14:paraId="0B18331D">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污染治理设施编号</w:t>
                  </w:r>
                </w:p>
              </w:tc>
              <w:tc>
                <w:tcPr>
                  <w:tcW w:w="680" w:type="dxa"/>
                  <w:noWrap w:val="0"/>
                  <w:vAlign w:val="center"/>
                </w:tcPr>
                <w:p w14:paraId="1B0B0B5A">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污染治理设施名称</w:t>
                  </w:r>
                </w:p>
              </w:tc>
              <w:tc>
                <w:tcPr>
                  <w:tcW w:w="773" w:type="dxa"/>
                  <w:noWrap w:val="0"/>
                  <w:vAlign w:val="center"/>
                </w:tcPr>
                <w:p w14:paraId="281412FD">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污染治理设施工艺</w:t>
                  </w:r>
                </w:p>
              </w:tc>
              <w:tc>
                <w:tcPr>
                  <w:tcW w:w="672" w:type="dxa"/>
                  <w:vMerge w:val="continue"/>
                  <w:noWrap w:val="0"/>
                  <w:vAlign w:val="center"/>
                </w:tcPr>
                <w:p w14:paraId="20D490C3">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auto"/>
                      <w:highlight w:val="none"/>
                    </w:rPr>
                  </w:pPr>
                </w:p>
              </w:tc>
              <w:tc>
                <w:tcPr>
                  <w:tcW w:w="493" w:type="dxa"/>
                  <w:vMerge w:val="continue"/>
                  <w:noWrap w:val="0"/>
                  <w:vAlign w:val="center"/>
                </w:tcPr>
                <w:p w14:paraId="1A3A4F1C">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auto"/>
                      <w:highlight w:val="none"/>
                    </w:rPr>
                  </w:pPr>
                </w:p>
              </w:tc>
              <w:tc>
                <w:tcPr>
                  <w:tcW w:w="679" w:type="dxa"/>
                  <w:vMerge w:val="continue"/>
                  <w:noWrap w:val="0"/>
                  <w:vAlign w:val="center"/>
                </w:tcPr>
                <w:p w14:paraId="630714CF">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auto"/>
                      <w:highlight w:val="none"/>
                    </w:rPr>
                  </w:pPr>
                </w:p>
              </w:tc>
              <w:tc>
                <w:tcPr>
                  <w:tcW w:w="1803" w:type="dxa"/>
                  <w:vMerge w:val="continue"/>
                  <w:noWrap w:val="0"/>
                  <w:vAlign w:val="center"/>
                </w:tcPr>
                <w:p w14:paraId="30D654D9">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auto"/>
                      <w:highlight w:val="none"/>
                    </w:rPr>
                  </w:pPr>
                </w:p>
              </w:tc>
            </w:tr>
            <w:tr w14:paraId="407B5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390" w:type="dxa"/>
                  <w:noWrap w:val="0"/>
                  <w:vAlign w:val="center"/>
                </w:tcPr>
                <w:p w14:paraId="36E0AEA8">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w:t>
                  </w:r>
                </w:p>
              </w:tc>
              <w:tc>
                <w:tcPr>
                  <w:tcW w:w="558" w:type="dxa"/>
                  <w:noWrap w:val="0"/>
                  <w:vAlign w:val="center"/>
                </w:tcPr>
                <w:p w14:paraId="071DAC04">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t>生活污水、</w:t>
                  </w:r>
                  <w:r>
                    <w:rPr>
                      <w:rFonts w:hint="eastAsia" w:cs="Times New Roman"/>
                      <w:color w:val="auto"/>
                      <w:highlight w:val="none"/>
                      <w:lang w:val="en-US" w:eastAsia="zh-CN"/>
                    </w:rPr>
                    <w:t>冷却水定期排水、餐饮废水</w:t>
                  </w:r>
                </w:p>
              </w:tc>
              <w:tc>
                <w:tcPr>
                  <w:tcW w:w="880" w:type="dxa"/>
                  <w:noWrap w:val="0"/>
                  <w:vAlign w:val="center"/>
                </w:tcPr>
                <w:p w14:paraId="4EC0D021">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eastAsia"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t>COD、SS、NH</w:t>
                  </w:r>
                  <w:r>
                    <w:rPr>
                      <w:rFonts w:hint="default" w:ascii="Times New Roman" w:hAnsi="Times New Roman" w:cs="Times New Roman"/>
                      <w:color w:val="auto"/>
                      <w:highlight w:val="none"/>
                      <w:vertAlign w:val="subscript"/>
                    </w:rPr>
                    <w:t>3</w:t>
                  </w:r>
                  <w:r>
                    <w:rPr>
                      <w:rFonts w:hint="default" w:ascii="Times New Roman" w:hAnsi="Times New Roman" w:cs="Times New Roman"/>
                      <w:color w:val="auto"/>
                      <w:highlight w:val="none"/>
                    </w:rPr>
                    <w:t>-</w:t>
                  </w:r>
                  <w:r>
                    <w:rPr>
                      <w:rFonts w:hint="eastAsia" w:cs="Times New Roman"/>
                      <w:color w:val="auto"/>
                      <w:highlight w:val="none"/>
                      <w:lang w:val="en-US" w:eastAsia="zh-CN"/>
                    </w:rPr>
                    <w:t>N</w:t>
                  </w:r>
                  <w:r>
                    <w:rPr>
                      <w:rFonts w:hint="default" w:ascii="Times New Roman" w:hAnsi="Times New Roman" w:cs="Times New Roman"/>
                      <w:color w:val="auto"/>
                      <w:highlight w:val="none"/>
                    </w:rPr>
                    <w:t>、BOD</w:t>
                  </w:r>
                  <w:r>
                    <w:rPr>
                      <w:rFonts w:hint="default" w:ascii="Times New Roman" w:hAnsi="Times New Roman" w:cs="Times New Roman"/>
                      <w:color w:val="auto"/>
                      <w:highlight w:val="none"/>
                      <w:vertAlign w:val="subscript"/>
                    </w:rPr>
                    <w:t>5</w:t>
                  </w:r>
                  <w:r>
                    <w:rPr>
                      <w:rFonts w:hint="eastAsia" w:ascii="Times New Roman" w:hAnsi="Times New Roman" w:cs="Times New Roman"/>
                      <w:color w:val="auto"/>
                      <w:highlight w:val="none"/>
                      <w:vertAlign w:val="baseline"/>
                      <w:lang w:eastAsia="zh-CN"/>
                    </w:rPr>
                    <w:t>、</w:t>
                  </w:r>
                  <w:r>
                    <w:rPr>
                      <w:rFonts w:hint="eastAsia" w:cs="Times New Roman"/>
                      <w:color w:val="auto"/>
                      <w:highlight w:val="none"/>
                      <w:vertAlign w:val="baseline"/>
                      <w:lang w:val="en-US" w:eastAsia="zh-CN"/>
                    </w:rPr>
                    <w:t>TP、</w:t>
                  </w:r>
                  <w:r>
                    <w:rPr>
                      <w:rFonts w:hint="eastAsia" w:ascii="Times New Roman" w:hAnsi="Times New Roman" w:cs="Times New Roman"/>
                      <w:color w:val="auto"/>
                      <w:highlight w:val="none"/>
                      <w:vertAlign w:val="baseline"/>
                      <w:lang w:val="en-US" w:eastAsia="zh-CN"/>
                    </w:rPr>
                    <w:t>动植物油</w:t>
                  </w:r>
                  <w:r>
                    <w:rPr>
                      <w:rFonts w:hint="eastAsia" w:cs="Times New Roman"/>
                      <w:color w:val="auto"/>
                      <w:highlight w:val="none"/>
                      <w:vertAlign w:val="baseline"/>
                      <w:lang w:val="en-US" w:eastAsia="zh-CN"/>
                    </w:rPr>
                    <w:t>等</w:t>
                  </w:r>
                </w:p>
              </w:tc>
              <w:tc>
                <w:tcPr>
                  <w:tcW w:w="670" w:type="dxa"/>
                  <w:noWrap w:val="0"/>
                  <w:vAlign w:val="center"/>
                </w:tcPr>
                <w:p w14:paraId="33C363AE">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间断排放，流量不稳定</w:t>
                  </w:r>
                </w:p>
              </w:tc>
              <w:tc>
                <w:tcPr>
                  <w:tcW w:w="728" w:type="dxa"/>
                  <w:noWrap w:val="0"/>
                  <w:vAlign w:val="center"/>
                </w:tcPr>
                <w:p w14:paraId="1BB128F7">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TW001</w:t>
                  </w:r>
                </w:p>
              </w:tc>
              <w:tc>
                <w:tcPr>
                  <w:tcW w:w="680" w:type="dxa"/>
                  <w:noWrap w:val="0"/>
                  <w:vAlign w:val="center"/>
                </w:tcPr>
                <w:p w14:paraId="508B596E">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隔油池和化粪池</w:t>
                  </w:r>
                </w:p>
              </w:tc>
              <w:tc>
                <w:tcPr>
                  <w:tcW w:w="773" w:type="dxa"/>
                  <w:noWrap w:val="0"/>
                  <w:vAlign w:val="center"/>
                </w:tcPr>
                <w:p w14:paraId="7022520D">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eastAsia" w:ascii="Times New Roman" w:hAnsi="Times New Roman" w:eastAsia="宋体" w:cs="Times New Roman"/>
                      <w:color w:val="auto"/>
                      <w:highlight w:val="none"/>
                      <w:lang w:eastAsia="zh-CN"/>
                    </w:rPr>
                  </w:pPr>
                  <w:r>
                    <w:rPr>
                      <w:rFonts w:hint="eastAsia" w:cs="Times New Roman"/>
                      <w:color w:val="auto"/>
                      <w:highlight w:val="none"/>
                      <w:lang w:val="en-US" w:eastAsia="zh-CN"/>
                    </w:rPr>
                    <w:t>/</w:t>
                  </w:r>
                </w:p>
              </w:tc>
              <w:tc>
                <w:tcPr>
                  <w:tcW w:w="672" w:type="dxa"/>
                  <w:noWrap w:val="0"/>
                  <w:vAlign w:val="center"/>
                </w:tcPr>
                <w:p w14:paraId="514E293A">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是</w:t>
                  </w:r>
                </w:p>
              </w:tc>
              <w:tc>
                <w:tcPr>
                  <w:tcW w:w="493" w:type="dxa"/>
                  <w:noWrap w:val="0"/>
                  <w:vAlign w:val="center"/>
                </w:tcPr>
                <w:p w14:paraId="1348EE87">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DW001</w:t>
                  </w:r>
                </w:p>
              </w:tc>
              <w:tc>
                <w:tcPr>
                  <w:tcW w:w="679" w:type="dxa"/>
                  <w:noWrap w:val="0"/>
                  <w:vAlign w:val="center"/>
                </w:tcPr>
                <w:p w14:paraId="06BD6DA3">
                  <w:pPr>
                    <w:pStyle w:val="10"/>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是</w:t>
                  </w:r>
                </w:p>
              </w:tc>
              <w:tc>
                <w:tcPr>
                  <w:tcW w:w="1803" w:type="dxa"/>
                  <w:noWrap w:val="0"/>
                  <w:vAlign w:val="center"/>
                </w:tcPr>
                <w:p w14:paraId="7708166C">
                  <w:pPr>
                    <w:pStyle w:val="10"/>
                    <w:keepNext w:val="0"/>
                    <w:keepLines w:val="0"/>
                    <w:pageBreakBefore w:val="0"/>
                    <w:widowControl/>
                    <w:kinsoku/>
                    <w:wordWrap/>
                    <w:overflowPunct/>
                    <w:topLinePunct w:val="0"/>
                    <w:autoSpaceDE/>
                    <w:autoSpaceDN/>
                    <w:bidi w:val="0"/>
                    <w:adjustRightInd w:val="0"/>
                    <w:snapToGrid w:val="0"/>
                    <w:jc w:val="left"/>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sym w:font="Wingdings 2" w:char="0052"/>
                  </w:r>
                  <w:r>
                    <w:rPr>
                      <w:rFonts w:hint="default" w:ascii="Times New Roman" w:hAnsi="Times New Roman" w:cs="Times New Roman"/>
                      <w:color w:val="auto"/>
                      <w:highlight w:val="none"/>
                    </w:rPr>
                    <w:t>企业总排口</w:t>
                  </w:r>
                </w:p>
                <w:p w14:paraId="0EFDDC21">
                  <w:pPr>
                    <w:pStyle w:val="10"/>
                    <w:keepNext w:val="0"/>
                    <w:keepLines w:val="0"/>
                    <w:pageBreakBefore w:val="0"/>
                    <w:widowControl/>
                    <w:kinsoku/>
                    <w:wordWrap/>
                    <w:overflowPunct/>
                    <w:topLinePunct w:val="0"/>
                    <w:autoSpaceDE/>
                    <w:autoSpaceDN/>
                    <w:bidi w:val="0"/>
                    <w:adjustRightInd w:val="0"/>
                    <w:snapToGrid w:val="0"/>
                    <w:jc w:val="left"/>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sym w:font="Wingdings 2" w:char="00A3"/>
                  </w:r>
                  <w:r>
                    <w:rPr>
                      <w:rFonts w:hint="default" w:ascii="Times New Roman" w:hAnsi="Times New Roman" w:cs="Times New Roman"/>
                      <w:color w:val="auto"/>
                      <w:highlight w:val="none"/>
                    </w:rPr>
                    <w:t>污水排口</w:t>
                  </w:r>
                </w:p>
                <w:p w14:paraId="6C7637CA">
                  <w:pPr>
                    <w:pStyle w:val="10"/>
                    <w:keepNext w:val="0"/>
                    <w:keepLines w:val="0"/>
                    <w:pageBreakBefore w:val="0"/>
                    <w:widowControl/>
                    <w:kinsoku/>
                    <w:wordWrap/>
                    <w:overflowPunct/>
                    <w:topLinePunct w:val="0"/>
                    <w:autoSpaceDE/>
                    <w:autoSpaceDN/>
                    <w:bidi w:val="0"/>
                    <w:adjustRightInd w:val="0"/>
                    <w:snapToGrid w:val="0"/>
                    <w:jc w:val="left"/>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sym w:font="Wingdings 2" w:char="00A3"/>
                  </w:r>
                  <w:r>
                    <w:rPr>
                      <w:rFonts w:hint="default" w:ascii="Times New Roman" w:hAnsi="Times New Roman" w:cs="Times New Roman"/>
                      <w:color w:val="auto"/>
                      <w:highlight w:val="none"/>
                    </w:rPr>
                    <w:t>温排水排放</w:t>
                  </w:r>
                </w:p>
                <w:p w14:paraId="4211B0BF">
                  <w:pPr>
                    <w:pStyle w:val="10"/>
                    <w:keepNext w:val="0"/>
                    <w:keepLines w:val="0"/>
                    <w:pageBreakBefore w:val="0"/>
                    <w:widowControl/>
                    <w:kinsoku/>
                    <w:wordWrap/>
                    <w:overflowPunct/>
                    <w:topLinePunct w:val="0"/>
                    <w:autoSpaceDE/>
                    <w:autoSpaceDN/>
                    <w:bidi w:val="0"/>
                    <w:adjustRightInd w:val="0"/>
                    <w:snapToGrid w:val="0"/>
                    <w:jc w:val="left"/>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sym w:font="Wingdings 2" w:char="00A3"/>
                  </w:r>
                  <w:r>
                    <w:rPr>
                      <w:rFonts w:hint="default" w:ascii="Times New Roman" w:hAnsi="Times New Roman" w:cs="Times New Roman"/>
                      <w:color w:val="auto"/>
                      <w:highlight w:val="none"/>
                    </w:rPr>
                    <w:t>车间或车间处理设施排放口</w:t>
                  </w:r>
                </w:p>
              </w:tc>
            </w:tr>
          </w:tbl>
          <w:p w14:paraId="2D7EA48C">
            <w:pPr>
              <w:pStyle w:val="5"/>
              <w:tabs>
                <w:tab w:val="left" w:pos="1284"/>
              </w:tabs>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表</w:t>
            </w:r>
            <w:r>
              <w:rPr>
                <w:rFonts w:hint="eastAsia" w:cs="Times New Roman"/>
                <w:color w:val="auto"/>
                <w:highlight w:val="none"/>
                <w:lang w:val="en-US" w:eastAsia="zh-CN"/>
              </w:rPr>
              <w:t xml:space="preserve"> </w:t>
            </w:r>
            <w:r>
              <w:rPr>
                <w:rFonts w:hint="default" w:ascii="Times New Roman" w:hAnsi="Times New Roman" w:cs="Times New Roman"/>
                <w:color w:val="auto"/>
                <w:highlight w:val="none"/>
              </w:rPr>
              <w:t>4-</w:t>
            </w:r>
            <w:r>
              <w:rPr>
                <w:rFonts w:hint="eastAsia" w:cs="Times New Roman"/>
                <w:color w:val="auto"/>
                <w:highlight w:val="none"/>
                <w:lang w:val="en-US" w:eastAsia="zh-CN"/>
              </w:rPr>
              <w:t>8</w:t>
            </w:r>
            <w:r>
              <w:rPr>
                <w:rFonts w:hint="default" w:ascii="Times New Roman" w:hAnsi="Times New Roman" w:cs="Times New Roman"/>
                <w:color w:val="auto"/>
                <w:highlight w:val="none"/>
                <w:lang w:val="en-US" w:eastAsia="zh-CN"/>
              </w:rPr>
              <w:t xml:space="preserve"> </w:t>
            </w:r>
            <w:r>
              <w:rPr>
                <w:rFonts w:hint="eastAsia" w:cs="Times New Roman"/>
                <w:color w:val="auto"/>
                <w:highlight w:val="none"/>
                <w:lang w:val="en-US" w:eastAsia="zh-CN"/>
              </w:rPr>
              <w:t xml:space="preserve"> </w:t>
            </w:r>
            <w:r>
              <w:rPr>
                <w:rFonts w:hint="default" w:ascii="Times New Roman" w:hAnsi="Times New Roman" w:cs="Times New Roman"/>
                <w:color w:val="auto"/>
                <w:highlight w:val="none"/>
              </w:rPr>
              <w:t>废水间接排放口基本情况表</w:t>
            </w:r>
          </w:p>
          <w:tbl>
            <w:tblPr>
              <w:tblStyle w:val="64"/>
              <w:tblW w:w="4996" w:type="pct"/>
              <w:jc w:val="center"/>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top w:w="0" w:type="dxa"/>
                <w:left w:w="0" w:type="dxa"/>
                <w:bottom w:w="0" w:type="dxa"/>
                <w:right w:w="0" w:type="dxa"/>
              </w:tblCellMar>
            </w:tblPr>
            <w:tblGrid>
              <w:gridCol w:w="725"/>
              <w:gridCol w:w="776"/>
              <w:gridCol w:w="773"/>
              <w:gridCol w:w="857"/>
              <w:gridCol w:w="771"/>
              <w:gridCol w:w="696"/>
              <w:gridCol w:w="748"/>
              <w:gridCol w:w="693"/>
              <w:gridCol w:w="947"/>
              <w:gridCol w:w="1316"/>
            </w:tblGrid>
            <w:tr w14:paraId="06CB5A27">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436" w:type="pct"/>
                  <w:vMerge w:val="restart"/>
                  <w:tcBorders>
                    <w:bottom w:val="nil"/>
                  </w:tcBorders>
                  <w:noWrap w:val="0"/>
                  <w:vAlign w:val="center"/>
                </w:tcPr>
                <w:p w14:paraId="2A3FFA79">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排放口编号</w:t>
                  </w:r>
                </w:p>
              </w:tc>
              <w:tc>
                <w:tcPr>
                  <w:tcW w:w="932" w:type="pct"/>
                  <w:gridSpan w:val="2"/>
                  <w:noWrap w:val="0"/>
                  <w:vAlign w:val="center"/>
                </w:tcPr>
                <w:p w14:paraId="16A41FC8">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排放口坐标</w:t>
                  </w:r>
                </w:p>
              </w:tc>
              <w:tc>
                <w:tcPr>
                  <w:tcW w:w="516" w:type="pct"/>
                  <w:vMerge w:val="restart"/>
                  <w:tcBorders>
                    <w:bottom w:val="nil"/>
                  </w:tcBorders>
                  <w:noWrap w:val="0"/>
                  <w:vAlign w:val="center"/>
                </w:tcPr>
                <w:p w14:paraId="76368806">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废水排放量（m</w:t>
                  </w:r>
                  <w:r>
                    <w:rPr>
                      <w:rFonts w:hint="default" w:ascii="Times New Roman" w:hAnsi="Times New Roman" w:cs="Times New Roman"/>
                      <w:b/>
                      <w:bCs/>
                      <w:color w:val="auto"/>
                      <w:highlight w:val="none"/>
                      <w:vertAlign w:val="superscript"/>
                    </w:rPr>
                    <w:t>3</w:t>
                  </w:r>
                  <w:r>
                    <w:rPr>
                      <w:rFonts w:hint="default" w:ascii="Times New Roman" w:hAnsi="Times New Roman" w:cs="Times New Roman"/>
                      <w:b/>
                      <w:bCs/>
                      <w:color w:val="auto"/>
                      <w:highlight w:val="none"/>
                    </w:rPr>
                    <w:t>/</w:t>
                  </w:r>
                  <w:r>
                    <w:rPr>
                      <w:rFonts w:hint="default" w:ascii="Times New Roman" w:hAnsi="Times New Roman" w:cs="Times New Roman"/>
                      <w:b/>
                      <w:bCs/>
                      <w:color w:val="auto"/>
                      <w:highlight w:val="none"/>
                      <w:lang w:val="en-US" w:eastAsia="zh-CN"/>
                    </w:rPr>
                    <w:t>a</w:t>
                  </w:r>
                  <w:r>
                    <w:rPr>
                      <w:rFonts w:hint="default" w:ascii="Times New Roman" w:hAnsi="Times New Roman" w:cs="Times New Roman"/>
                      <w:b/>
                      <w:bCs/>
                      <w:color w:val="auto"/>
                      <w:highlight w:val="none"/>
                    </w:rPr>
                    <w:t>）</w:t>
                  </w:r>
                </w:p>
              </w:tc>
              <w:tc>
                <w:tcPr>
                  <w:tcW w:w="464" w:type="pct"/>
                  <w:vMerge w:val="restart"/>
                  <w:tcBorders>
                    <w:bottom w:val="nil"/>
                  </w:tcBorders>
                  <w:noWrap w:val="0"/>
                  <w:vAlign w:val="center"/>
                </w:tcPr>
                <w:p w14:paraId="14C2BF57">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排放去向</w:t>
                  </w:r>
                </w:p>
              </w:tc>
              <w:tc>
                <w:tcPr>
                  <w:tcW w:w="419" w:type="pct"/>
                  <w:vMerge w:val="restart"/>
                  <w:tcBorders>
                    <w:bottom w:val="nil"/>
                  </w:tcBorders>
                  <w:noWrap w:val="0"/>
                  <w:vAlign w:val="center"/>
                </w:tcPr>
                <w:p w14:paraId="17DAB7F0">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排放规律</w:t>
                  </w:r>
                </w:p>
              </w:tc>
              <w:tc>
                <w:tcPr>
                  <w:tcW w:w="450" w:type="pct"/>
                  <w:vMerge w:val="restart"/>
                  <w:tcBorders>
                    <w:bottom w:val="nil"/>
                  </w:tcBorders>
                  <w:noWrap w:val="0"/>
                  <w:vAlign w:val="center"/>
                </w:tcPr>
                <w:p w14:paraId="0D8BA167">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间歇排放时段</w:t>
                  </w:r>
                </w:p>
              </w:tc>
              <w:tc>
                <w:tcPr>
                  <w:tcW w:w="1779" w:type="pct"/>
                  <w:gridSpan w:val="3"/>
                  <w:noWrap w:val="0"/>
                  <w:vAlign w:val="center"/>
                </w:tcPr>
                <w:p w14:paraId="7236D231">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收纳污水处理厂信息</w:t>
                  </w:r>
                </w:p>
              </w:tc>
            </w:tr>
            <w:tr w14:paraId="07FD79ED">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436" w:type="pct"/>
                  <w:vMerge w:val="continue"/>
                  <w:tcBorders>
                    <w:top w:val="nil"/>
                  </w:tcBorders>
                  <w:noWrap w:val="0"/>
                  <w:vAlign w:val="center"/>
                </w:tcPr>
                <w:p w14:paraId="50A7C539">
                  <w:pPr>
                    <w:pStyle w:val="10"/>
                    <w:bidi w:val="0"/>
                    <w:rPr>
                      <w:rFonts w:hint="default" w:ascii="Times New Roman" w:hAnsi="Times New Roman" w:cs="Times New Roman"/>
                      <w:b/>
                      <w:bCs/>
                      <w:color w:val="auto"/>
                      <w:highlight w:val="none"/>
                    </w:rPr>
                  </w:pPr>
                </w:p>
              </w:tc>
              <w:tc>
                <w:tcPr>
                  <w:tcW w:w="467" w:type="pct"/>
                  <w:noWrap w:val="0"/>
                  <w:vAlign w:val="center"/>
                </w:tcPr>
                <w:p w14:paraId="384FF9D4">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经度</w:t>
                  </w:r>
                </w:p>
              </w:tc>
              <w:tc>
                <w:tcPr>
                  <w:tcW w:w="465" w:type="pct"/>
                  <w:noWrap w:val="0"/>
                  <w:vAlign w:val="center"/>
                </w:tcPr>
                <w:p w14:paraId="0E8F9E4F">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纬度</w:t>
                  </w:r>
                </w:p>
              </w:tc>
              <w:tc>
                <w:tcPr>
                  <w:tcW w:w="516" w:type="pct"/>
                  <w:vMerge w:val="continue"/>
                  <w:tcBorders>
                    <w:top w:val="nil"/>
                  </w:tcBorders>
                  <w:noWrap w:val="0"/>
                  <w:vAlign w:val="center"/>
                </w:tcPr>
                <w:p w14:paraId="4381E772">
                  <w:pPr>
                    <w:pStyle w:val="10"/>
                    <w:bidi w:val="0"/>
                    <w:rPr>
                      <w:rFonts w:hint="default" w:ascii="Times New Roman" w:hAnsi="Times New Roman" w:cs="Times New Roman"/>
                      <w:b/>
                      <w:bCs/>
                      <w:color w:val="auto"/>
                      <w:highlight w:val="none"/>
                    </w:rPr>
                  </w:pPr>
                </w:p>
              </w:tc>
              <w:tc>
                <w:tcPr>
                  <w:tcW w:w="464" w:type="pct"/>
                  <w:vMerge w:val="continue"/>
                  <w:tcBorders>
                    <w:top w:val="nil"/>
                  </w:tcBorders>
                  <w:noWrap w:val="0"/>
                  <w:vAlign w:val="center"/>
                </w:tcPr>
                <w:p w14:paraId="4AE3C397">
                  <w:pPr>
                    <w:pStyle w:val="10"/>
                    <w:bidi w:val="0"/>
                    <w:rPr>
                      <w:rFonts w:hint="default" w:ascii="Times New Roman" w:hAnsi="Times New Roman" w:cs="Times New Roman"/>
                      <w:b/>
                      <w:bCs/>
                      <w:color w:val="auto"/>
                      <w:highlight w:val="none"/>
                    </w:rPr>
                  </w:pPr>
                </w:p>
              </w:tc>
              <w:tc>
                <w:tcPr>
                  <w:tcW w:w="419" w:type="pct"/>
                  <w:vMerge w:val="continue"/>
                  <w:tcBorders>
                    <w:top w:val="nil"/>
                  </w:tcBorders>
                  <w:noWrap w:val="0"/>
                  <w:vAlign w:val="center"/>
                </w:tcPr>
                <w:p w14:paraId="1C8A6416">
                  <w:pPr>
                    <w:pStyle w:val="10"/>
                    <w:bidi w:val="0"/>
                    <w:rPr>
                      <w:rFonts w:hint="default" w:ascii="Times New Roman" w:hAnsi="Times New Roman" w:cs="Times New Roman"/>
                      <w:b/>
                      <w:bCs/>
                      <w:color w:val="auto"/>
                      <w:highlight w:val="none"/>
                    </w:rPr>
                  </w:pPr>
                </w:p>
              </w:tc>
              <w:tc>
                <w:tcPr>
                  <w:tcW w:w="450" w:type="pct"/>
                  <w:vMerge w:val="continue"/>
                  <w:tcBorders>
                    <w:top w:val="nil"/>
                  </w:tcBorders>
                  <w:noWrap w:val="0"/>
                  <w:vAlign w:val="center"/>
                </w:tcPr>
                <w:p w14:paraId="648BCBFC">
                  <w:pPr>
                    <w:pStyle w:val="10"/>
                    <w:bidi w:val="0"/>
                    <w:rPr>
                      <w:rFonts w:hint="default" w:ascii="Times New Roman" w:hAnsi="Times New Roman" w:cs="Times New Roman"/>
                      <w:b/>
                      <w:bCs/>
                      <w:color w:val="auto"/>
                      <w:highlight w:val="none"/>
                    </w:rPr>
                  </w:pPr>
                </w:p>
              </w:tc>
              <w:tc>
                <w:tcPr>
                  <w:tcW w:w="417" w:type="pct"/>
                  <w:noWrap w:val="0"/>
                  <w:vAlign w:val="center"/>
                </w:tcPr>
                <w:p w14:paraId="4503276F">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名称</w:t>
                  </w:r>
                </w:p>
              </w:tc>
              <w:tc>
                <w:tcPr>
                  <w:tcW w:w="570" w:type="pct"/>
                  <w:noWrap w:val="0"/>
                  <w:vAlign w:val="center"/>
                </w:tcPr>
                <w:p w14:paraId="5DB0EB36">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污染物种类</w:t>
                  </w:r>
                </w:p>
              </w:tc>
              <w:tc>
                <w:tcPr>
                  <w:tcW w:w="791" w:type="pct"/>
                  <w:noWrap w:val="0"/>
                  <w:vAlign w:val="center"/>
                </w:tcPr>
                <w:p w14:paraId="54E7AE7F">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污染物排放标准限值（mg/L）</w:t>
                  </w:r>
                </w:p>
              </w:tc>
            </w:tr>
            <w:tr w14:paraId="09C963D4">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289" w:hRule="atLeast"/>
                <w:jc w:val="center"/>
              </w:trPr>
              <w:tc>
                <w:tcPr>
                  <w:tcW w:w="436" w:type="pct"/>
                  <w:vMerge w:val="restart"/>
                  <w:tcBorders>
                    <w:bottom w:val="nil"/>
                  </w:tcBorders>
                  <w:noWrap w:val="0"/>
                  <w:vAlign w:val="center"/>
                </w:tcPr>
                <w:p w14:paraId="0F94555C">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DW001</w:t>
                  </w:r>
                </w:p>
              </w:tc>
              <w:tc>
                <w:tcPr>
                  <w:tcW w:w="467" w:type="pct"/>
                  <w:vMerge w:val="restart"/>
                  <w:tcBorders>
                    <w:bottom w:val="nil"/>
                  </w:tcBorders>
                  <w:noWrap w:val="0"/>
                  <w:vAlign w:val="center"/>
                </w:tcPr>
                <w:p w14:paraId="21756085">
                  <w:pPr>
                    <w:pStyle w:val="10"/>
                    <w:bidi w:val="0"/>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t>117.</w:t>
                  </w:r>
                  <w:r>
                    <w:rPr>
                      <w:rFonts w:hint="eastAsia" w:cs="Times New Roman"/>
                      <w:color w:val="auto"/>
                      <w:highlight w:val="none"/>
                      <w:lang w:val="en-US" w:eastAsia="zh-CN"/>
                    </w:rPr>
                    <w:t>88728</w:t>
                  </w:r>
                </w:p>
              </w:tc>
              <w:tc>
                <w:tcPr>
                  <w:tcW w:w="465" w:type="pct"/>
                  <w:vMerge w:val="restart"/>
                  <w:tcBorders>
                    <w:bottom w:val="nil"/>
                  </w:tcBorders>
                  <w:noWrap w:val="0"/>
                  <w:vAlign w:val="center"/>
                </w:tcPr>
                <w:p w14:paraId="6C266810">
                  <w:pPr>
                    <w:pStyle w:val="10"/>
                    <w:bidi w:val="0"/>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t>30.</w:t>
                  </w:r>
                  <w:r>
                    <w:rPr>
                      <w:rFonts w:hint="eastAsia" w:cs="Times New Roman"/>
                      <w:color w:val="auto"/>
                      <w:highlight w:val="none"/>
                      <w:lang w:val="en-US" w:eastAsia="zh-CN"/>
                    </w:rPr>
                    <w:t>63293</w:t>
                  </w:r>
                </w:p>
              </w:tc>
              <w:tc>
                <w:tcPr>
                  <w:tcW w:w="516" w:type="pct"/>
                  <w:vMerge w:val="restart"/>
                  <w:tcBorders>
                    <w:bottom w:val="nil"/>
                  </w:tcBorders>
                  <w:noWrap w:val="0"/>
                  <w:vAlign w:val="center"/>
                </w:tcPr>
                <w:p w14:paraId="193D9AC4">
                  <w:pPr>
                    <w:pStyle w:val="10"/>
                    <w:bidi w:val="0"/>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1</w:t>
                  </w:r>
                  <w:r>
                    <w:rPr>
                      <w:rFonts w:hint="eastAsia" w:cs="Times New Roman"/>
                      <w:color w:val="auto"/>
                      <w:highlight w:val="none"/>
                      <w:lang w:val="en-US" w:eastAsia="zh-CN"/>
                    </w:rPr>
                    <w:t>096</w:t>
                  </w:r>
                </w:p>
              </w:tc>
              <w:tc>
                <w:tcPr>
                  <w:tcW w:w="464" w:type="pct"/>
                  <w:vMerge w:val="restart"/>
                  <w:tcBorders>
                    <w:bottom w:val="nil"/>
                  </w:tcBorders>
                  <w:noWrap w:val="0"/>
                  <w:vAlign w:val="center"/>
                </w:tcPr>
                <w:p w14:paraId="26AF1E8B">
                  <w:pPr>
                    <w:pStyle w:val="10"/>
                    <w:bidi w:val="0"/>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青阳县污水处理厂</w:t>
                  </w:r>
                </w:p>
              </w:tc>
              <w:tc>
                <w:tcPr>
                  <w:tcW w:w="419" w:type="pct"/>
                  <w:vMerge w:val="restart"/>
                  <w:tcBorders>
                    <w:bottom w:val="nil"/>
                  </w:tcBorders>
                  <w:noWrap w:val="0"/>
                  <w:vAlign w:val="center"/>
                </w:tcPr>
                <w:p w14:paraId="33E94EFE">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间断排放，流量不稳定</w:t>
                  </w:r>
                </w:p>
              </w:tc>
              <w:tc>
                <w:tcPr>
                  <w:tcW w:w="450" w:type="pct"/>
                  <w:vMerge w:val="restart"/>
                  <w:tcBorders>
                    <w:bottom w:val="nil"/>
                  </w:tcBorders>
                  <w:noWrap w:val="0"/>
                  <w:vAlign w:val="center"/>
                </w:tcPr>
                <w:p w14:paraId="60FFE791">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w:t>
                  </w:r>
                </w:p>
              </w:tc>
              <w:tc>
                <w:tcPr>
                  <w:tcW w:w="417" w:type="pct"/>
                  <w:vMerge w:val="restart"/>
                  <w:tcBorders>
                    <w:bottom w:val="nil"/>
                  </w:tcBorders>
                  <w:noWrap w:val="0"/>
                  <w:vAlign w:val="center"/>
                </w:tcPr>
                <w:p w14:paraId="69D55C04">
                  <w:pPr>
                    <w:pStyle w:val="10"/>
                    <w:bidi w:val="0"/>
                    <w:rPr>
                      <w:rFonts w:hint="default" w:ascii="Times New Roman" w:hAnsi="Times New Roman" w:cs="Times New Roman"/>
                      <w:color w:val="auto"/>
                      <w:highlight w:val="none"/>
                    </w:rPr>
                  </w:pPr>
                  <w:r>
                    <w:rPr>
                      <w:rFonts w:hint="eastAsia" w:cs="Times New Roman"/>
                      <w:color w:val="auto"/>
                      <w:highlight w:val="none"/>
                      <w:lang w:val="en-US" w:eastAsia="zh-CN"/>
                    </w:rPr>
                    <w:t>青阳县污水处理厂</w:t>
                  </w:r>
                </w:p>
              </w:tc>
              <w:tc>
                <w:tcPr>
                  <w:tcW w:w="570" w:type="pct"/>
                  <w:noWrap w:val="0"/>
                  <w:vAlign w:val="center"/>
                </w:tcPr>
                <w:p w14:paraId="57C6409D">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COD</w:t>
                  </w:r>
                </w:p>
              </w:tc>
              <w:tc>
                <w:tcPr>
                  <w:tcW w:w="791" w:type="pct"/>
                  <w:noWrap w:val="0"/>
                  <w:vAlign w:val="center"/>
                </w:tcPr>
                <w:p w14:paraId="2AE62452">
                  <w:pPr>
                    <w:pStyle w:val="10"/>
                    <w:bidi w:val="0"/>
                    <w:rPr>
                      <w:rFonts w:hint="eastAsia"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3</w:t>
                  </w:r>
                  <w:r>
                    <w:rPr>
                      <w:rFonts w:hint="default" w:ascii="Times New Roman" w:hAnsi="Times New Roman" w:cs="Times New Roman"/>
                      <w:color w:val="auto"/>
                      <w:highlight w:val="none"/>
                    </w:rPr>
                    <w:t>0</w:t>
                  </w:r>
                  <w:r>
                    <w:rPr>
                      <w:rFonts w:hint="eastAsia" w:cs="Times New Roman"/>
                      <w:color w:val="auto"/>
                      <w:highlight w:val="none"/>
                      <w:lang w:val="en-US" w:eastAsia="zh-CN"/>
                    </w:rPr>
                    <w:t>0</w:t>
                  </w:r>
                </w:p>
              </w:tc>
            </w:tr>
            <w:tr w14:paraId="047E8048">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288" w:hRule="atLeast"/>
                <w:jc w:val="center"/>
              </w:trPr>
              <w:tc>
                <w:tcPr>
                  <w:tcW w:w="436" w:type="pct"/>
                  <w:vMerge w:val="continue"/>
                  <w:tcBorders>
                    <w:top w:val="nil"/>
                    <w:bottom w:val="nil"/>
                  </w:tcBorders>
                  <w:noWrap w:val="0"/>
                  <w:vAlign w:val="center"/>
                </w:tcPr>
                <w:p w14:paraId="67823D10">
                  <w:pPr>
                    <w:pStyle w:val="10"/>
                    <w:bidi w:val="0"/>
                    <w:rPr>
                      <w:rFonts w:hint="default" w:ascii="Times New Roman" w:hAnsi="Times New Roman" w:cs="Times New Roman"/>
                      <w:color w:val="auto"/>
                      <w:highlight w:val="none"/>
                    </w:rPr>
                  </w:pPr>
                </w:p>
              </w:tc>
              <w:tc>
                <w:tcPr>
                  <w:tcW w:w="467" w:type="pct"/>
                  <w:vMerge w:val="continue"/>
                  <w:tcBorders>
                    <w:top w:val="nil"/>
                    <w:bottom w:val="nil"/>
                  </w:tcBorders>
                  <w:noWrap w:val="0"/>
                  <w:vAlign w:val="center"/>
                </w:tcPr>
                <w:p w14:paraId="30A732EA">
                  <w:pPr>
                    <w:pStyle w:val="10"/>
                    <w:bidi w:val="0"/>
                    <w:rPr>
                      <w:rFonts w:hint="default" w:ascii="Times New Roman" w:hAnsi="Times New Roman" w:cs="Times New Roman"/>
                      <w:color w:val="auto"/>
                      <w:highlight w:val="none"/>
                    </w:rPr>
                  </w:pPr>
                </w:p>
              </w:tc>
              <w:tc>
                <w:tcPr>
                  <w:tcW w:w="465" w:type="pct"/>
                  <w:vMerge w:val="continue"/>
                  <w:tcBorders>
                    <w:top w:val="nil"/>
                    <w:bottom w:val="nil"/>
                  </w:tcBorders>
                  <w:noWrap w:val="0"/>
                  <w:vAlign w:val="center"/>
                </w:tcPr>
                <w:p w14:paraId="13838C0A">
                  <w:pPr>
                    <w:pStyle w:val="10"/>
                    <w:bidi w:val="0"/>
                    <w:rPr>
                      <w:rFonts w:hint="default" w:ascii="Times New Roman" w:hAnsi="Times New Roman" w:cs="Times New Roman"/>
                      <w:color w:val="auto"/>
                      <w:highlight w:val="none"/>
                    </w:rPr>
                  </w:pPr>
                </w:p>
              </w:tc>
              <w:tc>
                <w:tcPr>
                  <w:tcW w:w="516" w:type="pct"/>
                  <w:vMerge w:val="continue"/>
                  <w:tcBorders>
                    <w:top w:val="nil"/>
                    <w:bottom w:val="nil"/>
                  </w:tcBorders>
                  <w:noWrap w:val="0"/>
                  <w:vAlign w:val="center"/>
                </w:tcPr>
                <w:p w14:paraId="49C188E7">
                  <w:pPr>
                    <w:pStyle w:val="10"/>
                    <w:bidi w:val="0"/>
                    <w:rPr>
                      <w:rFonts w:hint="default" w:ascii="Times New Roman" w:hAnsi="Times New Roman" w:cs="Times New Roman"/>
                      <w:color w:val="auto"/>
                      <w:highlight w:val="none"/>
                    </w:rPr>
                  </w:pPr>
                </w:p>
              </w:tc>
              <w:tc>
                <w:tcPr>
                  <w:tcW w:w="464" w:type="pct"/>
                  <w:vMerge w:val="continue"/>
                  <w:tcBorders>
                    <w:top w:val="nil"/>
                    <w:bottom w:val="nil"/>
                  </w:tcBorders>
                  <w:noWrap w:val="0"/>
                  <w:vAlign w:val="center"/>
                </w:tcPr>
                <w:p w14:paraId="114372D4">
                  <w:pPr>
                    <w:pStyle w:val="10"/>
                    <w:bidi w:val="0"/>
                    <w:rPr>
                      <w:rFonts w:hint="default" w:ascii="Times New Roman" w:hAnsi="Times New Roman" w:cs="Times New Roman"/>
                      <w:color w:val="auto"/>
                      <w:highlight w:val="none"/>
                    </w:rPr>
                  </w:pPr>
                </w:p>
              </w:tc>
              <w:tc>
                <w:tcPr>
                  <w:tcW w:w="419" w:type="pct"/>
                  <w:vMerge w:val="continue"/>
                  <w:tcBorders>
                    <w:top w:val="nil"/>
                    <w:bottom w:val="nil"/>
                  </w:tcBorders>
                  <w:noWrap w:val="0"/>
                  <w:vAlign w:val="center"/>
                </w:tcPr>
                <w:p w14:paraId="119AB59E">
                  <w:pPr>
                    <w:pStyle w:val="10"/>
                    <w:bidi w:val="0"/>
                    <w:rPr>
                      <w:rFonts w:hint="default" w:ascii="Times New Roman" w:hAnsi="Times New Roman" w:cs="Times New Roman"/>
                      <w:color w:val="auto"/>
                      <w:highlight w:val="none"/>
                    </w:rPr>
                  </w:pPr>
                </w:p>
              </w:tc>
              <w:tc>
                <w:tcPr>
                  <w:tcW w:w="450" w:type="pct"/>
                  <w:vMerge w:val="continue"/>
                  <w:tcBorders>
                    <w:top w:val="nil"/>
                    <w:bottom w:val="nil"/>
                  </w:tcBorders>
                  <w:noWrap w:val="0"/>
                  <w:vAlign w:val="center"/>
                </w:tcPr>
                <w:p w14:paraId="3D3BD308">
                  <w:pPr>
                    <w:pStyle w:val="10"/>
                    <w:bidi w:val="0"/>
                    <w:rPr>
                      <w:rFonts w:hint="default" w:ascii="Times New Roman" w:hAnsi="Times New Roman" w:cs="Times New Roman"/>
                      <w:color w:val="auto"/>
                      <w:highlight w:val="none"/>
                    </w:rPr>
                  </w:pPr>
                </w:p>
              </w:tc>
              <w:tc>
                <w:tcPr>
                  <w:tcW w:w="417" w:type="pct"/>
                  <w:vMerge w:val="continue"/>
                  <w:tcBorders>
                    <w:top w:val="nil"/>
                    <w:bottom w:val="nil"/>
                  </w:tcBorders>
                  <w:noWrap w:val="0"/>
                  <w:vAlign w:val="center"/>
                </w:tcPr>
                <w:p w14:paraId="3DEE2CA3">
                  <w:pPr>
                    <w:pStyle w:val="10"/>
                    <w:bidi w:val="0"/>
                    <w:rPr>
                      <w:rFonts w:hint="default" w:ascii="Times New Roman" w:hAnsi="Times New Roman" w:cs="Times New Roman"/>
                      <w:color w:val="auto"/>
                      <w:highlight w:val="none"/>
                    </w:rPr>
                  </w:pPr>
                </w:p>
              </w:tc>
              <w:tc>
                <w:tcPr>
                  <w:tcW w:w="570" w:type="pct"/>
                  <w:noWrap w:val="0"/>
                  <w:vAlign w:val="center"/>
                </w:tcPr>
                <w:p w14:paraId="7C2B5D36">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BOD</w:t>
                  </w:r>
                  <w:r>
                    <w:rPr>
                      <w:rFonts w:hint="default" w:ascii="Times New Roman" w:hAnsi="Times New Roman" w:cs="Times New Roman"/>
                      <w:color w:val="auto"/>
                      <w:highlight w:val="none"/>
                      <w:vertAlign w:val="subscript"/>
                    </w:rPr>
                    <w:t>5</w:t>
                  </w:r>
                </w:p>
              </w:tc>
              <w:tc>
                <w:tcPr>
                  <w:tcW w:w="791" w:type="pct"/>
                  <w:noWrap w:val="0"/>
                  <w:vAlign w:val="center"/>
                </w:tcPr>
                <w:p w14:paraId="53CA1647">
                  <w:pPr>
                    <w:pStyle w:val="10"/>
                    <w:bidi w:val="0"/>
                    <w:rPr>
                      <w:rFonts w:hint="default" w:ascii="Times New Roman" w:hAnsi="Times New Roman" w:cs="Times New Roman"/>
                      <w:color w:val="auto"/>
                      <w:highlight w:val="none"/>
                    </w:rPr>
                  </w:pPr>
                  <w:r>
                    <w:rPr>
                      <w:rFonts w:hint="eastAsia" w:cs="Times New Roman"/>
                      <w:color w:val="auto"/>
                      <w:highlight w:val="none"/>
                      <w:lang w:val="en-US" w:eastAsia="zh-CN"/>
                    </w:rPr>
                    <w:t>15</w:t>
                  </w:r>
                  <w:r>
                    <w:rPr>
                      <w:rFonts w:hint="default" w:ascii="Times New Roman" w:hAnsi="Times New Roman" w:cs="Times New Roman"/>
                      <w:color w:val="auto"/>
                      <w:highlight w:val="none"/>
                    </w:rPr>
                    <w:t>0</w:t>
                  </w:r>
                </w:p>
              </w:tc>
            </w:tr>
            <w:tr w14:paraId="10E8CA82">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257" w:hRule="atLeast"/>
                <w:jc w:val="center"/>
              </w:trPr>
              <w:tc>
                <w:tcPr>
                  <w:tcW w:w="436" w:type="pct"/>
                  <w:vMerge w:val="continue"/>
                  <w:tcBorders>
                    <w:top w:val="nil"/>
                    <w:bottom w:val="nil"/>
                  </w:tcBorders>
                  <w:noWrap w:val="0"/>
                  <w:vAlign w:val="center"/>
                </w:tcPr>
                <w:p w14:paraId="487B7026">
                  <w:pPr>
                    <w:pStyle w:val="10"/>
                    <w:bidi w:val="0"/>
                    <w:rPr>
                      <w:rFonts w:hint="default" w:ascii="Times New Roman" w:hAnsi="Times New Roman" w:cs="Times New Roman"/>
                      <w:color w:val="auto"/>
                      <w:highlight w:val="none"/>
                    </w:rPr>
                  </w:pPr>
                </w:p>
              </w:tc>
              <w:tc>
                <w:tcPr>
                  <w:tcW w:w="467" w:type="pct"/>
                  <w:vMerge w:val="continue"/>
                  <w:tcBorders>
                    <w:top w:val="nil"/>
                    <w:bottom w:val="nil"/>
                  </w:tcBorders>
                  <w:noWrap w:val="0"/>
                  <w:vAlign w:val="center"/>
                </w:tcPr>
                <w:p w14:paraId="49182129">
                  <w:pPr>
                    <w:pStyle w:val="10"/>
                    <w:bidi w:val="0"/>
                    <w:rPr>
                      <w:rFonts w:hint="default" w:ascii="Times New Roman" w:hAnsi="Times New Roman" w:cs="Times New Roman"/>
                      <w:color w:val="auto"/>
                      <w:highlight w:val="none"/>
                    </w:rPr>
                  </w:pPr>
                </w:p>
              </w:tc>
              <w:tc>
                <w:tcPr>
                  <w:tcW w:w="465" w:type="pct"/>
                  <w:vMerge w:val="continue"/>
                  <w:tcBorders>
                    <w:top w:val="nil"/>
                    <w:bottom w:val="nil"/>
                  </w:tcBorders>
                  <w:noWrap w:val="0"/>
                  <w:vAlign w:val="center"/>
                </w:tcPr>
                <w:p w14:paraId="05B194B7">
                  <w:pPr>
                    <w:pStyle w:val="10"/>
                    <w:bidi w:val="0"/>
                    <w:rPr>
                      <w:rFonts w:hint="default" w:ascii="Times New Roman" w:hAnsi="Times New Roman" w:cs="Times New Roman"/>
                      <w:color w:val="auto"/>
                      <w:highlight w:val="none"/>
                    </w:rPr>
                  </w:pPr>
                </w:p>
              </w:tc>
              <w:tc>
                <w:tcPr>
                  <w:tcW w:w="516" w:type="pct"/>
                  <w:vMerge w:val="continue"/>
                  <w:tcBorders>
                    <w:top w:val="nil"/>
                    <w:bottom w:val="nil"/>
                  </w:tcBorders>
                  <w:noWrap w:val="0"/>
                  <w:vAlign w:val="center"/>
                </w:tcPr>
                <w:p w14:paraId="103AC900">
                  <w:pPr>
                    <w:pStyle w:val="10"/>
                    <w:bidi w:val="0"/>
                    <w:rPr>
                      <w:rFonts w:hint="default" w:ascii="Times New Roman" w:hAnsi="Times New Roman" w:cs="Times New Roman"/>
                      <w:color w:val="auto"/>
                      <w:highlight w:val="none"/>
                    </w:rPr>
                  </w:pPr>
                </w:p>
              </w:tc>
              <w:tc>
                <w:tcPr>
                  <w:tcW w:w="464" w:type="pct"/>
                  <w:vMerge w:val="continue"/>
                  <w:tcBorders>
                    <w:top w:val="nil"/>
                    <w:bottom w:val="nil"/>
                  </w:tcBorders>
                  <w:noWrap w:val="0"/>
                  <w:vAlign w:val="center"/>
                </w:tcPr>
                <w:p w14:paraId="735ED8A6">
                  <w:pPr>
                    <w:pStyle w:val="10"/>
                    <w:bidi w:val="0"/>
                    <w:rPr>
                      <w:rFonts w:hint="default" w:ascii="Times New Roman" w:hAnsi="Times New Roman" w:cs="Times New Roman"/>
                      <w:color w:val="auto"/>
                      <w:highlight w:val="none"/>
                    </w:rPr>
                  </w:pPr>
                </w:p>
              </w:tc>
              <w:tc>
                <w:tcPr>
                  <w:tcW w:w="419" w:type="pct"/>
                  <w:vMerge w:val="continue"/>
                  <w:tcBorders>
                    <w:top w:val="nil"/>
                    <w:bottom w:val="nil"/>
                  </w:tcBorders>
                  <w:noWrap w:val="0"/>
                  <w:vAlign w:val="center"/>
                </w:tcPr>
                <w:p w14:paraId="08DB2708">
                  <w:pPr>
                    <w:pStyle w:val="10"/>
                    <w:bidi w:val="0"/>
                    <w:rPr>
                      <w:rFonts w:hint="default" w:ascii="Times New Roman" w:hAnsi="Times New Roman" w:cs="Times New Roman"/>
                      <w:color w:val="auto"/>
                      <w:highlight w:val="none"/>
                    </w:rPr>
                  </w:pPr>
                </w:p>
              </w:tc>
              <w:tc>
                <w:tcPr>
                  <w:tcW w:w="450" w:type="pct"/>
                  <w:vMerge w:val="continue"/>
                  <w:tcBorders>
                    <w:top w:val="nil"/>
                    <w:bottom w:val="nil"/>
                  </w:tcBorders>
                  <w:noWrap w:val="0"/>
                  <w:vAlign w:val="center"/>
                </w:tcPr>
                <w:p w14:paraId="67E479EE">
                  <w:pPr>
                    <w:pStyle w:val="10"/>
                    <w:bidi w:val="0"/>
                    <w:rPr>
                      <w:rFonts w:hint="default" w:ascii="Times New Roman" w:hAnsi="Times New Roman" w:cs="Times New Roman"/>
                      <w:color w:val="auto"/>
                      <w:highlight w:val="none"/>
                    </w:rPr>
                  </w:pPr>
                </w:p>
              </w:tc>
              <w:tc>
                <w:tcPr>
                  <w:tcW w:w="417" w:type="pct"/>
                  <w:vMerge w:val="continue"/>
                  <w:tcBorders>
                    <w:top w:val="nil"/>
                    <w:bottom w:val="nil"/>
                  </w:tcBorders>
                  <w:noWrap w:val="0"/>
                  <w:vAlign w:val="center"/>
                </w:tcPr>
                <w:p w14:paraId="3A597C92">
                  <w:pPr>
                    <w:pStyle w:val="10"/>
                    <w:bidi w:val="0"/>
                    <w:rPr>
                      <w:rFonts w:hint="default" w:ascii="Times New Roman" w:hAnsi="Times New Roman" w:cs="Times New Roman"/>
                      <w:color w:val="auto"/>
                      <w:highlight w:val="none"/>
                    </w:rPr>
                  </w:pPr>
                </w:p>
              </w:tc>
              <w:tc>
                <w:tcPr>
                  <w:tcW w:w="570" w:type="pct"/>
                  <w:noWrap w:val="0"/>
                  <w:vAlign w:val="center"/>
                </w:tcPr>
                <w:p w14:paraId="0852EFFC">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SS</w:t>
                  </w:r>
                </w:p>
              </w:tc>
              <w:tc>
                <w:tcPr>
                  <w:tcW w:w="791" w:type="pct"/>
                  <w:noWrap w:val="0"/>
                  <w:vAlign w:val="center"/>
                </w:tcPr>
                <w:p w14:paraId="1A6BDFCB">
                  <w:pPr>
                    <w:pStyle w:val="10"/>
                    <w:bidi w:val="0"/>
                    <w:rPr>
                      <w:rFonts w:hint="default" w:ascii="Times New Roman" w:hAnsi="Times New Roman" w:cs="Times New Roman"/>
                      <w:color w:val="auto"/>
                      <w:highlight w:val="none"/>
                    </w:rPr>
                  </w:pPr>
                  <w:r>
                    <w:rPr>
                      <w:rFonts w:hint="eastAsia" w:cs="Times New Roman"/>
                      <w:color w:val="auto"/>
                      <w:highlight w:val="none"/>
                      <w:lang w:val="en-US" w:eastAsia="zh-CN"/>
                    </w:rPr>
                    <w:t>25</w:t>
                  </w:r>
                  <w:r>
                    <w:rPr>
                      <w:rFonts w:hint="default" w:ascii="Times New Roman" w:hAnsi="Times New Roman" w:cs="Times New Roman"/>
                      <w:color w:val="auto"/>
                      <w:highlight w:val="none"/>
                    </w:rPr>
                    <w:t>0</w:t>
                  </w:r>
                </w:p>
              </w:tc>
            </w:tr>
            <w:tr w14:paraId="667B287D">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141" w:hRule="atLeast"/>
                <w:jc w:val="center"/>
              </w:trPr>
              <w:tc>
                <w:tcPr>
                  <w:tcW w:w="436" w:type="pct"/>
                  <w:vMerge w:val="continue"/>
                  <w:tcBorders>
                    <w:top w:val="nil"/>
                  </w:tcBorders>
                  <w:noWrap w:val="0"/>
                  <w:vAlign w:val="center"/>
                </w:tcPr>
                <w:p w14:paraId="6253C027">
                  <w:pPr>
                    <w:pStyle w:val="10"/>
                    <w:bidi w:val="0"/>
                    <w:rPr>
                      <w:rFonts w:hint="default" w:ascii="Times New Roman" w:hAnsi="Times New Roman" w:cs="Times New Roman"/>
                      <w:color w:val="auto"/>
                      <w:highlight w:val="none"/>
                    </w:rPr>
                  </w:pPr>
                </w:p>
              </w:tc>
              <w:tc>
                <w:tcPr>
                  <w:tcW w:w="467" w:type="pct"/>
                  <w:vMerge w:val="continue"/>
                  <w:tcBorders>
                    <w:top w:val="nil"/>
                  </w:tcBorders>
                  <w:noWrap w:val="0"/>
                  <w:vAlign w:val="center"/>
                </w:tcPr>
                <w:p w14:paraId="03A2F6C3">
                  <w:pPr>
                    <w:pStyle w:val="10"/>
                    <w:bidi w:val="0"/>
                    <w:rPr>
                      <w:rFonts w:hint="default" w:ascii="Times New Roman" w:hAnsi="Times New Roman" w:cs="Times New Roman"/>
                      <w:color w:val="auto"/>
                      <w:highlight w:val="none"/>
                    </w:rPr>
                  </w:pPr>
                </w:p>
              </w:tc>
              <w:tc>
                <w:tcPr>
                  <w:tcW w:w="465" w:type="pct"/>
                  <w:vMerge w:val="continue"/>
                  <w:tcBorders>
                    <w:top w:val="nil"/>
                  </w:tcBorders>
                  <w:noWrap w:val="0"/>
                  <w:vAlign w:val="center"/>
                </w:tcPr>
                <w:p w14:paraId="08443F0B">
                  <w:pPr>
                    <w:pStyle w:val="10"/>
                    <w:bidi w:val="0"/>
                    <w:rPr>
                      <w:rFonts w:hint="default" w:ascii="Times New Roman" w:hAnsi="Times New Roman" w:cs="Times New Roman"/>
                      <w:color w:val="auto"/>
                      <w:highlight w:val="none"/>
                    </w:rPr>
                  </w:pPr>
                </w:p>
              </w:tc>
              <w:tc>
                <w:tcPr>
                  <w:tcW w:w="516" w:type="pct"/>
                  <w:vMerge w:val="continue"/>
                  <w:tcBorders>
                    <w:top w:val="nil"/>
                  </w:tcBorders>
                  <w:noWrap w:val="0"/>
                  <w:vAlign w:val="center"/>
                </w:tcPr>
                <w:p w14:paraId="5B29701D">
                  <w:pPr>
                    <w:pStyle w:val="10"/>
                    <w:bidi w:val="0"/>
                    <w:rPr>
                      <w:rFonts w:hint="default" w:ascii="Times New Roman" w:hAnsi="Times New Roman" w:cs="Times New Roman"/>
                      <w:color w:val="auto"/>
                      <w:highlight w:val="none"/>
                    </w:rPr>
                  </w:pPr>
                </w:p>
              </w:tc>
              <w:tc>
                <w:tcPr>
                  <w:tcW w:w="464" w:type="pct"/>
                  <w:vMerge w:val="continue"/>
                  <w:tcBorders>
                    <w:top w:val="nil"/>
                  </w:tcBorders>
                  <w:noWrap w:val="0"/>
                  <w:vAlign w:val="center"/>
                </w:tcPr>
                <w:p w14:paraId="311A6ED1">
                  <w:pPr>
                    <w:pStyle w:val="10"/>
                    <w:bidi w:val="0"/>
                    <w:rPr>
                      <w:rFonts w:hint="default" w:ascii="Times New Roman" w:hAnsi="Times New Roman" w:cs="Times New Roman"/>
                      <w:color w:val="auto"/>
                      <w:highlight w:val="none"/>
                    </w:rPr>
                  </w:pPr>
                </w:p>
              </w:tc>
              <w:tc>
                <w:tcPr>
                  <w:tcW w:w="419" w:type="pct"/>
                  <w:vMerge w:val="continue"/>
                  <w:tcBorders>
                    <w:top w:val="nil"/>
                  </w:tcBorders>
                  <w:noWrap w:val="0"/>
                  <w:vAlign w:val="center"/>
                </w:tcPr>
                <w:p w14:paraId="33346234">
                  <w:pPr>
                    <w:pStyle w:val="10"/>
                    <w:bidi w:val="0"/>
                    <w:rPr>
                      <w:rFonts w:hint="default" w:ascii="Times New Roman" w:hAnsi="Times New Roman" w:cs="Times New Roman"/>
                      <w:color w:val="auto"/>
                      <w:highlight w:val="none"/>
                    </w:rPr>
                  </w:pPr>
                </w:p>
              </w:tc>
              <w:tc>
                <w:tcPr>
                  <w:tcW w:w="450" w:type="pct"/>
                  <w:vMerge w:val="continue"/>
                  <w:tcBorders>
                    <w:top w:val="nil"/>
                  </w:tcBorders>
                  <w:noWrap w:val="0"/>
                  <w:vAlign w:val="center"/>
                </w:tcPr>
                <w:p w14:paraId="7DADAB0E">
                  <w:pPr>
                    <w:pStyle w:val="10"/>
                    <w:bidi w:val="0"/>
                    <w:rPr>
                      <w:rFonts w:hint="default" w:ascii="Times New Roman" w:hAnsi="Times New Roman" w:cs="Times New Roman"/>
                      <w:color w:val="auto"/>
                      <w:highlight w:val="none"/>
                    </w:rPr>
                  </w:pPr>
                </w:p>
              </w:tc>
              <w:tc>
                <w:tcPr>
                  <w:tcW w:w="417" w:type="pct"/>
                  <w:vMerge w:val="continue"/>
                  <w:tcBorders>
                    <w:top w:val="nil"/>
                  </w:tcBorders>
                  <w:noWrap w:val="0"/>
                  <w:vAlign w:val="center"/>
                </w:tcPr>
                <w:p w14:paraId="7ACA978F">
                  <w:pPr>
                    <w:pStyle w:val="10"/>
                    <w:bidi w:val="0"/>
                    <w:rPr>
                      <w:rFonts w:hint="default" w:ascii="Times New Roman" w:hAnsi="Times New Roman" w:cs="Times New Roman"/>
                      <w:color w:val="auto"/>
                      <w:highlight w:val="none"/>
                    </w:rPr>
                  </w:pPr>
                </w:p>
              </w:tc>
              <w:tc>
                <w:tcPr>
                  <w:tcW w:w="570" w:type="pct"/>
                  <w:noWrap w:val="0"/>
                  <w:vAlign w:val="center"/>
                </w:tcPr>
                <w:p w14:paraId="232B86E3">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氨氮</w:t>
                  </w:r>
                </w:p>
              </w:tc>
              <w:tc>
                <w:tcPr>
                  <w:tcW w:w="791" w:type="pct"/>
                  <w:noWrap w:val="0"/>
                  <w:vAlign w:val="center"/>
                </w:tcPr>
                <w:p w14:paraId="3EFDB366">
                  <w:pPr>
                    <w:pStyle w:val="10"/>
                    <w:bidi w:val="0"/>
                    <w:rPr>
                      <w:rFonts w:hint="default" w:ascii="Times New Roman" w:hAnsi="Times New Roman" w:cs="Times New Roman"/>
                      <w:color w:val="auto"/>
                      <w:highlight w:val="none"/>
                    </w:rPr>
                  </w:pPr>
                  <w:r>
                    <w:rPr>
                      <w:rFonts w:hint="eastAsia" w:cs="Times New Roman"/>
                      <w:color w:val="auto"/>
                      <w:highlight w:val="none"/>
                      <w:lang w:val="en-US" w:eastAsia="zh-CN"/>
                    </w:rPr>
                    <w:t>2</w:t>
                  </w:r>
                  <w:r>
                    <w:rPr>
                      <w:rFonts w:hint="default" w:ascii="Times New Roman" w:hAnsi="Times New Roman" w:cs="Times New Roman"/>
                      <w:color w:val="auto"/>
                      <w:highlight w:val="none"/>
                    </w:rPr>
                    <w:t>5</w:t>
                  </w:r>
                </w:p>
              </w:tc>
            </w:tr>
            <w:tr w14:paraId="0A8E3A86">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141" w:hRule="atLeast"/>
                <w:jc w:val="center"/>
              </w:trPr>
              <w:tc>
                <w:tcPr>
                  <w:tcW w:w="436" w:type="pct"/>
                  <w:vMerge w:val="continue"/>
                  <w:tcBorders>
                    <w:top w:val="nil"/>
                  </w:tcBorders>
                  <w:noWrap w:val="0"/>
                  <w:vAlign w:val="center"/>
                </w:tcPr>
                <w:p w14:paraId="237BA861">
                  <w:pPr>
                    <w:pStyle w:val="10"/>
                    <w:bidi w:val="0"/>
                    <w:rPr>
                      <w:rFonts w:hint="default" w:ascii="Times New Roman" w:hAnsi="Times New Roman" w:cs="Times New Roman"/>
                      <w:color w:val="auto"/>
                      <w:highlight w:val="none"/>
                    </w:rPr>
                  </w:pPr>
                </w:p>
              </w:tc>
              <w:tc>
                <w:tcPr>
                  <w:tcW w:w="467" w:type="pct"/>
                  <w:vMerge w:val="continue"/>
                  <w:tcBorders>
                    <w:top w:val="nil"/>
                  </w:tcBorders>
                  <w:noWrap w:val="0"/>
                  <w:vAlign w:val="center"/>
                </w:tcPr>
                <w:p w14:paraId="5456E899">
                  <w:pPr>
                    <w:pStyle w:val="10"/>
                    <w:bidi w:val="0"/>
                    <w:rPr>
                      <w:rFonts w:hint="default" w:ascii="Times New Roman" w:hAnsi="Times New Roman" w:cs="Times New Roman"/>
                      <w:color w:val="auto"/>
                      <w:highlight w:val="none"/>
                    </w:rPr>
                  </w:pPr>
                </w:p>
              </w:tc>
              <w:tc>
                <w:tcPr>
                  <w:tcW w:w="465" w:type="pct"/>
                  <w:vMerge w:val="continue"/>
                  <w:tcBorders>
                    <w:top w:val="nil"/>
                  </w:tcBorders>
                  <w:noWrap w:val="0"/>
                  <w:vAlign w:val="center"/>
                </w:tcPr>
                <w:p w14:paraId="13D23103">
                  <w:pPr>
                    <w:pStyle w:val="10"/>
                    <w:bidi w:val="0"/>
                    <w:rPr>
                      <w:rFonts w:hint="default" w:ascii="Times New Roman" w:hAnsi="Times New Roman" w:cs="Times New Roman"/>
                      <w:color w:val="auto"/>
                      <w:highlight w:val="none"/>
                    </w:rPr>
                  </w:pPr>
                </w:p>
              </w:tc>
              <w:tc>
                <w:tcPr>
                  <w:tcW w:w="516" w:type="pct"/>
                  <w:vMerge w:val="continue"/>
                  <w:tcBorders>
                    <w:top w:val="nil"/>
                  </w:tcBorders>
                  <w:noWrap w:val="0"/>
                  <w:vAlign w:val="center"/>
                </w:tcPr>
                <w:p w14:paraId="1710C5F2">
                  <w:pPr>
                    <w:pStyle w:val="10"/>
                    <w:bidi w:val="0"/>
                    <w:rPr>
                      <w:rFonts w:hint="default" w:ascii="Times New Roman" w:hAnsi="Times New Roman" w:cs="Times New Roman"/>
                      <w:color w:val="auto"/>
                      <w:highlight w:val="none"/>
                    </w:rPr>
                  </w:pPr>
                </w:p>
              </w:tc>
              <w:tc>
                <w:tcPr>
                  <w:tcW w:w="464" w:type="pct"/>
                  <w:vMerge w:val="continue"/>
                  <w:tcBorders>
                    <w:top w:val="nil"/>
                  </w:tcBorders>
                  <w:noWrap w:val="0"/>
                  <w:vAlign w:val="center"/>
                </w:tcPr>
                <w:p w14:paraId="0FFF8A83">
                  <w:pPr>
                    <w:pStyle w:val="10"/>
                    <w:bidi w:val="0"/>
                    <w:rPr>
                      <w:rFonts w:hint="default" w:ascii="Times New Roman" w:hAnsi="Times New Roman" w:cs="Times New Roman"/>
                      <w:color w:val="auto"/>
                      <w:highlight w:val="none"/>
                    </w:rPr>
                  </w:pPr>
                </w:p>
              </w:tc>
              <w:tc>
                <w:tcPr>
                  <w:tcW w:w="419" w:type="pct"/>
                  <w:vMerge w:val="continue"/>
                  <w:tcBorders>
                    <w:top w:val="nil"/>
                  </w:tcBorders>
                  <w:noWrap w:val="0"/>
                  <w:vAlign w:val="center"/>
                </w:tcPr>
                <w:p w14:paraId="524F1083">
                  <w:pPr>
                    <w:pStyle w:val="10"/>
                    <w:bidi w:val="0"/>
                    <w:rPr>
                      <w:rFonts w:hint="default" w:ascii="Times New Roman" w:hAnsi="Times New Roman" w:cs="Times New Roman"/>
                      <w:color w:val="auto"/>
                      <w:highlight w:val="none"/>
                    </w:rPr>
                  </w:pPr>
                </w:p>
              </w:tc>
              <w:tc>
                <w:tcPr>
                  <w:tcW w:w="450" w:type="pct"/>
                  <w:vMerge w:val="continue"/>
                  <w:tcBorders>
                    <w:top w:val="nil"/>
                  </w:tcBorders>
                  <w:noWrap w:val="0"/>
                  <w:vAlign w:val="center"/>
                </w:tcPr>
                <w:p w14:paraId="612F2107">
                  <w:pPr>
                    <w:pStyle w:val="10"/>
                    <w:bidi w:val="0"/>
                    <w:rPr>
                      <w:rFonts w:hint="default" w:ascii="Times New Roman" w:hAnsi="Times New Roman" w:cs="Times New Roman"/>
                      <w:color w:val="auto"/>
                      <w:highlight w:val="none"/>
                    </w:rPr>
                  </w:pPr>
                </w:p>
              </w:tc>
              <w:tc>
                <w:tcPr>
                  <w:tcW w:w="417" w:type="pct"/>
                  <w:vMerge w:val="continue"/>
                  <w:tcBorders>
                    <w:top w:val="nil"/>
                  </w:tcBorders>
                  <w:noWrap w:val="0"/>
                  <w:vAlign w:val="center"/>
                </w:tcPr>
                <w:p w14:paraId="447A9822">
                  <w:pPr>
                    <w:pStyle w:val="10"/>
                    <w:bidi w:val="0"/>
                    <w:rPr>
                      <w:rFonts w:hint="default" w:ascii="Times New Roman" w:hAnsi="Times New Roman" w:cs="Times New Roman"/>
                      <w:color w:val="auto"/>
                      <w:highlight w:val="none"/>
                    </w:rPr>
                  </w:pPr>
                </w:p>
              </w:tc>
              <w:tc>
                <w:tcPr>
                  <w:tcW w:w="570" w:type="pct"/>
                  <w:noWrap w:val="0"/>
                  <w:vAlign w:val="center"/>
                </w:tcPr>
                <w:p w14:paraId="68172E21">
                  <w:pPr>
                    <w:pStyle w:val="10"/>
                    <w:bidi w:val="0"/>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TP</w:t>
                  </w:r>
                </w:p>
              </w:tc>
              <w:tc>
                <w:tcPr>
                  <w:tcW w:w="791" w:type="pct"/>
                  <w:noWrap w:val="0"/>
                  <w:vAlign w:val="center"/>
                </w:tcPr>
                <w:p w14:paraId="1A53CE6A">
                  <w:pPr>
                    <w:pStyle w:val="10"/>
                    <w:bidi w:val="0"/>
                    <w:rPr>
                      <w:rFonts w:hint="default" w:cs="Times New Roman"/>
                      <w:color w:val="auto"/>
                      <w:highlight w:val="none"/>
                      <w:lang w:val="en-US" w:eastAsia="zh-CN"/>
                    </w:rPr>
                  </w:pPr>
                  <w:r>
                    <w:rPr>
                      <w:rFonts w:hint="eastAsia" w:cs="Times New Roman"/>
                      <w:color w:val="auto"/>
                      <w:highlight w:val="none"/>
                      <w:lang w:val="en-US" w:eastAsia="zh-CN"/>
                    </w:rPr>
                    <w:t>2.5</w:t>
                  </w:r>
                </w:p>
              </w:tc>
            </w:tr>
            <w:tr w14:paraId="2848A2F4">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141" w:hRule="atLeast"/>
                <w:jc w:val="center"/>
              </w:trPr>
              <w:tc>
                <w:tcPr>
                  <w:tcW w:w="436" w:type="pct"/>
                  <w:vMerge w:val="continue"/>
                  <w:noWrap w:val="0"/>
                  <w:vAlign w:val="center"/>
                </w:tcPr>
                <w:p w14:paraId="65D84702">
                  <w:pPr>
                    <w:pStyle w:val="10"/>
                    <w:bidi w:val="0"/>
                    <w:rPr>
                      <w:highlight w:val="none"/>
                    </w:rPr>
                  </w:pPr>
                </w:p>
              </w:tc>
              <w:tc>
                <w:tcPr>
                  <w:tcW w:w="467" w:type="pct"/>
                  <w:vMerge w:val="continue"/>
                  <w:noWrap w:val="0"/>
                  <w:vAlign w:val="center"/>
                </w:tcPr>
                <w:p w14:paraId="6D48A1A6">
                  <w:pPr>
                    <w:pStyle w:val="10"/>
                    <w:bidi w:val="0"/>
                    <w:rPr>
                      <w:highlight w:val="none"/>
                    </w:rPr>
                  </w:pPr>
                </w:p>
              </w:tc>
              <w:tc>
                <w:tcPr>
                  <w:tcW w:w="465" w:type="pct"/>
                  <w:vMerge w:val="continue"/>
                  <w:noWrap w:val="0"/>
                  <w:vAlign w:val="center"/>
                </w:tcPr>
                <w:p w14:paraId="26A8D2B3">
                  <w:pPr>
                    <w:pStyle w:val="10"/>
                    <w:bidi w:val="0"/>
                    <w:rPr>
                      <w:highlight w:val="none"/>
                    </w:rPr>
                  </w:pPr>
                </w:p>
              </w:tc>
              <w:tc>
                <w:tcPr>
                  <w:tcW w:w="516" w:type="pct"/>
                  <w:vMerge w:val="continue"/>
                  <w:noWrap w:val="0"/>
                  <w:vAlign w:val="center"/>
                </w:tcPr>
                <w:p w14:paraId="76A053D1">
                  <w:pPr>
                    <w:pStyle w:val="10"/>
                    <w:bidi w:val="0"/>
                    <w:rPr>
                      <w:highlight w:val="none"/>
                    </w:rPr>
                  </w:pPr>
                </w:p>
              </w:tc>
              <w:tc>
                <w:tcPr>
                  <w:tcW w:w="464" w:type="pct"/>
                  <w:vMerge w:val="continue"/>
                  <w:noWrap w:val="0"/>
                  <w:vAlign w:val="center"/>
                </w:tcPr>
                <w:p w14:paraId="0FCBF64E">
                  <w:pPr>
                    <w:pStyle w:val="10"/>
                    <w:bidi w:val="0"/>
                    <w:rPr>
                      <w:highlight w:val="none"/>
                    </w:rPr>
                  </w:pPr>
                </w:p>
              </w:tc>
              <w:tc>
                <w:tcPr>
                  <w:tcW w:w="419" w:type="pct"/>
                  <w:vMerge w:val="continue"/>
                  <w:noWrap w:val="0"/>
                  <w:vAlign w:val="center"/>
                </w:tcPr>
                <w:p w14:paraId="684E7C27">
                  <w:pPr>
                    <w:pStyle w:val="10"/>
                    <w:bidi w:val="0"/>
                    <w:rPr>
                      <w:highlight w:val="none"/>
                    </w:rPr>
                  </w:pPr>
                </w:p>
              </w:tc>
              <w:tc>
                <w:tcPr>
                  <w:tcW w:w="450" w:type="pct"/>
                  <w:vMerge w:val="continue"/>
                  <w:noWrap w:val="0"/>
                  <w:vAlign w:val="center"/>
                </w:tcPr>
                <w:p w14:paraId="266F9183">
                  <w:pPr>
                    <w:pStyle w:val="10"/>
                    <w:bidi w:val="0"/>
                    <w:rPr>
                      <w:highlight w:val="none"/>
                    </w:rPr>
                  </w:pPr>
                </w:p>
              </w:tc>
              <w:tc>
                <w:tcPr>
                  <w:tcW w:w="417" w:type="pct"/>
                  <w:vMerge w:val="continue"/>
                  <w:noWrap w:val="0"/>
                  <w:vAlign w:val="center"/>
                </w:tcPr>
                <w:p w14:paraId="48941F13">
                  <w:pPr>
                    <w:pStyle w:val="10"/>
                    <w:bidi w:val="0"/>
                    <w:rPr>
                      <w:highlight w:val="none"/>
                    </w:rPr>
                  </w:pPr>
                </w:p>
              </w:tc>
              <w:tc>
                <w:tcPr>
                  <w:tcW w:w="570" w:type="pct"/>
                  <w:noWrap w:val="0"/>
                  <w:vAlign w:val="center"/>
                </w:tcPr>
                <w:p w14:paraId="46D8686E">
                  <w:pPr>
                    <w:pStyle w:val="10"/>
                    <w:bidi w:val="0"/>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动植物油</w:t>
                  </w:r>
                </w:p>
              </w:tc>
              <w:tc>
                <w:tcPr>
                  <w:tcW w:w="791" w:type="pct"/>
                  <w:noWrap w:val="0"/>
                  <w:vAlign w:val="center"/>
                </w:tcPr>
                <w:p w14:paraId="7C9BF3D1">
                  <w:pPr>
                    <w:pStyle w:val="10"/>
                    <w:bidi w:val="0"/>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100</w:t>
                  </w:r>
                </w:p>
              </w:tc>
            </w:tr>
          </w:tbl>
          <w:p w14:paraId="0D8D0454">
            <w:pPr>
              <w:pStyle w:val="5"/>
              <w:tabs>
                <w:tab w:val="left" w:pos="1284"/>
              </w:tabs>
              <w:bidi w:val="0"/>
              <w:rPr>
                <w:rFonts w:hint="default" w:ascii="Times New Roman" w:hAnsi="Times New Roman" w:cs="Times New Roman"/>
                <w:color w:val="auto"/>
                <w:highlight w:val="none"/>
              </w:rPr>
            </w:pPr>
          </w:p>
          <w:p w14:paraId="06CFFA8A">
            <w:pPr>
              <w:pStyle w:val="5"/>
              <w:tabs>
                <w:tab w:val="left" w:pos="1284"/>
              </w:tabs>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表</w:t>
            </w:r>
            <w:r>
              <w:rPr>
                <w:rFonts w:hint="eastAsia" w:cs="Times New Roman"/>
                <w:color w:val="auto"/>
                <w:highlight w:val="none"/>
                <w:lang w:val="en-US" w:eastAsia="zh-CN"/>
              </w:rPr>
              <w:t xml:space="preserve"> </w:t>
            </w:r>
            <w:r>
              <w:rPr>
                <w:rFonts w:hint="default" w:ascii="Times New Roman" w:hAnsi="Times New Roman" w:cs="Times New Roman"/>
                <w:color w:val="auto"/>
                <w:highlight w:val="none"/>
              </w:rPr>
              <w:t>4</w:t>
            </w:r>
            <w:r>
              <w:rPr>
                <w:rFonts w:hint="eastAsia" w:cs="Times New Roman"/>
                <w:color w:val="auto"/>
                <w:highlight w:val="none"/>
                <w:lang w:val="en-US" w:eastAsia="zh-CN"/>
              </w:rPr>
              <w:t>-9</w:t>
            </w:r>
            <w:r>
              <w:rPr>
                <w:rFonts w:hint="default" w:ascii="Times New Roman" w:hAnsi="Times New Roman" w:cs="Times New Roman"/>
                <w:color w:val="auto"/>
                <w:highlight w:val="none"/>
                <w:lang w:val="en-US" w:eastAsia="zh-CN"/>
              </w:rPr>
              <w:t xml:space="preserve"> </w:t>
            </w:r>
            <w:r>
              <w:rPr>
                <w:rFonts w:hint="eastAsia" w:cs="Times New Roman"/>
                <w:color w:val="auto"/>
                <w:highlight w:val="none"/>
                <w:lang w:val="en-US" w:eastAsia="zh-CN"/>
              </w:rPr>
              <w:t xml:space="preserve"> </w:t>
            </w:r>
            <w:r>
              <w:rPr>
                <w:rFonts w:hint="default" w:ascii="Times New Roman" w:hAnsi="Times New Roman" w:cs="Times New Roman"/>
                <w:color w:val="auto"/>
                <w:highlight w:val="none"/>
              </w:rPr>
              <w:t>废水污染物排放执行标准表</w:t>
            </w:r>
          </w:p>
          <w:tbl>
            <w:tblPr>
              <w:tblStyle w:val="64"/>
              <w:tblW w:w="4998" w:type="pct"/>
              <w:jc w:val="center"/>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top w:w="0" w:type="dxa"/>
                <w:left w:w="0" w:type="dxa"/>
                <w:bottom w:w="0" w:type="dxa"/>
                <w:right w:w="0" w:type="dxa"/>
              </w:tblCellMar>
            </w:tblPr>
            <w:tblGrid>
              <w:gridCol w:w="831"/>
              <w:gridCol w:w="1291"/>
              <w:gridCol w:w="1271"/>
              <w:gridCol w:w="2533"/>
              <w:gridCol w:w="1140"/>
              <w:gridCol w:w="1240"/>
            </w:tblGrid>
            <w:tr w14:paraId="6E041C76">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PrEx>
              <w:trPr>
                <w:trHeight w:val="283" w:hRule="atLeast"/>
                <w:jc w:val="center"/>
              </w:trPr>
              <w:tc>
                <w:tcPr>
                  <w:tcW w:w="500" w:type="pct"/>
                  <w:vMerge w:val="restart"/>
                  <w:tcBorders>
                    <w:bottom w:val="nil"/>
                  </w:tcBorders>
                  <w:noWrap w:val="0"/>
                  <w:vAlign w:val="center"/>
                </w:tcPr>
                <w:p w14:paraId="1191EAB3">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序号</w:t>
                  </w:r>
                </w:p>
              </w:tc>
              <w:tc>
                <w:tcPr>
                  <w:tcW w:w="777" w:type="pct"/>
                  <w:vMerge w:val="restart"/>
                  <w:tcBorders>
                    <w:bottom w:val="nil"/>
                  </w:tcBorders>
                  <w:noWrap w:val="0"/>
                  <w:vAlign w:val="center"/>
                </w:tcPr>
                <w:p w14:paraId="26F27AF5">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排放口名称</w:t>
                  </w:r>
                </w:p>
              </w:tc>
              <w:tc>
                <w:tcPr>
                  <w:tcW w:w="765" w:type="pct"/>
                  <w:vMerge w:val="restart"/>
                  <w:tcBorders>
                    <w:bottom w:val="nil"/>
                  </w:tcBorders>
                  <w:noWrap w:val="0"/>
                  <w:vAlign w:val="center"/>
                </w:tcPr>
                <w:p w14:paraId="0925342A">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污染物</w:t>
                  </w:r>
                </w:p>
                <w:p w14:paraId="2D3DF65A">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种类</w:t>
                  </w:r>
                </w:p>
              </w:tc>
              <w:tc>
                <w:tcPr>
                  <w:tcW w:w="2956" w:type="pct"/>
                  <w:gridSpan w:val="3"/>
                  <w:noWrap w:val="0"/>
                  <w:vAlign w:val="center"/>
                </w:tcPr>
                <w:p w14:paraId="01B52EB2">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国家或地方污染物排放标准</w:t>
                  </w:r>
                </w:p>
              </w:tc>
            </w:tr>
            <w:tr w14:paraId="70B1194D">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500" w:type="pct"/>
                  <w:vMerge w:val="continue"/>
                  <w:tcBorders>
                    <w:top w:val="nil"/>
                  </w:tcBorders>
                  <w:noWrap w:val="0"/>
                  <w:vAlign w:val="center"/>
                </w:tcPr>
                <w:p w14:paraId="1D893649">
                  <w:pPr>
                    <w:pStyle w:val="10"/>
                    <w:bidi w:val="0"/>
                    <w:rPr>
                      <w:rFonts w:hint="default" w:ascii="Times New Roman" w:hAnsi="Times New Roman" w:cs="Times New Roman"/>
                      <w:b/>
                      <w:bCs/>
                      <w:color w:val="auto"/>
                      <w:highlight w:val="none"/>
                    </w:rPr>
                  </w:pPr>
                </w:p>
              </w:tc>
              <w:tc>
                <w:tcPr>
                  <w:tcW w:w="777" w:type="pct"/>
                  <w:vMerge w:val="continue"/>
                  <w:tcBorders>
                    <w:top w:val="nil"/>
                  </w:tcBorders>
                  <w:noWrap w:val="0"/>
                  <w:vAlign w:val="center"/>
                </w:tcPr>
                <w:p w14:paraId="7631F9A3">
                  <w:pPr>
                    <w:pStyle w:val="10"/>
                    <w:bidi w:val="0"/>
                    <w:rPr>
                      <w:rFonts w:hint="default" w:ascii="Times New Roman" w:hAnsi="Times New Roman" w:cs="Times New Roman"/>
                      <w:b/>
                      <w:bCs/>
                      <w:color w:val="auto"/>
                      <w:highlight w:val="none"/>
                    </w:rPr>
                  </w:pPr>
                </w:p>
              </w:tc>
              <w:tc>
                <w:tcPr>
                  <w:tcW w:w="765" w:type="pct"/>
                  <w:vMerge w:val="continue"/>
                  <w:tcBorders>
                    <w:top w:val="nil"/>
                  </w:tcBorders>
                  <w:noWrap w:val="0"/>
                  <w:vAlign w:val="center"/>
                </w:tcPr>
                <w:p w14:paraId="63172D97">
                  <w:pPr>
                    <w:pStyle w:val="10"/>
                    <w:bidi w:val="0"/>
                    <w:rPr>
                      <w:rFonts w:hint="default" w:ascii="Times New Roman" w:hAnsi="Times New Roman" w:cs="Times New Roman"/>
                      <w:b/>
                      <w:bCs/>
                      <w:color w:val="auto"/>
                      <w:highlight w:val="none"/>
                    </w:rPr>
                  </w:pPr>
                </w:p>
              </w:tc>
              <w:tc>
                <w:tcPr>
                  <w:tcW w:w="1524" w:type="pct"/>
                  <w:noWrap w:val="0"/>
                  <w:vAlign w:val="center"/>
                </w:tcPr>
                <w:p w14:paraId="07E78A78">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名称</w:t>
                  </w:r>
                </w:p>
              </w:tc>
              <w:tc>
                <w:tcPr>
                  <w:tcW w:w="686" w:type="pct"/>
                  <w:noWrap w:val="0"/>
                  <w:vAlign w:val="center"/>
                </w:tcPr>
                <w:p w14:paraId="1EBF39C2">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单位</w:t>
                  </w:r>
                </w:p>
              </w:tc>
              <w:tc>
                <w:tcPr>
                  <w:tcW w:w="746" w:type="pct"/>
                  <w:noWrap w:val="0"/>
                  <w:vAlign w:val="center"/>
                </w:tcPr>
                <w:p w14:paraId="70464F0D">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数值</w:t>
                  </w:r>
                </w:p>
              </w:tc>
            </w:tr>
            <w:tr w14:paraId="1DB9042F">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246" w:hRule="atLeast"/>
                <w:jc w:val="center"/>
              </w:trPr>
              <w:tc>
                <w:tcPr>
                  <w:tcW w:w="500" w:type="pct"/>
                  <w:vMerge w:val="restart"/>
                  <w:noWrap w:val="0"/>
                  <w:vAlign w:val="center"/>
                </w:tcPr>
                <w:p w14:paraId="65BF9D38">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DW001</w:t>
                  </w:r>
                </w:p>
              </w:tc>
              <w:tc>
                <w:tcPr>
                  <w:tcW w:w="777" w:type="pct"/>
                  <w:vMerge w:val="restart"/>
                  <w:noWrap w:val="0"/>
                  <w:vAlign w:val="center"/>
                </w:tcPr>
                <w:p w14:paraId="6B20A9C4">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厂区总排口</w:t>
                  </w:r>
                </w:p>
              </w:tc>
              <w:tc>
                <w:tcPr>
                  <w:tcW w:w="765" w:type="pct"/>
                  <w:noWrap w:val="0"/>
                  <w:vAlign w:val="center"/>
                </w:tcPr>
                <w:p w14:paraId="66211166">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COD</w:t>
                  </w:r>
                </w:p>
              </w:tc>
              <w:tc>
                <w:tcPr>
                  <w:tcW w:w="1524" w:type="pct"/>
                  <w:vMerge w:val="restart"/>
                  <w:noWrap w:val="0"/>
                  <w:vAlign w:val="center"/>
                </w:tcPr>
                <w:p w14:paraId="360E99BE">
                  <w:pPr>
                    <w:pStyle w:val="10"/>
                    <w:bidi w:val="0"/>
                    <w:rPr>
                      <w:rFonts w:hint="default" w:ascii="Times New Roman" w:hAnsi="Times New Roman" w:cs="Times New Roman"/>
                      <w:color w:val="auto"/>
                      <w:highlight w:val="none"/>
                    </w:rPr>
                  </w:pPr>
                  <w:r>
                    <w:rPr>
                      <w:rFonts w:hint="eastAsia" w:cs="Times New Roman"/>
                      <w:color w:val="auto"/>
                      <w:highlight w:val="none"/>
                      <w:lang w:val="en-US" w:eastAsia="zh-CN"/>
                    </w:rPr>
                    <w:t>青阳县污水处理厂纳管标准、</w:t>
                  </w:r>
                  <w:r>
                    <w:rPr>
                      <w:rFonts w:hint="default" w:ascii="Times New Roman" w:hAnsi="Times New Roman" w:cs="Times New Roman"/>
                      <w:color w:val="auto"/>
                      <w:highlight w:val="none"/>
                    </w:rPr>
                    <w:t>《污水综合排放标准》（GB8978-1996）3级标准</w:t>
                  </w:r>
                </w:p>
              </w:tc>
              <w:tc>
                <w:tcPr>
                  <w:tcW w:w="686" w:type="pct"/>
                  <w:noWrap w:val="0"/>
                  <w:vAlign w:val="center"/>
                </w:tcPr>
                <w:p w14:paraId="57D53C92">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mg/L</w:t>
                  </w:r>
                </w:p>
              </w:tc>
              <w:tc>
                <w:tcPr>
                  <w:tcW w:w="1244" w:type="dxa"/>
                  <w:noWrap w:val="0"/>
                  <w:vAlign w:val="center"/>
                </w:tcPr>
                <w:p w14:paraId="6AF06E59">
                  <w:pPr>
                    <w:pStyle w:val="10"/>
                    <w:bidi w:val="0"/>
                    <w:ind w:right="0" w:rightChars="0" w:firstLine="0" w:firstLineChars="0"/>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3</w:t>
                  </w:r>
                  <w:r>
                    <w:rPr>
                      <w:rFonts w:hint="default" w:ascii="Times New Roman" w:hAnsi="Times New Roman" w:cs="Times New Roman"/>
                      <w:color w:val="auto"/>
                      <w:highlight w:val="none"/>
                    </w:rPr>
                    <w:t>0</w:t>
                  </w:r>
                  <w:r>
                    <w:rPr>
                      <w:rFonts w:hint="eastAsia" w:cs="Times New Roman"/>
                      <w:color w:val="auto"/>
                      <w:highlight w:val="none"/>
                      <w:lang w:val="en-US" w:eastAsia="zh-CN"/>
                    </w:rPr>
                    <w:t>0</w:t>
                  </w:r>
                </w:p>
              </w:tc>
            </w:tr>
            <w:tr w14:paraId="7F35EE54">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246" w:hRule="atLeast"/>
                <w:jc w:val="center"/>
              </w:trPr>
              <w:tc>
                <w:tcPr>
                  <w:tcW w:w="500" w:type="pct"/>
                  <w:vMerge w:val="continue"/>
                  <w:noWrap w:val="0"/>
                  <w:vAlign w:val="center"/>
                </w:tcPr>
                <w:p w14:paraId="4AD79A8C">
                  <w:pPr>
                    <w:pStyle w:val="10"/>
                    <w:bidi w:val="0"/>
                    <w:rPr>
                      <w:rFonts w:hint="default" w:ascii="Times New Roman" w:hAnsi="Times New Roman" w:cs="Times New Roman"/>
                      <w:color w:val="auto"/>
                      <w:highlight w:val="none"/>
                    </w:rPr>
                  </w:pPr>
                </w:p>
              </w:tc>
              <w:tc>
                <w:tcPr>
                  <w:tcW w:w="777" w:type="pct"/>
                  <w:vMerge w:val="continue"/>
                  <w:noWrap w:val="0"/>
                  <w:vAlign w:val="center"/>
                </w:tcPr>
                <w:p w14:paraId="7FF4B157">
                  <w:pPr>
                    <w:pStyle w:val="10"/>
                    <w:bidi w:val="0"/>
                    <w:rPr>
                      <w:rFonts w:hint="default" w:ascii="Times New Roman" w:hAnsi="Times New Roman" w:cs="Times New Roman"/>
                      <w:color w:val="auto"/>
                      <w:highlight w:val="none"/>
                    </w:rPr>
                  </w:pPr>
                </w:p>
              </w:tc>
              <w:tc>
                <w:tcPr>
                  <w:tcW w:w="765" w:type="pct"/>
                  <w:noWrap w:val="0"/>
                  <w:vAlign w:val="center"/>
                </w:tcPr>
                <w:p w14:paraId="6CAEAF53">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BOD</w:t>
                  </w:r>
                  <w:r>
                    <w:rPr>
                      <w:rFonts w:hint="default" w:ascii="Times New Roman" w:hAnsi="Times New Roman" w:cs="Times New Roman"/>
                      <w:color w:val="auto"/>
                      <w:highlight w:val="none"/>
                      <w:vertAlign w:val="subscript"/>
                    </w:rPr>
                    <w:t>5</w:t>
                  </w:r>
                </w:p>
              </w:tc>
              <w:tc>
                <w:tcPr>
                  <w:tcW w:w="1524" w:type="pct"/>
                  <w:vMerge w:val="continue"/>
                  <w:noWrap w:val="0"/>
                  <w:vAlign w:val="center"/>
                </w:tcPr>
                <w:p w14:paraId="26469767">
                  <w:pPr>
                    <w:pStyle w:val="10"/>
                    <w:bidi w:val="0"/>
                    <w:rPr>
                      <w:rFonts w:hint="default" w:ascii="Times New Roman" w:hAnsi="Times New Roman" w:cs="Times New Roman"/>
                      <w:color w:val="auto"/>
                      <w:highlight w:val="none"/>
                    </w:rPr>
                  </w:pPr>
                </w:p>
              </w:tc>
              <w:tc>
                <w:tcPr>
                  <w:tcW w:w="686" w:type="pct"/>
                  <w:noWrap w:val="0"/>
                  <w:vAlign w:val="center"/>
                </w:tcPr>
                <w:p w14:paraId="0069F13E">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mg/L</w:t>
                  </w:r>
                </w:p>
              </w:tc>
              <w:tc>
                <w:tcPr>
                  <w:tcW w:w="1244" w:type="dxa"/>
                  <w:noWrap w:val="0"/>
                  <w:vAlign w:val="center"/>
                </w:tcPr>
                <w:p w14:paraId="2E872909">
                  <w:pPr>
                    <w:pStyle w:val="10"/>
                    <w:bidi w:val="0"/>
                    <w:ind w:right="0" w:rightChars="0" w:firstLine="0" w:firstLineChars="0"/>
                    <w:rPr>
                      <w:rFonts w:hint="default" w:ascii="Times New Roman" w:hAnsi="Times New Roman" w:cs="Times New Roman"/>
                      <w:color w:val="auto"/>
                      <w:highlight w:val="none"/>
                    </w:rPr>
                  </w:pPr>
                  <w:r>
                    <w:rPr>
                      <w:rFonts w:hint="eastAsia" w:cs="Times New Roman"/>
                      <w:color w:val="auto"/>
                      <w:highlight w:val="none"/>
                      <w:lang w:val="en-US" w:eastAsia="zh-CN"/>
                    </w:rPr>
                    <w:t>15</w:t>
                  </w:r>
                  <w:r>
                    <w:rPr>
                      <w:rFonts w:hint="default" w:ascii="Times New Roman" w:hAnsi="Times New Roman" w:cs="Times New Roman"/>
                      <w:color w:val="auto"/>
                      <w:highlight w:val="none"/>
                    </w:rPr>
                    <w:t>0</w:t>
                  </w:r>
                </w:p>
              </w:tc>
            </w:tr>
            <w:tr w14:paraId="67CA5173">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245" w:hRule="atLeast"/>
                <w:jc w:val="center"/>
              </w:trPr>
              <w:tc>
                <w:tcPr>
                  <w:tcW w:w="500" w:type="pct"/>
                  <w:vMerge w:val="continue"/>
                  <w:noWrap w:val="0"/>
                  <w:vAlign w:val="center"/>
                </w:tcPr>
                <w:p w14:paraId="63B8635B">
                  <w:pPr>
                    <w:pStyle w:val="10"/>
                    <w:bidi w:val="0"/>
                    <w:rPr>
                      <w:rFonts w:hint="default" w:ascii="Times New Roman" w:hAnsi="Times New Roman" w:cs="Times New Roman"/>
                      <w:color w:val="auto"/>
                      <w:highlight w:val="none"/>
                    </w:rPr>
                  </w:pPr>
                </w:p>
              </w:tc>
              <w:tc>
                <w:tcPr>
                  <w:tcW w:w="777" w:type="pct"/>
                  <w:vMerge w:val="continue"/>
                  <w:noWrap w:val="0"/>
                  <w:vAlign w:val="center"/>
                </w:tcPr>
                <w:p w14:paraId="44C6835A">
                  <w:pPr>
                    <w:pStyle w:val="10"/>
                    <w:bidi w:val="0"/>
                    <w:rPr>
                      <w:rFonts w:hint="default" w:ascii="Times New Roman" w:hAnsi="Times New Roman" w:cs="Times New Roman"/>
                      <w:color w:val="auto"/>
                      <w:highlight w:val="none"/>
                    </w:rPr>
                  </w:pPr>
                </w:p>
              </w:tc>
              <w:tc>
                <w:tcPr>
                  <w:tcW w:w="765" w:type="pct"/>
                  <w:noWrap w:val="0"/>
                  <w:vAlign w:val="center"/>
                </w:tcPr>
                <w:p w14:paraId="2F08B541">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SS</w:t>
                  </w:r>
                </w:p>
              </w:tc>
              <w:tc>
                <w:tcPr>
                  <w:tcW w:w="1524" w:type="pct"/>
                  <w:vMerge w:val="continue"/>
                  <w:noWrap w:val="0"/>
                  <w:vAlign w:val="center"/>
                </w:tcPr>
                <w:p w14:paraId="7A2A85AD">
                  <w:pPr>
                    <w:pStyle w:val="10"/>
                    <w:bidi w:val="0"/>
                    <w:rPr>
                      <w:rFonts w:hint="default" w:ascii="Times New Roman" w:hAnsi="Times New Roman" w:cs="Times New Roman"/>
                      <w:color w:val="auto"/>
                      <w:highlight w:val="none"/>
                    </w:rPr>
                  </w:pPr>
                </w:p>
              </w:tc>
              <w:tc>
                <w:tcPr>
                  <w:tcW w:w="686" w:type="pct"/>
                  <w:noWrap w:val="0"/>
                  <w:vAlign w:val="center"/>
                </w:tcPr>
                <w:p w14:paraId="0C5A993C">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mg/L</w:t>
                  </w:r>
                </w:p>
              </w:tc>
              <w:tc>
                <w:tcPr>
                  <w:tcW w:w="1244" w:type="dxa"/>
                  <w:noWrap w:val="0"/>
                  <w:vAlign w:val="center"/>
                </w:tcPr>
                <w:p w14:paraId="1BC6E633">
                  <w:pPr>
                    <w:pStyle w:val="10"/>
                    <w:bidi w:val="0"/>
                    <w:ind w:right="0" w:rightChars="0" w:firstLine="0" w:firstLineChars="0"/>
                    <w:rPr>
                      <w:rFonts w:hint="default" w:ascii="Times New Roman" w:hAnsi="Times New Roman" w:cs="Times New Roman"/>
                      <w:color w:val="auto"/>
                      <w:highlight w:val="none"/>
                    </w:rPr>
                  </w:pPr>
                  <w:r>
                    <w:rPr>
                      <w:rFonts w:hint="eastAsia" w:cs="Times New Roman"/>
                      <w:color w:val="auto"/>
                      <w:highlight w:val="none"/>
                      <w:lang w:val="en-US" w:eastAsia="zh-CN"/>
                    </w:rPr>
                    <w:t>25</w:t>
                  </w:r>
                  <w:r>
                    <w:rPr>
                      <w:rFonts w:hint="default" w:ascii="Times New Roman" w:hAnsi="Times New Roman" w:cs="Times New Roman"/>
                      <w:color w:val="auto"/>
                      <w:highlight w:val="none"/>
                    </w:rPr>
                    <w:t>0</w:t>
                  </w:r>
                </w:p>
              </w:tc>
            </w:tr>
            <w:tr w14:paraId="5F2DF6EE">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277" w:hRule="atLeast"/>
                <w:jc w:val="center"/>
              </w:trPr>
              <w:tc>
                <w:tcPr>
                  <w:tcW w:w="500" w:type="pct"/>
                  <w:vMerge w:val="continue"/>
                  <w:noWrap w:val="0"/>
                  <w:vAlign w:val="center"/>
                </w:tcPr>
                <w:p w14:paraId="4EE24E36">
                  <w:pPr>
                    <w:pStyle w:val="10"/>
                    <w:bidi w:val="0"/>
                    <w:rPr>
                      <w:rFonts w:hint="default" w:ascii="Times New Roman" w:hAnsi="Times New Roman" w:cs="Times New Roman"/>
                      <w:color w:val="auto"/>
                      <w:highlight w:val="none"/>
                    </w:rPr>
                  </w:pPr>
                </w:p>
              </w:tc>
              <w:tc>
                <w:tcPr>
                  <w:tcW w:w="777" w:type="pct"/>
                  <w:vMerge w:val="continue"/>
                  <w:noWrap w:val="0"/>
                  <w:vAlign w:val="center"/>
                </w:tcPr>
                <w:p w14:paraId="3F449614">
                  <w:pPr>
                    <w:pStyle w:val="10"/>
                    <w:bidi w:val="0"/>
                    <w:rPr>
                      <w:rFonts w:hint="default" w:ascii="Times New Roman" w:hAnsi="Times New Roman" w:cs="Times New Roman"/>
                      <w:color w:val="auto"/>
                      <w:highlight w:val="none"/>
                    </w:rPr>
                  </w:pPr>
                </w:p>
              </w:tc>
              <w:tc>
                <w:tcPr>
                  <w:tcW w:w="765" w:type="pct"/>
                  <w:noWrap w:val="0"/>
                  <w:vAlign w:val="center"/>
                </w:tcPr>
                <w:p w14:paraId="6D33B729">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氨氮</w:t>
                  </w:r>
                </w:p>
              </w:tc>
              <w:tc>
                <w:tcPr>
                  <w:tcW w:w="1524" w:type="pct"/>
                  <w:vMerge w:val="continue"/>
                  <w:noWrap w:val="0"/>
                  <w:vAlign w:val="center"/>
                </w:tcPr>
                <w:p w14:paraId="7447C10C">
                  <w:pPr>
                    <w:pStyle w:val="10"/>
                    <w:bidi w:val="0"/>
                    <w:rPr>
                      <w:rFonts w:hint="default" w:ascii="Times New Roman" w:hAnsi="Times New Roman" w:cs="Times New Roman"/>
                      <w:color w:val="auto"/>
                      <w:highlight w:val="none"/>
                    </w:rPr>
                  </w:pPr>
                </w:p>
              </w:tc>
              <w:tc>
                <w:tcPr>
                  <w:tcW w:w="686" w:type="pct"/>
                  <w:noWrap w:val="0"/>
                  <w:vAlign w:val="center"/>
                </w:tcPr>
                <w:p w14:paraId="3F167CE2">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mg/L</w:t>
                  </w:r>
                </w:p>
              </w:tc>
              <w:tc>
                <w:tcPr>
                  <w:tcW w:w="1244" w:type="dxa"/>
                  <w:noWrap w:val="0"/>
                  <w:vAlign w:val="center"/>
                </w:tcPr>
                <w:p w14:paraId="22BB9EDA">
                  <w:pPr>
                    <w:pStyle w:val="10"/>
                    <w:bidi w:val="0"/>
                    <w:ind w:right="0" w:rightChars="0" w:firstLine="0" w:firstLineChars="0"/>
                    <w:rPr>
                      <w:rFonts w:hint="default" w:ascii="Times New Roman" w:hAnsi="Times New Roman" w:cs="Times New Roman"/>
                      <w:color w:val="auto"/>
                      <w:highlight w:val="none"/>
                    </w:rPr>
                  </w:pPr>
                  <w:r>
                    <w:rPr>
                      <w:rFonts w:hint="eastAsia" w:cs="Times New Roman"/>
                      <w:color w:val="auto"/>
                      <w:highlight w:val="none"/>
                      <w:lang w:val="en-US" w:eastAsia="zh-CN"/>
                    </w:rPr>
                    <w:t>2</w:t>
                  </w:r>
                  <w:r>
                    <w:rPr>
                      <w:rFonts w:hint="default" w:ascii="Times New Roman" w:hAnsi="Times New Roman" w:cs="Times New Roman"/>
                      <w:color w:val="auto"/>
                      <w:highlight w:val="none"/>
                    </w:rPr>
                    <w:t>5</w:t>
                  </w:r>
                </w:p>
              </w:tc>
            </w:tr>
            <w:tr w14:paraId="74994B04">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277" w:hRule="atLeast"/>
                <w:jc w:val="center"/>
              </w:trPr>
              <w:tc>
                <w:tcPr>
                  <w:tcW w:w="500" w:type="pct"/>
                  <w:vMerge w:val="continue"/>
                  <w:noWrap w:val="0"/>
                  <w:vAlign w:val="center"/>
                </w:tcPr>
                <w:p w14:paraId="42C6926D">
                  <w:pPr>
                    <w:pStyle w:val="10"/>
                    <w:bidi w:val="0"/>
                    <w:rPr>
                      <w:rFonts w:hint="default" w:ascii="Times New Roman" w:hAnsi="Times New Roman" w:cs="Times New Roman"/>
                      <w:color w:val="auto"/>
                      <w:highlight w:val="none"/>
                    </w:rPr>
                  </w:pPr>
                </w:p>
              </w:tc>
              <w:tc>
                <w:tcPr>
                  <w:tcW w:w="777" w:type="pct"/>
                  <w:vMerge w:val="continue"/>
                  <w:noWrap w:val="0"/>
                  <w:vAlign w:val="center"/>
                </w:tcPr>
                <w:p w14:paraId="525D2159">
                  <w:pPr>
                    <w:pStyle w:val="10"/>
                    <w:bidi w:val="0"/>
                    <w:rPr>
                      <w:rFonts w:hint="default" w:ascii="Times New Roman" w:hAnsi="Times New Roman" w:cs="Times New Roman"/>
                      <w:color w:val="auto"/>
                      <w:highlight w:val="none"/>
                    </w:rPr>
                  </w:pPr>
                </w:p>
              </w:tc>
              <w:tc>
                <w:tcPr>
                  <w:tcW w:w="765" w:type="pct"/>
                  <w:noWrap w:val="0"/>
                  <w:vAlign w:val="center"/>
                </w:tcPr>
                <w:p w14:paraId="17812F14">
                  <w:pPr>
                    <w:pStyle w:val="10"/>
                    <w:bidi w:val="0"/>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TP</w:t>
                  </w:r>
                </w:p>
              </w:tc>
              <w:tc>
                <w:tcPr>
                  <w:tcW w:w="1524" w:type="pct"/>
                  <w:vMerge w:val="continue"/>
                  <w:noWrap w:val="0"/>
                  <w:vAlign w:val="center"/>
                </w:tcPr>
                <w:p w14:paraId="4E28E9AF">
                  <w:pPr>
                    <w:pStyle w:val="10"/>
                    <w:bidi w:val="0"/>
                    <w:rPr>
                      <w:rFonts w:hint="default" w:ascii="Times New Roman" w:hAnsi="Times New Roman" w:cs="Times New Roman"/>
                      <w:color w:val="auto"/>
                      <w:highlight w:val="none"/>
                    </w:rPr>
                  </w:pPr>
                </w:p>
              </w:tc>
              <w:tc>
                <w:tcPr>
                  <w:tcW w:w="686" w:type="pct"/>
                  <w:noWrap w:val="0"/>
                  <w:vAlign w:val="center"/>
                </w:tcPr>
                <w:p w14:paraId="23254709">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mg/L</w:t>
                  </w:r>
                </w:p>
              </w:tc>
              <w:tc>
                <w:tcPr>
                  <w:tcW w:w="1244" w:type="dxa"/>
                  <w:noWrap w:val="0"/>
                  <w:vAlign w:val="center"/>
                </w:tcPr>
                <w:p w14:paraId="28C21AE2">
                  <w:pPr>
                    <w:pStyle w:val="10"/>
                    <w:bidi w:val="0"/>
                    <w:ind w:right="0" w:rightChars="0" w:firstLine="0" w:firstLineChars="0"/>
                    <w:rPr>
                      <w:rFonts w:hint="default" w:cs="Times New Roman"/>
                      <w:color w:val="auto"/>
                      <w:highlight w:val="none"/>
                      <w:lang w:val="en-US" w:eastAsia="zh-CN"/>
                    </w:rPr>
                  </w:pPr>
                  <w:r>
                    <w:rPr>
                      <w:rFonts w:hint="eastAsia" w:cs="Times New Roman"/>
                      <w:color w:val="auto"/>
                      <w:highlight w:val="none"/>
                      <w:lang w:val="en-US" w:eastAsia="zh-CN"/>
                    </w:rPr>
                    <w:t>2.5</w:t>
                  </w:r>
                </w:p>
              </w:tc>
            </w:tr>
            <w:tr w14:paraId="7F7A06A4">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277" w:hRule="atLeast"/>
                <w:jc w:val="center"/>
              </w:trPr>
              <w:tc>
                <w:tcPr>
                  <w:tcW w:w="500" w:type="pct"/>
                  <w:vMerge w:val="continue"/>
                  <w:noWrap w:val="0"/>
                  <w:vAlign w:val="center"/>
                </w:tcPr>
                <w:p w14:paraId="03BF7B47">
                  <w:pPr>
                    <w:pStyle w:val="10"/>
                    <w:bidi w:val="0"/>
                    <w:rPr>
                      <w:rFonts w:hint="default" w:ascii="Times New Roman" w:hAnsi="Times New Roman" w:cs="Times New Roman"/>
                      <w:color w:val="auto"/>
                      <w:highlight w:val="none"/>
                    </w:rPr>
                  </w:pPr>
                </w:p>
              </w:tc>
              <w:tc>
                <w:tcPr>
                  <w:tcW w:w="777" w:type="pct"/>
                  <w:vMerge w:val="continue"/>
                  <w:noWrap w:val="0"/>
                  <w:vAlign w:val="center"/>
                </w:tcPr>
                <w:p w14:paraId="60141ADF">
                  <w:pPr>
                    <w:pStyle w:val="10"/>
                    <w:bidi w:val="0"/>
                    <w:rPr>
                      <w:rFonts w:hint="default" w:ascii="Times New Roman" w:hAnsi="Times New Roman" w:cs="Times New Roman"/>
                      <w:color w:val="auto"/>
                      <w:highlight w:val="none"/>
                    </w:rPr>
                  </w:pPr>
                </w:p>
              </w:tc>
              <w:tc>
                <w:tcPr>
                  <w:tcW w:w="765" w:type="pct"/>
                  <w:noWrap w:val="0"/>
                  <w:vAlign w:val="center"/>
                </w:tcPr>
                <w:p w14:paraId="33EFF3C3">
                  <w:pPr>
                    <w:pStyle w:val="10"/>
                    <w:bidi w:val="0"/>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动植物油</w:t>
                  </w:r>
                </w:p>
              </w:tc>
              <w:tc>
                <w:tcPr>
                  <w:tcW w:w="1524" w:type="pct"/>
                  <w:vMerge w:val="continue"/>
                  <w:noWrap w:val="0"/>
                  <w:vAlign w:val="center"/>
                </w:tcPr>
                <w:p w14:paraId="28317553">
                  <w:pPr>
                    <w:pStyle w:val="10"/>
                    <w:bidi w:val="0"/>
                    <w:rPr>
                      <w:rFonts w:hint="default" w:ascii="Times New Roman" w:hAnsi="Times New Roman" w:cs="Times New Roman"/>
                      <w:color w:val="auto"/>
                      <w:highlight w:val="none"/>
                    </w:rPr>
                  </w:pPr>
                </w:p>
              </w:tc>
              <w:tc>
                <w:tcPr>
                  <w:tcW w:w="686" w:type="pct"/>
                  <w:noWrap w:val="0"/>
                  <w:vAlign w:val="center"/>
                </w:tcPr>
                <w:p w14:paraId="3F789F97">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cs="Times New Roman"/>
                      <w:color w:val="auto"/>
                      <w:highlight w:val="none"/>
                    </w:rPr>
                    <w:t>mg/L</w:t>
                  </w:r>
                </w:p>
              </w:tc>
              <w:tc>
                <w:tcPr>
                  <w:tcW w:w="1244" w:type="dxa"/>
                  <w:noWrap w:val="0"/>
                  <w:vAlign w:val="center"/>
                </w:tcPr>
                <w:p w14:paraId="0B755C42">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eastAsia" w:cs="Times New Roman"/>
                      <w:color w:val="auto"/>
                      <w:highlight w:val="none"/>
                      <w:lang w:val="en-US" w:eastAsia="zh-CN"/>
                    </w:rPr>
                    <w:t>100</w:t>
                  </w:r>
                </w:p>
              </w:tc>
            </w:tr>
          </w:tbl>
          <w:p w14:paraId="2D074C18">
            <w:pPr>
              <w:pStyle w:val="5"/>
              <w:tabs>
                <w:tab w:val="left" w:pos="1284"/>
              </w:tabs>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表</w:t>
            </w:r>
            <w:r>
              <w:rPr>
                <w:rFonts w:hint="eastAsia" w:cs="Times New Roman"/>
                <w:color w:val="auto"/>
                <w:highlight w:val="none"/>
                <w:lang w:val="en-US" w:eastAsia="zh-CN"/>
              </w:rPr>
              <w:t xml:space="preserve"> </w:t>
            </w:r>
            <w:r>
              <w:rPr>
                <w:rFonts w:hint="default" w:ascii="Times New Roman" w:hAnsi="Times New Roman" w:cs="Times New Roman"/>
                <w:color w:val="auto"/>
                <w:highlight w:val="none"/>
              </w:rPr>
              <w:t>4-</w:t>
            </w:r>
            <w:r>
              <w:rPr>
                <w:rFonts w:hint="eastAsia" w:cs="Times New Roman"/>
                <w:color w:val="auto"/>
                <w:highlight w:val="none"/>
                <w:lang w:val="en-US" w:eastAsia="zh-CN"/>
              </w:rPr>
              <w:t>10</w:t>
            </w:r>
            <w:r>
              <w:rPr>
                <w:rFonts w:hint="default" w:ascii="Times New Roman" w:hAnsi="Times New Roman" w:cs="Times New Roman"/>
                <w:color w:val="auto"/>
                <w:highlight w:val="none"/>
                <w:lang w:val="en-US" w:eastAsia="zh-CN"/>
              </w:rPr>
              <w:t xml:space="preserve"> </w:t>
            </w:r>
            <w:r>
              <w:rPr>
                <w:rFonts w:hint="eastAsia" w:cs="Times New Roman"/>
                <w:color w:val="auto"/>
                <w:highlight w:val="none"/>
                <w:lang w:val="en-US" w:eastAsia="zh-CN"/>
              </w:rPr>
              <w:t xml:space="preserve"> </w:t>
            </w:r>
            <w:r>
              <w:rPr>
                <w:rFonts w:hint="default" w:ascii="Times New Roman" w:hAnsi="Times New Roman" w:cs="Times New Roman"/>
                <w:color w:val="auto"/>
                <w:highlight w:val="none"/>
              </w:rPr>
              <w:t>废水污染物排放信息表</w:t>
            </w:r>
          </w:p>
          <w:tbl>
            <w:tblPr>
              <w:tblStyle w:val="64"/>
              <w:tblW w:w="4995"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8"/>
              <w:gridCol w:w="2356"/>
              <w:gridCol w:w="1421"/>
              <w:gridCol w:w="1936"/>
              <w:gridCol w:w="1925"/>
            </w:tblGrid>
            <w:tr w14:paraId="3CA189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402" w:type="pct"/>
                  <w:noWrap w:val="0"/>
                  <w:vAlign w:val="center"/>
                </w:tcPr>
                <w:p w14:paraId="4B901B8B">
                  <w:pPr>
                    <w:pStyle w:val="10"/>
                    <w:bidi w:val="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序号</w:t>
                  </w:r>
                </w:p>
              </w:tc>
              <w:tc>
                <w:tcPr>
                  <w:tcW w:w="1418" w:type="pct"/>
                  <w:noWrap w:val="0"/>
                  <w:vAlign w:val="center"/>
                </w:tcPr>
                <w:p w14:paraId="50404522">
                  <w:pPr>
                    <w:pStyle w:val="10"/>
                    <w:bidi w:val="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排放口编号</w:t>
                  </w:r>
                </w:p>
              </w:tc>
              <w:tc>
                <w:tcPr>
                  <w:tcW w:w="855" w:type="pct"/>
                  <w:noWrap w:val="0"/>
                  <w:vAlign w:val="center"/>
                </w:tcPr>
                <w:p w14:paraId="4C6B3EC8">
                  <w:pPr>
                    <w:pStyle w:val="10"/>
                    <w:bidi w:val="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污染物种类</w:t>
                  </w:r>
                </w:p>
              </w:tc>
              <w:tc>
                <w:tcPr>
                  <w:tcW w:w="1165" w:type="pct"/>
                  <w:noWrap w:val="0"/>
                  <w:vAlign w:val="center"/>
                </w:tcPr>
                <w:p w14:paraId="0AC1694D">
                  <w:pPr>
                    <w:pStyle w:val="10"/>
                    <w:bidi w:val="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排放浓度（mg/L）</w:t>
                  </w:r>
                </w:p>
              </w:tc>
              <w:tc>
                <w:tcPr>
                  <w:tcW w:w="1158" w:type="pct"/>
                  <w:noWrap w:val="0"/>
                  <w:vAlign w:val="center"/>
                </w:tcPr>
                <w:p w14:paraId="5EF1FCA6">
                  <w:pPr>
                    <w:pStyle w:val="10"/>
                    <w:bidi w:val="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年排放量（t/a）</w:t>
                  </w:r>
                </w:p>
              </w:tc>
            </w:tr>
            <w:tr w14:paraId="1EE595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 w:hRule="atLeast"/>
                <w:jc w:val="center"/>
              </w:trPr>
              <w:tc>
                <w:tcPr>
                  <w:tcW w:w="402" w:type="pct"/>
                  <w:vMerge w:val="restart"/>
                  <w:noWrap w:val="0"/>
                  <w:vAlign w:val="center"/>
                </w:tcPr>
                <w:p w14:paraId="20BD3BF4">
                  <w:pPr>
                    <w:pStyle w:val="10"/>
                    <w:bidi w:val="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1</w:t>
                  </w:r>
                </w:p>
              </w:tc>
              <w:tc>
                <w:tcPr>
                  <w:tcW w:w="1418" w:type="pct"/>
                  <w:vMerge w:val="restart"/>
                  <w:noWrap w:val="0"/>
                  <w:vAlign w:val="center"/>
                </w:tcPr>
                <w:p w14:paraId="52AC3AD5">
                  <w:pPr>
                    <w:pStyle w:val="10"/>
                    <w:bidi w:val="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DW001（</w:t>
                  </w:r>
                  <w:r>
                    <w:rPr>
                      <w:rFonts w:hint="default" w:ascii="Times New Roman" w:hAnsi="Times New Roman" w:cs="Times New Roman"/>
                      <w:color w:val="auto"/>
                      <w:highlight w:val="none"/>
                      <w:lang w:val="en-US" w:eastAsia="zh-CN"/>
                    </w:rPr>
                    <w:t>生活污</w:t>
                  </w:r>
                  <w:r>
                    <w:rPr>
                      <w:rFonts w:hint="default" w:ascii="Times New Roman" w:hAnsi="Times New Roman" w:cs="Times New Roman"/>
                      <w:color w:val="auto"/>
                      <w:highlight w:val="none"/>
                    </w:rPr>
                    <w:t>水</w:t>
                  </w:r>
                  <w:r>
                    <w:rPr>
                      <w:rFonts w:hint="eastAsia" w:cs="Times New Roman"/>
                      <w:color w:val="auto"/>
                      <w:highlight w:val="none"/>
                      <w:lang w:eastAsia="zh-CN"/>
                    </w:rPr>
                    <w:t>、</w:t>
                  </w:r>
                  <w:r>
                    <w:rPr>
                      <w:rFonts w:hint="eastAsia" w:cs="Times New Roman"/>
                      <w:color w:val="auto"/>
                      <w:highlight w:val="none"/>
                      <w:lang w:val="en-US" w:eastAsia="zh-CN"/>
                    </w:rPr>
                    <w:t>餐饮废水、冷却水定期排水</w:t>
                  </w:r>
                  <w:r>
                    <w:rPr>
                      <w:rFonts w:hint="default" w:ascii="Times New Roman" w:hAnsi="Times New Roman" w:cs="Times New Roman"/>
                      <w:color w:val="auto"/>
                      <w:highlight w:val="none"/>
                    </w:rPr>
                    <w:t>）</w:t>
                  </w:r>
                </w:p>
              </w:tc>
              <w:tc>
                <w:tcPr>
                  <w:tcW w:w="855" w:type="pct"/>
                  <w:noWrap w:val="0"/>
                  <w:vAlign w:val="center"/>
                </w:tcPr>
                <w:p w14:paraId="2EA258FD">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cs="Times New Roman"/>
                      <w:color w:val="auto"/>
                      <w:highlight w:val="none"/>
                    </w:rPr>
                    <w:t>COD</w:t>
                  </w:r>
                </w:p>
              </w:tc>
              <w:tc>
                <w:tcPr>
                  <w:tcW w:w="1165" w:type="pct"/>
                  <w:noWrap w:val="0"/>
                  <w:vAlign w:val="center"/>
                </w:tcPr>
                <w:p w14:paraId="744C7CB1">
                  <w:pPr>
                    <w:pStyle w:val="10"/>
                    <w:bidi w:val="0"/>
                    <w:ind w:right="0" w:rightChars="0" w:firstLine="0" w:firstLineChars="0"/>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278.28</w:t>
                  </w:r>
                </w:p>
              </w:tc>
              <w:tc>
                <w:tcPr>
                  <w:tcW w:w="1158" w:type="pct"/>
                  <w:noWrap w:val="0"/>
                  <w:vAlign w:val="center"/>
                </w:tcPr>
                <w:p w14:paraId="077925EB">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eastAsia" w:ascii="Times New Roman" w:hAnsi="Times New Roman" w:cs="Times New Roman"/>
                      <w:color w:val="auto"/>
                      <w:kern w:val="0"/>
                      <w:sz w:val="21"/>
                      <w:szCs w:val="20"/>
                      <w:highlight w:val="none"/>
                      <w:lang w:val="en-US" w:eastAsia="zh-CN" w:bidi="ar-SA"/>
                    </w:rPr>
                    <w:t>0.</w:t>
                  </w:r>
                  <w:r>
                    <w:rPr>
                      <w:rFonts w:hint="eastAsia" w:cs="Times New Roman"/>
                      <w:color w:val="auto"/>
                      <w:kern w:val="0"/>
                      <w:sz w:val="21"/>
                      <w:szCs w:val="20"/>
                      <w:highlight w:val="none"/>
                      <w:lang w:val="en-US" w:eastAsia="zh-CN" w:bidi="ar-SA"/>
                    </w:rPr>
                    <w:t>305</w:t>
                  </w:r>
                </w:p>
              </w:tc>
            </w:tr>
            <w:tr w14:paraId="04A30A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 w:hRule="atLeast"/>
                <w:jc w:val="center"/>
              </w:trPr>
              <w:tc>
                <w:tcPr>
                  <w:tcW w:w="402" w:type="pct"/>
                  <w:vMerge w:val="continue"/>
                  <w:noWrap w:val="0"/>
                  <w:vAlign w:val="center"/>
                </w:tcPr>
                <w:p w14:paraId="17D0A752">
                  <w:pPr>
                    <w:pStyle w:val="10"/>
                    <w:bidi w:val="0"/>
                    <w:jc w:val="center"/>
                    <w:rPr>
                      <w:rFonts w:hint="default" w:ascii="Times New Roman" w:hAnsi="Times New Roman" w:cs="Times New Roman"/>
                      <w:color w:val="auto"/>
                      <w:highlight w:val="none"/>
                    </w:rPr>
                  </w:pPr>
                </w:p>
              </w:tc>
              <w:tc>
                <w:tcPr>
                  <w:tcW w:w="1418" w:type="pct"/>
                  <w:vMerge w:val="continue"/>
                  <w:noWrap w:val="0"/>
                  <w:vAlign w:val="center"/>
                </w:tcPr>
                <w:p w14:paraId="2BEE2B42">
                  <w:pPr>
                    <w:pStyle w:val="10"/>
                    <w:bidi w:val="0"/>
                    <w:jc w:val="center"/>
                    <w:rPr>
                      <w:rFonts w:hint="default" w:ascii="Times New Roman" w:hAnsi="Times New Roman" w:cs="Times New Roman"/>
                      <w:color w:val="auto"/>
                      <w:highlight w:val="none"/>
                    </w:rPr>
                  </w:pPr>
                </w:p>
              </w:tc>
              <w:tc>
                <w:tcPr>
                  <w:tcW w:w="855" w:type="pct"/>
                  <w:noWrap w:val="0"/>
                  <w:vAlign w:val="center"/>
                </w:tcPr>
                <w:p w14:paraId="0A070B69">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cs="Times New Roman"/>
                      <w:color w:val="auto"/>
                      <w:highlight w:val="none"/>
                    </w:rPr>
                    <w:t>BOD</w:t>
                  </w:r>
                  <w:r>
                    <w:rPr>
                      <w:rFonts w:hint="default" w:ascii="Times New Roman" w:hAnsi="Times New Roman" w:cs="Times New Roman"/>
                      <w:color w:val="auto"/>
                      <w:highlight w:val="none"/>
                      <w:vertAlign w:val="subscript"/>
                    </w:rPr>
                    <w:t>5</w:t>
                  </w:r>
                </w:p>
              </w:tc>
              <w:tc>
                <w:tcPr>
                  <w:tcW w:w="1165" w:type="pct"/>
                  <w:noWrap w:val="0"/>
                  <w:vAlign w:val="center"/>
                </w:tcPr>
                <w:p w14:paraId="55E331AF">
                  <w:pPr>
                    <w:pStyle w:val="10"/>
                    <w:bidi w:val="0"/>
                    <w:ind w:right="0" w:rightChars="0" w:firstLine="0" w:firstLineChars="0"/>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116.79</w:t>
                  </w:r>
                </w:p>
              </w:tc>
              <w:tc>
                <w:tcPr>
                  <w:tcW w:w="1158" w:type="pct"/>
                  <w:noWrap w:val="0"/>
                  <w:vAlign w:val="center"/>
                </w:tcPr>
                <w:p w14:paraId="476D391B">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eastAsia" w:ascii="Times New Roman" w:hAnsi="Times New Roman" w:cs="Times New Roman"/>
                      <w:color w:val="auto"/>
                      <w:kern w:val="0"/>
                      <w:sz w:val="21"/>
                      <w:szCs w:val="20"/>
                      <w:highlight w:val="none"/>
                      <w:lang w:val="en-US" w:eastAsia="zh-CN" w:bidi="ar-SA"/>
                    </w:rPr>
                    <w:t>0.</w:t>
                  </w:r>
                  <w:r>
                    <w:rPr>
                      <w:rFonts w:hint="eastAsia" w:cs="Times New Roman"/>
                      <w:color w:val="auto"/>
                      <w:kern w:val="0"/>
                      <w:sz w:val="21"/>
                      <w:szCs w:val="20"/>
                      <w:highlight w:val="none"/>
                      <w:lang w:val="en-US" w:eastAsia="zh-CN" w:bidi="ar-SA"/>
                    </w:rPr>
                    <w:t>128</w:t>
                  </w:r>
                </w:p>
              </w:tc>
            </w:tr>
            <w:tr w14:paraId="2CE85D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 w:hRule="atLeast"/>
                <w:jc w:val="center"/>
              </w:trPr>
              <w:tc>
                <w:tcPr>
                  <w:tcW w:w="402" w:type="pct"/>
                  <w:vMerge w:val="continue"/>
                  <w:noWrap w:val="0"/>
                  <w:vAlign w:val="center"/>
                </w:tcPr>
                <w:p w14:paraId="517B4483">
                  <w:pPr>
                    <w:pStyle w:val="10"/>
                    <w:bidi w:val="0"/>
                    <w:jc w:val="center"/>
                    <w:rPr>
                      <w:rFonts w:hint="default" w:ascii="Times New Roman" w:hAnsi="Times New Roman" w:cs="Times New Roman"/>
                      <w:color w:val="auto"/>
                      <w:highlight w:val="none"/>
                    </w:rPr>
                  </w:pPr>
                </w:p>
              </w:tc>
              <w:tc>
                <w:tcPr>
                  <w:tcW w:w="1418" w:type="pct"/>
                  <w:vMerge w:val="continue"/>
                  <w:noWrap w:val="0"/>
                  <w:vAlign w:val="center"/>
                </w:tcPr>
                <w:p w14:paraId="0D6BE2E0">
                  <w:pPr>
                    <w:pStyle w:val="10"/>
                    <w:bidi w:val="0"/>
                    <w:jc w:val="center"/>
                    <w:rPr>
                      <w:rFonts w:hint="default" w:ascii="Times New Roman" w:hAnsi="Times New Roman" w:cs="Times New Roman"/>
                      <w:color w:val="auto"/>
                      <w:highlight w:val="none"/>
                    </w:rPr>
                  </w:pPr>
                </w:p>
              </w:tc>
              <w:tc>
                <w:tcPr>
                  <w:tcW w:w="855" w:type="pct"/>
                  <w:noWrap w:val="0"/>
                  <w:vAlign w:val="center"/>
                </w:tcPr>
                <w:p w14:paraId="022EE41F">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cs="Times New Roman"/>
                      <w:color w:val="auto"/>
                      <w:highlight w:val="none"/>
                    </w:rPr>
                    <w:t>SS</w:t>
                  </w:r>
                </w:p>
              </w:tc>
              <w:tc>
                <w:tcPr>
                  <w:tcW w:w="1165" w:type="pct"/>
                  <w:noWrap w:val="0"/>
                  <w:vAlign w:val="center"/>
                </w:tcPr>
                <w:p w14:paraId="0837D046">
                  <w:pPr>
                    <w:pStyle w:val="10"/>
                    <w:bidi w:val="0"/>
                    <w:ind w:right="0" w:rightChars="0" w:firstLine="0" w:firstLineChars="0"/>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150.55</w:t>
                  </w:r>
                </w:p>
              </w:tc>
              <w:tc>
                <w:tcPr>
                  <w:tcW w:w="1158" w:type="pct"/>
                  <w:noWrap w:val="0"/>
                  <w:vAlign w:val="center"/>
                </w:tcPr>
                <w:p w14:paraId="50D62513">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eastAsia" w:ascii="Times New Roman" w:hAnsi="Times New Roman" w:cs="Times New Roman"/>
                      <w:color w:val="auto"/>
                      <w:kern w:val="0"/>
                      <w:sz w:val="21"/>
                      <w:szCs w:val="20"/>
                      <w:highlight w:val="none"/>
                      <w:lang w:val="en-US" w:eastAsia="zh-CN" w:bidi="ar-SA"/>
                    </w:rPr>
                    <w:t>0.</w:t>
                  </w:r>
                  <w:r>
                    <w:rPr>
                      <w:rFonts w:hint="eastAsia" w:cs="Times New Roman"/>
                      <w:color w:val="auto"/>
                      <w:kern w:val="0"/>
                      <w:sz w:val="21"/>
                      <w:szCs w:val="20"/>
                      <w:highlight w:val="none"/>
                      <w:lang w:val="en-US" w:eastAsia="zh-CN" w:bidi="ar-SA"/>
                    </w:rPr>
                    <w:t>165</w:t>
                  </w:r>
                </w:p>
              </w:tc>
            </w:tr>
            <w:tr w14:paraId="102855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jc w:val="center"/>
              </w:trPr>
              <w:tc>
                <w:tcPr>
                  <w:tcW w:w="402" w:type="pct"/>
                  <w:vMerge w:val="continue"/>
                  <w:noWrap w:val="0"/>
                  <w:vAlign w:val="center"/>
                </w:tcPr>
                <w:p w14:paraId="18CD51E3">
                  <w:pPr>
                    <w:pStyle w:val="10"/>
                    <w:bidi w:val="0"/>
                    <w:jc w:val="center"/>
                    <w:rPr>
                      <w:rFonts w:hint="default" w:ascii="Times New Roman" w:hAnsi="Times New Roman" w:cs="Times New Roman"/>
                      <w:color w:val="auto"/>
                      <w:highlight w:val="none"/>
                    </w:rPr>
                  </w:pPr>
                </w:p>
              </w:tc>
              <w:tc>
                <w:tcPr>
                  <w:tcW w:w="1418" w:type="pct"/>
                  <w:vMerge w:val="continue"/>
                  <w:noWrap w:val="0"/>
                  <w:vAlign w:val="center"/>
                </w:tcPr>
                <w:p w14:paraId="7177BBB4">
                  <w:pPr>
                    <w:pStyle w:val="10"/>
                    <w:bidi w:val="0"/>
                    <w:jc w:val="center"/>
                    <w:rPr>
                      <w:rFonts w:hint="default" w:ascii="Times New Roman" w:hAnsi="Times New Roman" w:cs="Times New Roman"/>
                      <w:color w:val="auto"/>
                      <w:highlight w:val="none"/>
                    </w:rPr>
                  </w:pPr>
                </w:p>
              </w:tc>
              <w:tc>
                <w:tcPr>
                  <w:tcW w:w="855" w:type="pct"/>
                  <w:noWrap w:val="0"/>
                  <w:vAlign w:val="center"/>
                </w:tcPr>
                <w:p w14:paraId="6FCB56E0">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cs="Times New Roman"/>
                      <w:color w:val="auto"/>
                      <w:highlight w:val="none"/>
                    </w:rPr>
                    <w:t>氨氮</w:t>
                  </w:r>
                </w:p>
              </w:tc>
              <w:tc>
                <w:tcPr>
                  <w:tcW w:w="1165" w:type="pct"/>
                  <w:noWrap w:val="0"/>
                  <w:vAlign w:val="center"/>
                </w:tcPr>
                <w:p w14:paraId="01432486">
                  <w:pPr>
                    <w:pStyle w:val="10"/>
                    <w:bidi w:val="0"/>
                    <w:ind w:right="0" w:rightChars="0" w:firstLine="0" w:firstLineChars="0"/>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19.16</w:t>
                  </w:r>
                </w:p>
              </w:tc>
              <w:tc>
                <w:tcPr>
                  <w:tcW w:w="1158" w:type="pct"/>
                  <w:noWrap w:val="0"/>
                  <w:vAlign w:val="center"/>
                </w:tcPr>
                <w:p w14:paraId="62D04E18">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eastAsia" w:ascii="Times New Roman" w:hAnsi="Times New Roman" w:cs="Times New Roman"/>
                      <w:color w:val="auto"/>
                      <w:kern w:val="0"/>
                      <w:sz w:val="21"/>
                      <w:szCs w:val="20"/>
                      <w:highlight w:val="none"/>
                      <w:lang w:val="en-US" w:eastAsia="zh-CN" w:bidi="ar-SA"/>
                    </w:rPr>
                    <w:t>0.0</w:t>
                  </w:r>
                  <w:r>
                    <w:rPr>
                      <w:rFonts w:hint="eastAsia" w:cs="Times New Roman"/>
                      <w:color w:val="auto"/>
                      <w:kern w:val="0"/>
                      <w:sz w:val="21"/>
                      <w:szCs w:val="20"/>
                      <w:highlight w:val="none"/>
                      <w:lang w:val="en-US" w:eastAsia="zh-CN" w:bidi="ar-SA"/>
                    </w:rPr>
                    <w:t>21</w:t>
                  </w:r>
                </w:p>
              </w:tc>
            </w:tr>
            <w:tr w14:paraId="35E081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jc w:val="center"/>
              </w:trPr>
              <w:tc>
                <w:tcPr>
                  <w:tcW w:w="402" w:type="pct"/>
                  <w:vMerge w:val="continue"/>
                  <w:noWrap w:val="0"/>
                  <w:vAlign w:val="center"/>
                </w:tcPr>
                <w:p w14:paraId="75BFF129">
                  <w:pPr>
                    <w:pStyle w:val="10"/>
                    <w:bidi w:val="0"/>
                    <w:jc w:val="center"/>
                    <w:rPr>
                      <w:rFonts w:hint="default" w:ascii="Times New Roman" w:hAnsi="Times New Roman" w:cs="Times New Roman"/>
                      <w:color w:val="auto"/>
                      <w:highlight w:val="none"/>
                    </w:rPr>
                  </w:pPr>
                </w:p>
              </w:tc>
              <w:tc>
                <w:tcPr>
                  <w:tcW w:w="1418" w:type="pct"/>
                  <w:vMerge w:val="continue"/>
                  <w:noWrap w:val="0"/>
                  <w:vAlign w:val="center"/>
                </w:tcPr>
                <w:p w14:paraId="1B796D12">
                  <w:pPr>
                    <w:pStyle w:val="10"/>
                    <w:bidi w:val="0"/>
                    <w:jc w:val="center"/>
                    <w:rPr>
                      <w:rFonts w:hint="default" w:ascii="Times New Roman" w:hAnsi="Times New Roman" w:cs="Times New Roman"/>
                      <w:color w:val="auto"/>
                      <w:highlight w:val="none"/>
                    </w:rPr>
                  </w:pPr>
                </w:p>
              </w:tc>
              <w:tc>
                <w:tcPr>
                  <w:tcW w:w="855" w:type="pct"/>
                  <w:noWrap w:val="0"/>
                  <w:vAlign w:val="center"/>
                </w:tcPr>
                <w:p w14:paraId="148C08C8">
                  <w:pPr>
                    <w:pStyle w:val="10"/>
                    <w:bidi w:val="0"/>
                    <w:ind w:right="0" w:rightChars="0" w:firstLine="0" w:firstLineChars="0"/>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TP</w:t>
                  </w:r>
                </w:p>
              </w:tc>
              <w:tc>
                <w:tcPr>
                  <w:tcW w:w="1165" w:type="pct"/>
                  <w:noWrap w:val="0"/>
                  <w:vAlign w:val="center"/>
                </w:tcPr>
                <w:p w14:paraId="566E26DB">
                  <w:pPr>
                    <w:pStyle w:val="10"/>
                    <w:bidi w:val="0"/>
                    <w:ind w:right="0" w:rightChars="0" w:firstLine="0" w:firstLineChars="0"/>
                    <w:rPr>
                      <w:rFonts w:hint="default" w:cs="Times New Roman"/>
                      <w:color w:val="auto"/>
                      <w:highlight w:val="none"/>
                      <w:lang w:val="en-US" w:eastAsia="zh-CN"/>
                    </w:rPr>
                  </w:pPr>
                  <w:r>
                    <w:rPr>
                      <w:rFonts w:hint="eastAsia" w:cs="Times New Roman"/>
                      <w:color w:val="auto"/>
                      <w:highlight w:val="none"/>
                      <w:lang w:val="en-US" w:eastAsia="zh-CN"/>
                    </w:rPr>
                    <w:t>1.82</w:t>
                  </w:r>
                </w:p>
              </w:tc>
              <w:tc>
                <w:tcPr>
                  <w:tcW w:w="1158" w:type="pct"/>
                  <w:noWrap w:val="0"/>
                  <w:vAlign w:val="center"/>
                </w:tcPr>
                <w:p w14:paraId="7A5ECDB6">
                  <w:pPr>
                    <w:pStyle w:val="10"/>
                    <w:bidi w:val="0"/>
                    <w:ind w:right="0" w:rightChars="0" w:firstLine="0" w:firstLineChars="0"/>
                    <w:rPr>
                      <w:rFonts w:hint="default" w:ascii="Times New Roman" w:hAnsi="Times New Roman" w:cs="Times New Roman"/>
                      <w:color w:val="auto"/>
                      <w:kern w:val="0"/>
                      <w:sz w:val="21"/>
                      <w:szCs w:val="20"/>
                      <w:highlight w:val="none"/>
                      <w:lang w:val="en-US" w:eastAsia="zh-CN" w:bidi="ar-SA"/>
                    </w:rPr>
                  </w:pPr>
                  <w:r>
                    <w:rPr>
                      <w:rFonts w:hint="eastAsia" w:cs="Times New Roman"/>
                      <w:color w:val="auto"/>
                      <w:kern w:val="0"/>
                      <w:sz w:val="21"/>
                      <w:szCs w:val="20"/>
                      <w:highlight w:val="none"/>
                      <w:lang w:val="en-US" w:eastAsia="zh-CN" w:bidi="ar-SA"/>
                    </w:rPr>
                    <w:t>0.002</w:t>
                  </w:r>
                </w:p>
              </w:tc>
            </w:tr>
            <w:tr w14:paraId="689595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jc w:val="center"/>
              </w:trPr>
              <w:tc>
                <w:tcPr>
                  <w:tcW w:w="402" w:type="pct"/>
                  <w:vMerge w:val="continue"/>
                  <w:noWrap w:val="0"/>
                  <w:vAlign w:val="center"/>
                </w:tcPr>
                <w:p w14:paraId="71F52E97">
                  <w:pPr>
                    <w:pStyle w:val="10"/>
                    <w:bidi w:val="0"/>
                    <w:jc w:val="center"/>
                    <w:rPr>
                      <w:rFonts w:hint="default" w:ascii="Times New Roman" w:hAnsi="Times New Roman" w:cs="Times New Roman"/>
                      <w:color w:val="auto"/>
                      <w:highlight w:val="none"/>
                    </w:rPr>
                  </w:pPr>
                </w:p>
              </w:tc>
              <w:tc>
                <w:tcPr>
                  <w:tcW w:w="1418" w:type="pct"/>
                  <w:vMerge w:val="continue"/>
                  <w:noWrap w:val="0"/>
                  <w:vAlign w:val="center"/>
                </w:tcPr>
                <w:p w14:paraId="6B7D5376">
                  <w:pPr>
                    <w:pStyle w:val="10"/>
                    <w:bidi w:val="0"/>
                    <w:jc w:val="center"/>
                    <w:rPr>
                      <w:rFonts w:hint="default" w:ascii="Times New Roman" w:hAnsi="Times New Roman" w:cs="Times New Roman"/>
                      <w:color w:val="auto"/>
                      <w:highlight w:val="none"/>
                    </w:rPr>
                  </w:pPr>
                </w:p>
              </w:tc>
              <w:tc>
                <w:tcPr>
                  <w:tcW w:w="855" w:type="pct"/>
                  <w:noWrap w:val="0"/>
                  <w:vAlign w:val="center"/>
                </w:tcPr>
                <w:p w14:paraId="540C8804">
                  <w:pPr>
                    <w:pStyle w:val="10"/>
                    <w:bidi w:val="0"/>
                    <w:ind w:right="0" w:rightChars="0" w:firstLine="0" w:firstLineChars="0"/>
                    <w:rPr>
                      <w:rFonts w:hint="eastAsia"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动植物油</w:t>
                  </w:r>
                </w:p>
              </w:tc>
              <w:tc>
                <w:tcPr>
                  <w:tcW w:w="1165" w:type="pct"/>
                  <w:noWrap w:val="0"/>
                  <w:vAlign w:val="center"/>
                </w:tcPr>
                <w:p w14:paraId="2E8BFBE1">
                  <w:pPr>
                    <w:pStyle w:val="10"/>
                    <w:bidi w:val="0"/>
                    <w:ind w:right="0" w:rightChars="0" w:firstLine="0" w:firstLineChars="0"/>
                    <w:rPr>
                      <w:rFonts w:hint="default" w:cs="Times New Roman"/>
                      <w:color w:val="auto"/>
                      <w:highlight w:val="none"/>
                      <w:lang w:val="en-US" w:eastAsia="zh-CN"/>
                    </w:rPr>
                  </w:pPr>
                  <w:r>
                    <w:rPr>
                      <w:rFonts w:hint="eastAsia" w:cs="Times New Roman"/>
                      <w:color w:val="auto"/>
                      <w:highlight w:val="none"/>
                      <w:lang w:val="en-US" w:eastAsia="zh-CN"/>
                    </w:rPr>
                    <w:t>1.82</w:t>
                  </w:r>
                </w:p>
              </w:tc>
              <w:tc>
                <w:tcPr>
                  <w:tcW w:w="1158" w:type="pct"/>
                  <w:noWrap w:val="0"/>
                  <w:vAlign w:val="center"/>
                </w:tcPr>
                <w:p w14:paraId="72078D83">
                  <w:pPr>
                    <w:pStyle w:val="10"/>
                    <w:bidi w:val="0"/>
                    <w:ind w:right="0" w:rightChars="0" w:firstLine="0" w:firstLineChars="0"/>
                    <w:rPr>
                      <w:rFonts w:hint="default"/>
                      <w:color w:val="auto"/>
                      <w:highlight w:val="none"/>
                      <w:lang w:val="en-US" w:eastAsia="zh-CN"/>
                    </w:rPr>
                  </w:pPr>
                  <w:r>
                    <w:rPr>
                      <w:rFonts w:hint="eastAsia"/>
                      <w:color w:val="auto"/>
                      <w:highlight w:val="none"/>
                      <w:lang w:val="en-US" w:eastAsia="zh-CN"/>
                    </w:rPr>
                    <w:t>0.002</w:t>
                  </w:r>
                </w:p>
              </w:tc>
            </w:tr>
            <w:tr w14:paraId="251497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jc w:val="center"/>
              </w:trPr>
              <w:tc>
                <w:tcPr>
                  <w:tcW w:w="402" w:type="pct"/>
                  <w:vMerge w:val="restart"/>
                  <w:noWrap w:val="0"/>
                  <w:vAlign w:val="center"/>
                </w:tcPr>
                <w:p w14:paraId="11B864FD">
                  <w:pPr>
                    <w:pStyle w:val="10"/>
                    <w:bidi w:val="0"/>
                    <w:jc w:val="center"/>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2</w:t>
                  </w:r>
                </w:p>
              </w:tc>
              <w:tc>
                <w:tcPr>
                  <w:tcW w:w="1418" w:type="pct"/>
                  <w:vMerge w:val="restart"/>
                  <w:noWrap w:val="0"/>
                  <w:vAlign w:val="center"/>
                </w:tcPr>
                <w:p w14:paraId="0B02D1DC">
                  <w:pPr>
                    <w:pStyle w:val="10"/>
                    <w:bidi w:val="0"/>
                    <w:jc w:val="center"/>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经青阳县污水处理厂处理后排入外环境的量</w:t>
                  </w:r>
                </w:p>
              </w:tc>
              <w:tc>
                <w:tcPr>
                  <w:tcW w:w="1421" w:type="dxa"/>
                  <w:noWrap w:val="0"/>
                  <w:vAlign w:val="center"/>
                </w:tcPr>
                <w:p w14:paraId="11692E3C">
                  <w:pPr>
                    <w:pStyle w:val="10"/>
                    <w:bidi w:val="0"/>
                    <w:ind w:right="0" w:rightChars="0" w:firstLine="0" w:firstLineChars="0"/>
                    <w:rPr>
                      <w:rFonts w:hint="eastAsia" w:ascii="Times New Roman" w:hAnsi="Times New Roman" w:cs="Times New Roman"/>
                      <w:color w:val="auto"/>
                      <w:highlight w:val="none"/>
                      <w:lang w:val="en-US" w:eastAsia="zh-CN"/>
                    </w:rPr>
                  </w:pPr>
                  <w:r>
                    <w:rPr>
                      <w:rFonts w:hint="default" w:ascii="Times New Roman" w:hAnsi="Times New Roman" w:cs="Times New Roman"/>
                      <w:color w:val="auto"/>
                      <w:highlight w:val="none"/>
                    </w:rPr>
                    <w:t>COD</w:t>
                  </w:r>
                </w:p>
              </w:tc>
              <w:tc>
                <w:tcPr>
                  <w:tcW w:w="1165" w:type="pct"/>
                  <w:noWrap w:val="0"/>
                  <w:vAlign w:val="center"/>
                </w:tcPr>
                <w:p w14:paraId="0AE64859">
                  <w:pPr>
                    <w:pStyle w:val="10"/>
                    <w:bidi w:val="0"/>
                    <w:ind w:right="0" w:rightChars="0" w:firstLine="0" w:firstLineChars="0"/>
                    <w:rPr>
                      <w:rFonts w:hint="default" w:cs="Times New Roman"/>
                      <w:color w:val="auto"/>
                      <w:highlight w:val="none"/>
                      <w:lang w:val="en-US" w:eastAsia="zh-CN"/>
                    </w:rPr>
                  </w:pPr>
                  <w:r>
                    <w:rPr>
                      <w:rFonts w:hint="eastAsia" w:cs="Times New Roman"/>
                      <w:color w:val="auto"/>
                      <w:highlight w:val="none"/>
                      <w:lang w:val="en-US" w:eastAsia="zh-CN"/>
                    </w:rPr>
                    <w:t>50</w:t>
                  </w:r>
                </w:p>
              </w:tc>
              <w:tc>
                <w:tcPr>
                  <w:tcW w:w="1158" w:type="pct"/>
                  <w:noWrap w:val="0"/>
                  <w:vAlign w:val="center"/>
                </w:tcPr>
                <w:p w14:paraId="04C746EA">
                  <w:pPr>
                    <w:pStyle w:val="10"/>
                    <w:bidi w:val="0"/>
                    <w:ind w:right="0" w:rightChars="0" w:firstLine="0" w:firstLineChars="0"/>
                    <w:rPr>
                      <w:rFonts w:hint="default"/>
                      <w:color w:val="auto"/>
                      <w:highlight w:val="none"/>
                      <w:lang w:val="en-US" w:eastAsia="zh-CN"/>
                    </w:rPr>
                  </w:pPr>
                  <w:r>
                    <w:rPr>
                      <w:rFonts w:hint="eastAsia"/>
                      <w:color w:val="auto"/>
                      <w:highlight w:val="none"/>
                      <w:lang w:val="en-US" w:eastAsia="zh-CN"/>
                    </w:rPr>
                    <w:t>0.055</w:t>
                  </w:r>
                </w:p>
              </w:tc>
            </w:tr>
            <w:tr w14:paraId="72DB92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jc w:val="center"/>
              </w:trPr>
              <w:tc>
                <w:tcPr>
                  <w:tcW w:w="402" w:type="pct"/>
                  <w:vMerge w:val="continue"/>
                  <w:noWrap w:val="0"/>
                  <w:vAlign w:val="center"/>
                </w:tcPr>
                <w:p w14:paraId="1C31DCB1">
                  <w:pPr>
                    <w:pStyle w:val="10"/>
                    <w:bidi w:val="0"/>
                    <w:jc w:val="center"/>
                    <w:rPr>
                      <w:rFonts w:hint="eastAsia" w:cs="Times New Roman"/>
                      <w:color w:val="auto"/>
                      <w:highlight w:val="none"/>
                      <w:lang w:val="en-US" w:eastAsia="zh-CN"/>
                    </w:rPr>
                  </w:pPr>
                </w:p>
              </w:tc>
              <w:tc>
                <w:tcPr>
                  <w:tcW w:w="1418" w:type="pct"/>
                  <w:vMerge w:val="continue"/>
                  <w:noWrap w:val="0"/>
                  <w:vAlign w:val="center"/>
                </w:tcPr>
                <w:p w14:paraId="1D2B21A8">
                  <w:pPr>
                    <w:pStyle w:val="10"/>
                    <w:bidi w:val="0"/>
                    <w:jc w:val="center"/>
                    <w:rPr>
                      <w:rFonts w:hint="eastAsia" w:cs="Times New Roman"/>
                      <w:color w:val="auto"/>
                      <w:highlight w:val="none"/>
                      <w:lang w:val="en-US" w:eastAsia="zh-CN"/>
                    </w:rPr>
                  </w:pPr>
                </w:p>
              </w:tc>
              <w:tc>
                <w:tcPr>
                  <w:tcW w:w="1421" w:type="dxa"/>
                  <w:noWrap w:val="0"/>
                  <w:vAlign w:val="center"/>
                </w:tcPr>
                <w:p w14:paraId="5C65B238">
                  <w:pPr>
                    <w:pStyle w:val="10"/>
                    <w:bidi w:val="0"/>
                    <w:ind w:right="0" w:rightChars="0" w:firstLine="0" w:firstLineChars="0"/>
                    <w:rPr>
                      <w:rFonts w:hint="eastAsia" w:ascii="Times New Roman" w:hAnsi="Times New Roman" w:cs="Times New Roman"/>
                      <w:color w:val="auto"/>
                      <w:highlight w:val="none"/>
                      <w:lang w:val="en-US" w:eastAsia="zh-CN"/>
                    </w:rPr>
                  </w:pPr>
                  <w:r>
                    <w:rPr>
                      <w:rFonts w:hint="default" w:ascii="Times New Roman" w:hAnsi="Times New Roman" w:cs="Times New Roman"/>
                      <w:color w:val="auto"/>
                      <w:highlight w:val="none"/>
                    </w:rPr>
                    <w:t>BOD</w:t>
                  </w:r>
                  <w:r>
                    <w:rPr>
                      <w:rFonts w:hint="default" w:ascii="Times New Roman" w:hAnsi="Times New Roman" w:cs="Times New Roman"/>
                      <w:color w:val="auto"/>
                      <w:highlight w:val="none"/>
                      <w:vertAlign w:val="subscript"/>
                    </w:rPr>
                    <w:t>5</w:t>
                  </w:r>
                </w:p>
              </w:tc>
              <w:tc>
                <w:tcPr>
                  <w:tcW w:w="1165" w:type="pct"/>
                  <w:noWrap w:val="0"/>
                  <w:vAlign w:val="center"/>
                </w:tcPr>
                <w:p w14:paraId="27E6D132">
                  <w:pPr>
                    <w:pStyle w:val="10"/>
                    <w:bidi w:val="0"/>
                    <w:ind w:right="0" w:rightChars="0" w:firstLine="0" w:firstLineChars="0"/>
                    <w:rPr>
                      <w:rFonts w:hint="default" w:cs="Times New Roman"/>
                      <w:color w:val="auto"/>
                      <w:highlight w:val="none"/>
                      <w:lang w:val="en-US" w:eastAsia="zh-CN"/>
                    </w:rPr>
                  </w:pPr>
                  <w:r>
                    <w:rPr>
                      <w:rFonts w:hint="eastAsia" w:cs="Times New Roman"/>
                      <w:color w:val="auto"/>
                      <w:highlight w:val="none"/>
                      <w:lang w:val="en-US" w:eastAsia="zh-CN"/>
                    </w:rPr>
                    <w:t>10</w:t>
                  </w:r>
                </w:p>
              </w:tc>
              <w:tc>
                <w:tcPr>
                  <w:tcW w:w="1158" w:type="pct"/>
                  <w:noWrap w:val="0"/>
                  <w:vAlign w:val="center"/>
                </w:tcPr>
                <w:p w14:paraId="13A94A29">
                  <w:pPr>
                    <w:pStyle w:val="10"/>
                    <w:bidi w:val="0"/>
                    <w:ind w:right="0" w:rightChars="0" w:firstLine="0" w:firstLineChars="0"/>
                    <w:rPr>
                      <w:rFonts w:hint="default"/>
                      <w:color w:val="auto"/>
                      <w:highlight w:val="none"/>
                      <w:lang w:val="en-US" w:eastAsia="zh-CN"/>
                    </w:rPr>
                  </w:pPr>
                  <w:r>
                    <w:rPr>
                      <w:rFonts w:hint="eastAsia"/>
                      <w:color w:val="auto"/>
                      <w:highlight w:val="none"/>
                      <w:lang w:val="en-US" w:eastAsia="zh-CN"/>
                    </w:rPr>
                    <w:t>0.011</w:t>
                  </w:r>
                </w:p>
              </w:tc>
            </w:tr>
            <w:tr w14:paraId="56AD4E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jc w:val="center"/>
              </w:trPr>
              <w:tc>
                <w:tcPr>
                  <w:tcW w:w="402" w:type="pct"/>
                  <w:vMerge w:val="continue"/>
                  <w:noWrap w:val="0"/>
                  <w:vAlign w:val="center"/>
                </w:tcPr>
                <w:p w14:paraId="338B1094">
                  <w:pPr>
                    <w:pStyle w:val="10"/>
                    <w:bidi w:val="0"/>
                    <w:jc w:val="center"/>
                    <w:rPr>
                      <w:rFonts w:hint="eastAsia" w:cs="Times New Roman"/>
                      <w:color w:val="auto"/>
                      <w:highlight w:val="none"/>
                      <w:lang w:val="en-US" w:eastAsia="zh-CN"/>
                    </w:rPr>
                  </w:pPr>
                </w:p>
              </w:tc>
              <w:tc>
                <w:tcPr>
                  <w:tcW w:w="1418" w:type="pct"/>
                  <w:vMerge w:val="continue"/>
                  <w:noWrap w:val="0"/>
                  <w:vAlign w:val="center"/>
                </w:tcPr>
                <w:p w14:paraId="6B78D117">
                  <w:pPr>
                    <w:pStyle w:val="10"/>
                    <w:bidi w:val="0"/>
                    <w:jc w:val="center"/>
                    <w:rPr>
                      <w:rFonts w:hint="eastAsia" w:cs="Times New Roman"/>
                      <w:color w:val="auto"/>
                      <w:highlight w:val="none"/>
                      <w:lang w:val="en-US" w:eastAsia="zh-CN"/>
                    </w:rPr>
                  </w:pPr>
                </w:p>
              </w:tc>
              <w:tc>
                <w:tcPr>
                  <w:tcW w:w="1421" w:type="dxa"/>
                  <w:noWrap w:val="0"/>
                  <w:vAlign w:val="center"/>
                </w:tcPr>
                <w:p w14:paraId="3C0C5954">
                  <w:pPr>
                    <w:pStyle w:val="10"/>
                    <w:bidi w:val="0"/>
                    <w:ind w:right="0" w:rightChars="0" w:firstLine="0" w:firstLineChars="0"/>
                    <w:rPr>
                      <w:rFonts w:hint="eastAsia" w:ascii="Times New Roman" w:hAnsi="Times New Roman" w:cs="Times New Roman"/>
                      <w:color w:val="auto"/>
                      <w:highlight w:val="none"/>
                      <w:lang w:val="en-US" w:eastAsia="zh-CN"/>
                    </w:rPr>
                  </w:pPr>
                  <w:r>
                    <w:rPr>
                      <w:rFonts w:hint="default" w:ascii="Times New Roman" w:hAnsi="Times New Roman" w:cs="Times New Roman"/>
                      <w:color w:val="auto"/>
                      <w:highlight w:val="none"/>
                    </w:rPr>
                    <w:t>SS</w:t>
                  </w:r>
                </w:p>
              </w:tc>
              <w:tc>
                <w:tcPr>
                  <w:tcW w:w="1165" w:type="pct"/>
                  <w:noWrap w:val="0"/>
                  <w:vAlign w:val="center"/>
                </w:tcPr>
                <w:p w14:paraId="40873FDA">
                  <w:pPr>
                    <w:pStyle w:val="10"/>
                    <w:bidi w:val="0"/>
                    <w:ind w:right="0" w:rightChars="0" w:firstLine="0" w:firstLineChars="0"/>
                    <w:rPr>
                      <w:rFonts w:hint="default" w:cs="Times New Roman"/>
                      <w:color w:val="auto"/>
                      <w:highlight w:val="none"/>
                      <w:lang w:val="en-US" w:eastAsia="zh-CN"/>
                    </w:rPr>
                  </w:pPr>
                  <w:r>
                    <w:rPr>
                      <w:rFonts w:hint="eastAsia" w:cs="Times New Roman"/>
                      <w:color w:val="auto"/>
                      <w:highlight w:val="none"/>
                      <w:lang w:val="en-US" w:eastAsia="zh-CN"/>
                    </w:rPr>
                    <w:t>10</w:t>
                  </w:r>
                </w:p>
              </w:tc>
              <w:tc>
                <w:tcPr>
                  <w:tcW w:w="1158" w:type="pct"/>
                  <w:noWrap w:val="0"/>
                  <w:vAlign w:val="center"/>
                </w:tcPr>
                <w:p w14:paraId="66B93E6D">
                  <w:pPr>
                    <w:pStyle w:val="10"/>
                    <w:bidi w:val="0"/>
                    <w:ind w:right="0" w:rightChars="0" w:firstLine="0" w:firstLineChars="0"/>
                    <w:rPr>
                      <w:rFonts w:hint="eastAsia"/>
                      <w:color w:val="auto"/>
                      <w:highlight w:val="none"/>
                      <w:lang w:val="en-US" w:eastAsia="zh-CN"/>
                    </w:rPr>
                  </w:pPr>
                  <w:r>
                    <w:rPr>
                      <w:rFonts w:hint="eastAsia"/>
                      <w:color w:val="auto"/>
                      <w:highlight w:val="none"/>
                      <w:lang w:val="en-US" w:eastAsia="zh-CN"/>
                    </w:rPr>
                    <w:t>0.011</w:t>
                  </w:r>
                </w:p>
              </w:tc>
            </w:tr>
            <w:tr w14:paraId="341318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jc w:val="center"/>
              </w:trPr>
              <w:tc>
                <w:tcPr>
                  <w:tcW w:w="402" w:type="pct"/>
                  <w:vMerge w:val="continue"/>
                  <w:noWrap w:val="0"/>
                  <w:vAlign w:val="center"/>
                </w:tcPr>
                <w:p w14:paraId="0190DE64">
                  <w:pPr>
                    <w:pStyle w:val="10"/>
                    <w:bidi w:val="0"/>
                    <w:jc w:val="center"/>
                    <w:rPr>
                      <w:rFonts w:hint="eastAsia" w:cs="Times New Roman"/>
                      <w:color w:val="auto"/>
                      <w:highlight w:val="none"/>
                      <w:lang w:val="en-US" w:eastAsia="zh-CN"/>
                    </w:rPr>
                  </w:pPr>
                </w:p>
              </w:tc>
              <w:tc>
                <w:tcPr>
                  <w:tcW w:w="1418" w:type="pct"/>
                  <w:vMerge w:val="continue"/>
                  <w:noWrap w:val="0"/>
                  <w:vAlign w:val="center"/>
                </w:tcPr>
                <w:p w14:paraId="0C781424">
                  <w:pPr>
                    <w:pStyle w:val="10"/>
                    <w:bidi w:val="0"/>
                    <w:jc w:val="center"/>
                    <w:rPr>
                      <w:rFonts w:hint="eastAsia" w:cs="Times New Roman"/>
                      <w:color w:val="auto"/>
                      <w:highlight w:val="none"/>
                      <w:lang w:val="en-US" w:eastAsia="zh-CN"/>
                    </w:rPr>
                  </w:pPr>
                </w:p>
              </w:tc>
              <w:tc>
                <w:tcPr>
                  <w:tcW w:w="1421" w:type="dxa"/>
                  <w:noWrap w:val="0"/>
                  <w:vAlign w:val="center"/>
                </w:tcPr>
                <w:p w14:paraId="33F3661E">
                  <w:pPr>
                    <w:pStyle w:val="10"/>
                    <w:bidi w:val="0"/>
                    <w:ind w:right="0" w:rightChars="0" w:firstLine="0" w:firstLineChars="0"/>
                    <w:rPr>
                      <w:rFonts w:hint="eastAsia" w:ascii="Times New Roman" w:hAnsi="Times New Roman" w:cs="Times New Roman"/>
                      <w:color w:val="auto"/>
                      <w:highlight w:val="none"/>
                      <w:lang w:val="en-US" w:eastAsia="zh-CN"/>
                    </w:rPr>
                  </w:pPr>
                  <w:r>
                    <w:rPr>
                      <w:rFonts w:hint="default" w:ascii="Times New Roman" w:hAnsi="Times New Roman" w:cs="Times New Roman"/>
                      <w:color w:val="auto"/>
                      <w:highlight w:val="none"/>
                    </w:rPr>
                    <w:t>氨氮</w:t>
                  </w:r>
                </w:p>
              </w:tc>
              <w:tc>
                <w:tcPr>
                  <w:tcW w:w="1165" w:type="pct"/>
                  <w:noWrap w:val="0"/>
                  <w:vAlign w:val="center"/>
                </w:tcPr>
                <w:p w14:paraId="3078EA91">
                  <w:pPr>
                    <w:pStyle w:val="10"/>
                    <w:bidi w:val="0"/>
                    <w:ind w:right="0" w:rightChars="0" w:firstLine="0" w:firstLineChars="0"/>
                    <w:rPr>
                      <w:rFonts w:hint="default" w:cs="Times New Roman"/>
                      <w:color w:val="auto"/>
                      <w:highlight w:val="none"/>
                      <w:lang w:val="en-US" w:eastAsia="zh-CN"/>
                    </w:rPr>
                  </w:pPr>
                  <w:r>
                    <w:rPr>
                      <w:rFonts w:hint="eastAsia" w:cs="Times New Roman"/>
                      <w:color w:val="auto"/>
                      <w:highlight w:val="none"/>
                      <w:lang w:val="en-US" w:eastAsia="zh-CN"/>
                    </w:rPr>
                    <w:t>5</w:t>
                  </w:r>
                </w:p>
              </w:tc>
              <w:tc>
                <w:tcPr>
                  <w:tcW w:w="1158" w:type="pct"/>
                  <w:noWrap w:val="0"/>
                  <w:vAlign w:val="center"/>
                </w:tcPr>
                <w:p w14:paraId="749B94C9">
                  <w:pPr>
                    <w:pStyle w:val="10"/>
                    <w:bidi w:val="0"/>
                    <w:ind w:right="0" w:rightChars="0" w:firstLine="0" w:firstLineChars="0"/>
                    <w:rPr>
                      <w:rFonts w:hint="default"/>
                      <w:color w:val="auto"/>
                      <w:highlight w:val="none"/>
                      <w:lang w:val="en-US" w:eastAsia="zh-CN"/>
                    </w:rPr>
                  </w:pPr>
                  <w:r>
                    <w:rPr>
                      <w:rFonts w:hint="eastAsia"/>
                      <w:color w:val="auto"/>
                      <w:highlight w:val="none"/>
                      <w:lang w:val="en-US" w:eastAsia="zh-CN"/>
                    </w:rPr>
                    <w:t>0.005</w:t>
                  </w:r>
                </w:p>
              </w:tc>
            </w:tr>
            <w:tr w14:paraId="1A36FF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jc w:val="center"/>
              </w:trPr>
              <w:tc>
                <w:tcPr>
                  <w:tcW w:w="402" w:type="pct"/>
                  <w:vMerge w:val="continue"/>
                  <w:noWrap w:val="0"/>
                  <w:vAlign w:val="center"/>
                </w:tcPr>
                <w:p w14:paraId="428332E6">
                  <w:pPr>
                    <w:pStyle w:val="10"/>
                    <w:bidi w:val="0"/>
                    <w:jc w:val="center"/>
                    <w:rPr>
                      <w:rFonts w:hint="eastAsia" w:cs="Times New Roman"/>
                      <w:color w:val="auto"/>
                      <w:highlight w:val="none"/>
                      <w:lang w:val="en-US" w:eastAsia="zh-CN"/>
                    </w:rPr>
                  </w:pPr>
                </w:p>
              </w:tc>
              <w:tc>
                <w:tcPr>
                  <w:tcW w:w="1418" w:type="pct"/>
                  <w:vMerge w:val="continue"/>
                  <w:noWrap w:val="0"/>
                  <w:vAlign w:val="center"/>
                </w:tcPr>
                <w:p w14:paraId="0C057221">
                  <w:pPr>
                    <w:pStyle w:val="10"/>
                    <w:bidi w:val="0"/>
                    <w:jc w:val="center"/>
                    <w:rPr>
                      <w:rFonts w:hint="eastAsia" w:cs="Times New Roman"/>
                      <w:color w:val="auto"/>
                      <w:highlight w:val="none"/>
                      <w:lang w:val="en-US" w:eastAsia="zh-CN"/>
                    </w:rPr>
                  </w:pPr>
                </w:p>
              </w:tc>
              <w:tc>
                <w:tcPr>
                  <w:tcW w:w="1421" w:type="dxa"/>
                  <w:noWrap w:val="0"/>
                  <w:vAlign w:val="center"/>
                </w:tcPr>
                <w:p w14:paraId="7A152B88">
                  <w:pPr>
                    <w:pStyle w:val="10"/>
                    <w:bidi w:val="0"/>
                    <w:ind w:right="0" w:rightChars="0" w:firstLine="0" w:firstLineChars="0"/>
                    <w:rPr>
                      <w:rFonts w:hint="eastAsia" w:ascii="Times New Roman" w:hAnsi="Times New Roman" w:cs="Times New Roman"/>
                      <w:color w:val="auto"/>
                      <w:highlight w:val="none"/>
                      <w:lang w:val="en-US" w:eastAsia="zh-CN"/>
                    </w:rPr>
                  </w:pPr>
                  <w:r>
                    <w:rPr>
                      <w:rFonts w:hint="eastAsia" w:cs="Times New Roman"/>
                      <w:color w:val="auto"/>
                      <w:highlight w:val="none"/>
                      <w:lang w:val="en-US" w:eastAsia="zh-CN"/>
                    </w:rPr>
                    <w:t>TP</w:t>
                  </w:r>
                </w:p>
              </w:tc>
              <w:tc>
                <w:tcPr>
                  <w:tcW w:w="1165" w:type="pct"/>
                  <w:noWrap w:val="0"/>
                  <w:vAlign w:val="center"/>
                </w:tcPr>
                <w:p w14:paraId="6C51B035">
                  <w:pPr>
                    <w:pStyle w:val="10"/>
                    <w:bidi w:val="0"/>
                    <w:ind w:right="0" w:rightChars="0" w:firstLine="0" w:firstLineChars="0"/>
                    <w:rPr>
                      <w:rFonts w:hint="default" w:cs="Times New Roman"/>
                      <w:color w:val="auto"/>
                      <w:highlight w:val="none"/>
                      <w:lang w:val="en-US" w:eastAsia="zh-CN"/>
                    </w:rPr>
                  </w:pPr>
                  <w:r>
                    <w:rPr>
                      <w:rFonts w:hint="eastAsia" w:cs="Times New Roman"/>
                      <w:color w:val="auto"/>
                      <w:highlight w:val="none"/>
                      <w:lang w:val="en-US" w:eastAsia="zh-CN"/>
                    </w:rPr>
                    <w:t>1</w:t>
                  </w:r>
                </w:p>
              </w:tc>
              <w:tc>
                <w:tcPr>
                  <w:tcW w:w="1158" w:type="pct"/>
                  <w:noWrap w:val="0"/>
                  <w:vAlign w:val="center"/>
                </w:tcPr>
                <w:p w14:paraId="5CE9598F">
                  <w:pPr>
                    <w:pStyle w:val="10"/>
                    <w:bidi w:val="0"/>
                    <w:ind w:right="0" w:rightChars="0" w:firstLine="0" w:firstLineChars="0"/>
                    <w:rPr>
                      <w:rFonts w:hint="default"/>
                      <w:color w:val="auto"/>
                      <w:highlight w:val="none"/>
                      <w:lang w:val="en-US" w:eastAsia="zh-CN"/>
                    </w:rPr>
                  </w:pPr>
                  <w:r>
                    <w:rPr>
                      <w:rFonts w:hint="eastAsia"/>
                      <w:color w:val="auto"/>
                      <w:highlight w:val="none"/>
                      <w:lang w:val="en-US" w:eastAsia="zh-CN"/>
                    </w:rPr>
                    <w:t>0.001</w:t>
                  </w:r>
                </w:p>
              </w:tc>
            </w:tr>
            <w:tr w14:paraId="054A23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jc w:val="center"/>
              </w:trPr>
              <w:tc>
                <w:tcPr>
                  <w:tcW w:w="402" w:type="pct"/>
                  <w:vMerge w:val="continue"/>
                  <w:tcBorders>
                    <w:bottom w:val="single" w:color="auto" w:sz="4" w:space="0"/>
                  </w:tcBorders>
                  <w:noWrap w:val="0"/>
                  <w:vAlign w:val="center"/>
                </w:tcPr>
                <w:p w14:paraId="4A1F81D5">
                  <w:pPr>
                    <w:pStyle w:val="10"/>
                    <w:bidi w:val="0"/>
                    <w:jc w:val="center"/>
                    <w:rPr>
                      <w:rFonts w:hint="eastAsia" w:cs="Times New Roman"/>
                      <w:color w:val="auto"/>
                      <w:highlight w:val="none"/>
                      <w:lang w:val="en-US" w:eastAsia="zh-CN"/>
                    </w:rPr>
                  </w:pPr>
                </w:p>
              </w:tc>
              <w:tc>
                <w:tcPr>
                  <w:tcW w:w="1418" w:type="pct"/>
                  <w:vMerge w:val="continue"/>
                  <w:tcBorders>
                    <w:bottom w:val="single" w:color="auto" w:sz="4" w:space="0"/>
                  </w:tcBorders>
                  <w:noWrap w:val="0"/>
                  <w:vAlign w:val="center"/>
                </w:tcPr>
                <w:p w14:paraId="11C50856">
                  <w:pPr>
                    <w:pStyle w:val="10"/>
                    <w:bidi w:val="0"/>
                    <w:jc w:val="center"/>
                    <w:rPr>
                      <w:rFonts w:hint="eastAsia" w:cs="Times New Roman"/>
                      <w:color w:val="auto"/>
                      <w:highlight w:val="none"/>
                      <w:lang w:val="en-US" w:eastAsia="zh-CN"/>
                    </w:rPr>
                  </w:pPr>
                </w:p>
              </w:tc>
              <w:tc>
                <w:tcPr>
                  <w:tcW w:w="1421" w:type="dxa"/>
                  <w:noWrap w:val="0"/>
                  <w:vAlign w:val="center"/>
                </w:tcPr>
                <w:p w14:paraId="3CAD5CD3">
                  <w:pPr>
                    <w:pStyle w:val="10"/>
                    <w:bidi w:val="0"/>
                    <w:ind w:right="0" w:rightChars="0" w:firstLine="0" w:firstLineChars="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动植物油</w:t>
                  </w:r>
                </w:p>
              </w:tc>
              <w:tc>
                <w:tcPr>
                  <w:tcW w:w="1165" w:type="pct"/>
                  <w:noWrap w:val="0"/>
                  <w:vAlign w:val="center"/>
                </w:tcPr>
                <w:p w14:paraId="5D228D9C">
                  <w:pPr>
                    <w:pStyle w:val="10"/>
                    <w:bidi w:val="0"/>
                    <w:ind w:right="0" w:rightChars="0" w:firstLine="0" w:firstLineChars="0"/>
                    <w:rPr>
                      <w:rFonts w:hint="default" w:cs="Times New Roman"/>
                      <w:color w:val="auto"/>
                      <w:highlight w:val="none"/>
                      <w:lang w:val="en-US" w:eastAsia="zh-CN"/>
                    </w:rPr>
                  </w:pPr>
                  <w:r>
                    <w:rPr>
                      <w:rFonts w:hint="eastAsia" w:cs="Times New Roman"/>
                      <w:color w:val="auto"/>
                      <w:highlight w:val="none"/>
                      <w:lang w:val="en-US" w:eastAsia="zh-CN"/>
                    </w:rPr>
                    <w:t>1</w:t>
                  </w:r>
                </w:p>
              </w:tc>
              <w:tc>
                <w:tcPr>
                  <w:tcW w:w="1158" w:type="pct"/>
                  <w:noWrap w:val="0"/>
                  <w:vAlign w:val="center"/>
                </w:tcPr>
                <w:p w14:paraId="05A45F58">
                  <w:pPr>
                    <w:pStyle w:val="10"/>
                    <w:bidi w:val="0"/>
                    <w:ind w:right="0" w:rightChars="0" w:firstLine="0" w:firstLineChars="0"/>
                    <w:rPr>
                      <w:rFonts w:hint="eastAsia"/>
                      <w:color w:val="auto"/>
                      <w:highlight w:val="none"/>
                      <w:lang w:val="en-US" w:eastAsia="zh-CN"/>
                    </w:rPr>
                  </w:pPr>
                  <w:r>
                    <w:rPr>
                      <w:rFonts w:hint="eastAsia"/>
                      <w:color w:val="auto"/>
                      <w:highlight w:val="none"/>
                      <w:lang w:val="en-US" w:eastAsia="zh-CN"/>
                    </w:rPr>
                    <w:t>0.001</w:t>
                  </w:r>
                </w:p>
              </w:tc>
            </w:tr>
          </w:tbl>
          <w:p w14:paraId="1839CB86">
            <w:pPr>
              <w:pStyle w:val="11"/>
              <w:spacing w:after="0" w:line="360" w:lineRule="auto"/>
              <w:ind w:left="0" w:leftChars="0" w:firstLine="482" w:firstLineChars="200"/>
              <w:rPr>
                <w:rFonts w:hint="eastAsia"/>
                <w:b/>
                <w:bCs/>
                <w:color w:val="auto"/>
                <w:sz w:val="24"/>
                <w:szCs w:val="24"/>
                <w:highlight w:val="none"/>
                <w:lang w:val="en-US" w:eastAsia="zh-CN"/>
              </w:rPr>
            </w:pPr>
          </w:p>
          <w:p w14:paraId="1F2053FD">
            <w:pPr>
              <w:pStyle w:val="11"/>
              <w:spacing w:after="0" w:line="360" w:lineRule="auto"/>
              <w:ind w:left="0" w:leftChars="0" w:firstLine="482" w:firstLineChars="200"/>
              <w:rPr>
                <w:b/>
                <w:bCs/>
                <w:color w:val="auto"/>
                <w:sz w:val="24"/>
                <w:szCs w:val="24"/>
                <w:highlight w:val="none"/>
              </w:rPr>
            </w:pPr>
            <w:r>
              <w:rPr>
                <w:rFonts w:hint="eastAsia"/>
                <w:b/>
                <w:bCs/>
                <w:color w:val="auto"/>
                <w:sz w:val="24"/>
                <w:szCs w:val="24"/>
                <w:highlight w:val="none"/>
                <w:lang w:val="en-US" w:eastAsia="zh-CN"/>
              </w:rPr>
              <w:t>5、</w:t>
            </w:r>
            <w:r>
              <w:rPr>
                <w:b/>
                <w:bCs/>
                <w:color w:val="auto"/>
                <w:sz w:val="24"/>
                <w:szCs w:val="24"/>
                <w:highlight w:val="none"/>
              </w:rPr>
              <w:t>监测计划</w:t>
            </w:r>
          </w:p>
          <w:p w14:paraId="50118181">
            <w:pPr>
              <w:spacing w:line="360" w:lineRule="auto"/>
              <w:ind w:firstLine="420"/>
              <w:rPr>
                <w:rFonts w:hint="default" w:ascii="Times New Roman" w:hAnsi="Times New Roman" w:eastAsia="宋体" w:cs="Times New Roman"/>
                <w:b/>
                <w:bCs/>
                <w:color w:val="auto"/>
                <w:sz w:val="21"/>
                <w:szCs w:val="21"/>
                <w:highlight w:val="none"/>
              </w:rPr>
            </w:pPr>
            <w:r>
              <w:rPr>
                <w:rFonts w:hint="eastAsia"/>
                <w:color w:val="auto"/>
                <w:sz w:val="24"/>
                <w:szCs w:val="24"/>
                <w:highlight w:val="none"/>
                <w:lang w:val="en-US" w:eastAsia="zh-CN"/>
              </w:rPr>
              <w:t>根据</w:t>
            </w:r>
            <w:r>
              <w:rPr>
                <w:rFonts w:hint="eastAsia" w:ascii="Times New Roman" w:hAnsi="Times New Roman"/>
                <w:color w:val="auto"/>
                <w:sz w:val="24"/>
                <w:szCs w:val="24"/>
                <w:highlight w:val="none"/>
                <w:lang w:val="en-US" w:eastAsia="zh-CN"/>
              </w:rPr>
              <w:t>《排污许可证申请与核发技术规范 总则》（HJ942—2018）</w:t>
            </w:r>
            <w:r>
              <w:rPr>
                <w:rFonts w:hint="eastAsia"/>
                <w:color w:val="auto"/>
                <w:sz w:val="24"/>
                <w:szCs w:val="24"/>
                <w:highlight w:val="none"/>
                <w:lang w:val="en-US" w:eastAsia="zh-CN"/>
              </w:rPr>
              <w:t>和</w:t>
            </w:r>
            <w:r>
              <w:rPr>
                <w:rFonts w:hint="eastAsia" w:ascii="Times New Roman" w:hAnsi="Times New Roman"/>
                <w:color w:val="auto"/>
                <w:sz w:val="24"/>
                <w:szCs w:val="24"/>
                <w:highlight w:val="none"/>
                <w:lang w:val="en-US" w:eastAsia="zh-CN"/>
              </w:rPr>
              <w:t>《排污单位自行监测技术指南 橡胶和塑料制品》（</w:t>
            </w:r>
            <w:r>
              <w:rPr>
                <w:rFonts w:hint="default"/>
                <w:color w:val="auto"/>
                <w:lang w:val="en-US" w:eastAsia="zh-CN"/>
              </w:rPr>
              <w:t>HJ1207-2021</w:t>
            </w:r>
            <w:r>
              <w:rPr>
                <w:rFonts w:hint="eastAsia" w:ascii="Times New Roman" w:hAnsi="Times New Roman"/>
                <w:color w:val="auto"/>
                <w:sz w:val="24"/>
                <w:szCs w:val="24"/>
                <w:highlight w:val="none"/>
                <w:lang w:val="en-US" w:eastAsia="zh-CN"/>
              </w:rPr>
              <w:t>）</w:t>
            </w:r>
            <w:r>
              <w:rPr>
                <w:rFonts w:hint="eastAsia"/>
                <w:color w:val="auto"/>
                <w:sz w:val="24"/>
                <w:szCs w:val="24"/>
                <w:highlight w:val="none"/>
                <w:lang w:val="en-US" w:eastAsia="zh-CN"/>
              </w:rPr>
              <w:t>，</w:t>
            </w:r>
            <w:r>
              <w:rPr>
                <w:rFonts w:hint="eastAsia" w:ascii="Times New Roman" w:hAnsi="Times New Roman"/>
                <w:color w:val="auto"/>
                <w:sz w:val="24"/>
                <w:szCs w:val="24"/>
                <w:highlight w:val="none"/>
              </w:rPr>
              <w:t>项目</w:t>
            </w:r>
            <w:r>
              <w:rPr>
                <w:rFonts w:hint="eastAsia"/>
                <w:color w:val="auto"/>
                <w:sz w:val="24"/>
                <w:szCs w:val="24"/>
                <w:highlight w:val="none"/>
                <w:lang w:val="en-US" w:eastAsia="zh-CN"/>
              </w:rPr>
              <w:t>废水</w:t>
            </w:r>
            <w:r>
              <w:rPr>
                <w:rFonts w:hint="eastAsia" w:ascii="Times New Roman" w:hAnsi="Times New Roman"/>
                <w:color w:val="auto"/>
                <w:sz w:val="24"/>
                <w:szCs w:val="24"/>
                <w:highlight w:val="none"/>
              </w:rPr>
              <w:t>监测计划详见下</w:t>
            </w:r>
            <w:r>
              <w:rPr>
                <w:rFonts w:ascii="Times New Roman" w:hAnsi="Times New Roman"/>
                <w:color w:val="auto"/>
                <w:sz w:val="24"/>
                <w:szCs w:val="24"/>
                <w:highlight w:val="none"/>
              </w:rPr>
              <w:t>表。</w:t>
            </w:r>
          </w:p>
          <w:p w14:paraId="5BE5D837">
            <w:pPr>
              <w:pStyle w:val="6"/>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表4-</w:t>
            </w:r>
            <w:r>
              <w:rPr>
                <w:rFonts w:hint="eastAsia" w:eastAsia="宋体" w:cs="Times New Roman"/>
                <w:b/>
                <w:bCs/>
                <w:color w:val="auto"/>
                <w:sz w:val="21"/>
                <w:szCs w:val="21"/>
                <w:highlight w:val="none"/>
                <w:lang w:val="en-US" w:eastAsia="zh-CN"/>
              </w:rPr>
              <w:t xml:space="preserve">11 </w:t>
            </w:r>
            <w:r>
              <w:rPr>
                <w:rFonts w:hint="default" w:ascii="Times New Roman" w:hAnsi="Times New Roman" w:eastAsia="宋体" w:cs="Times New Roman"/>
                <w:b/>
                <w:bCs/>
                <w:color w:val="auto"/>
                <w:sz w:val="21"/>
                <w:szCs w:val="21"/>
                <w:highlight w:val="none"/>
              </w:rPr>
              <w:t>项目运营期</w:t>
            </w:r>
            <w:r>
              <w:rPr>
                <w:rFonts w:hint="eastAsia" w:eastAsia="宋体" w:cs="Times New Roman"/>
                <w:b/>
                <w:bCs/>
                <w:color w:val="auto"/>
                <w:sz w:val="21"/>
                <w:szCs w:val="21"/>
                <w:highlight w:val="none"/>
                <w:lang w:val="en-US" w:eastAsia="zh-CN"/>
              </w:rPr>
              <w:t>废水</w:t>
            </w:r>
            <w:r>
              <w:rPr>
                <w:rFonts w:hint="default" w:ascii="Times New Roman" w:hAnsi="Times New Roman" w:eastAsia="宋体" w:cs="Times New Roman"/>
                <w:b/>
                <w:bCs/>
                <w:color w:val="auto"/>
                <w:sz w:val="21"/>
                <w:szCs w:val="21"/>
                <w:highlight w:val="none"/>
              </w:rPr>
              <w:t>监测计划一览表</w:t>
            </w:r>
          </w:p>
          <w:tbl>
            <w:tblPr>
              <w:tblStyle w:val="27"/>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1183"/>
              <w:gridCol w:w="5170"/>
              <w:gridCol w:w="1649"/>
            </w:tblGrid>
            <w:tr w14:paraId="6C25D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blHeader/>
                <w:jc w:val="center"/>
              </w:trPr>
              <w:tc>
                <w:tcPr>
                  <w:tcW w:w="785" w:type="dxa"/>
                  <w:tcBorders>
                    <w:tl2br w:val="nil"/>
                    <w:tr2bl w:val="nil"/>
                  </w:tcBorders>
                  <w:noWrap w:val="0"/>
                  <w:tcMar>
                    <w:left w:w="28" w:type="dxa"/>
                    <w:right w:w="28" w:type="dxa"/>
                  </w:tcMar>
                  <w:vAlign w:val="center"/>
                </w:tcPr>
                <w:p w14:paraId="788A85AC">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类别</w:t>
                  </w:r>
                </w:p>
              </w:tc>
              <w:tc>
                <w:tcPr>
                  <w:tcW w:w="1183" w:type="dxa"/>
                  <w:tcBorders>
                    <w:tl2br w:val="nil"/>
                    <w:tr2bl w:val="nil"/>
                  </w:tcBorders>
                  <w:noWrap w:val="0"/>
                  <w:tcMar>
                    <w:left w:w="28" w:type="dxa"/>
                    <w:right w:w="28" w:type="dxa"/>
                  </w:tcMar>
                  <w:vAlign w:val="center"/>
                </w:tcPr>
                <w:p w14:paraId="430D22F1">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eastAsia="zh-CN"/>
                    </w:rPr>
                  </w:pPr>
                  <w:r>
                    <w:rPr>
                      <w:rFonts w:hint="eastAsia" w:cs="Times New Roman"/>
                      <w:b/>
                      <w:bCs/>
                      <w:color w:val="auto"/>
                      <w:sz w:val="21"/>
                      <w:szCs w:val="21"/>
                      <w:highlight w:val="none"/>
                      <w:lang w:val="en-US" w:eastAsia="zh-CN"/>
                    </w:rPr>
                    <w:t>监测点位</w:t>
                  </w:r>
                </w:p>
              </w:tc>
              <w:tc>
                <w:tcPr>
                  <w:tcW w:w="5170" w:type="dxa"/>
                  <w:tcBorders>
                    <w:tl2br w:val="nil"/>
                    <w:tr2bl w:val="nil"/>
                  </w:tcBorders>
                  <w:noWrap w:val="0"/>
                  <w:tcMar>
                    <w:left w:w="28" w:type="dxa"/>
                    <w:right w:w="28" w:type="dxa"/>
                  </w:tcMar>
                  <w:vAlign w:val="center"/>
                </w:tcPr>
                <w:p w14:paraId="512BA401">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eastAsia="zh-CN"/>
                    </w:rPr>
                  </w:pPr>
                  <w:r>
                    <w:rPr>
                      <w:rFonts w:hint="default" w:ascii="Times New Roman" w:hAnsi="Times New Roman" w:cs="Times New Roman"/>
                      <w:b/>
                      <w:bCs/>
                      <w:color w:val="auto"/>
                      <w:sz w:val="21"/>
                      <w:szCs w:val="21"/>
                      <w:highlight w:val="none"/>
                    </w:rPr>
                    <w:t>监测</w:t>
                  </w:r>
                  <w:r>
                    <w:rPr>
                      <w:rFonts w:hint="eastAsia" w:cs="Times New Roman"/>
                      <w:b/>
                      <w:bCs/>
                      <w:color w:val="auto"/>
                      <w:sz w:val="21"/>
                      <w:szCs w:val="21"/>
                      <w:highlight w:val="none"/>
                      <w:lang w:val="en-US" w:eastAsia="zh-CN"/>
                    </w:rPr>
                    <w:t>指标</w:t>
                  </w:r>
                </w:p>
              </w:tc>
              <w:tc>
                <w:tcPr>
                  <w:tcW w:w="1649" w:type="dxa"/>
                  <w:tcBorders>
                    <w:tl2br w:val="nil"/>
                    <w:tr2bl w:val="nil"/>
                  </w:tcBorders>
                  <w:noWrap w:val="0"/>
                  <w:tcMar>
                    <w:left w:w="28" w:type="dxa"/>
                    <w:right w:w="28" w:type="dxa"/>
                  </w:tcMar>
                  <w:vAlign w:val="center"/>
                </w:tcPr>
                <w:p w14:paraId="7EDD3ADE">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监测频次</w:t>
                  </w:r>
                </w:p>
              </w:tc>
            </w:tr>
            <w:tr w14:paraId="29726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785" w:type="dxa"/>
                  <w:tcBorders>
                    <w:tl2br w:val="nil"/>
                    <w:tr2bl w:val="nil"/>
                  </w:tcBorders>
                  <w:noWrap w:val="0"/>
                  <w:tcMar>
                    <w:left w:w="28" w:type="dxa"/>
                    <w:right w:w="28" w:type="dxa"/>
                  </w:tcMar>
                  <w:vAlign w:val="center"/>
                </w:tcPr>
                <w:p w14:paraId="3B00047C">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废水</w:t>
                  </w:r>
                </w:p>
              </w:tc>
              <w:tc>
                <w:tcPr>
                  <w:tcW w:w="1183" w:type="dxa"/>
                  <w:tcBorders>
                    <w:tl2br w:val="nil"/>
                    <w:tr2bl w:val="nil"/>
                  </w:tcBorders>
                  <w:noWrap w:val="0"/>
                  <w:tcMar>
                    <w:left w:w="28" w:type="dxa"/>
                    <w:right w:w="28" w:type="dxa"/>
                  </w:tcMar>
                  <w:vAlign w:val="center"/>
                </w:tcPr>
                <w:p w14:paraId="1FBA0AC8">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废水总排口</w:t>
                  </w:r>
                </w:p>
              </w:tc>
              <w:tc>
                <w:tcPr>
                  <w:tcW w:w="5170" w:type="dxa"/>
                  <w:tcBorders>
                    <w:tl2br w:val="nil"/>
                    <w:tr2bl w:val="nil"/>
                  </w:tcBorders>
                  <w:noWrap w:val="0"/>
                  <w:tcMar>
                    <w:left w:w="28" w:type="dxa"/>
                    <w:right w:w="28" w:type="dxa"/>
                  </w:tcMar>
                  <w:vAlign w:val="center"/>
                </w:tcPr>
                <w:p w14:paraId="45C5959F">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pH、COD、BOD</w:t>
                  </w:r>
                  <w:r>
                    <w:rPr>
                      <w:rFonts w:hint="eastAsia" w:cs="Times New Roman"/>
                      <w:color w:val="auto"/>
                      <w:sz w:val="21"/>
                      <w:szCs w:val="21"/>
                      <w:highlight w:val="none"/>
                      <w:vertAlign w:val="subscript"/>
                      <w:lang w:val="en-US" w:eastAsia="zh-CN"/>
                    </w:rPr>
                    <w:t>5</w:t>
                  </w:r>
                  <w:r>
                    <w:rPr>
                      <w:rFonts w:hint="eastAsia" w:cs="Times New Roman"/>
                      <w:color w:val="auto"/>
                      <w:sz w:val="21"/>
                      <w:szCs w:val="21"/>
                      <w:highlight w:val="none"/>
                      <w:lang w:val="en-US" w:eastAsia="zh-CN"/>
                    </w:rPr>
                    <w:t>、氨氮、SS、动植物油、TP</w:t>
                  </w:r>
                </w:p>
              </w:tc>
              <w:tc>
                <w:tcPr>
                  <w:tcW w:w="1649" w:type="dxa"/>
                  <w:tcBorders>
                    <w:tl2br w:val="nil"/>
                    <w:tr2bl w:val="nil"/>
                  </w:tcBorders>
                  <w:noWrap w:val="0"/>
                  <w:tcMar>
                    <w:left w:w="28" w:type="dxa"/>
                    <w:right w:w="28" w:type="dxa"/>
                  </w:tcMar>
                  <w:vAlign w:val="center"/>
                </w:tcPr>
                <w:p w14:paraId="51B20F82">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1次</w:t>
                  </w:r>
                  <w:r>
                    <w:rPr>
                      <w:rFonts w:hint="eastAsia" w:ascii="Times New Roman" w:hAnsi="Times New Roman" w:cs="Times New Roman"/>
                      <w:color w:val="auto"/>
                      <w:sz w:val="21"/>
                      <w:szCs w:val="21"/>
                      <w:highlight w:val="none"/>
                      <w:lang w:val="en-US" w:eastAsia="zh-CN"/>
                    </w:rPr>
                    <w:t>/</w:t>
                  </w:r>
                  <w:r>
                    <w:rPr>
                      <w:rFonts w:hint="eastAsia" w:cs="Times New Roman"/>
                      <w:color w:val="auto"/>
                      <w:sz w:val="21"/>
                      <w:szCs w:val="21"/>
                      <w:highlight w:val="none"/>
                      <w:lang w:val="en-US" w:eastAsia="zh-CN"/>
                    </w:rPr>
                    <w:t>年</w:t>
                  </w:r>
                </w:p>
              </w:tc>
            </w:tr>
          </w:tbl>
          <w:p w14:paraId="17EB1BD0">
            <w:pPr>
              <w:bidi w:val="0"/>
              <w:rPr>
                <w:rFonts w:hint="default"/>
                <w:b/>
                <w:bCs/>
                <w:color w:val="auto"/>
                <w:highlight w:val="none"/>
                <w:lang w:val="en-US" w:eastAsia="zh-CN"/>
              </w:rPr>
            </w:pPr>
            <w:r>
              <w:rPr>
                <w:rFonts w:hint="default"/>
                <w:b/>
                <w:bCs/>
                <w:color w:val="auto"/>
                <w:highlight w:val="none"/>
                <w:lang w:val="en-US" w:eastAsia="zh-CN"/>
              </w:rPr>
              <w:t>三、噪声环境影响和保护措施</w:t>
            </w:r>
          </w:p>
          <w:p w14:paraId="33979BBC">
            <w:pPr>
              <w:bidi w:val="0"/>
              <w:rPr>
                <w:rFonts w:hint="default"/>
                <w:b/>
                <w:bCs/>
                <w:color w:val="auto"/>
                <w:highlight w:val="none"/>
                <w:lang w:val="en-US" w:eastAsia="zh-CN"/>
              </w:rPr>
            </w:pPr>
            <w:r>
              <w:rPr>
                <w:rFonts w:hint="eastAsia"/>
                <w:b/>
                <w:bCs/>
                <w:color w:val="auto"/>
                <w:highlight w:val="none"/>
                <w:lang w:val="en-US" w:eastAsia="zh-CN"/>
              </w:rPr>
              <w:t>1、</w:t>
            </w:r>
            <w:r>
              <w:rPr>
                <w:rFonts w:hint="default"/>
                <w:b/>
                <w:bCs/>
                <w:color w:val="auto"/>
                <w:highlight w:val="none"/>
                <w:lang w:val="en-US" w:eastAsia="zh-CN"/>
              </w:rPr>
              <w:t>噪声源强及防治措施</w:t>
            </w:r>
          </w:p>
          <w:p w14:paraId="6A8877D4">
            <w:pPr>
              <w:bidi w:val="0"/>
              <w:rPr>
                <w:rFonts w:hint="default"/>
                <w:b/>
                <w:bCs/>
                <w:color w:val="auto"/>
                <w:highlight w:val="none"/>
                <w:lang w:val="en-US" w:eastAsia="zh-CN"/>
              </w:rPr>
            </w:pPr>
            <w:r>
              <w:rPr>
                <w:rFonts w:hint="eastAsia"/>
                <w:b/>
                <w:bCs/>
                <w:color w:val="auto"/>
                <w:highlight w:val="none"/>
                <w:lang w:val="en-US" w:eastAsia="zh-CN"/>
              </w:rPr>
              <w:t>（1）</w:t>
            </w:r>
            <w:r>
              <w:rPr>
                <w:rFonts w:hint="default"/>
                <w:b/>
                <w:bCs/>
                <w:color w:val="auto"/>
                <w:highlight w:val="none"/>
                <w:lang w:val="en-US" w:eastAsia="zh-CN"/>
              </w:rPr>
              <w:t>噪声源强</w:t>
            </w:r>
          </w:p>
          <w:p w14:paraId="46CD9440">
            <w:pPr>
              <w:rPr>
                <w:rFonts w:hint="eastAsia" w:ascii="Times New Roman" w:hAnsi="Times New Roman" w:eastAsia="宋体" w:cs="Times New Roman"/>
                <w:bCs/>
                <w:color w:val="auto"/>
                <w:sz w:val="24"/>
                <w:highlight w:val="none"/>
              </w:rPr>
            </w:pPr>
            <w:r>
              <w:rPr>
                <w:rFonts w:hint="default"/>
                <w:color w:val="auto"/>
                <w:highlight w:val="none"/>
                <w:lang w:val="en-US" w:eastAsia="zh-CN"/>
              </w:rPr>
              <w:t>运营期的噪声主要为设备运转产生的作业噪声，噪声源强为60~</w:t>
            </w:r>
            <w:r>
              <w:rPr>
                <w:rFonts w:hint="eastAsia"/>
                <w:color w:val="auto"/>
                <w:highlight w:val="none"/>
                <w:lang w:val="en-US" w:eastAsia="zh-CN"/>
              </w:rPr>
              <w:t>8</w:t>
            </w:r>
            <w:r>
              <w:rPr>
                <w:rFonts w:hint="default"/>
                <w:color w:val="auto"/>
                <w:highlight w:val="none"/>
                <w:lang w:val="en-US" w:eastAsia="zh-CN"/>
              </w:rPr>
              <w:t>0dB（A）。</w:t>
            </w:r>
            <w:r>
              <w:rPr>
                <w:rFonts w:hint="eastAsia"/>
                <w:color w:val="auto"/>
                <w:highlight w:val="none"/>
                <w:lang w:val="en-US" w:eastAsia="zh-CN"/>
              </w:rPr>
              <w:t>本项目</w:t>
            </w:r>
            <w:r>
              <w:rPr>
                <w:rFonts w:hint="default"/>
                <w:color w:val="auto"/>
                <w:highlight w:val="none"/>
                <w:lang w:val="en-US" w:eastAsia="zh-CN"/>
              </w:rPr>
              <w:t>主要噪声设备类比源强见下表</w:t>
            </w:r>
            <w:r>
              <w:rPr>
                <w:rFonts w:hint="eastAsia"/>
                <w:color w:val="auto"/>
                <w:highlight w:val="none"/>
                <w:lang w:val="en-US" w:eastAsia="zh-CN"/>
              </w:rPr>
              <w:t>。</w:t>
            </w:r>
          </w:p>
        </w:tc>
      </w:tr>
    </w:tbl>
    <w:p w14:paraId="167E3DFF">
      <w:pPr>
        <w:pStyle w:val="26"/>
        <w:ind w:left="0" w:leftChars="0" w:firstLine="0" w:firstLineChars="0"/>
        <w:jc w:val="both"/>
        <w:rPr>
          <w:rFonts w:hint="default" w:eastAsia="宋体"/>
          <w:color w:val="auto"/>
          <w:highlight w:val="none"/>
          <w:lang w:val="en-US" w:eastAsia="zh-CN"/>
        </w:rPr>
        <w:sectPr>
          <w:pgSz w:w="11907" w:h="16840"/>
          <w:pgMar w:top="1701" w:right="1531" w:bottom="2126" w:left="1531" w:header="851" w:footer="850" w:gutter="0"/>
          <w:pgBorders>
            <w:top w:val="none" w:sz="0" w:space="0"/>
            <w:left w:val="none" w:sz="0" w:space="0"/>
            <w:bottom w:val="none" w:sz="0" w:space="0"/>
            <w:right w:val="none" w:sz="0" w:space="0"/>
          </w:pgBorders>
          <w:pgNumType w:fmt="decimal"/>
          <w:cols w:space="720" w:num="1"/>
          <w:rtlGutter w:val="0"/>
          <w:docGrid w:type="lines" w:linePitch="312" w:charSpace="0"/>
        </w:sectPr>
      </w:pPr>
    </w:p>
    <w:p w14:paraId="02F714B8">
      <w:pPr>
        <w:keepNext/>
        <w:keepLines/>
        <w:ind w:firstLine="0" w:firstLineChars="0"/>
        <w:jc w:val="center"/>
        <w:outlineLvl w:val="9"/>
        <w:rPr>
          <w:rFonts w:hint="default" w:ascii="Times New Roman" w:hAnsi="Times New Roman"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表4-1</w:t>
      </w:r>
      <w:r>
        <w:rPr>
          <w:rFonts w:hint="eastAsia" w:cs="Times New Roman"/>
          <w:b/>
          <w:bCs/>
          <w:color w:val="auto"/>
          <w:sz w:val="21"/>
          <w:szCs w:val="21"/>
          <w:highlight w:val="none"/>
          <w:lang w:val="en-US" w:eastAsia="zh-CN"/>
        </w:rPr>
        <w:t>2</w:t>
      </w:r>
      <w:r>
        <w:rPr>
          <w:rFonts w:hint="default" w:ascii="Times New Roman" w:hAnsi="Times New Roman" w:cs="Times New Roman"/>
          <w:b/>
          <w:bCs/>
          <w:color w:val="auto"/>
          <w:sz w:val="21"/>
          <w:szCs w:val="21"/>
          <w:highlight w:val="none"/>
          <w:lang w:val="en-US" w:eastAsia="zh-CN"/>
        </w:rPr>
        <w:t xml:space="preserve"> 本项目噪声源强调查清单（室内声源）  单位：dB（A）</w:t>
      </w:r>
    </w:p>
    <w:tbl>
      <w:tblPr>
        <w:tblStyle w:val="28"/>
        <w:tblW w:w="56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520"/>
        <w:gridCol w:w="1280"/>
        <w:gridCol w:w="710"/>
        <w:gridCol w:w="710"/>
        <w:gridCol w:w="580"/>
        <w:gridCol w:w="640"/>
        <w:gridCol w:w="560"/>
        <w:gridCol w:w="570"/>
        <w:gridCol w:w="640"/>
        <w:gridCol w:w="600"/>
        <w:gridCol w:w="677"/>
        <w:gridCol w:w="740"/>
        <w:gridCol w:w="610"/>
        <w:gridCol w:w="590"/>
        <w:gridCol w:w="610"/>
        <w:gridCol w:w="730"/>
        <w:gridCol w:w="730"/>
        <w:gridCol w:w="510"/>
        <w:gridCol w:w="570"/>
        <w:gridCol w:w="540"/>
        <w:gridCol w:w="520"/>
        <w:gridCol w:w="761"/>
      </w:tblGrid>
      <w:tr w14:paraId="028B7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0" w:type="dxa"/>
            <w:vMerge w:val="restart"/>
            <w:noWrap w:val="0"/>
            <w:vAlign w:val="center"/>
          </w:tcPr>
          <w:p w14:paraId="29D823F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序号</w:t>
            </w:r>
          </w:p>
        </w:tc>
        <w:tc>
          <w:tcPr>
            <w:tcW w:w="520" w:type="dxa"/>
            <w:vMerge w:val="restart"/>
            <w:noWrap w:val="0"/>
            <w:vAlign w:val="center"/>
          </w:tcPr>
          <w:p w14:paraId="5DB8D2D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生产线</w:t>
            </w:r>
          </w:p>
        </w:tc>
        <w:tc>
          <w:tcPr>
            <w:tcW w:w="1280" w:type="dxa"/>
            <w:vMerge w:val="restart"/>
            <w:noWrap w:val="0"/>
            <w:vAlign w:val="center"/>
          </w:tcPr>
          <w:p w14:paraId="0F70CC8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声源名称</w:t>
            </w:r>
          </w:p>
        </w:tc>
        <w:tc>
          <w:tcPr>
            <w:tcW w:w="710" w:type="dxa"/>
            <w:vMerge w:val="restart"/>
            <w:noWrap w:val="0"/>
            <w:vAlign w:val="center"/>
          </w:tcPr>
          <w:p w14:paraId="3CCDAFF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声功率级dB（A）</w:t>
            </w:r>
          </w:p>
        </w:tc>
        <w:tc>
          <w:tcPr>
            <w:tcW w:w="710" w:type="dxa"/>
            <w:vMerge w:val="restart"/>
            <w:noWrap w:val="0"/>
            <w:vAlign w:val="center"/>
          </w:tcPr>
          <w:p w14:paraId="5743E81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声源控制措施</w:t>
            </w:r>
          </w:p>
        </w:tc>
        <w:tc>
          <w:tcPr>
            <w:tcW w:w="1780" w:type="dxa"/>
            <w:gridSpan w:val="3"/>
            <w:noWrap w:val="0"/>
            <w:vAlign w:val="center"/>
          </w:tcPr>
          <w:p w14:paraId="009C1ED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空间相对位置（m）</w:t>
            </w:r>
          </w:p>
        </w:tc>
        <w:tc>
          <w:tcPr>
            <w:tcW w:w="2487" w:type="dxa"/>
            <w:gridSpan w:val="4"/>
            <w:noWrap w:val="0"/>
            <w:vAlign w:val="center"/>
          </w:tcPr>
          <w:p w14:paraId="65B9A3A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距室内边界距离（m）</w:t>
            </w:r>
          </w:p>
        </w:tc>
        <w:tc>
          <w:tcPr>
            <w:tcW w:w="2550" w:type="dxa"/>
            <w:gridSpan w:val="4"/>
            <w:noWrap w:val="0"/>
            <w:vAlign w:val="center"/>
          </w:tcPr>
          <w:p w14:paraId="2777C02F">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室内边界声级dB（A）</w:t>
            </w:r>
          </w:p>
        </w:tc>
        <w:tc>
          <w:tcPr>
            <w:tcW w:w="730" w:type="dxa"/>
            <w:vMerge w:val="restart"/>
            <w:noWrap w:val="0"/>
            <w:vAlign w:val="center"/>
          </w:tcPr>
          <w:p w14:paraId="0039110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运行时段</w:t>
            </w:r>
          </w:p>
        </w:tc>
        <w:tc>
          <w:tcPr>
            <w:tcW w:w="730" w:type="dxa"/>
            <w:vMerge w:val="restart"/>
            <w:noWrap w:val="0"/>
            <w:vAlign w:val="center"/>
          </w:tcPr>
          <w:p w14:paraId="5EE61A9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建筑物插入损失dB（A）</w:t>
            </w:r>
          </w:p>
        </w:tc>
        <w:tc>
          <w:tcPr>
            <w:tcW w:w="2901" w:type="dxa"/>
            <w:gridSpan w:val="5"/>
            <w:noWrap w:val="0"/>
            <w:vAlign w:val="center"/>
          </w:tcPr>
          <w:p w14:paraId="6B0FA2E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建筑物外噪声</w:t>
            </w:r>
          </w:p>
        </w:tc>
      </w:tr>
      <w:tr w14:paraId="16F1A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vMerge w:val="continue"/>
            <w:noWrap w:val="0"/>
            <w:vAlign w:val="center"/>
          </w:tcPr>
          <w:p w14:paraId="70B1D16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rPr>
            </w:pPr>
          </w:p>
        </w:tc>
        <w:tc>
          <w:tcPr>
            <w:tcW w:w="520" w:type="dxa"/>
            <w:vMerge w:val="continue"/>
            <w:noWrap w:val="0"/>
            <w:vAlign w:val="center"/>
          </w:tcPr>
          <w:p w14:paraId="27267EF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rPr>
            </w:pPr>
          </w:p>
        </w:tc>
        <w:tc>
          <w:tcPr>
            <w:tcW w:w="1280" w:type="dxa"/>
            <w:vMerge w:val="continue"/>
            <w:noWrap w:val="0"/>
            <w:vAlign w:val="center"/>
          </w:tcPr>
          <w:p w14:paraId="6CE55BF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rPr>
            </w:pPr>
          </w:p>
        </w:tc>
        <w:tc>
          <w:tcPr>
            <w:tcW w:w="710" w:type="dxa"/>
            <w:vMerge w:val="continue"/>
            <w:noWrap w:val="0"/>
            <w:vAlign w:val="center"/>
          </w:tcPr>
          <w:p w14:paraId="40FA2FC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rPr>
            </w:pPr>
          </w:p>
        </w:tc>
        <w:tc>
          <w:tcPr>
            <w:tcW w:w="710" w:type="dxa"/>
            <w:vMerge w:val="continue"/>
            <w:noWrap w:val="0"/>
            <w:vAlign w:val="center"/>
          </w:tcPr>
          <w:p w14:paraId="4F06B9F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rPr>
            </w:pPr>
          </w:p>
        </w:tc>
        <w:tc>
          <w:tcPr>
            <w:tcW w:w="580" w:type="dxa"/>
            <w:noWrap w:val="0"/>
            <w:vAlign w:val="center"/>
          </w:tcPr>
          <w:p w14:paraId="72ACBA53">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val="en-US" w:eastAsia="zh-CN"/>
              </w:rPr>
              <w:t>X</w:t>
            </w:r>
          </w:p>
        </w:tc>
        <w:tc>
          <w:tcPr>
            <w:tcW w:w="640" w:type="dxa"/>
            <w:noWrap w:val="0"/>
            <w:vAlign w:val="center"/>
          </w:tcPr>
          <w:p w14:paraId="0C16E7A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val="en-US" w:eastAsia="zh-CN"/>
              </w:rPr>
              <w:t>Y</w:t>
            </w:r>
          </w:p>
        </w:tc>
        <w:tc>
          <w:tcPr>
            <w:tcW w:w="560" w:type="dxa"/>
            <w:noWrap w:val="0"/>
            <w:vAlign w:val="center"/>
          </w:tcPr>
          <w:p w14:paraId="171BD5B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val="en-US" w:eastAsia="zh-CN"/>
              </w:rPr>
              <w:t>Z</w:t>
            </w:r>
          </w:p>
        </w:tc>
        <w:tc>
          <w:tcPr>
            <w:tcW w:w="570" w:type="dxa"/>
            <w:noWrap w:val="0"/>
            <w:vAlign w:val="center"/>
          </w:tcPr>
          <w:p w14:paraId="29D324E1">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东</w:t>
            </w:r>
          </w:p>
        </w:tc>
        <w:tc>
          <w:tcPr>
            <w:tcW w:w="640" w:type="dxa"/>
            <w:noWrap w:val="0"/>
            <w:vAlign w:val="center"/>
          </w:tcPr>
          <w:p w14:paraId="02ED97E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南</w:t>
            </w:r>
          </w:p>
        </w:tc>
        <w:tc>
          <w:tcPr>
            <w:tcW w:w="600" w:type="dxa"/>
            <w:noWrap w:val="0"/>
            <w:vAlign w:val="center"/>
          </w:tcPr>
          <w:p w14:paraId="77585B2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西</w:t>
            </w:r>
          </w:p>
        </w:tc>
        <w:tc>
          <w:tcPr>
            <w:tcW w:w="677" w:type="dxa"/>
            <w:noWrap w:val="0"/>
            <w:vAlign w:val="center"/>
          </w:tcPr>
          <w:p w14:paraId="2EB6AF4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北</w:t>
            </w:r>
          </w:p>
        </w:tc>
        <w:tc>
          <w:tcPr>
            <w:tcW w:w="740" w:type="dxa"/>
            <w:noWrap w:val="0"/>
            <w:vAlign w:val="center"/>
          </w:tcPr>
          <w:p w14:paraId="328C36D0">
            <w:pPr>
              <w:pStyle w:val="10"/>
              <w:keepNext w:val="0"/>
              <w:keepLines w:val="0"/>
              <w:pageBreakBefore w:val="0"/>
              <w:kinsoku/>
              <w:wordWrap/>
              <w:overflowPunct/>
              <w:topLinePunct w:val="0"/>
              <w:autoSpaceDE/>
              <w:autoSpaceDN/>
              <w:bidi w:val="0"/>
              <w:adjustRightInd w:val="0"/>
              <w:snapToGrid w:val="0"/>
              <w:ind w:right="0" w:rightChars="0" w:firstLine="0" w:firstLineChars="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val="en-US" w:eastAsia="zh-CN"/>
              </w:rPr>
              <w:t>东</w:t>
            </w:r>
          </w:p>
        </w:tc>
        <w:tc>
          <w:tcPr>
            <w:tcW w:w="610" w:type="dxa"/>
            <w:noWrap w:val="0"/>
            <w:vAlign w:val="center"/>
          </w:tcPr>
          <w:p w14:paraId="66991E86">
            <w:pPr>
              <w:pStyle w:val="10"/>
              <w:keepNext w:val="0"/>
              <w:keepLines w:val="0"/>
              <w:pageBreakBefore w:val="0"/>
              <w:kinsoku/>
              <w:wordWrap/>
              <w:overflowPunct/>
              <w:topLinePunct w:val="0"/>
              <w:autoSpaceDE/>
              <w:autoSpaceDN/>
              <w:bidi w:val="0"/>
              <w:adjustRightInd w:val="0"/>
              <w:snapToGrid w:val="0"/>
              <w:ind w:right="0" w:rightChars="0" w:firstLine="0" w:firstLineChars="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val="en-US" w:eastAsia="zh-CN"/>
              </w:rPr>
              <w:t>南</w:t>
            </w:r>
          </w:p>
        </w:tc>
        <w:tc>
          <w:tcPr>
            <w:tcW w:w="590" w:type="dxa"/>
            <w:noWrap w:val="0"/>
            <w:vAlign w:val="center"/>
          </w:tcPr>
          <w:p w14:paraId="03CE5CAF">
            <w:pPr>
              <w:pStyle w:val="10"/>
              <w:keepNext w:val="0"/>
              <w:keepLines w:val="0"/>
              <w:pageBreakBefore w:val="0"/>
              <w:kinsoku/>
              <w:wordWrap/>
              <w:overflowPunct/>
              <w:topLinePunct w:val="0"/>
              <w:autoSpaceDE/>
              <w:autoSpaceDN/>
              <w:bidi w:val="0"/>
              <w:adjustRightInd w:val="0"/>
              <w:snapToGrid w:val="0"/>
              <w:ind w:right="0" w:rightChars="0" w:firstLine="0" w:firstLineChars="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val="en-US" w:eastAsia="zh-CN"/>
              </w:rPr>
              <w:t>西</w:t>
            </w:r>
          </w:p>
        </w:tc>
        <w:tc>
          <w:tcPr>
            <w:tcW w:w="610" w:type="dxa"/>
            <w:noWrap w:val="0"/>
            <w:vAlign w:val="center"/>
          </w:tcPr>
          <w:p w14:paraId="6E5B6103">
            <w:pPr>
              <w:pStyle w:val="10"/>
              <w:keepNext w:val="0"/>
              <w:keepLines w:val="0"/>
              <w:pageBreakBefore w:val="0"/>
              <w:kinsoku/>
              <w:wordWrap/>
              <w:overflowPunct/>
              <w:topLinePunct w:val="0"/>
              <w:autoSpaceDE/>
              <w:autoSpaceDN/>
              <w:bidi w:val="0"/>
              <w:adjustRightInd w:val="0"/>
              <w:snapToGrid w:val="0"/>
              <w:ind w:right="0" w:rightChars="0" w:firstLine="0" w:firstLineChars="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val="en-US" w:eastAsia="zh-CN"/>
              </w:rPr>
              <w:t>北</w:t>
            </w:r>
          </w:p>
        </w:tc>
        <w:tc>
          <w:tcPr>
            <w:tcW w:w="730" w:type="dxa"/>
            <w:vMerge w:val="continue"/>
            <w:noWrap w:val="0"/>
            <w:vAlign w:val="center"/>
          </w:tcPr>
          <w:p w14:paraId="667E25B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rPr>
            </w:pPr>
          </w:p>
        </w:tc>
        <w:tc>
          <w:tcPr>
            <w:tcW w:w="730" w:type="dxa"/>
            <w:vMerge w:val="continue"/>
            <w:noWrap w:val="0"/>
            <w:vAlign w:val="center"/>
          </w:tcPr>
          <w:p w14:paraId="7B70887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rPr>
            </w:pPr>
          </w:p>
        </w:tc>
        <w:tc>
          <w:tcPr>
            <w:tcW w:w="510" w:type="dxa"/>
            <w:noWrap w:val="0"/>
            <w:vAlign w:val="center"/>
          </w:tcPr>
          <w:p w14:paraId="6FA4271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东</w:t>
            </w:r>
          </w:p>
        </w:tc>
        <w:tc>
          <w:tcPr>
            <w:tcW w:w="570" w:type="dxa"/>
            <w:noWrap w:val="0"/>
            <w:vAlign w:val="center"/>
          </w:tcPr>
          <w:p w14:paraId="56E33BF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南</w:t>
            </w:r>
          </w:p>
        </w:tc>
        <w:tc>
          <w:tcPr>
            <w:tcW w:w="540" w:type="dxa"/>
            <w:noWrap w:val="0"/>
            <w:vAlign w:val="center"/>
          </w:tcPr>
          <w:p w14:paraId="63E7FF6F">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西</w:t>
            </w:r>
          </w:p>
        </w:tc>
        <w:tc>
          <w:tcPr>
            <w:tcW w:w="520" w:type="dxa"/>
            <w:noWrap w:val="0"/>
            <w:vAlign w:val="center"/>
          </w:tcPr>
          <w:p w14:paraId="449F0A61">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北</w:t>
            </w:r>
          </w:p>
        </w:tc>
        <w:tc>
          <w:tcPr>
            <w:tcW w:w="761" w:type="dxa"/>
            <w:noWrap w:val="0"/>
            <w:vAlign w:val="center"/>
          </w:tcPr>
          <w:p w14:paraId="2E732FF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val="en-US" w:eastAsia="zh-CN"/>
              </w:rPr>
              <w:t>建筑物外距离（m）</w:t>
            </w:r>
          </w:p>
        </w:tc>
      </w:tr>
      <w:tr w14:paraId="6E0FE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1F31586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520" w:type="dxa"/>
            <w:vMerge w:val="restart"/>
            <w:noWrap w:val="0"/>
            <w:vAlign w:val="center"/>
          </w:tcPr>
          <w:p w14:paraId="7DB6457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厂房</w:t>
            </w:r>
          </w:p>
        </w:tc>
        <w:tc>
          <w:tcPr>
            <w:tcW w:w="1280" w:type="dxa"/>
            <w:noWrap w:val="0"/>
            <w:vAlign w:val="center"/>
          </w:tcPr>
          <w:p w14:paraId="1AD73E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注塑机</w:t>
            </w:r>
          </w:p>
        </w:tc>
        <w:tc>
          <w:tcPr>
            <w:tcW w:w="710" w:type="dxa"/>
            <w:noWrap w:val="0"/>
            <w:vAlign w:val="center"/>
          </w:tcPr>
          <w:p w14:paraId="719EE0A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70</w:t>
            </w:r>
          </w:p>
        </w:tc>
        <w:tc>
          <w:tcPr>
            <w:tcW w:w="710" w:type="dxa"/>
            <w:vMerge w:val="restart"/>
            <w:noWrap w:val="0"/>
            <w:vAlign w:val="center"/>
          </w:tcPr>
          <w:p w14:paraId="35F1E8A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基础减震</w:t>
            </w:r>
          </w:p>
        </w:tc>
        <w:tc>
          <w:tcPr>
            <w:tcW w:w="580" w:type="dxa"/>
            <w:noWrap w:val="0"/>
            <w:vAlign w:val="center"/>
          </w:tcPr>
          <w:p w14:paraId="7D0643A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70</w:t>
            </w:r>
          </w:p>
        </w:tc>
        <w:tc>
          <w:tcPr>
            <w:tcW w:w="640" w:type="dxa"/>
            <w:noWrap w:val="0"/>
            <w:vAlign w:val="center"/>
          </w:tcPr>
          <w:p w14:paraId="04FE28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-37</w:t>
            </w:r>
          </w:p>
        </w:tc>
        <w:tc>
          <w:tcPr>
            <w:tcW w:w="560" w:type="dxa"/>
            <w:noWrap w:val="0"/>
            <w:vAlign w:val="center"/>
          </w:tcPr>
          <w:p w14:paraId="498F2EC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1.8</w:t>
            </w:r>
          </w:p>
        </w:tc>
        <w:tc>
          <w:tcPr>
            <w:tcW w:w="570" w:type="dxa"/>
            <w:noWrap w:val="0"/>
            <w:vAlign w:val="center"/>
          </w:tcPr>
          <w:p w14:paraId="09025AB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19</w:t>
            </w:r>
          </w:p>
        </w:tc>
        <w:tc>
          <w:tcPr>
            <w:tcW w:w="640" w:type="dxa"/>
            <w:noWrap w:val="0"/>
            <w:vAlign w:val="center"/>
          </w:tcPr>
          <w:p w14:paraId="2E3C2F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40</w:t>
            </w:r>
          </w:p>
        </w:tc>
        <w:tc>
          <w:tcPr>
            <w:tcW w:w="600" w:type="dxa"/>
            <w:noWrap w:val="0"/>
            <w:vAlign w:val="center"/>
          </w:tcPr>
          <w:p w14:paraId="69F2427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63</w:t>
            </w:r>
          </w:p>
        </w:tc>
        <w:tc>
          <w:tcPr>
            <w:tcW w:w="677" w:type="dxa"/>
            <w:noWrap w:val="0"/>
            <w:vAlign w:val="center"/>
          </w:tcPr>
          <w:p w14:paraId="3568698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90</w:t>
            </w:r>
          </w:p>
        </w:tc>
        <w:tc>
          <w:tcPr>
            <w:tcW w:w="740" w:type="dxa"/>
            <w:noWrap w:val="0"/>
            <w:vAlign w:val="center"/>
          </w:tcPr>
          <w:p w14:paraId="5AA2578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52</w:t>
            </w:r>
          </w:p>
        </w:tc>
        <w:tc>
          <w:tcPr>
            <w:tcW w:w="610" w:type="dxa"/>
            <w:noWrap w:val="0"/>
            <w:vAlign w:val="center"/>
          </w:tcPr>
          <w:p w14:paraId="5B316B4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590" w:type="dxa"/>
            <w:noWrap w:val="0"/>
            <w:vAlign w:val="center"/>
          </w:tcPr>
          <w:p w14:paraId="1D9456A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13A95BB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730" w:type="dxa"/>
            <w:vMerge w:val="restart"/>
            <w:noWrap w:val="0"/>
            <w:vAlign w:val="center"/>
          </w:tcPr>
          <w:p w14:paraId="53F4DE3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8点</w:t>
            </w:r>
            <w:r>
              <w:rPr>
                <w:rFonts w:hint="eastAsia"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17点</w:t>
            </w:r>
          </w:p>
        </w:tc>
        <w:tc>
          <w:tcPr>
            <w:tcW w:w="730" w:type="dxa"/>
            <w:vMerge w:val="restart"/>
            <w:noWrap w:val="0"/>
            <w:vAlign w:val="center"/>
          </w:tcPr>
          <w:p w14:paraId="40F5438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15</w:t>
            </w:r>
          </w:p>
        </w:tc>
        <w:tc>
          <w:tcPr>
            <w:tcW w:w="510" w:type="dxa"/>
            <w:vMerge w:val="restart"/>
            <w:noWrap w:val="0"/>
            <w:vAlign w:val="center"/>
          </w:tcPr>
          <w:p w14:paraId="3D41DE8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eastAsia="宋体"/>
                <w:sz w:val="21"/>
                <w:szCs w:val="21"/>
                <w:lang w:val="en-US" w:eastAsia="zh-CN"/>
              </w:rPr>
              <w:t>54</w:t>
            </w:r>
          </w:p>
        </w:tc>
        <w:tc>
          <w:tcPr>
            <w:tcW w:w="570" w:type="dxa"/>
            <w:vMerge w:val="restart"/>
            <w:noWrap w:val="0"/>
            <w:vAlign w:val="center"/>
          </w:tcPr>
          <w:p w14:paraId="353ED68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eastAsia="宋体"/>
                <w:sz w:val="21"/>
                <w:szCs w:val="21"/>
                <w:lang w:val="en-US" w:eastAsia="zh-CN"/>
              </w:rPr>
              <w:t>53</w:t>
            </w:r>
          </w:p>
        </w:tc>
        <w:tc>
          <w:tcPr>
            <w:tcW w:w="540" w:type="dxa"/>
            <w:vMerge w:val="restart"/>
            <w:noWrap w:val="0"/>
            <w:vAlign w:val="center"/>
          </w:tcPr>
          <w:p w14:paraId="3245E64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eastAsia="宋体"/>
                <w:sz w:val="21"/>
                <w:szCs w:val="21"/>
                <w:lang w:val="en-US" w:eastAsia="zh-CN"/>
              </w:rPr>
              <w:t>50</w:t>
            </w:r>
          </w:p>
        </w:tc>
        <w:tc>
          <w:tcPr>
            <w:tcW w:w="520" w:type="dxa"/>
            <w:vMerge w:val="restart"/>
            <w:noWrap w:val="0"/>
            <w:vAlign w:val="center"/>
          </w:tcPr>
          <w:p w14:paraId="53330B7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eastAsia="宋体"/>
                <w:sz w:val="21"/>
                <w:szCs w:val="21"/>
                <w:lang w:val="en-US" w:eastAsia="zh-CN"/>
              </w:rPr>
              <w:t>49</w:t>
            </w:r>
          </w:p>
        </w:tc>
        <w:tc>
          <w:tcPr>
            <w:tcW w:w="761" w:type="dxa"/>
            <w:vMerge w:val="restart"/>
            <w:noWrap w:val="0"/>
            <w:vAlign w:val="center"/>
          </w:tcPr>
          <w:p w14:paraId="05FA4D1C">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r>
      <w:tr w14:paraId="1FC2C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56B5182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520" w:type="dxa"/>
            <w:vMerge w:val="continue"/>
            <w:noWrap w:val="0"/>
            <w:vAlign w:val="center"/>
          </w:tcPr>
          <w:p w14:paraId="46F2103C">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28CE63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注塑机</w:t>
            </w:r>
          </w:p>
        </w:tc>
        <w:tc>
          <w:tcPr>
            <w:tcW w:w="710" w:type="dxa"/>
            <w:noWrap w:val="0"/>
            <w:vAlign w:val="center"/>
          </w:tcPr>
          <w:p w14:paraId="66EDEE6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70</w:t>
            </w:r>
          </w:p>
        </w:tc>
        <w:tc>
          <w:tcPr>
            <w:tcW w:w="710" w:type="dxa"/>
            <w:vMerge w:val="continue"/>
            <w:noWrap w:val="0"/>
            <w:vAlign w:val="center"/>
          </w:tcPr>
          <w:p w14:paraId="0DDCD27F">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6BBCB3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64</w:t>
            </w:r>
          </w:p>
        </w:tc>
        <w:tc>
          <w:tcPr>
            <w:tcW w:w="640" w:type="dxa"/>
            <w:noWrap w:val="0"/>
            <w:vAlign w:val="center"/>
          </w:tcPr>
          <w:p w14:paraId="184C55A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19</w:t>
            </w:r>
          </w:p>
        </w:tc>
        <w:tc>
          <w:tcPr>
            <w:tcW w:w="560" w:type="dxa"/>
            <w:noWrap w:val="0"/>
            <w:vAlign w:val="center"/>
          </w:tcPr>
          <w:p w14:paraId="7B9A74C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1.8</w:t>
            </w:r>
          </w:p>
        </w:tc>
        <w:tc>
          <w:tcPr>
            <w:tcW w:w="570" w:type="dxa"/>
            <w:noWrap w:val="0"/>
            <w:vAlign w:val="center"/>
          </w:tcPr>
          <w:p w14:paraId="462332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41</w:t>
            </w:r>
          </w:p>
        </w:tc>
        <w:tc>
          <w:tcPr>
            <w:tcW w:w="640" w:type="dxa"/>
            <w:noWrap w:val="0"/>
            <w:vAlign w:val="center"/>
          </w:tcPr>
          <w:p w14:paraId="04EA05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76</w:t>
            </w:r>
          </w:p>
        </w:tc>
        <w:tc>
          <w:tcPr>
            <w:tcW w:w="600" w:type="dxa"/>
            <w:noWrap w:val="0"/>
            <w:vAlign w:val="center"/>
          </w:tcPr>
          <w:p w14:paraId="51CD4E6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44</w:t>
            </w:r>
          </w:p>
        </w:tc>
        <w:tc>
          <w:tcPr>
            <w:tcW w:w="677" w:type="dxa"/>
            <w:noWrap w:val="0"/>
            <w:vAlign w:val="center"/>
          </w:tcPr>
          <w:p w14:paraId="1C9C890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55</w:t>
            </w:r>
          </w:p>
        </w:tc>
        <w:tc>
          <w:tcPr>
            <w:tcW w:w="740" w:type="dxa"/>
            <w:noWrap w:val="0"/>
            <w:vAlign w:val="center"/>
          </w:tcPr>
          <w:p w14:paraId="0CC47B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7775803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590" w:type="dxa"/>
            <w:noWrap w:val="0"/>
            <w:vAlign w:val="center"/>
          </w:tcPr>
          <w:p w14:paraId="28FEAE1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40DD38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730" w:type="dxa"/>
            <w:vMerge w:val="continue"/>
            <w:noWrap w:val="0"/>
            <w:vAlign w:val="center"/>
          </w:tcPr>
          <w:p w14:paraId="1A3445D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5CC5F28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4066387F">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053F33F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17B8B60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0B35BF6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5C6B9131">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rPr>
            </w:pPr>
          </w:p>
        </w:tc>
      </w:tr>
      <w:tr w14:paraId="74D2F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618DAD1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520" w:type="dxa"/>
            <w:vMerge w:val="continue"/>
            <w:noWrap w:val="0"/>
            <w:vAlign w:val="center"/>
          </w:tcPr>
          <w:p w14:paraId="4071966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58B0B678">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注塑机</w:t>
            </w:r>
          </w:p>
        </w:tc>
        <w:tc>
          <w:tcPr>
            <w:tcW w:w="710" w:type="dxa"/>
            <w:noWrap w:val="0"/>
            <w:vAlign w:val="center"/>
          </w:tcPr>
          <w:p w14:paraId="62F1528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70</w:t>
            </w:r>
          </w:p>
        </w:tc>
        <w:tc>
          <w:tcPr>
            <w:tcW w:w="710" w:type="dxa"/>
            <w:vMerge w:val="continue"/>
            <w:noWrap w:val="0"/>
            <w:vAlign w:val="center"/>
          </w:tcPr>
          <w:p w14:paraId="47A3CE2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173D51F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26</w:t>
            </w:r>
          </w:p>
        </w:tc>
        <w:tc>
          <w:tcPr>
            <w:tcW w:w="640" w:type="dxa"/>
            <w:noWrap w:val="0"/>
            <w:vAlign w:val="center"/>
          </w:tcPr>
          <w:p w14:paraId="37CF311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35</w:t>
            </w:r>
          </w:p>
        </w:tc>
        <w:tc>
          <w:tcPr>
            <w:tcW w:w="560" w:type="dxa"/>
            <w:noWrap w:val="0"/>
            <w:vAlign w:val="center"/>
          </w:tcPr>
          <w:p w14:paraId="7CF0B3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1.8</w:t>
            </w:r>
          </w:p>
        </w:tc>
        <w:tc>
          <w:tcPr>
            <w:tcW w:w="570" w:type="dxa"/>
            <w:noWrap w:val="0"/>
            <w:vAlign w:val="center"/>
          </w:tcPr>
          <w:p w14:paraId="340F04E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77</w:t>
            </w:r>
          </w:p>
        </w:tc>
        <w:tc>
          <w:tcPr>
            <w:tcW w:w="640" w:type="dxa"/>
            <w:noWrap w:val="0"/>
            <w:vAlign w:val="center"/>
          </w:tcPr>
          <w:p w14:paraId="27FD7C1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14</w:t>
            </w:r>
          </w:p>
        </w:tc>
        <w:tc>
          <w:tcPr>
            <w:tcW w:w="600" w:type="dxa"/>
            <w:noWrap w:val="0"/>
            <w:vAlign w:val="center"/>
          </w:tcPr>
          <w:p w14:paraId="1D980B0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w:t>
            </w:r>
          </w:p>
        </w:tc>
        <w:tc>
          <w:tcPr>
            <w:tcW w:w="677" w:type="dxa"/>
            <w:noWrap w:val="0"/>
            <w:vAlign w:val="center"/>
          </w:tcPr>
          <w:p w14:paraId="5F33F8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74</w:t>
            </w:r>
          </w:p>
        </w:tc>
        <w:tc>
          <w:tcPr>
            <w:tcW w:w="740" w:type="dxa"/>
            <w:noWrap w:val="0"/>
            <w:vAlign w:val="center"/>
          </w:tcPr>
          <w:p w14:paraId="181CA7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684442B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53</w:t>
            </w:r>
          </w:p>
        </w:tc>
        <w:tc>
          <w:tcPr>
            <w:tcW w:w="590" w:type="dxa"/>
            <w:noWrap w:val="0"/>
            <w:vAlign w:val="center"/>
          </w:tcPr>
          <w:p w14:paraId="42C4BAB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59</w:t>
            </w:r>
          </w:p>
        </w:tc>
        <w:tc>
          <w:tcPr>
            <w:tcW w:w="610" w:type="dxa"/>
            <w:noWrap w:val="0"/>
            <w:vAlign w:val="center"/>
          </w:tcPr>
          <w:p w14:paraId="3A1938B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730" w:type="dxa"/>
            <w:vMerge w:val="continue"/>
            <w:noWrap w:val="0"/>
            <w:vAlign w:val="center"/>
          </w:tcPr>
          <w:p w14:paraId="6FC262C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2472387C">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34728A3F">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21B64AFC">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1BD3C9A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1A47647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065D218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rPr>
            </w:pPr>
          </w:p>
        </w:tc>
      </w:tr>
      <w:tr w14:paraId="2ACA6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10CCAB0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520" w:type="dxa"/>
            <w:vMerge w:val="continue"/>
            <w:noWrap w:val="0"/>
            <w:vAlign w:val="center"/>
          </w:tcPr>
          <w:p w14:paraId="3DC5F9C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49162BF1">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50芯线押出机</w:t>
            </w:r>
          </w:p>
        </w:tc>
        <w:tc>
          <w:tcPr>
            <w:tcW w:w="710" w:type="dxa"/>
            <w:noWrap w:val="0"/>
            <w:vAlign w:val="center"/>
          </w:tcPr>
          <w:p w14:paraId="2D48ED1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70</w:t>
            </w:r>
          </w:p>
        </w:tc>
        <w:tc>
          <w:tcPr>
            <w:tcW w:w="710" w:type="dxa"/>
            <w:vMerge w:val="continue"/>
            <w:noWrap w:val="0"/>
            <w:vAlign w:val="center"/>
          </w:tcPr>
          <w:p w14:paraId="2671321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72741C6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34</w:t>
            </w:r>
          </w:p>
        </w:tc>
        <w:tc>
          <w:tcPr>
            <w:tcW w:w="640" w:type="dxa"/>
            <w:noWrap w:val="0"/>
            <w:vAlign w:val="center"/>
          </w:tcPr>
          <w:p w14:paraId="4CB1B70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40</w:t>
            </w:r>
          </w:p>
        </w:tc>
        <w:tc>
          <w:tcPr>
            <w:tcW w:w="560" w:type="dxa"/>
            <w:noWrap w:val="0"/>
            <w:vAlign w:val="center"/>
          </w:tcPr>
          <w:p w14:paraId="46FC18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1.8</w:t>
            </w:r>
          </w:p>
        </w:tc>
        <w:tc>
          <w:tcPr>
            <w:tcW w:w="570" w:type="dxa"/>
            <w:noWrap w:val="0"/>
            <w:vAlign w:val="center"/>
          </w:tcPr>
          <w:p w14:paraId="1E5871A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77</w:t>
            </w:r>
          </w:p>
        </w:tc>
        <w:tc>
          <w:tcPr>
            <w:tcW w:w="640" w:type="dxa"/>
            <w:noWrap w:val="0"/>
            <w:vAlign w:val="center"/>
          </w:tcPr>
          <w:p w14:paraId="3C5141C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43</w:t>
            </w:r>
          </w:p>
        </w:tc>
        <w:tc>
          <w:tcPr>
            <w:tcW w:w="600" w:type="dxa"/>
            <w:noWrap w:val="0"/>
            <w:vAlign w:val="center"/>
          </w:tcPr>
          <w:p w14:paraId="36D7D65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w:t>
            </w:r>
          </w:p>
        </w:tc>
        <w:tc>
          <w:tcPr>
            <w:tcW w:w="677" w:type="dxa"/>
            <w:noWrap w:val="0"/>
            <w:vAlign w:val="center"/>
          </w:tcPr>
          <w:p w14:paraId="65AFF4A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45</w:t>
            </w:r>
          </w:p>
        </w:tc>
        <w:tc>
          <w:tcPr>
            <w:tcW w:w="740" w:type="dxa"/>
            <w:noWrap w:val="0"/>
            <w:vAlign w:val="center"/>
          </w:tcPr>
          <w:p w14:paraId="5F90B99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32D78A8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590" w:type="dxa"/>
            <w:noWrap w:val="0"/>
            <w:vAlign w:val="center"/>
          </w:tcPr>
          <w:p w14:paraId="677D37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59</w:t>
            </w:r>
          </w:p>
        </w:tc>
        <w:tc>
          <w:tcPr>
            <w:tcW w:w="610" w:type="dxa"/>
            <w:noWrap w:val="0"/>
            <w:vAlign w:val="center"/>
          </w:tcPr>
          <w:p w14:paraId="135A1A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730" w:type="dxa"/>
            <w:vMerge w:val="continue"/>
            <w:noWrap w:val="0"/>
            <w:vAlign w:val="center"/>
          </w:tcPr>
          <w:p w14:paraId="1A1A071F">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4C07CB93">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1C0662E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4C9FA20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3E05DE0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4B4465B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78DD5973">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r>
      <w:tr w14:paraId="1DBFE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22E0386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5</w:t>
            </w:r>
          </w:p>
        </w:tc>
        <w:tc>
          <w:tcPr>
            <w:tcW w:w="520" w:type="dxa"/>
            <w:vMerge w:val="continue"/>
            <w:noWrap w:val="0"/>
            <w:vAlign w:val="center"/>
          </w:tcPr>
          <w:p w14:paraId="2AEC154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050507DE">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50芯线押出机</w:t>
            </w:r>
          </w:p>
        </w:tc>
        <w:tc>
          <w:tcPr>
            <w:tcW w:w="710" w:type="dxa"/>
            <w:noWrap w:val="0"/>
            <w:vAlign w:val="center"/>
          </w:tcPr>
          <w:p w14:paraId="4FD85AC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70</w:t>
            </w:r>
          </w:p>
        </w:tc>
        <w:tc>
          <w:tcPr>
            <w:tcW w:w="710" w:type="dxa"/>
            <w:vMerge w:val="continue"/>
            <w:noWrap w:val="0"/>
            <w:vAlign w:val="center"/>
          </w:tcPr>
          <w:p w14:paraId="4A9F059F">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03A9373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60</w:t>
            </w:r>
          </w:p>
        </w:tc>
        <w:tc>
          <w:tcPr>
            <w:tcW w:w="640" w:type="dxa"/>
            <w:noWrap w:val="0"/>
            <w:vAlign w:val="center"/>
          </w:tcPr>
          <w:p w14:paraId="487159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-30</w:t>
            </w:r>
          </w:p>
        </w:tc>
        <w:tc>
          <w:tcPr>
            <w:tcW w:w="560" w:type="dxa"/>
            <w:noWrap w:val="0"/>
            <w:vAlign w:val="center"/>
          </w:tcPr>
          <w:p w14:paraId="17EBD8B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1.6</w:t>
            </w:r>
          </w:p>
        </w:tc>
        <w:tc>
          <w:tcPr>
            <w:tcW w:w="570" w:type="dxa"/>
            <w:noWrap w:val="0"/>
            <w:vAlign w:val="center"/>
          </w:tcPr>
          <w:p w14:paraId="44E181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32</w:t>
            </w:r>
          </w:p>
        </w:tc>
        <w:tc>
          <w:tcPr>
            <w:tcW w:w="640" w:type="dxa"/>
            <w:noWrap w:val="0"/>
            <w:vAlign w:val="center"/>
          </w:tcPr>
          <w:p w14:paraId="51E096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40</w:t>
            </w:r>
          </w:p>
        </w:tc>
        <w:tc>
          <w:tcPr>
            <w:tcW w:w="600" w:type="dxa"/>
            <w:noWrap w:val="0"/>
            <w:vAlign w:val="center"/>
          </w:tcPr>
          <w:p w14:paraId="288070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50</w:t>
            </w:r>
          </w:p>
        </w:tc>
        <w:tc>
          <w:tcPr>
            <w:tcW w:w="677" w:type="dxa"/>
            <w:noWrap w:val="0"/>
            <w:vAlign w:val="center"/>
          </w:tcPr>
          <w:p w14:paraId="09897C6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90</w:t>
            </w:r>
          </w:p>
        </w:tc>
        <w:tc>
          <w:tcPr>
            <w:tcW w:w="740" w:type="dxa"/>
            <w:noWrap w:val="0"/>
            <w:vAlign w:val="center"/>
          </w:tcPr>
          <w:p w14:paraId="1ECED8A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3331872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590" w:type="dxa"/>
            <w:noWrap w:val="0"/>
            <w:vAlign w:val="center"/>
          </w:tcPr>
          <w:p w14:paraId="72000B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0004E50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730" w:type="dxa"/>
            <w:vMerge w:val="continue"/>
            <w:noWrap w:val="0"/>
            <w:vAlign w:val="center"/>
          </w:tcPr>
          <w:p w14:paraId="4A8A667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35684AE1">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1DD7754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616B77A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1C53722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4CEABCE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31AD7FF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rPr>
            </w:pPr>
          </w:p>
        </w:tc>
      </w:tr>
      <w:tr w14:paraId="178A9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0D82F98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6</w:t>
            </w:r>
          </w:p>
        </w:tc>
        <w:tc>
          <w:tcPr>
            <w:tcW w:w="520" w:type="dxa"/>
            <w:vMerge w:val="continue"/>
            <w:noWrap w:val="0"/>
            <w:vAlign w:val="center"/>
          </w:tcPr>
          <w:p w14:paraId="74FDCC9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047DF9E0">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50芯线押出机</w:t>
            </w:r>
          </w:p>
        </w:tc>
        <w:tc>
          <w:tcPr>
            <w:tcW w:w="710" w:type="dxa"/>
            <w:noWrap w:val="0"/>
            <w:vAlign w:val="center"/>
          </w:tcPr>
          <w:p w14:paraId="2A0B946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70</w:t>
            </w:r>
          </w:p>
        </w:tc>
        <w:tc>
          <w:tcPr>
            <w:tcW w:w="710" w:type="dxa"/>
            <w:vMerge w:val="continue"/>
            <w:noWrap w:val="0"/>
            <w:vAlign w:val="center"/>
          </w:tcPr>
          <w:p w14:paraId="6A4C19F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6A62BA2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58</w:t>
            </w:r>
          </w:p>
        </w:tc>
        <w:tc>
          <w:tcPr>
            <w:tcW w:w="640" w:type="dxa"/>
            <w:noWrap w:val="0"/>
            <w:vAlign w:val="center"/>
          </w:tcPr>
          <w:p w14:paraId="1701451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-32</w:t>
            </w:r>
          </w:p>
        </w:tc>
        <w:tc>
          <w:tcPr>
            <w:tcW w:w="560" w:type="dxa"/>
            <w:noWrap w:val="0"/>
            <w:vAlign w:val="center"/>
          </w:tcPr>
          <w:p w14:paraId="67E970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1.6</w:t>
            </w:r>
          </w:p>
        </w:tc>
        <w:tc>
          <w:tcPr>
            <w:tcW w:w="570" w:type="dxa"/>
            <w:noWrap w:val="0"/>
            <w:vAlign w:val="center"/>
          </w:tcPr>
          <w:p w14:paraId="30CB46D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32</w:t>
            </w:r>
          </w:p>
        </w:tc>
        <w:tc>
          <w:tcPr>
            <w:tcW w:w="640" w:type="dxa"/>
            <w:noWrap w:val="0"/>
            <w:vAlign w:val="center"/>
          </w:tcPr>
          <w:p w14:paraId="5A6E05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25</w:t>
            </w:r>
          </w:p>
        </w:tc>
        <w:tc>
          <w:tcPr>
            <w:tcW w:w="600" w:type="dxa"/>
            <w:noWrap w:val="0"/>
            <w:vAlign w:val="center"/>
          </w:tcPr>
          <w:p w14:paraId="59D43E7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50</w:t>
            </w:r>
          </w:p>
        </w:tc>
        <w:tc>
          <w:tcPr>
            <w:tcW w:w="677" w:type="dxa"/>
            <w:noWrap w:val="0"/>
            <w:vAlign w:val="center"/>
          </w:tcPr>
          <w:p w14:paraId="01684A2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105</w:t>
            </w:r>
          </w:p>
        </w:tc>
        <w:tc>
          <w:tcPr>
            <w:tcW w:w="740" w:type="dxa"/>
            <w:noWrap w:val="0"/>
            <w:vAlign w:val="center"/>
          </w:tcPr>
          <w:p w14:paraId="5BF71DE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59267F9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590" w:type="dxa"/>
            <w:noWrap w:val="0"/>
            <w:vAlign w:val="center"/>
          </w:tcPr>
          <w:p w14:paraId="74C106D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27355B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730" w:type="dxa"/>
            <w:vMerge w:val="continue"/>
            <w:noWrap w:val="0"/>
            <w:vAlign w:val="center"/>
          </w:tcPr>
          <w:p w14:paraId="199AC01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2E99673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258E38B3">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23E97E6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79E8E1B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32501C3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161D2053">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rPr>
            </w:pPr>
          </w:p>
        </w:tc>
      </w:tr>
      <w:tr w14:paraId="212CE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1F97638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7</w:t>
            </w:r>
          </w:p>
        </w:tc>
        <w:tc>
          <w:tcPr>
            <w:tcW w:w="520" w:type="dxa"/>
            <w:vMerge w:val="continue"/>
            <w:noWrap w:val="0"/>
            <w:vAlign w:val="center"/>
          </w:tcPr>
          <w:p w14:paraId="388BF38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4D7983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500型高速绞对及退扭机</w:t>
            </w:r>
          </w:p>
        </w:tc>
        <w:tc>
          <w:tcPr>
            <w:tcW w:w="710" w:type="dxa"/>
            <w:noWrap w:val="0"/>
            <w:vAlign w:val="center"/>
          </w:tcPr>
          <w:p w14:paraId="75AE6C3C">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6</w:t>
            </w:r>
            <w:r>
              <w:rPr>
                <w:rFonts w:hint="eastAsia" w:cs="Times New Roman"/>
                <w:color w:val="auto"/>
                <w:sz w:val="21"/>
                <w:szCs w:val="21"/>
                <w:highlight w:val="none"/>
                <w:lang w:val="en-US" w:eastAsia="zh-CN"/>
              </w:rPr>
              <w:t>5</w:t>
            </w:r>
          </w:p>
        </w:tc>
        <w:tc>
          <w:tcPr>
            <w:tcW w:w="710" w:type="dxa"/>
            <w:vMerge w:val="continue"/>
            <w:noWrap w:val="0"/>
            <w:vAlign w:val="center"/>
          </w:tcPr>
          <w:p w14:paraId="3B6620A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1B2A84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45</w:t>
            </w:r>
          </w:p>
        </w:tc>
        <w:tc>
          <w:tcPr>
            <w:tcW w:w="640" w:type="dxa"/>
            <w:noWrap w:val="0"/>
            <w:vAlign w:val="center"/>
          </w:tcPr>
          <w:p w14:paraId="20E05D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66</w:t>
            </w:r>
          </w:p>
        </w:tc>
        <w:tc>
          <w:tcPr>
            <w:tcW w:w="560" w:type="dxa"/>
            <w:noWrap w:val="0"/>
            <w:vAlign w:val="center"/>
          </w:tcPr>
          <w:p w14:paraId="61796F1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1.6</w:t>
            </w:r>
          </w:p>
        </w:tc>
        <w:tc>
          <w:tcPr>
            <w:tcW w:w="570" w:type="dxa"/>
            <w:noWrap w:val="0"/>
            <w:vAlign w:val="center"/>
          </w:tcPr>
          <w:p w14:paraId="3C1DBFD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78</w:t>
            </w:r>
          </w:p>
        </w:tc>
        <w:tc>
          <w:tcPr>
            <w:tcW w:w="640" w:type="dxa"/>
            <w:noWrap w:val="0"/>
            <w:vAlign w:val="center"/>
          </w:tcPr>
          <w:p w14:paraId="608906E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67</w:t>
            </w:r>
          </w:p>
        </w:tc>
        <w:tc>
          <w:tcPr>
            <w:tcW w:w="600" w:type="dxa"/>
            <w:noWrap w:val="0"/>
            <w:vAlign w:val="center"/>
          </w:tcPr>
          <w:p w14:paraId="5DA623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w:t>
            </w:r>
          </w:p>
        </w:tc>
        <w:tc>
          <w:tcPr>
            <w:tcW w:w="677" w:type="dxa"/>
            <w:noWrap w:val="0"/>
            <w:vAlign w:val="center"/>
          </w:tcPr>
          <w:p w14:paraId="7E99F2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22</w:t>
            </w:r>
          </w:p>
        </w:tc>
        <w:tc>
          <w:tcPr>
            <w:tcW w:w="740" w:type="dxa"/>
            <w:noWrap w:val="0"/>
            <w:vAlign w:val="center"/>
          </w:tcPr>
          <w:p w14:paraId="2A7D1F7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5B1E9A0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590" w:type="dxa"/>
            <w:noWrap w:val="0"/>
            <w:vAlign w:val="center"/>
          </w:tcPr>
          <w:p w14:paraId="17C79F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60</w:t>
            </w:r>
          </w:p>
        </w:tc>
        <w:tc>
          <w:tcPr>
            <w:tcW w:w="610" w:type="dxa"/>
            <w:noWrap w:val="0"/>
            <w:vAlign w:val="center"/>
          </w:tcPr>
          <w:p w14:paraId="19DA237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52</w:t>
            </w:r>
          </w:p>
        </w:tc>
        <w:tc>
          <w:tcPr>
            <w:tcW w:w="730" w:type="dxa"/>
            <w:vMerge w:val="continue"/>
            <w:noWrap w:val="0"/>
            <w:vAlign w:val="center"/>
          </w:tcPr>
          <w:p w14:paraId="24FB9553">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71F92DC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2C87C68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6C6FC851">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4B84291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6706A69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6C861CE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rPr>
            </w:pPr>
          </w:p>
        </w:tc>
      </w:tr>
      <w:tr w14:paraId="58B08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5AA04F2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520" w:type="dxa"/>
            <w:vMerge w:val="continue"/>
            <w:noWrap w:val="0"/>
            <w:vAlign w:val="center"/>
          </w:tcPr>
          <w:p w14:paraId="786B207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0A753C7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500型高速绞对及退扭机</w:t>
            </w:r>
          </w:p>
        </w:tc>
        <w:tc>
          <w:tcPr>
            <w:tcW w:w="710" w:type="dxa"/>
            <w:noWrap w:val="0"/>
            <w:vAlign w:val="center"/>
          </w:tcPr>
          <w:p w14:paraId="6DD3DD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6</w:t>
            </w:r>
            <w:r>
              <w:rPr>
                <w:rFonts w:hint="eastAsia" w:cs="Times New Roman"/>
                <w:color w:val="auto"/>
                <w:sz w:val="21"/>
                <w:szCs w:val="21"/>
                <w:highlight w:val="none"/>
                <w:lang w:val="en-US" w:eastAsia="zh-CN"/>
              </w:rPr>
              <w:t>5</w:t>
            </w:r>
          </w:p>
        </w:tc>
        <w:tc>
          <w:tcPr>
            <w:tcW w:w="710" w:type="dxa"/>
            <w:vMerge w:val="continue"/>
            <w:noWrap w:val="0"/>
            <w:vAlign w:val="center"/>
          </w:tcPr>
          <w:p w14:paraId="4204C28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085094D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70</w:t>
            </w:r>
          </w:p>
        </w:tc>
        <w:tc>
          <w:tcPr>
            <w:tcW w:w="640" w:type="dxa"/>
            <w:noWrap w:val="0"/>
            <w:vAlign w:val="center"/>
          </w:tcPr>
          <w:p w14:paraId="25C2278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40</w:t>
            </w:r>
          </w:p>
        </w:tc>
        <w:tc>
          <w:tcPr>
            <w:tcW w:w="560" w:type="dxa"/>
            <w:noWrap w:val="0"/>
            <w:vAlign w:val="center"/>
          </w:tcPr>
          <w:p w14:paraId="0BF88E7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1.6</w:t>
            </w:r>
          </w:p>
        </w:tc>
        <w:tc>
          <w:tcPr>
            <w:tcW w:w="570" w:type="dxa"/>
            <w:noWrap w:val="0"/>
            <w:vAlign w:val="center"/>
          </w:tcPr>
          <w:p w14:paraId="0BAF7C0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48</w:t>
            </w:r>
          </w:p>
        </w:tc>
        <w:tc>
          <w:tcPr>
            <w:tcW w:w="640" w:type="dxa"/>
            <w:noWrap w:val="0"/>
            <w:vAlign w:val="center"/>
          </w:tcPr>
          <w:p w14:paraId="5EEBE52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65</w:t>
            </w:r>
          </w:p>
        </w:tc>
        <w:tc>
          <w:tcPr>
            <w:tcW w:w="600" w:type="dxa"/>
            <w:noWrap w:val="0"/>
            <w:vAlign w:val="center"/>
          </w:tcPr>
          <w:p w14:paraId="05269BF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34</w:t>
            </w:r>
          </w:p>
        </w:tc>
        <w:tc>
          <w:tcPr>
            <w:tcW w:w="677" w:type="dxa"/>
            <w:noWrap w:val="0"/>
            <w:vAlign w:val="center"/>
          </w:tcPr>
          <w:p w14:paraId="5F58B9B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10</w:t>
            </w:r>
          </w:p>
        </w:tc>
        <w:tc>
          <w:tcPr>
            <w:tcW w:w="740" w:type="dxa"/>
            <w:noWrap w:val="0"/>
            <w:vAlign w:val="center"/>
          </w:tcPr>
          <w:p w14:paraId="4DB6CF1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45.8</w:t>
            </w:r>
          </w:p>
        </w:tc>
        <w:tc>
          <w:tcPr>
            <w:tcW w:w="610" w:type="dxa"/>
            <w:noWrap w:val="0"/>
            <w:vAlign w:val="center"/>
          </w:tcPr>
          <w:p w14:paraId="1CE7A83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45.7</w:t>
            </w:r>
          </w:p>
        </w:tc>
        <w:tc>
          <w:tcPr>
            <w:tcW w:w="590" w:type="dxa"/>
            <w:noWrap w:val="0"/>
            <w:vAlign w:val="center"/>
          </w:tcPr>
          <w:p w14:paraId="680328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46.1</w:t>
            </w:r>
          </w:p>
        </w:tc>
        <w:tc>
          <w:tcPr>
            <w:tcW w:w="610" w:type="dxa"/>
            <w:noWrap w:val="0"/>
            <w:vAlign w:val="center"/>
          </w:tcPr>
          <w:p w14:paraId="5CE1181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49.4</w:t>
            </w:r>
          </w:p>
        </w:tc>
        <w:tc>
          <w:tcPr>
            <w:tcW w:w="730" w:type="dxa"/>
            <w:vMerge w:val="continue"/>
            <w:noWrap w:val="0"/>
            <w:vAlign w:val="center"/>
          </w:tcPr>
          <w:p w14:paraId="4414041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7FA812E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531A510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1641943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60DC066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47E3C11F">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6D54706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r>
      <w:tr w14:paraId="3ED9D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70689AE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9</w:t>
            </w:r>
          </w:p>
        </w:tc>
        <w:tc>
          <w:tcPr>
            <w:tcW w:w="520" w:type="dxa"/>
            <w:vMerge w:val="continue"/>
            <w:noWrap w:val="0"/>
            <w:vAlign w:val="center"/>
          </w:tcPr>
          <w:p w14:paraId="549FFD6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7063A6B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500型高速绞对及退扭机</w:t>
            </w:r>
          </w:p>
        </w:tc>
        <w:tc>
          <w:tcPr>
            <w:tcW w:w="710" w:type="dxa"/>
            <w:noWrap w:val="0"/>
            <w:vAlign w:val="center"/>
          </w:tcPr>
          <w:p w14:paraId="728136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65</w:t>
            </w:r>
          </w:p>
        </w:tc>
        <w:tc>
          <w:tcPr>
            <w:tcW w:w="710" w:type="dxa"/>
            <w:vMerge w:val="continue"/>
            <w:noWrap w:val="0"/>
            <w:vAlign w:val="center"/>
          </w:tcPr>
          <w:p w14:paraId="756BD99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715A44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54</w:t>
            </w:r>
          </w:p>
        </w:tc>
        <w:tc>
          <w:tcPr>
            <w:tcW w:w="640" w:type="dxa"/>
            <w:noWrap w:val="0"/>
            <w:vAlign w:val="center"/>
          </w:tcPr>
          <w:p w14:paraId="00107ED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70</w:t>
            </w:r>
          </w:p>
        </w:tc>
        <w:tc>
          <w:tcPr>
            <w:tcW w:w="560" w:type="dxa"/>
            <w:noWrap w:val="0"/>
            <w:vAlign w:val="center"/>
          </w:tcPr>
          <w:p w14:paraId="2C5CC22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1.6</w:t>
            </w:r>
          </w:p>
        </w:tc>
        <w:tc>
          <w:tcPr>
            <w:tcW w:w="570" w:type="dxa"/>
            <w:noWrap w:val="0"/>
            <w:vAlign w:val="center"/>
          </w:tcPr>
          <w:p w14:paraId="3167976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78</w:t>
            </w:r>
          </w:p>
        </w:tc>
        <w:tc>
          <w:tcPr>
            <w:tcW w:w="640" w:type="dxa"/>
            <w:noWrap w:val="0"/>
            <w:vAlign w:val="center"/>
          </w:tcPr>
          <w:p w14:paraId="583BD3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69</w:t>
            </w:r>
          </w:p>
        </w:tc>
        <w:tc>
          <w:tcPr>
            <w:tcW w:w="600" w:type="dxa"/>
            <w:noWrap w:val="0"/>
            <w:vAlign w:val="center"/>
          </w:tcPr>
          <w:p w14:paraId="25696B8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w:t>
            </w:r>
          </w:p>
        </w:tc>
        <w:tc>
          <w:tcPr>
            <w:tcW w:w="677" w:type="dxa"/>
            <w:noWrap w:val="0"/>
            <w:vAlign w:val="center"/>
          </w:tcPr>
          <w:p w14:paraId="4E33F80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20</w:t>
            </w:r>
          </w:p>
        </w:tc>
        <w:tc>
          <w:tcPr>
            <w:tcW w:w="740" w:type="dxa"/>
            <w:noWrap w:val="0"/>
            <w:vAlign w:val="center"/>
          </w:tcPr>
          <w:p w14:paraId="4AE199C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45.7</w:t>
            </w:r>
          </w:p>
        </w:tc>
        <w:tc>
          <w:tcPr>
            <w:tcW w:w="610" w:type="dxa"/>
            <w:noWrap w:val="0"/>
            <w:vAlign w:val="center"/>
          </w:tcPr>
          <w:p w14:paraId="0EE28B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45.7</w:t>
            </w:r>
          </w:p>
        </w:tc>
        <w:tc>
          <w:tcPr>
            <w:tcW w:w="590" w:type="dxa"/>
            <w:noWrap w:val="0"/>
            <w:vAlign w:val="center"/>
          </w:tcPr>
          <w:p w14:paraId="1F3D18B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55.5</w:t>
            </w:r>
          </w:p>
        </w:tc>
        <w:tc>
          <w:tcPr>
            <w:tcW w:w="610" w:type="dxa"/>
            <w:noWrap w:val="0"/>
            <w:vAlign w:val="center"/>
          </w:tcPr>
          <w:p w14:paraId="6C5521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46.9</w:t>
            </w:r>
          </w:p>
        </w:tc>
        <w:tc>
          <w:tcPr>
            <w:tcW w:w="730" w:type="dxa"/>
            <w:vMerge w:val="continue"/>
            <w:noWrap w:val="0"/>
            <w:vAlign w:val="center"/>
          </w:tcPr>
          <w:p w14:paraId="1B041FF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1FF77951">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58ED7CE1">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1951286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5AAF83C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71016D9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457AB3F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r>
      <w:tr w14:paraId="46287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293FBFA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10</w:t>
            </w:r>
          </w:p>
        </w:tc>
        <w:tc>
          <w:tcPr>
            <w:tcW w:w="520" w:type="dxa"/>
            <w:vMerge w:val="continue"/>
            <w:noWrap w:val="0"/>
            <w:vAlign w:val="center"/>
          </w:tcPr>
          <w:p w14:paraId="2BAC3F6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4D2472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500型高速绞对及退扭机</w:t>
            </w:r>
          </w:p>
        </w:tc>
        <w:tc>
          <w:tcPr>
            <w:tcW w:w="710" w:type="dxa"/>
            <w:noWrap w:val="0"/>
            <w:vAlign w:val="center"/>
          </w:tcPr>
          <w:p w14:paraId="628140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65</w:t>
            </w:r>
          </w:p>
        </w:tc>
        <w:tc>
          <w:tcPr>
            <w:tcW w:w="710" w:type="dxa"/>
            <w:vMerge w:val="continue"/>
            <w:noWrap w:val="0"/>
            <w:vAlign w:val="center"/>
          </w:tcPr>
          <w:p w14:paraId="59FC00D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3AACD4B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35</w:t>
            </w:r>
          </w:p>
        </w:tc>
        <w:tc>
          <w:tcPr>
            <w:tcW w:w="640" w:type="dxa"/>
            <w:noWrap w:val="0"/>
            <w:vAlign w:val="center"/>
          </w:tcPr>
          <w:p w14:paraId="3138D56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8</w:t>
            </w:r>
          </w:p>
        </w:tc>
        <w:tc>
          <w:tcPr>
            <w:tcW w:w="560" w:type="dxa"/>
            <w:noWrap w:val="0"/>
            <w:vAlign w:val="center"/>
          </w:tcPr>
          <w:p w14:paraId="400047E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1.2</w:t>
            </w:r>
          </w:p>
        </w:tc>
        <w:tc>
          <w:tcPr>
            <w:tcW w:w="570" w:type="dxa"/>
            <w:noWrap w:val="0"/>
            <w:vAlign w:val="center"/>
          </w:tcPr>
          <w:p w14:paraId="1E855B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63</w:t>
            </w:r>
          </w:p>
        </w:tc>
        <w:tc>
          <w:tcPr>
            <w:tcW w:w="640" w:type="dxa"/>
            <w:noWrap w:val="0"/>
            <w:vAlign w:val="center"/>
          </w:tcPr>
          <w:p w14:paraId="2B0E53E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20</w:t>
            </w:r>
          </w:p>
        </w:tc>
        <w:tc>
          <w:tcPr>
            <w:tcW w:w="600" w:type="dxa"/>
            <w:noWrap w:val="0"/>
            <w:vAlign w:val="center"/>
          </w:tcPr>
          <w:p w14:paraId="4FBAA9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19</w:t>
            </w:r>
          </w:p>
        </w:tc>
        <w:tc>
          <w:tcPr>
            <w:tcW w:w="677" w:type="dxa"/>
            <w:noWrap w:val="0"/>
            <w:vAlign w:val="center"/>
          </w:tcPr>
          <w:p w14:paraId="2A08E97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69</w:t>
            </w:r>
          </w:p>
        </w:tc>
        <w:tc>
          <w:tcPr>
            <w:tcW w:w="740" w:type="dxa"/>
            <w:noWrap w:val="0"/>
            <w:vAlign w:val="center"/>
          </w:tcPr>
          <w:p w14:paraId="39BAD95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35.7</w:t>
            </w:r>
          </w:p>
        </w:tc>
        <w:tc>
          <w:tcPr>
            <w:tcW w:w="610" w:type="dxa"/>
            <w:noWrap w:val="0"/>
            <w:vAlign w:val="center"/>
          </w:tcPr>
          <w:p w14:paraId="5E1776C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36.9</w:t>
            </w:r>
          </w:p>
        </w:tc>
        <w:tc>
          <w:tcPr>
            <w:tcW w:w="590" w:type="dxa"/>
            <w:noWrap w:val="0"/>
            <w:vAlign w:val="center"/>
          </w:tcPr>
          <w:p w14:paraId="200038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37</w:t>
            </w:r>
          </w:p>
        </w:tc>
        <w:tc>
          <w:tcPr>
            <w:tcW w:w="610" w:type="dxa"/>
            <w:noWrap w:val="0"/>
            <w:vAlign w:val="center"/>
          </w:tcPr>
          <w:p w14:paraId="2E6FBD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35.7</w:t>
            </w:r>
          </w:p>
        </w:tc>
        <w:tc>
          <w:tcPr>
            <w:tcW w:w="730" w:type="dxa"/>
            <w:vMerge w:val="continue"/>
            <w:noWrap w:val="0"/>
            <w:vAlign w:val="center"/>
          </w:tcPr>
          <w:p w14:paraId="7EC9543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3AE2860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5B85FD2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00CF641F">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7EFDEBEF">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5A0BBFF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16936FE1">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r>
      <w:tr w14:paraId="359AE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148B664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11</w:t>
            </w:r>
          </w:p>
        </w:tc>
        <w:tc>
          <w:tcPr>
            <w:tcW w:w="520" w:type="dxa"/>
            <w:vMerge w:val="continue"/>
            <w:noWrap w:val="0"/>
            <w:vAlign w:val="center"/>
          </w:tcPr>
          <w:p w14:paraId="385E1BB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1D7986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500型高速绞对及退扭机</w:t>
            </w:r>
          </w:p>
        </w:tc>
        <w:tc>
          <w:tcPr>
            <w:tcW w:w="710" w:type="dxa"/>
            <w:noWrap w:val="0"/>
            <w:vAlign w:val="center"/>
          </w:tcPr>
          <w:p w14:paraId="2593AF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6</w:t>
            </w:r>
            <w:r>
              <w:rPr>
                <w:rFonts w:hint="eastAsia" w:cs="Times New Roman"/>
                <w:color w:val="auto"/>
                <w:sz w:val="21"/>
                <w:szCs w:val="21"/>
                <w:highlight w:val="none"/>
                <w:lang w:val="en-US" w:eastAsia="zh-CN"/>
              </w:rPr>
              <w:t>5</w:t>
            </w:r>
          </w:p>
        </w:tc>
        <w:tc>
          <w:tcPr>
            <w:tcW w:w="710" w:type="dxa"/>
            <w:vMerge w:val="continue"/>
            <w:noWrap w:val="0"/>
            <w:vAlign w:val="center"/>
          </w:tcPr>
          <w:p w14:paraId="09371CB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4D16559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w:t>
            </w:r>
          </w:p>
        </w:tc>
        <w:tc>
          <w:tcPr>
            <w:tcW w:w="640" w:type="dxa"/>
            <w:noWrap w:val="0"/>
            <w:vAlign w:val="center"/>
          </w:tcPr>
          <w:p w14:paraId="7051EEA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w:t>
            </w:r>
          </w:p>
        </w:tc>
        <w:tc>
          <w:tcPr>
            <w:tcW w:w="560" w:type="dxa"/>
            <w:noWrap w:val="0"/>
            <w:vAlign w:val="center"/>
          </w:tcPr>
          <w:p w14:paraId="6F16F10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1.2</w:t>
            </w:r>
          </w:p>
        </w:tc>
        <w:tc>
          <w:tcPr>
            <w:tcW w:w="570" w:type="dxa"/>
            <w:noWrap w:val="0"/>
            <w:vAlign w:val="center"/>
          </w:tcPr>
          <w:p w14:paraId="295339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77</w:t>
            </w:r>
          </w:p>
        </w:tc>
        <w:tc>
          <w:tcPr>
            <w:tcW w:w="640" w:type="dxa"/>
            <w:noWrap w:val="0"/>
            <w:vAlign w:val="center"/>
          </w:tcPr>
          <w:p w14:paraId="24ECEBE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9</w:t>
            </w:r>
          </w:p>
        </w:tc>
        <w:tc>
          <w:tcPr>
            <w:tcW w:w="600" w:type="dxa"/>
            <w:noWrap w:val="0"/>
            <w:vAlign w:val="center"/>
          </w:tcPr>
          <w:p w14:paraId="51D644D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w:t>
            </w:r>
          </w:p>
        </w:tc>
        <w:tc>
          <w:tcPr>
            <w:tcW w:w="677" w:type="dxa"/>
            <w:noWrap w:val="0"/>
            <w:vAlign w:val="center"/>
          </w:tcPr>
          <w:p w14:paraId="00A5038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80</w:t>
            </w:r>
          </w:p>
        </w:tc>
        <w:tc>
          <w:tcPr>
            <w:tcW w:w="740" w:type="dxa"/>
            <w:noWrap w:val="0"/>
            <w:vAlign w:val="center"/>
          </w:tcPr>
          <w:p w14:paraId="7B72C50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36</w:t>
            </w:r>
          </w:p>
        </w:tc>
        <w:tc>
          <w:tcPr>
            <w:tcW w:w="610" w:type="dxa"/>
            <w:noWrap w:val="0"/>
            <w:vAlign w:val="center"/>
          </w:tcPr>
          <w:p w14:paraId="488B72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40</w:t>
            </w:r>
          </w:p>
        </w:tc>
        <w:tc>
          <w:tcPr>
            <w:tcW w:w="590" w:type="dxa"/>
            <w:noWrap w:val="0"/>
            <w:vAlign w:val="center"/>
          </w:tcPr>
          <w:p w14:paraId="181C2D0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44</w:t>
            </w:r>
          </w:p>
        </w:tc>
        <w:tc>
          <w:tcPr>
            <w:tcW w:w="610" w:type="dxa"/>
            <w:noWrap w:val="0"/>
            <w:vAlign w:val="center"/>
          </w:tcPr>
          <w:p w14:paraId="36951D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36</w:t>
            </w:r>
          </w:p>
        </w:tc>
        <w:tc>
          <w:tcPr>
            <w:tcW w:w="730" w:type="dxa"/>
            <w:vMerge w:val="continue"/>
            <w:noWrap w:val="0"/>
            <w:vAlign w:val="center"/>
          </w:tcPr>
          <w:p w14:paraId="02FC8C0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1A7E9B7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2EFD44F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57B316B1">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1CC6BF3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1B4A208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2396664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r>
      <w:tr w14:paraId="308EF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45FD9BE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12</w:t>
            </w:r>
          </w:p>
        </w:tc>
        <w:tc>
          <w:tcPr>
            <w:tcW w:w="520" w:type="dxa"/>
            <w:vMerge w:val="continue"/>
            <w:noWrap w:val="0"/>
            <w:vAlign w:val="center"/>
          </w:tcPr>
          <w:p w14:paraId="2F52B27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2E80D2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500型高速绞对及退扭机</w:t>
            </w:r>
          </w:p>
        </w:tc>
        <w:tc>
          <w:tcPr>
            <w:tcW w:w="710" w:type="dxa"/>
            <w:noWrap w:val="0"/>
            <w:vAlign w:val="center"/>
          </w:tcPr>
          <w:p w14:paraId="212B07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6</w:t>
            </w:r>
            <w:r>
              <w:rPr>
                <w:rFonts w:hint="eastAsia" w:cs="Times New Roman"/>
                <w:color w:val="auto"/>
                <w:sz w:val="21"/>
                <w:szCs w:val="21"/>
                <w:highlight w:val="none"/>
                <w:lang w:val="en-US" w:eastAsia="zh-CN"/>
              </w:rPr>
              <w:t>5</w:t>
            </w:r>
          </w:p>
        </w:tc>
        <w:tc>
          <w:tcPr>
            <w:tcW w:w="710" w:type="dxa"/>
            <w:vMerge w:val="continue"/>
            <w:noWrap w:val="0"/>
            <w:vAlign w:val="center"/>
          </w:tcPr>
          <w:p w14:paraId="7164A84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33D03C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49</w:t>
            </w:r>
          </w:p>
        </w:tc>
        <w:tc>
          <w:tcPr>
            <w:tcW w:w="640" w:type="dxa"/>
            <w:noWrap w:val="0"/>
            <w:vAlign w:val="center"/>
          </w:tcPr>
          <w:p w14:paraId="58F7D9C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78</w:t>
            </w:r>
          </w:p>
        </w:tc>
        <w:tc>
          <w:tcPr>
            <w:tcW w:w="560" w:type="dxa"/>
            <w:noWrap w:val="0"/>
            <w:vAlign w:val="center"/>
          </w:tcPr>
          <w:p w14:paraId="74FCF6D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1.6</w:t>
            </w:r>
          </w:p>
        </w:tc>
        <w:tc>
          <w:tcPr>
            <w:tcW w:w="570" w:type="dxa"/>
            <w:noWrap w:val="0"/>
            <w:vAlign w:val="center"/>
          </w:tcPr>
          <w:p w14:paraId="2E0A7FC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78</w:t>
            </w:r>
          </w:p>
        </w:tc>
        <w:tc>
          <w:tcPr>
            <w:tcW w:w="640" w:type="dxa"/>
            <w:noWrap w:val="0"/>
            <w:vAlign w:val="center"/>
          </w:tcPr>
          <w:p w14:paraId="368C981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75</w:t>
            </w:r>
          </w:p>
        </w:tc>
        <w:tc>
          <w:tcPr>
            <w:tcW w:w="600" w:type="dxa"/>
            <w:noWrap w:val="0"/>
            <w:vAlign w:val="center"/>
          </w:tcPr>
          <w:p w14:paraId="39C4D58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w:t>
            </w:r>
          </w:p>
        </w:tc>
        <w:tc>
          <w:tcPr>
            <w:tcW w:w="677" w:type="dxa"/>
            <w:noWrap w:val="0"/>
            <w:vAlign w:val="center"/>
          </w:tcPr>
          <w:p w14:paraId="0A50A18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14</w:t>
            </w:r>
          </w:p>
        </w:tc>
        <w:tc>
          <w:tcPr>
            <w:tcW w:w="740" w:type="dxa"/>
            <w:noWrap w:val="0"/>
            <w:vAlign w:val="center"/>
          </w:tcPr>
          <w:p w14:paraId="3495F83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31</w:t>
            </w:r>
          </w:p>
        </w:tc>
        <w:tc>
          <w:tcPr>
            <w:tcW w:w="610" w:type="dxa"/>
            <w:noWrap w:val="0"/>
            <w:vAlign w:val="center"/>
          </w:tcPr>
          <w:p w14:paraId="1EF7F9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31</w:t>
            </w:r>
          </w:p>
        </w:tc>
        <w:tc>
          <w:tcPr>
            <w:tcW w:w="590" w:type="dxa"/>
            <w:noWrap w:val="0"/>
            <w:vAlign w:val="center"/>
          </w:tcPr>
          <w:p w14:paraId="57FB05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40</w:t>
            </w:r>
          </w:p>
        </w:tc>
        <w:tc>
          <w:tcPr>
            <w:tcW w:w="610" w:type="dxa"/>
            <w:noWrap w:val="0"/>
            <w:vAlign w:val="center"/>
          </w:tcPr>
          <w:p w14:paraId="218618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33</w:t>
            </w:r>
          </w:p>
        </w:tc>
        <w:tc>
          <w:tcPr>
            <w:tcW w:w="730" w:type="dxa"/>
            <w:vMerge w:val="continue"/>
            <w:noWrap w:val="0"/>
            <w:vAlign w:val="center"/>
          </w:tcPr>
          <w:p w14:paraId="61309E0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18EF526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43C9F67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5D201FC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424E396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573A751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0A27F9C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r>
      <w:tr w14:paraId="4CD5C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3C57F10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13</w:t>
            </w:r>
          </w:p>
        </w:tc>
        <w:tc>
          <w:tcPr>
            <w:tcW w:w="520" w:type="dxa"/>
            <w:vMerge w:val="continue"/>
            <w:noWrap w:val="0"/>
            <w:vAlign w:val="center"/>
          </w:tcPr>
          <w:p w14:paraId="7008A52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2F1AC116">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500型高速绞对及退扭机</w:t>
            </w:r>
          </w:p>
        </w:tc>
        <w:tc>
          <w:tcPr>
            <w:tcW w:w="710" w:type="dxa"/>
            <w:noWrap w:val="0"/>
            <w:vAlign w:val="center"/>
          </w:tcPr>
          <w:p w14:paraId="15B29C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6</w:t>
            </w:r>
            <w:r>
              <w:rPr>
                <w:rFonts w:hint="eastAsia" w:cs="Times New Roman"/>
                <w:color w:val="auto"/>
                <w:sz w:val="21"/>
                <w:szCs w:val="21"/>
                <w:highlight w:val="none"/>
                <w:lang w:val="en-US" w:eastAsia="zh-CN"/>
              </w:rPr>
              <w:t>5</w:t>
            </w:r>
          </w:p>
        </w:tc>
        <w:tc>
          <w:tcPr>
            <w:tcW w:w="710" w:type="dxa"/>
            <w:vMerge w:val="continue"/>
            <w:noWrap w:val="0"/>
            <w:vAlign w:val="center"/>
          </w:tcPr>
          <w:p w14:paraId="2612A60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21DE2C5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55</w:t>
            </w:r>
          </w:p>
        </w:tc>
        <w:tc>
          <w:tcPr>
            <w:tcW w:w="640" w:type="dxa"/>
            <w:noWrap w:val="0"/>
            <w:vAlign w:val="center"/>
          </w:tcPr>
          <w:p w14:paraId="49ACC4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38</w:t>
            </w:r>
          </w:p>
        </w:tc>
        <w:tc>
          <w:tcPr>
            <w:tcW w:w="560" w:type="dxa"/>
            <w:noWrap w:val="0"/>
            <w:vAlign w:val="center"/>
          </w:tcPr>
          <w:p w14:paraId="0F31023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1.6</w:t>
            </w:r>
          </w:p>
        </w:tc>
        <w:tc>
          <w:tcPr>
            <w:tcW w:w="570" w:type="dxa"/>
            <w:noWrap w:val="0"/>
            <w:vAlign w:val="center"/>
          </w:tcPr>
          <w:p w14:paraId="073AE4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63</w:t>
            </w:r>
          </w:p>
        </w:tc>
        <w:tc>
          <w:tcPr>
            <w:tcW w:w="640" w:type="dxa"/>
            <w:noWrap w:val="0"/>
            <w:vAlign w:val="center"/>
          </w:tcPr>
          <w:p w14:paraId="67B8B7B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00" w:type="dxa"/>
            <w:noWrap w:val="0"/>
            <w:vAlign w:val="center"/>
          </w:tcPr>
          <w:p w14:paraId="11ECDAB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19</w:t>
            </w:r>
          </w:p>
        </w:tc>
        <w:tc>
          <w:tcPr>
            <w:tcW w:w="677" w:type="dxa"/>
            <w:noWrap w:val="0"/>
            <w:vAlign w:val="center"/>
          </w:tcPr>
          <w:p w14:paraId="14C3B76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38</w:t>
            </w:r>
          </w:p>
        </w:tc>
        <w:tc>
          <w:tcPr>
            <w:tcW w:w="740" w:type="dxa"/>
            <w:noWrap w:val="0"/>
            <w:vAlign w:val="center"/>
          </w:tcPr>
          <w:p w14:paraId="7275BC6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31</w:t>
            </w:r>
          </w:p>
        </w:tc>
        <w:tc>
          <w:tcPr>
            <w:tcW w:w="610" w:type="dxa"/>
            <w:noWrap w:val="0"/>
            <w:vAlign w:val="center"/>
          </w:tcPr>
          <w:p w14:paraId="3559EE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31</w:t>
            </w:r>
          </w:p>
        </w:tc>
        <w:tc>
          <w:tcPr>
            <w:tcW w:w="590" w:type="dxa"/>
            <w:noWrap w:val="0"/>
            <w:vAlign w:val="center"/>
          </w:tcPr>
          <w:p w14:paraId="10D570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32</w:t>
            </w:r>
          </w:p>
        </w:tc>
        <w:tc>
          <w:tcPr>
            <w:tcW w:w="610" w:type="dxa"/>
            <w:noWrap w:val="0"/>
            <w:vAlign w:val="center"/>
          </w:tcPr>
          <w:p w14:paraId="159035C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31</w:t>
            </w:r>
          </w:p>
        </w:tc>
        <w:tc>
          <w:tcPr>
            <w:tcW w:w="730" w:type="dxa"/>
            <w:vMerge w:val="continue"/>
            <w:noWrap w:val="0"/>
            <w:vAlign w:val="center"/>
          </w:tcPr>
          <w:p w14:paraId="6C4722D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216E742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694F9731">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49D3B3A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4F7FC1F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58C8F7CC">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3FDF122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rPr>
            </w:pPr>
          </w:p>
        </w:tc>
      </w:tr>
      <w:tr w14:paraId="055CA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6A18064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14</w:t>
            </w:r>
          </w:p>
        </w:tc>
        <w:tc>
          <w:tcPr>
            <w:tcW w:w="520" w:type="dxa"/>
            <w:vMerge w:val="continue"/>
            <w:noWrap w:val="0"/>
            <w:vAlign w:val="center"/>
          </w:tcPr>
          <w:p w14:paraId="5CB7A39C">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7E554FD9">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color w:val="000000"/>
                <w:sz w:val="21"/>
                <w:szCs w:val="21"/>
                <w:vertAlign w:val="baseline"/>
                <w:lang w:val="en-US" w:eastAsia="zh-CN"/>
              </w:rPr>
              <w:t>500型高速绞对及退扭机</w:t>
            </w:r>
          </w:p>
        </w:tc>
        <w:tc>
          <w:tcPr>
            <w:tcW w:w="710" w:type="dxa"/>
            <w:noWrap w:val="0"/>
            <w:vAlign w:val="center"/>
          </w:tcPr>
          <w:p w14:paraId="5B8C14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6</w:t>
            </w:r>
            <w:r>
              <w:rPr>
                <w:rFonts w:hint="eastAsia" w:cs="Times New Roman"/>
                <w:color w:val="auto"/>
                <w:sz w:val="21"/>
                <w:szCs w:val="21"/>
                <w:highlight w:val="none"/>
                <w:lang w:val="en-US" w:eastAsia="zh-CN"/>
              </w:rPr>
              <w:t>5</w:t>
            </w:r>
          </w:p>
        </w:tc>
        <w:tc>
          <w:tcPr>
            <w:tcW w:w="710" w:type="dxa"/>
            <w:vMerge w:val="continue"/>
            <w:noWrap w:val="0"/>
            <w:vAlign w:val="center"/>
          </w:tcPr>
          <w:p w14:paraId="4C2D6A1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739A364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118</w:t>
            </w:r>
          </w:p>
        </w:tc>
        <w:tc>
          <w:tcPr>
            <w:tcW w:w="640" w:type="dxa"/>
            <w:noWrap w:val="0"/>
            <w:vAlign w:val="center"/>
          </w:tcPr>
          <w:p w14:paraId="123355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38</w:t>
            </w:r>
          </w:p>
        </w:tc>
        <w:tc>
          <w:tcPr>
            <w:tcW w:w="560" w:type="dxa"/>
            <w:noWrap w:val="0"/>
            <w:vAlign w:val="center"/>
          </w:tcPr>
          <w:p w14:paraId="5236FE9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1.6</w:t>
            </w:r>
          </w:p>
        </w:tc>
        <w:tc>
          <w:tcPr>
            <w:tcW w:w="570" w:type="dxa"/>
            <w:noWrap w:val="0"/>
            <w:vAlign w:val="center"/>
          </w:tcPr>
          <w:p w14:paraId="43B1439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20</w:t>
            </w:r>
          </w:p>
        </w:tc>
        <w:tc>
          <w:tcPr>
            <w:tcW w:w="640" w:type="dxa"/>
            <w:noWrap w:val="0"/>
            <w:vAlign w:val="center"/>
          </w:tcPr>
          <w:p w14:paraId="14EB989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113</w:t>
            </w:r>
          </w:p>
        </w:tc>
        <w:tc>
          <w:tcPr>
            <w:tcW w:w="600" w:type="dxa"/>
            <w:noWrap w:val="0"/>
            <w:vAlign w:val="center"/>
          </w:tcPr>
          <w:p w14:paraId="4E31E50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62</w:t>
            </w:r>
          </w:p>
        </w:tc>
        <w:tc>
          <w:tcPr>
            <w:tcW w:w="677" w:type="dxa"/>
            <w:noWrap w:val="0"/>
            <w:vAlign w:val="center"/>
          </w:tcPr>
          <w:p w14:paraId="66FF620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17</w:t>
            </w:r>
          </w:p>
        </w:tc>
        <w:tc>
          <w:tcPr>
            <w:tcW w:w="740" w:type="dxa"/>
            <w:noWrap w:val="0"/>
            <w:vAlign w:val="center"/>
          </w:tcPr>
          <w:p w14:paraId="7DB1229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46.9</w:t>
            </w:r>
          </w:p>
        </w:tc>
        <w:tc>
          <w:tcPr>
            <w:tcW w:w="610" w:type="dxa"/>
            <w:noWrap w:val="0"/>
            <w:vAlign w:val="center"/>
          </w:tcPr>
          <w:p w14:paraId="509BA76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45.6</w:t>
            </w:r>
          </w:p>
        </w:tc>
        <w:tc>
          <w:tcPr>
            <w:tcW w:w="590" w:type="dxa"/>
            <w:noWrap w:val="0"/>
            <w:vAlign w:val="center"/>
          </w:tcPr>
          <w:p w14:paraId="5F6524A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45.7</w:t>
            </w:r>
          </w:p>
        </w:tc>
        <w:tc>
          <w:tcPr>
            <w:tcW w:w="610" w:type="dxa"/>
            <w:noWrap w:val="0"/>
            <w:vAlign w:val="center"/>
          </w:tcPr>
          <w:p w14:paraId="03CF33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47.3</w:t>
            </w:r>
          </w:p>
        </w:tc>
        <w:tc>
          <w:tcPr>
            <w:tcW w:w="730" w:type="dxa"/>
            <w:vMerge w:val="continue"/>
            <w:noWrap w:val="0"/>
            <w:vAlign w:val="center"/>
          </w:tcPr>
          <w:p w14:paraId="20FFAD8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79C004A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5611A2B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6D06161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61357BD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1A9F5A8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789FD46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r>
      <w:tr w14:paraId="2CBEC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1CB72DA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520" w:type="dxa"/>
            <w:vMerge w:val="continue"/>
            <w:noWrap w:val="0"/>
            <w:vAlign w:val="center"/>
          </w:tcPr>
          <w:p w14:paraId="2E65FD4C">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546252EB">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color w:val="000000"/>
                <w:sz w:val="21"/>
                <w:szCs w:val="21"/>
                <w:vertAlign w:val="baseline"/>
                <w:lang w:val="en-US" w:eastAsia="zh-CN"/>
              </w:rPr>
              <w:t>500型高速绞对及退扭机</w:t>
            </w:r>
          </w:p>
        </w:tc>
        <w:tc>
          <w:tcPr>
            <w:tcW w:w="710" w:type="dxa"/>
            <w:noWrap w:val="0"/>
            <w:vAlign w:val="center"/>
          </w:tcPr>
          <w:p w14:paraId="24C90F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6</w:t>
            </w:r>
            <w:r>
              <w:rPr>
                <w:rFonts w:hint="eastAsia" w:cs="Times New Roman"/>
                <w:color w:val="auto"/>
                <w:sz w:val="21"/>
                <w:szCs w:val="21"/>
                <w:highlight w:val="none"/>
                <w:lang w:val="en-US" w:eastAsia="zh-CN"/>
              </w:rPr>
              <w:t>5</w:t>
            </w:r>
          </w:p>
        </w:tc>
        <w:tc>
          <w:tcPr>
            <w:tcW w:w="710" w:type="dxa"/>
            <w:vMerge w:val="continue"/>
            <w:noWrap w:val="0"/>
            <w:vAlign w:val="center"/>
          </w:tcPr>
          <w:p w14:paraId="1DEFD98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4E51232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65</w:t>
            </w:r>
          </w:p>
        </w:tc>
        <w:tc>
          <w:tcPr>
            <w:tcW w:w="640" w:type="dxa"/>
            <w:noWrap w:val="0"/>
            <w:vAlign w:val="center"/>
          </w:tcPr>
          <w:p w14:paraId="2591E99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17</w:t>
            </w:r>
          </w:p>
        </w:tc>
        <w:tc>
          <w:tcPr>
            <w:tcW w:w="560" w:type="dxa"/>
            <w:noWrap w:val="0"/>
            <w:vAlign w:val="center"/>
          </w:tcPr>
          <w:p w14:paraId="23006D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1.2</w:t>
            </w:r>
          </w:p>
        </w:tc>
        <w:tc>
          <w:tcPr>
            <w:tcW w:w="570" w:type="dxa"/>
            <w:noWrap w:val="0"/>
            <w:vAlign w:val="center"/>
          </w:tcPr>
          <w:p w14:paraId="407E6A1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46</w:t>
            </w:r>
          </w:p>
        </w:tc>
        <w:tc>
          <w:tcPr>
            <w:tcW w:w="640" w:type="dxa"/>
            <w:noWrap w:val="0"/>
            <w:vAlign w:val="center"/>
          </w:tcPr>
          <w:p w14:paraId="1DEB29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77</w:t>
            </w:r>
          </w:p>
        </w:tc>
        <w:tc>
          <w:tcPr>
            <w:tcW w:w="600" w:type="dxa"/>
            <w:noWrap w:val="0"/>
            <w:vAlign w:val="center"/>
          </w:tcPr>
          <w:p w14:paraId="1FEC145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36</w:t>
            </w:r>
          </w:p>
        </w:tc>
        <w:tc>
          <w:tcPr>
            <w:tcW w:w="677" w:type="dxa"/>
            <w:noWrap w:val="0"/>
            <w:vAlign w:val="center"/>
          </w:tcPr>
          <w:p w14:paraId="5E53298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53</w:t>
            </w:r>
          </w:p>
        </w:tc>
        <w:tc>
          <w:tcPr>
            <w:tcW w:w="740" w:type="dxa"/>
            <w:noWrap w:val="0"/>
            <w:vAlign w:val="center"/>
          </w:tcPr>
          <w:p w14:paraId="06F62A6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55.9</w:t>
            </w:r>
          </w:p>
        </w:tc>
        <w:tc>
          <w:tcPr>
            <w:tcW w:w="610" w:type="dxa"/>
            <w:noWrap w:val="0"/>
            <w:vAlign w:val="center"/>
          </w:tcPr>
          <w:p w14:paraId="3332181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55.7</w:t>
            </w:r>
          </w:p>
        </w:tc>
        <w:tc>
          <w:tcPr>
            <w:tcW w:w="590" w:type="dxa"/>
            <w:noWrap w:val="0"/>
            <w:vAlign w:val="center"/>
          </w:tcPr>
          <w:p w14:paraId="0E7206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56</w:t>
            </w:r>
          </w:p>
        </w:tc>
        <w:tc>
          <w:tcPr>
            <w:tcW w:w="610" w:type="dxa"/>
            <w:noWrap w:val="0"/>
            <w:vAlign w:val="center"/>
          </w:tcPr>
          <w:p w14:paraId="139DA2E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55.8</w:t>
            </w:r>
          </w:p>
        </w:tc>
        <w:tc>
          <w:tcPr>
            <w:tcW w:w="730" w:type="dxa"/>
            <w:vMerge w:val="continue"/>
            <w:noWrap w:val="0"/>
            <w:vAlign w:val="center"/>
          </w:tcPr>
          <w:p w14:paraId="59E7C9D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7834CD8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6D212F6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0E9E356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77965B4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395E059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0733CFDF">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r>
      <w:tr w14:paraId="47F97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1619057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16</w:t>
            </w:r>
          </w:p>
        </w:tc>
        <w:tc>
          <w:tcPr>
            <w:tcW w:w="520" w:type="dxa"/>
            <w:vMerge w:val="continue"/>
            <w:noWrap w:val="0"/>
            <w:vAlign w:val="center"/>
          </w:tcPr>
          <w:p w14:paraId="696AAB5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20480FCE">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color w:val="000000"/>
                <w:sz w:val="21"/>
                <w:szCs w:val="21"/>
                <w:vertAlign w:val="baseline"/>
                <w:lang w:val="en-US" w:eastAsia="zh-CN"/>
              </w:rPr>
              <w:t>500型高速绞对及退扭机</w:t>
            </w:r>
          </w:p>
        </w:tc>
        <w:tc>
          <w:tcPr>
            <w:tcW w:w="710" w:type="dxa"/>
            <w:noWrap w:val="0"/>
            <w:vAlign w:val="center"/>
          </w:tcPr>
          <w:p w14:paraId="3EB3D8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6</w:t>
            </w:r>
            <w:r>
              <w:rPr>
                <w:rFonts w:hint="eastAsia" w:cs="Times New Roman"/>
                <w:color w:val="auto"/>
                <w:sz w:val="21"/>
                <w:szCs w:val="21"/>
                <w:highlight w:val="none"/>
                <w:lang w:val="en-US" w:eastAsia="zh-CN"/>
              </w:rPr>
              <w:t>5</w:t>
            </w:r>
          </w:p>
        </w:tc>
        <w:tc>
          <w:tcPr>
            <w:tcW w:w="710" w:type="dxa"/>
            <w:vMerge w:val="continue"/>
            <w:noWrap w:val="0"/>
            <w:vAlign w:val="center"/>
          </w:tcPr>
          <w:p w14:paraId="6CBA277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0CCC51B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123</w:t>
            </w:r>
          </w:p>
        </w:tc>
        <w:tc>
          <w:tcPr>
            <w:tcW w:w="640" w:type="dxa"/>
            <w:noWrap w:val="0"/>
            <w:vAlign w:val="center"/>
          </w:tcPr>
          <w:p w14:paraId="15CC985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40</w:t>
            </w:r>
          </w:p>
        </w:tc>
        <w:tc>
          <w:tcPr>
            <w:tcW w:w="560" w:type="dxa"/>
            <w:noWrap w:val="0"/>
            <w:vAlign w:val="center"/>
          </w:tcPr>
          <w:p w14:paraId="3D69A2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1.6</w:t>
            </w:r>
          </w:p>
        </w:tc>
        <w:tc>
          <w:tcPr>
            <w:tcW w:w="570" w:type="dxa"/>
            <w:noWrap w:val="0"/>
            <w:vAlign w:val="center"/>
          </w:tcPr>
          <w:p w14:paraId="4A0C0E8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15</w:t>
            </w:r>
          </w:p>
        </w:tc>
        <w:tc>
          <w:tcPr>
            <w:tcW w:w="640" w:type="dxa"/>
            <w:noWrap w:val="0"/>
            <w:vAlign w:val="center"/>
          </w:tcPr>
          <w:p w14:paraId="02C64F2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119</w:t>
            </w:r>
          </w:p>
        </w:tc>
        <w:tc>
          <w:tcPr>
            <w:tcW w:w="600" w:type="dxa"/>
            <w:noWrap w:val="0"/>
            <w:vAlign w:val="center"/>
          </w:tcPr>
          <w:p w14:paraId="7A08DE7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71</w:t>
            </w:r>
          </w:p>
        </w:tc>
        <w:tc>
          <w:tcPr>
            <w:tcW w:w="677" w:type="dxa"/>
            <w:noWrap w:val="0"/>
            <w:vAlign w:val="center"/>
          </w:tcPr>
          <w:p w14:paraId="51C2776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11</w:t>
            </w:r>
          </w:p>
        </w:tc>
        <w:tc>
          <w:tcPr>
            <w:tcW w:w="740" w:type="dxa"/>
            <w:noWrap w:val="0"/>
            <w:vAlign w:val="center"/>
          </w:tcPr>
          <w:p w14:paraId="3DDC6B7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57.7</w:t>
            </w:r>
          </w:p>
        </w:tc>
        <w:tc>
          <w:tcPr>
            <w:tcW w:w="610" w:type="dxa"/>
            <w:noWrap w:val="0"/>
            <w:vAlign w:val="center"/>
          </w:tcPr>
          <w:p w14:paraId="3172D29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55.6</w:t>
            </w:r>
          </w:p>
        </w:tc>
        <w:tc>
          <w:tcPr>
            <w:tcW w:w="590" w:type="dxa"/>
            <w:noWrap w:val="0"/>
            <w:vAlign w:val="center"/>
          </w:tcPr>
          <w:p w14:paraId="51463FD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55.7</w:t>
            </w:r>
          </w:p>
        </w:tc>
        <w:tc>
          <w:tcPr>
            <w:tcW w:w="610" w:type="dxa"/>
            <w:noWrap w:val="0"/>
            <w:vAlign w:val="center"/>
          </w:tcPr>
          <w:p w14:paraId="094D57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58.9</w:t>
            </w:r>
          </w:p>
        </w:tc>
        <w:tc>
          <w:tcPr>
            <w:tcW w:w="730" w:type="dxa"/>
            <w:vMerge w:val="continue"/>
            <w:noWrap w:val="0"/>
            <w:vAlign w:val="center"/>
          </w:tcPr>
          <w:p w14:paraId="4AE832F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249EFEA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45AFE5F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474BD67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1A37ECB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2C2D7BA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34D5D9D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r>
      <w:tr w14:paraId="53266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35511BA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w:t>
            </w:r>
            <w:r>
              <w:rPr>
                <w:rFonts w:hint="eastAsia" w:cs="Times New Roman"/>
                <w:i w:val="0"/>
                <w:iCs w:val="0"/>
                <w:color w:val="000000"/>
                <w:kern w:val="0"/>
                <w:sz w:val="21"/>
                <w:szCs w:val="21"/>
                <w:u w:val="none"/>
                <w:lang w:val="en-US" w:eastAsia="zh-CN" w:bidi="ar"/>
              </w:rPr>
              <w:t>7</w:t>
            </w:r>
          </w:p>
        </w:tc>
        <w:tc>
          <w:tcPr>
            <w:tcW w:w="520" w:type="dxa"/>
            <w:vMerge w:val="continue"/>
            <w:noWrap w:val="0"/>
            <w:vAlign w:val="center"/>
          </w:tcPr>
          <w:p w14:paraId="75957A23">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76632674">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800型旋臂成缆机</w:t>
            </w:r>
          </w:p>
        </w:tc>
        <w:tc>
          <w:tcPr>
            <w:tcW w:w="710" w:type="dxa"/>
            <w:noWrap w:val="0"/>
            <w:vAlign w:val="center"/>
          </w:tcPr>
          <w:p w14:paraId="5A6CB5C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80</w:t>
            </w:r>
          </w:p>
        </w:tc>
        <w:tc>
          <w:tcPr>
            <w:tcW w:w="710" w:type="dxa"/>
            <w:vMerge w:val="continue"/>
            <w:noWrap w:val="0"/>
            <w:vAlign w:val="center"/>
          </w:tcPr>
          <w:p w14:paraId="6E7522A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1E33F41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72</w:t>
            </w:r>
          </w:p>
        </w:tc>
        <w:tc>
          <w:tcPr>
            <w:tcW w:w="640" w:type="dxa"/>
            <w:noWrap w:val="0"/>
            <w:vAlign w:val="center"/>
          </w:tcPr>
          <w:p w14:paraId="3CCA0C7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-70</w:t>
            </w:r>
          </w:p>
        </w:tc>
        <w:tc>
          <w:tcPr>
            <w:tcW w:w="560" w:type="dxa"/>
            <w:noWrap w:val="0"/>
            <w:vAlign w:val="center"/>
          </w:tcPr>
          <w:p w14:paraId="1465A4D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2</w:t>
            </w:r>
          </w:p>
        </w:tc>
        <w:tc>
          <w:tcPr>
            <w:tcW w:w="570" w:type="dxa"/>
            <w:noWrap w:val="0"/>
            <w:vAlign w:val="center"/>
          </w:tcPr>
          <w:p w14:paraId="7CFC97A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8</w:t>
            </w:r>
          </w:p>
        </w:tc>
        <w:tc>
          <w:tcPr>
            <w:tcW w:w="640" w:type="dxa"/>
            <w:noWrap w:val="0"/>
            <w:vAlign w:val="center"/>
          </w:tcPr>
          <w:p w14:paraId="382115F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15</w:t>
            </w:r>
          </w:p>
        </w:tc>
        <w:tc>
          <w:tcPr>
            <w:tcW w:w="600" w:type="dxa"/>
            <w:noWrap w:val="0"/>
            <w:vAlign w:val="center"/>
          </w:tcPr>
          <w:p w14:paraId="3D85B28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74</w:t>
            </w:r>
          </w:p>
        </w:tc>
        <w:tc>
          <w:tcPr>
            <w:tcW w:w="677" w:type="dxa"/>
            <w:noWrap w:val="0"/>
            <w:vAlign w:val="center"/>
          </w:tcPr>
          <w:p w14:paraId="00F2D9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115</w:t>
            </w:r>
          </w:p>
        </w:tc>
        <w:tc>
          <w:tcPr>
            <w:tcW w:w="740" w:type="dxa"/>
            <w:noWrap w:val="0"/>
            <w:vAlign w:val="center"/>
          </w:tcPr>
          <w:p w14:paraId="6D93C9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55.6</w:t>
            </w:r>
          </w:p>
        </w:tc>
        <w:tc>
          <w:tcPr>
            <w:tcW w:w="610" w:type="dxa"/>
            <w:noWrap w:val="0"/>
            <w:vAlign w:val="center"/>
          </w:tcPr>
          <w:p w14:paraId="058C4DB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52.7</w:t>
            </w:r>
          </w:p>
        </w:tc>
        <w:tc>
          <w:tcPr>
            <w:tcW w:w="590" w:type="dxa"/>
            <w:noWrap w:val="0"/>
            <w:vAlign w:val="center"/>
          </w:tcPr>
          <w:p w14:paraId="5A3D77B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50.7</w:t>
            </w:r>
          </w:p>
        </w:tc>
        <w:tc>
          <w:tcPr>
            <w:tcW w:w="610" w:type="dxa"/>
            <w:noWrap w:val="0"/>
            <w:vAlign w:val="center"/>
          </w:tcPr>
          <w:p w14:paraId="20A2BF0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50.6</w:t>
            </w:r>
          </w:p>
        </w:tc>
        <w:tc>
          <w:tcPr>
            <w:tcW w:w="730" w:type="dxa"/>
            <w:vMerge w:val="continue"/>
            <w:noWrap w:val="0"/>
            <w:vAlign w:val="center"/>
          </w:tcPr>
          <w:p w14:paraId="3B282EC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56D934C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25521FB3">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1EC2B8F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3654D38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7C6D22D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0591D92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rPr>
            </w:pPr>
          </w:p>
        </w:tc>
      </w:tr>
      <w:tr w14:paraId="03E02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555A43F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18</w:t>
            </w:r>
          </w:p>
        </w:tc>
        <w:tc>
          <w:tcPr>
            <w:tcW w:w="520" w:type="dxa"/>
            <w:vMerge w:val="continue"/>
            <w:noWrap w:val="0"/>
            <w:vAlign w:val="center"/>
          </w:tcPr>
          <w:p w14:paraId="3A3F964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296023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800型旋臂成缆机</w:t>
            </w:r>
          </w:p>
        </w:tc>
        <w:tc>
          <w:tcPr>
            <w:tcW w:w="710" w:type="dxa"/>
            <w:noWrap w:val="0"/>
            <w:vAlign w:val="center"/>
          </w:tcPr>
          <w:p w14:paraId="61EDE61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80</w:t>
            </w:r>
          </w:p>
        </w:tc>
        <w:tc>
          <w:tcPr>
            <w:tcW w:w="710" w:type="dxa"/>
            <w:vMerge w:val="continue"/>
            <w:noWrap w:val="0"/>
            <w:vAlign w:val="center"/>
          </w:tcPr>
          <w:p w14:paraId="6ADE271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2D95CC4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70</w:t>
            </w:r>
          </w:p>
        </w:tc>
        <w:tc>
          <w:tcPr>
            <w:tcW w:w="640" w:type="dxa"/>
            <w:noWrap w:val="0"/>
            <w:vAlign w:val="center"/>
          </w:tcPr>
          <w:p w14:paraId="6ECADC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-37</w:t>
            </w:r>
          </w:p>
        </w:tc>
        <w:tc>
          <w:tcPr>
            <w:tcW w:w="560" w:type="dxa"/>
            <w:noWrap w:val="0"/>
            <w:vAlign w:val="center"/>
          </w:tcPr>
          <w:p w14:paraId="21B414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1.8</w:t>
            </w:r>
          </w:p>
        </w:tc>
        <w:tc>
          <w:tcPr>
            <w:tcW w:w="570" w:type="dxa"/>
            <w:noWrap w:val="0"/>
            <w:vAlign w:val="center"/>
          </w:tcPr>
          <w:p w14:paraId="3BCA80B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19</w:t>
            </w:r>
          </w:p>
        </w:tc>
        <w:tc>
          <w:tcPr>
            <w:tcW w:w="640" w:type="dxa"/>
            <w:noWrap w:val="0"/>
            <w:vAlign w:val="center"/>
          </w:tcPr>
          <w:p w14:paraId="73B517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40</w:t>
            </w:r>
          </w:p>
        </w:tc>
        <w:tc>
          <w:tcPr>
            <w:tcW w:w="600" w:type="dxa"/>
            <w:noWrap w:val="0"/>
            <w:vAlign w:val="center"/>
          </w:tcPr>
          <w:p w14:paraId="7FB03D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63</w:t>
            </w:r>
          </w:p>
        </w:tc>
        <w:tc>
          <w:tcPr>
            <w:tcW w:w="677" w:type="dxa"/>
            <w:noWrap w:val="0"/>
            <w:vAlign w:val="center"/>
          </w:tcPr>
          <w:p w14:paraId="10BB4F2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90</w:t>
            </w:r>
          </w:p>
        </w:tc>
        <w:tc>
          <w:tcPr>
            <w:tcW w:w="740" w:type="dxa"/>
            <w:noWrap w:val="0"/>
            <w:vAlign w:val="center"/>
          </w:tcPr>
          <w:p w14:paraId="0083A4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52</w:t>
            </w:r>
          </w:p>
        </w:tc>
        <w:tc>
          <w:tcPr>
            <w:tcW w:w="610" w:type="dxa"/>
            <w:noWrap w:val="0"/>
            <w:vAlign w:val="center"/>
          </w:tcPr>
          <w:p w14:paraId="5194EE4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590" w:type="dxa"/>
            <w:noWrap w:val="0"/>
            <w:vAlign w:val="center"/>
          </w:tcPr>
          <w:p w14:paraId="63F6EB4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3B0734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730" w:type="dxa"/>
            <w:vMerge w:val="continue"/>
            <w:noWrap w:val="0"/>
            <w:vAlign w:val="center"/>
          </w:tcPr>
          <w:p w14:paraId="627CF95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21BA11B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784777A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0919572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37A7E043">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09A760A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7C8C7E8C">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r>
      <w:tr w14:paraId="22F8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1C97DD1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19</w:t>
            </w:r>
          </w:p>
        </w:tc>
        <w:tc>
          <w:tcPr>
            <w:tcW w:w="520" w:type="dxa"/>
            <w:vMerge w:val="continue"/>
            <w:noWrap w:val="0"/>
            <w:vAlign w:val="center"/>
          </w:tcPr>
          <w:p w14:paraId="2F0BBB5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49E2EC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800单绞机</w:t>
            </w:r>
          </w:p>
        </w:tc>
        <w:tc>
          <w:tcPr>
            <w:tcW w:w="710" w:type="dxa"/>
            <w:noWrap w:val="0"/>
            <w:vAlign w:val="center"/>
          </w:tcPr>
          <w:p w14:paraId="240D83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80</w:t>
            </w:r>
          </w:p>
        </w:tc>
        <w:tc>
          <w:tcPr>
            <w:tcW w:w="710" w:type="dxa"/>
            <w:vMerge w:val="continue"/>
            <w:noWrap w:val="0"/>
            <w:vAlign w:val="center"/>
          </w:tcPr>
          <w:p w14:paraId="6F8061C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1B70EB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64</w:t>
            </w:r>
          </w:p>
        </w:tc>
        <w:tc>
          <w:tcPr>
            <w:tcW w:w="640" w:type="dxa"/>
            <w:noWrap w:val="0"/>
            <w:vAlign w:val="center"/>
          </w:tcPr>
          <w:p w14:paraId="3C1B366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19</w:t>
            </w:r>
          </w:p>
        </w:tc>
        <w:tc>
          <w:tcPr>
            <w:tcW w:w="560" w:type="dxa"/>
            <w:noWrap w:val="0"/>
            <w:vAlign w:val="center"/>
          </w:tcPr>
          <w:p w14:paraId="78A0309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1.8</w:t>
            </w:r>
          </w:p>
        </w:tc>
        <w:tc>
          <w:tcPr>
            <w:tcW w:w="570" w:type="dxa"/>
            <w:noWrap w:val="0"/>
            <w:vAlign w:val="center"/>
          </w:tcPr>
          <w:p w14:paraId="1CD6732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41</w:t>
            </w:r>
          </w:p>
        </w:tc>
        <w:tc>
          <w:tcPr>
            <w:tcW w:w="640" w:type="dxa"/>
            <w:noWrap w:val="0"/>
            <w:vAlign w:val="center"/>
          </w:tcPr>
          <w:p w14:paraId="497BF5E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76</w:t>
            </w:r>
          </w:p>
        </w:tc>
        <w:tc>
          <w:tcPr>
            <w:tcW w:w="600" w:type="dxa"/>
            <w:noWrap w:val="0"/>
            <w:vAlign w:val="center"/>
          </w:tcPr>
          <w:p w14:paraId="05F56A6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44</w:t>
            </w:r>
          </w:p>
        </w:tc>
        <w:tc>
          <w:tcPr>
            <w:tcW w:w="677" w:type="dxa"/>
            <w:noWrap w:val="0"/>
            <w:vAlign w:val="center"/>
          </w:tcPr>
          <w:p w14:paraId="5619B87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55</w:t>
            </w:r>
          </w:p>
        </w:tc>
        <w:tc>
          <w:tcPr>
            <w:tcW w:w="740" w:type="dxa"/>
            <w:noWrap w:val="0"/>
            <w:vAlign w:val="center"/>
          </w:tcPr>
          <w:p w14:paraId="3CF340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7A7DCE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590" w:type="dxa"/>
            <w:noWrap w:val="0"/>
            <w:vAlign w:val="center"/>
          </w:tcPr>
          <w:p w14:paraId="3B9126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320CE7A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730" w:type="dxa"/>
            <w:vMerge w:val="continue"/>
            <w:noWrap w:val="0"/>
            <w:vAlign w:val="center"/>
          </w:tcPr>
          <w:p w14:paraId="7A13024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3B2E7E3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2386662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6A2310CF">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3717080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7E43EE7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71F5F2F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r>
      <w:tr w14:paraId="42DD1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56D8C0D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20</w:t>
            </w:r>
          </w:p>
        </w:tc>
        <w:tc>
          <w:tcPr>
            <w:tcW w:w="520" w:type="dxa"/>
            <w:vMerge w:val="continue"/>
            <w:noWrap w:val="0"/>
            <w:vAlign w:val="center"/>
          </w:tcPr>
          <w:p w14:paraId="37F8AEF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44B184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70护套押出机</w:t>
            </w:r>
          </w:p>
        </w:tc>
        <w:tc>
          <w:tcPr>
            <w:tcW w:w="710" w:type="dxa"/>
            <w:noWrap w:val="0"/>
            <w:vAlign w:val="center"/>
          </w:tcPr>
          <w:p w14:paraId="60FF75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80</w:t>
            </w:r>
          </w:p>
        </w:tc>
        <w:tc>
          <w:tcPr>
            <w:tcW w:w="710" w:type="dxa"/>
            <w:vMerge w:val="continue"/>
            <w:noWrap w:val="0"/>
            <w:vAlign w:val="center"/>
          </w:tcPr>
          <w:p w14:paraId="7503D7B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211A5D0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26</w:t>
            </w:r>
          </w:p>
        </w:tc>
        <w:tc>
          <w:tcPr>
            <w:tcW w:w="640" w:type="dxa"/>
            <w:noWrap w:val="0"/>
            <w:vAlign w:val="center"/>
          </w:tcPr>
          <w:p w14:paraId="5FB775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35</w:t>
            </w:r>
          </w:p>
        </w:tc>
        <w:tc>
          <w:tcPr>
            <w:tcW w:w="560" w:type="dxa"/>
            <w:noWrap w:val="0"/>
            <w:vAlign w:val="center"/>
          </w:tcPr>
          <w:p w14:paraId="6F0783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1.8</w:t>
            </w:r>
          </w:p>
        </w:tc>
        <w:tc>
          <w:tcPr>
            <w:tcW w:w="570" w:type="dxa"/>
            <w:noWrap w:val="0"/>
            <w:vAlign w:val="center"/>
          </w:tcPr>
          <w:p w14:paraId="618188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77</w:t>
            </w:r>
          </w:p>
        </w:tc>
        <w:tc>
          <w:tcPr>
            <w:tcW w:w="640" w:type="dxa"/>
            <w:noWrap w:val="0"/>
            <w:vAlign w:val="center"/>
          </w:tcPr>
          <w:p w14:paraId="407BF04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14</w:t>
            </w:r>
          </w:p>
        </w:tc>
        <w:tc>
          <w:tcPr>
            <w:tcW w:w="600" w:type="dxa"/>
            <w:noWrap w:val="0"/>
            <w:vAlign w:val="center"/>
          </w:tcPr>
          <w:p w14:paraId="374B19B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w:t>
            </w:r>
          </w:p>
        </w:tc>
        <w:tc>
          <w:tcPr>
            <w:tcW w:w="677" w:type="dxa"/>
            <w:noWrap w:val="0"/>
            <w:vAlign w:val="center"/>
          </w:tcPr>
          <w:p w14:paraId="79E1B25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74</w:t>
            </w:r>
          </w:p>
        </w:tc>
        <w:tc>
          <w:tcPr>
            <w:tcW w:w="740" w:type="dxa"/>
            <w:noWrap w:val="0"/>
            <w:vAlign w:val="center"/>
          </w:tcPr>
          <w:p w14:paraId="1A57994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402151C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53</w:t>
            </w:r>
          </w:p>
        </w:tc>
        <w:tc>
          <w:tcPr>
            <w:tcW w:w="590" w:type="dxa"/>
            <w:noWrap w:val="0"/>
            <w:vAlign w:val="center"/>
          </w:tcPr>
          <w:p w14:paraId="4D85235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59</w:t>
            </w:r>
          </w:p>
        </w:tc>
        <w:tc>
          <w:tcPr>
            <w:tcW w:w="610" w:type="dxa"/>
            <w:noWrap w:val="0"/>
            <w:vAlign w:val="center"/>
          </w:tcPr>
          <w:p w14:paraId="09CBE6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730" w:type="dxa"/>
            <w:vMerge w:val="continue"/>
            <w:noWrap w:val="0"/>
            <w:vAlign w:val="center"/>
          </w:tcPr>
          <w:p w14:paraId="4052F3B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405B612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0405CA7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08BFB10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3ADD9033">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33DD79D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66C2412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r>
      <w:tr w14:paraId="0D162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6F70634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21</w:t>
            </w:r>
          </w:p>
        </w:tc>
        <w:tc>
          <w:tcPr>
            <w:tcW w:w="520" w:type="dxa"/>
            <w:vMerge w:val="continue"/>
            <w:noWrap w:val="0"/>
            <w:vAlign w:val="center"/>
          </w:tcPr>
          <w:p w14:paraId="2D34CFF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32F749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70护套押出机</w:t>
            </w:r>
          </w:p>
        </w:tc>
        <w:tc>
          <w:tcPr>
            <w:tcW w:w="710" w:type="dxa"/>
            <w:noWrap w:val="0"/>
            <w:vAlign w:val="center"/>
          </w:tcPr>
          <w:p w14:paraId="50AFF9A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80</w:t>
            </w:r>
          </w:p>
        </w:tc>
        <w:tc>
          <w:tcPr>
            <w:tcW w:w="710" w:type="dxa"/>
            <w:vMerge w:val="continue"/>
            <w:noWrap w:val="0"/>
            <w:vAlign w:val="center"/>
          </w:tcPr>
          <w:p w14:paraId="16B26FC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6498A5D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34</w:t>
            </w:r>
          </w:p>
        </w:tc>
        <w:tc>
          <w:tcPr>
            <w:tcW w:w="640" w:type="dxa"/>
            <w:noWrap w:val="0"/>
            <w:vAlign w:val="center"/>
          </w:tcPr>
          <w:p w14:paraId="0AEB74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40</w:t>
            </w:r>
          </w:p>
        </w:tc>
        <w:tc>
          <w:tcPr>
            <w:tcW w:w="560" w:type="dxa"/>
            <w:noWrap w:val="0"/>
            <w:vAlign w:val="center"/>
          </w:tcPr>
          <w:p w14:paraId="76A383A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1.8</w:t>
            </w:r>
          </w:p>
        </w:tc>
        <w:tc>
          <w:tcPr>
            <w:tcW w:w="570" w:type="dxa"/>
            <w:noWrap w:val="0"/>
            <w:vAlign w:val="center"/>
          </w:tcPr>
          <w:p w14:paraId="3374F50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77</w:t>
            </w:r>
          </w:p>
        </w:tc>
        <w:tc>
          <w:tcPr>
            <w:tcW w:w="640" w:type="dxa"/>
            <w:noWrap w:val="0"/>
            <w:vAlign w:val="center"/>
          </w:tcPr>
          <w:p w14:paraId="221496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43</w:t>
            </w:r>
          </w:p>
        </w:tc>
        <w:tc>
          <w:tcPr>
            <w:tcW w:w="600" w:type="dxa"/>
            <w:noWrap w:val="0"/>
            <w:vAlign w:val="center"/>
          </w:tcPr>
          <w:p w14:paraId="342BB8C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w:t>
            </w:r>
          </w:p>
        </w:tc>
        <w:tc>
          <w:tcPr>
            <w:tcW w:w="677" w:type="dxa"/>
            <w:noWrap w:val="0"/>
            <w:vAlign w:val="center"/>
          </w:tcPr>
          <w:p w14:paraId="01AEB70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45</w:t>
            </w:r>
          </w:p>
        </w:tc>
        <w:tc>
          <w:tcPr>
            <w:tcW w:w="740" w:type="dxa"/>
            <w:noWrap w:val="0"/>
            <w:vAlign w:val="center"/>
          </w:tcPr>
          <w:p w14:paraId="4F1DEC5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230D034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590" w:type="dxa"/>
            <w:noWrap w:val="0"/>
            <w:vAlign w:val="center"/>
          </w:tcPr>
          <w:p w14:paraId="537A9AB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59</w:t>
            </w:r>
          </w:p>
        </w:tc>
        <w:tc>
          <w:tcPr>
            <w:tcW w:w="610" w:type="dxa"/>
            <w:noWrap w:val="0"/>
            <w:vAlign w:val="center"/>
          </w:tcPr>
          <w:p w14:paraId="088F25F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730" w:type="dxa"/>
            <w:vMerge w:val="continue"/>
            <w:noWrap w:val="0"/>
            <w:vAlign w:val="center"/>
          </w:tcPr>
          <w:p w14:paraId="269FFDB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694A1AE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5A2B1401">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5F8E012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0B0E723C">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19D46F83">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78E369C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r>
      <w:tr w14:paraId="50BBF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20472F9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22</w:t>
            </w:r>
          </w:p>
        </w:tc>
        <w:tc>
          <w:tcPr>
            <w:tcW w:w="520" w:type="dxa"/>
            <w:vMerge w:val="continue"/>
            <w:noWrap w:val="0"/>
            <w:vAlign w:val="center"/>
          </w:tcPr>
          <w:p w14:paraId="24583EF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54D461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16锭高速编织机</w:t>
            </w:r>
          </w:p>
        </w:tc>
        <w:tc>
          <w:tcPr>
            <w:tcW w:w="710" w:type="dxa"/>
            <w:noWrap w:val="0"/>
            <w:vAlign w:val="center"/>
          </w:tcPr>
          <w:p w14:paraId="7D367F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80</w:t>
            </w:r>
          </w:p>
        </w:tc>
        <w:tc>
          <w:tcPr>
            <w:tcW w:w="710" w:type="dxa"/>
            <w:vMerge w:val="continue"/>
            <w:noWrap w:val="0"/>
            <w:vAlign w:val="center"/>
          </w:tcPr>
          <w:p w14:paraId="63A58F3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616744F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60</w:t>
            </w:r>
          </w:p>
        </w:tc>
        <w:tc>
          <w:tcPr>
            <w:tcW w:w="640" w:type="dxa"/>
            <w:noWrap w:val="0"/>
            <w:vAlign w:val="center"/>
          </w:tcPr>
          <w:p w14:paraId="4D4830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-30</w:t>
            </w:r>
          </w:p>
        </w:tc>
        <w:tc>
          <w:tcPr>
            <w:tcW w:w="560" w:type="dxa"/>
            <w:noWrap w:val="0"/>
            <w:vAlign w:val="center"/>
          </w:tcPr>
          <w:p w14:paraId="7182298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1.6</w:t>
            </w:r>
          </w:p>
        </w:tc>
        <w:tc>
          <w:tcPr>
            <w:tcW w:w="570" w:type="dxa"/>
            <w:noWrap w:val="0"/>
            <w:vAlign w:val="center"/>
          </w:tcPr>
          <w:p w14:paraId="451048E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32</w:t>
            </w:r>
          </w:p>
        </w:tc>
        <w:tc>
          <w:tcPr>
            <w:tcW w:w="640" w:type="dxa"/>
            <w:noWrap w:val="0"/>
            <w:vAlign w:val="center"/>
          </w:tcPr>
          <w:p w14:paraId="38A959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40</w:t>
            </w:r>
          </w:p>
        </w:tc>
        <w:tc>
          <w:tcPr>
            <w:tcW w:w="600" w:type="dxa"/>
            <w:noWrap w:val="0"/>
            <w:vAlign w:val="center"/>
          </w:tcPr>
          <w:p w14:paraId="4AE4540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50</w:t>
            </w:r>
          </w:p>
        </w:tc>
        <w:tc>
          <w:tcPr>
            <w:tcW w:w="677" w:type="dxa"/>
            <w:noWrap w:val="0"/>
            <w:vAlign w:val="center"/>
          </w:tcPr>
          <w:p w14:paraId="5ED3729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90</w:t>
            </w:r>
          </w:p>
        </w:tc>
        <w:tc>
          <w:tcPr>
            <w:tcW w:w="740" w:type="dxa"/>
            <w:noWrap w:val="0"/>
            <w:vAlign w:val="center"/>
          </w:tcPr>
          <w:p w14:paraId="7AC0BC3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7EB4C6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590" w:type="dxa"/>
            <w:noWrap w:val="0"/>
            <w:vAlign w:val="center"/>
          </w:tcPr>
          <w:p w14:paraId="436CC34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637BF9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730" w:type="dxa"/>
            <w:vMerge w:val="continue"/>
            <w:noWrap w:val="0"/>
            <w:vAlign w:val="center"/>
          </w:tcPr>
          <w:p w14:paraId="5B2C126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55FA45E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06F641D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3CA1876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54907043">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4ECC5D51">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1498921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r>
      <w:tr w14:paraId="1D41F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4B7BBE7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23</w:t>
            </w:r>
          </w:p>
        </w:tc>
        <w:tc>
          <w:tcPr>
            <w:tcW w:w="520" w:type="dxa"/>
            <w:vMerge w:val="continue"/>
            <w:noWrap w:val="0"/>
            <w:vAlign w:val="center"/>
          </w:tcPr>
          <w:p w14:paraId="6ACF4EEC">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1BEF6E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16锭高速编织机</w:t>
            </w:r>
          </w:p>
        </w:tc>
        <w:tc>
          <w:tcPr>
            <w:tcW w:w="710" w:type="dxa"/>
            <w:noWrap w:val="0"/>
            <w:vAlign w:val="center"/>
          </w:tcPr>
          <w:p w14:paraId="1822D3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80</w:t>
            </w:r>
          </w:p>
        </w:tc>
        <w:tc>
          <w:tcPr>
            <w:tcW w:w="710" w:type="dxa"/>
            <w:vMerge w:val="continue"/>
            <w:noWrap w:val="0"/>
            <w:vAlign w:val="center"/>
          </w:tcPr>
          <w:p w14:paraId="29D2D66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4421BD4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58</w:t>
            </w:r>
          </w:p>
        </w:tc>
        <w:tc>
          <w:tcPr>
            <w:tcW w:w="640" w:type="dxa"/>
            <w:noWrap w:val="0"/>
            <w:vAlign w:val="center"/>
          </w:tcPr>
          <w:p w14:paraId="4280486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-32</w:t>
            </w:r>
          </w:p>
        </w:tc>
        <w:tc>
          <w:tcPr>
            <w:tcW w:w="560" w:type="dxa"/>
            <w:noWrap w:val="0"/>
            <w:vAlign w:val="center"/>
          </w:tcPr>
          <w:p w14:paraId="6BA447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1.6</w:t>
            </w:r>
          </w:p>
        </w:tc>
        <w:tc>
          <w:tcPr>
            <w:tcW w:w="570" w:type="dxa"/>
            <w:noWrap w:val="0"/>
            <w:vAlign w:val="center"/>
          </w:tcPr>
          <w:p w14:paraId="08EBF87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32</w:t>
            </w:r>
          </w:p>
        </w:tc>
        <w:tc>
          <w:tcPr>
            <w:tcW w:w="640" w:type="dxa"/>
            <w:noWrap w:val="0"/>
            <w:vAlign w:val="center"/>
          </w:tcPr>
          <w:p w14:paraId="26838EB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25</w:t>
            </w:r>
          </w:p>
        </w:tc>
        <w:tc>
          <w:tcPr>
            <w:tcW w:w="600" w:type="dxa"/>
            <w:noWrap w:val="0"/>
            <w:vAlign w:val="center"/>
          </w:tcPr>
          <w:p w14:paraId="3CC9A1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50</w:t>
            </w:r>
          </w:p>
        </w:tc>
        <w:tc>
          <w:tcPr>
            <w:tcW w:w="677" w:type="dxa"/>
            <w:noWrap w:val="0"/>
            <w:vAlign w:val="center"/>
          </w:tcPr>
          <w:p w14:paraId="1112F9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105</w:t>
            </w:r>
          </w:p>
        </w:tc>
        <w:tc>
          <w:tcPr>
            <w:tcW w:w="740" w:type="dxa"/>
            <w:noWrap w:val="0"/>
            <w:vAlign w:val="center"/>
          </w:tcPr>
          <w:p w14:paraId="1892AE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47904DB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590" w:type="dxa"/>
            <w:noWrap w:val="0"/>
            <w:vAlign w:val="center"/>
          </w:tcPr>
          <w:p w14:paraId="532FB6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419B723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730" w:type="dxa"/>
            <w:vMerge w:val="continue"/>
            <w:noWrap w:val="0"/>
            <w:vAlign w:val="center"/>
          </w:tcPr>
          <w:p w14:paraId="11D3BD13">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6C5B420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5B5E3EC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7F255D1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36EE799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0FF45E1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69C6315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r>
      <w:tr w14:paraId="2438B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4486913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24</w:t>
            </w:r>
          </w:p>
        </w:tc>
        <w:tc>
          <w:tcPr>
            <w:tcW w:w="520" w:type="dxa"/>
            <w:vMerge w:val="continue"/>
            <w:noWrap w:val="0"/>
            <w:vAlign w:val="center"/>
          </w:tcPr>
          <w:p w14:paraId="778B51B1">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55640B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16锭高速编织机</w:t>
            </w:r>
          </w:p>
        </w:tc>
        <w:tc>
          <w:tcPr>
            <w:tcW w:w="710" w:type="dxa"/>
            <w:noWrap w:val="0"/>
            <w:vAlign w:val="center"/>
          </w:tcPr>
          <w:p w14:paraId="5BBA3A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80</w:t>
            </w:r>
          </w:p>
        </w:tc>
        <w:tc>
          <w:tcPr>
            <w:tcW w:w="710" w:type="dxa"/>
            <w:vMerge w:val="continue"/>
            <w:noWrap w:val="0"/>
            <w:vAlign w:val="center"/>
          </w:tcPr>
          <w:p w14:paraId="09AFA27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14CD2B5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45</w:t>
            </w:r>
          </w:p>
        </w:tc>
        <w:tc>
          <w:tcPr>
            <w:tcW w:w="640" w:type="dxa"/>
            <w:noWrap w:val="0"/>
            <w:vAlign w:val="center"/>
          </w:tcPr>
          <w:p w14:paraId="6B4A8B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66</w:t>
            </w:r>
          </w:p>
        </w:tc>
        <w:tc>
          <w:tcPr>
            <w:tcW w:w="560" w:type="dxa"/>
            <w:noWrap w:val="0"/>
            <w:vAlign w:val="center"/>
          </w:tcPr>
          <w:p w14:paraId="4A013DB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1.6</w:t>
            </w:r>
          </w:p>
        </w:tc>
        <w:tc>
          <w:tcPr>
            <w:tcW w:w="570" w:type="dxa"/>
            <w:noWrap w:val="0"/>
            <w:vAlign w:val="center"/>
          </w:tcPr>
          <w:p w14:paraId="290363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78</w:t>
            </w:r>
          </w:p>
        </w:tc>
        <w:tc>
          <w:tcPr>
            <w:tcW w:w="640" w:type="dxa"/>
            <w:noWrap w:val="0"/>
            <w:vAlign w:val="center"/>
          </w:tcPr>
          <w:p w14:paraId="413DFD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67</w:t>
            </w:r>
          </w:p>
        </w:tc>
        <w:tc>
          <w:tcPr>
            <w:tcW w:w="600" w:type="dxa"/>
            <w:noWrap w:val="0"/>
            <w:vAlign w:val="center"/>
          </w:tcPr>
          <w:p w14:paraId="7EED250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w:t>
            </w:r>
          </w:p>
        </w:tc>
        <w:tc>
          <w:tcPr>
            <w:tcW w:w="677" w:type="dxa"/>
            <w:noWrap w:val="0"/>
            <w:vAlign w:val="center"/>
          </w:tcPr>
          <w:p w14:paraId="544F96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22</w:t>
            </w:r>
          </w:p>
        </w:tc>
        <w:tc>
          <w:tcPr>
            <w:tcW w:w="740" w:type="dxa"/>
            <w:noWrap w:val="0"/>
            <w:vAlign w:val="center"/>
          </w:tcPr>
          <w:p w14:paraId="15A30F0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78CEA13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590" w:type="dxa"/>
            <w:noWrap w:val="0"/>
            <w:vAlign w:val="center"/>
          </w:tcPr>
          <w:p w14:paraId="54A9EDD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60</w:t>
            </w:r>
          </w:p>
        </w:tc>
        <w:tc>
          <w:tcPr>
            <w:tcW w:w="610" w:type="dxa"/>
            <w:noWrap w:val="0"/>
            <w:vAlign w:val="center"/>
          </w:tcPr>
          <w:p w14:paraId="38EDD15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52</w:t>
            </w:r>
          </w:p>
        </w:tc>
        <w:tc>
          <w:tcPr>
            <w:tcW w:w="730" w:type="dxa"/>
            <w:vMerge w:val="continue"/>
            <w:noWrap w:val="0"/>
            <w:vAlign w:val="center"/>
          </w:tcPr>
          <w:p w14:paraId="5539AAA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53A9067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7C8F07B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3632D79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56C8221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0219EFEF">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00693C0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r>
      <w:tr w14:paraId="3E1F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4C0DEC6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25</w:t>
            </w:r>
          </w:p>
        </w:tc>
        <w:tc>
          <w:tcPr>
            <w:tcW w:w="520" w:type="dxa"/>
            <w:vMerge w:val="continue"/>
            <w:noWrap w:val="0"/>
            <w:vAlign w:val="center"/>
          </w:tcPr>
          <w:p w14:paraId="56996B7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0710CA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16锭高速编织机</w:t>
            </w:r>
          </w:p>
        </w:tc>
        <w:tc>
          <w:tcPr>
            <w:tcW w:w="710" w:type="dxa"/>
            <w:noWrap w:val="0"/>
            <w:vAlign w:val="center"/>
          </w:tcPr>
          <w:p w14:paraId="35B181E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80</w:t>
            </w:r>
          </w:p>
        </w:tc>
        <w:tc>
          <w:tcPr>
            <w:tcW w:w="710" w:type="dxa"/>
            <w:vMerge w:val="continue"/>
            <w:noWrap w:val="0"/>
            <w:vAlign w:val="center"/>
          </w:tcPr>
          <w:p w14:paraId="606D88C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03454EA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70</w:t>
            </w:r>
          </w:p>
        </w:tc>
        <w:tc>
          <w:tcPr>
            <w:tcW w:w="640" w:type="dxa"/>
            <w:noWrap w:val="0"/>
            <w:vAlign w:val="center"/>
          </w:tcPr>
          <w:p w14:paraId="67ED727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40</w:t>
            </w:r>
          </w:p>
        </w:tc>
        <w:tc>
          <w:tcPr>
            <w:tcW w:w="560" w:type="dxa"/>
            <w:noWrap w:val="0"/>
            <w:vAlign w:val="center"/>
          </w:tcPr>
          <w:p w14:paraId="7B6222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1.6</w:t>
            </w:r>
          </w:p>
        </w:tc>
        <w:tc>
          <w:tcPr>
            <w:tcW w:w="570" w:type="dxa"/>
            <w:noWrap w:val="0"/>
            <w:vAlign w:val="center"/>
          </w:tcPr>
          <w:p w14:paraId="7CE8C82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48</w:t>
            </w:r>
          </w:p>
        </w:tc>
        <w:tc>
          <w:tcPr>
            <w:tcW w:w="640" w:type="dxa"/>
            <w:noWrap w:val="0"/>
            <w:vAlign w:val="center"/>
          </w:tcPr>
          <w:p w14:paraId="7DBEDD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65</w:t>
            </w:r>
          </w:p>
        </w:tc>
        <w:tc>
          <w:tcPr>
            <w:tcW w:w="600" w:type="dxa"/>
            <w:noWrap w:val="0"/>
            <w:vAlign w:val="center"/>
          </w:tcPr>
          <w:p w14:paraId="41F5D72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34</w:t>
            </w:r>
          </w:p>
        </w:tc>
        <w:tc>
          <w:tcPr>
            <w:tcW w:w="677" w:type="dxa"/>
            <w:noWrap w:val="0"/>
            <w:vAlign w:val="center"/>
          </w:tcPr>
          <w:p w14:paraId="04F40B8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10</w:t>
            </w:r>
          </w:p>
        </w:tc>
        <w:tc>
          <w:tcPr>
            <w:tcW w:w="740" w:type="dxa"/>
            <w:noWrap w:val="0"/>
            <w:vAlign w:val="center"/>
          </w:tcPr>
          <w:p w14:paraId="5C3032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45.8</w:t>
            </w:r>
          </w:p>
        </w:tc>
        <w:tc>
          <w:tcPr>
            <w:tcW w:w="610" w:type="dxa"/>
            <w:noWrap w:val="0"/>
            <w:vAlign w:val="center"/>
          </w:tcPr>
          <w:p w14:paraId="4CE571F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45.7</w:t>
            </w:r>
          </w:p>
        </w:tc>
        <w:tc>
          <w:tcPr>
            <w:tcW w:w="590" w:type="dxa"/>
            <w:noWrap w:val="0"/>
            <w:vAlign w:val="center"/>
          </w:tcPr>
          <w:p w14:paraId="366CC8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46.1</w:t>
            </w:r>
          </w:p>
        </w:tc>
        <w:tc>
          <w:tcPr>
            <w:tcW w:w="610" w:type="dxa"/>
            <w:noWrap w:val="0"/>
            <w:vAlign w:val="center"/>
          </w:tcPr>
          <w:p w14:paraId="66658B9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49.4</w:t>
            </w:r>
          </w:p>
        </w:tc>
        <w:tc>
          <w:tcPr>
            <w:tcW w:w="730" w:type="dxa"/>
            <w:vMerge w:val="continue"/>
            <w:noWrap w:val="0"/>
            <w:vAlign w:val="center"/>
          </w:tcPr>
          <w:p w14:paraId="512CDB4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1C76E02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07BD722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46186FD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0A5F417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45024C4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27A4BCB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r>
      <w:tr w14:paraId="027A4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223526D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26</w:t>
            </w:r>
          </w:p>
        </w:tc>
        <w:tc>
          <w:tcPr>
            <w:tcW w:w="520" w:type="dxa"/>
            <w:vMerge w:val="continue"/>
            <w:noWrap w:val="0"/>
            <w:vAlign w:val="center"/>
          </w:tcPr>
          <w:p w14:paraId="21F68BE1">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2CE07D0F">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16锭高速编织机</w:t>
            </w:r>
          </w:p>
        </w:tc>
        <w:tc>
          <w:tcPr>
            <w:tcW w:w="710" w:type="dxa"/>
            <w:noWrap w:val="0"/>
            <w:vAlign w:val="center"/>
          </w:tcPr>
          <w:p w14:paraId="5E44B17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80</w:t>
            </w:r>
          </w:p>
        </w:tc>
        <w:tc>
          <w:tcPr>
            <w:tcW w:w="710" w:type="dxa"/>
            <w:vMerge w:val="continue"/>
            <w:noWrap w:val="0"/>
            <w:vAlign w:val="center"/>
          </w:tcPr>
          <w:p w14:paraId="226854D1">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20BAECA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54</w:t>
            </w:r>
          </w:p>
        </w:tc>
        <w:tc>
          <w:tcPr>
            <w:tcW w:w="640" w:type="dxa"/>
            <w:noWrap w:val="0"/>
            <w:vAlign w:val="center"/>
          </w:tcPr>
          <w:p w14:paraId="2DD6F9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70</w:t>
            </w:r>
          </w:p>
        </w:tc>
        <w:tc>
          <w:tcPr>
            <w:tcW w:w="560" w:type="dxa"/>
            <w:noWrap w:val="0"/>
            <w:vAlign w:val="center"/>
          </w:tcPr>
          <w:p w14:paraId="4D4C6D0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1.6</w:t>
            </w:r>
          </w:p>
        </w:tc>
        <w:tc>
          <w:tcPr>
            <w:tcW w:w="570" w:type="dxa"/>
            <w:noWrap w:val="0"/>
            <w:vAlign w:val="center"/>
          </w:tcPr>
          <w:p w14:paraId="672469B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78</w:t>
            </w:r>
          </w:p>
        </w:tc>
        <w:tc>
          <w:tcPr>
            <w:tcW w:w="640" w:type="dxa"/>
            <w:noWrap w:val="0"/>
            <w:vAlign w:val="center"/>
          </w:tcPr>
          <w:p w14:paraId="0681575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69</w:t>
            </w:r>
          </w:p>
        </w:tc>
        <w:tc>
          <w:tcPr>
            <w:tcW w:w="600" w:type="dxa"/>
            <w:noWrap w:val="0"/>
            <w:vAlign w:val="center"/>
          </w:tcPr>
          <w:p w14:paraId="5056470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w:t>
            </w:r>
          </w:p>
        </w:tc>
        <w:tc>
          <w:tcPr>
            <w:tcW w:w="677" w:type="dxa"/>
            <w:noWrap w:val="0"/>
            <w:vAlign w:val="center"/>
          </w:tcPr>
          <w:p w14:paraId="0F7A15A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20</w:t>
            </w:r>
          </w:p>
        </w:tc>
        <w:tc>
          <w:tcPr>
            <w:tcW w:w="740" w:type="dxa"/>
            <w:noWrap w:val="0"/>
            <w:vAlign w:val="center"/>
          </w:tcPr>
          <w:p w14:paraId="2690EC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45.7</w:t>
            </w:r>
          </w:p>
        </w:tc>
        <w:tc>
          <w:tcPr>
            <w:tcW w:w="610" w:type="dxa"/>
            <w:noWrap w:val="0"/>
            <w:vAlign w:val="center"/>
          </w:tcPr>
          <w:p w14:paraId="7BB705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45.7</w:t>
            </w:r>
          </w:p>
        </w:tc>
        <w:tc>
          <w:tcPr>
            <w:tcW w:w="590" w:type="dxa"/>
            <w:noWrap w:val="0"/>
            <w:vAlign w:val="center"/>
          </w:tcPr>
          <w:p w14:paraId="66612E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55.5</w:t>
            </w:r>
          </w:p>
        </w:tc>
        <w:tc>
          <w:tcPr>
            <w:tcW w:w="610" w:type="dxa"/>
            <w:noWrap w:val="0"/>
            <w:vAlign w:val="center"/>
          </w:tcPr>
          <w:p w14:paraId="2084525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46.9</w:t>
            </w:r>
          </w:p>
        </w:tc>
        <w:tc>
          <w:tcPr>
            <w:tcW w:w="730" w:type="dxa"/>
            <w:vMerge w:val="continue"/>
            <w:noWrap w:val="0"/>
            <w:vAlign w:val="center"/>
          </w:tcPr>
          <w:p w14:paraId="148DF00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5949229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0D4FF72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61A9EC2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33BDC30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29A3312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02E7503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rPr>
            </w:pPr>
          </w:p>
        </w:tc>
      </w:tr>
      <w:tr w14:paraId="09C84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3AD6614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27</w:t>
            </w:r>
          </w:p>
        </w:tc>
        <w:tc>
          <w:tcPr>
            <w:tcW w:w="520" w:type="dxa"/>
            <w:vMerge w:val="continue"/>
            <w:noWrap w:val="0"/>
            <w:vAlign w:val="center"/>
          </w:tcPr>
          <w:p w14:paraId="540043EF">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5A0CFA9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全自动电缆打柄机组</w:t>
            </w:r>
          </w:p>
        </w:tc>
        <w:tc>
          <w:tcPr>
            <w:tcW w:w="710" w:type="dxa"/>
            <w:noWrap w:val="0"/>
            <w:vAlign w:val="center"/>
          </w:tcPr>
          <w:p w14:paraId="6ACAA6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7</w:t>
            </w:r>
            <w:r>
              <w:rPr>
                <w:rFonts w:hint="eastAsia" w:cs="Times New Roman"/>
                <w:color w:val="auto"/>
                <w:sz w:val="21"/>
                <w:szCs w:val="21"/>
                <w:highlight w:val="none"/>
                <w:lang w:val="en-US" w:eastAsia="zh-CN"/>
              </w:rPr>
              <w:t>0</w:t>
            </w:r>
          </w:p>
        </w:tc>
        <w:tc>
          <w:tcPr>
            <w:tcW w:w="710" w:type="dxa"/>
            <w:vMerge w:val="continue"/>
            <w:noWrap w:val="0"/>
            <w:vAlign w:val="center"/>
          </w:tcPr>
          <w:p w14:paraId="5D708E6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3E7FA1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35</w:t>
            </w:r>
          </w:p>
        </w:tc>
        <w:tc>
          <w:tcPr>
            <w:tcW w:w="640" w:type="dxa"/>
            <w:noWrap w:val="0"/>
            <w:vAlign w:val="center"/>
          </w:tcPr>
          <w:p w14:paraId="23EFBA1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8</w:t>
            </w:r>
          </w:p>
        </w:tc>
        <w:tc>
          <w:tcPr>
            <w:tcW w:w="560" w:type="dxa"/>
            <w:noWrap w:val="0"/>
            <w:vAlign w:val="center"/>
          </w:tcPr>
          <w:p w14:paraId="43E3676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1.2</w:t>
            </w:r>
          </w:p>
        </w:tc>
        <w:tc>
          <w:tcPr>
            <w:tcW w:w="570" w:type="dxa"/>
            <w:noWrap w:val="0"/>
            <w:vAlign w:val="center"/>
          </w:tcPr>
          <w:p w14:paraId="2B02501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63</w:t>
            </w:r>
          </w:p>
        </w:tc>
        <w:tc>
          <w:tcPr>
            <w:tcW w:w="640" w:type="dxa"/>
            <w:noWrap w:val="0"/>
            <w:vAlign w:val="center"/>
          </w:tcPr>
          <w:p w14:paraId="1CFF016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20</w:t>
            </w:r>
          </w:p>
        </w:tc>
        <w:tc>
          <w:tcPr>
            <w:tcW w:w="600" w:type="dxa"/>
            <w:noWrap w:val="0"/>
            <w:vAlign w:val="center"/>
          </w:tcPr>
          <w:p w14:paraId="109AEF0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19</w:t>
            </w:r>
          </w:p>
        </w:tc>
        <w:tc>
          <w:tcPr>
            <w:tcW w:w="677" w:type="dxa"/>
            <w:noWrap w:val="0"/>
            <w:vAlign w:val="center"/>
          </w:tcPr>
          <w:p w14:paraId="33B6A24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69</w:t>
            </w:r>
          </w:p>
        </w:tc>
        <w:tc>
          <w:tcPr>
            <w:tcW w:w="740" w:type="dxa"/>
            <w:noWrap w:val="0"/>
            <w:vAlign w:val="center"/>
          </w:tcPr>
          <w:p w14:paraId="5E7497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35.7</w:t>
            </w:r>
          </w:p>
        </w:tc>
        <w:tc>
          <w:tcPr>
            <w:tcW w:w="610" w:type="dxa"/>
            <w:noWrap w:val="0"/>
            <w:vAlign w:val="center"/>
          </w:tcPr>
          <w:p w14:paraId="76670E3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36.9</w:t>
            </w:r>
          </w:p>
        </w:tc>
        <w:tc>
          <w:tcPr>
            <w:tcW w:w="590" w:type="dxa"/>
            <w:noWrap w:val="0"/>
            <w:vAlign w:val="center"/>
          </w:tcPr>
          <w:p w14:paraId="0AE1177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37</w:t>
            </w:r>
          </w:p>
        </w:tc>
        <w:tc>
          <w:tcPr>
            <w:tcW w:w="610" w:type="dxa"/>
            <w:noWrap w:val="0"/>
            <w:vAlign w:val="center"/>
          </w:tcPr>
          <w:p w14:paraId="51F746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35.7</w:t>
            </w:r>
          </w:p>
        </w:tc>
        <w:tc>
          <w:tcPr>
            <w:tcW w:w="730" w:type="dxa"/>
            <w:vMerge w:val="continue"/>
            <w:noWrap w:val="0"/>
            <w:vAlign w:val="center"/>
          </w:tcPr>
          <w:p w14:paraId="68E67C2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6AE99E9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42999D0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6ED4DD9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5DED0B3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3D8DF15C">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623CB4A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r>
      <w:tr w14:paraId="72F14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01DBA55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28</w:t>
            </w:r>
          </w:p>
        </w:tc>
        <w:tc>
          <w:tcPr>
            <w:tcW w:w="520" w:type="dxa"/>
            <w:vMerge w:val="continue"/>
            <w:noWrap w:val="0"/>
            <w:vAlign w:val="center"/>
          </w:tcPr>
          <w:p w14:paraId="099713D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18E7DD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全自动电缆打柄机组</w:t>
            </w:r>
          </w:p>
        </w:tc>
        <w:tc>
          <w:tcPr>
            <w:tcW w:w="710" w:type="dxa"/>
            <w:noWrap w:val="0"/>
            <w:vAlign w:val="center"/>
          </w:tcPr>
          <w:p w14:paraId="657178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7</w:t>
            </w:r>
            <w:r>
              <w:rPr>
                <w:rFonts w:hint="eastAsia" w:cs="Times New Roman"/>
                <w:color w:val="auto"/>
                <w:sz w:val="21"/>
                <w:szCs w:val="21"/>
                <w:highlight w:val="none"/>
                <w:lang w:val="en-US" w:eastAsia="zh-CN"/>
              </w:rPr>
              <w:t>0</w:t>
            </w:r>
          </w:p>
        </w:tc>
        <w:tc>
          <w:tcPr>
            <w:tcW w:w="710" w:type="dxa"/>
            <w:vMerge w:val="continue"/>
            <w:noWrap w:val="0"/>
            <w:vAlign w:val="center"/>
          </w:tcPr>
          <w:p w14:paraId="207597C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2D4A839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w:t>
            </w:r>
          </w:p>
        </w:tc>
        <w:tc>
          <w:tcPr>
            <w:tcW w:w="640" w:type="dxa"/>
            <w:noWrap w:val="0"/>
            <w:vAlign w:val="center"/>
          </w:tcPr>
          <w:p w14:paraId="6263C7B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w:t>
            </w:r>
          </w:p>
        </w:tc>
        <w:tc>
          <w:tcPr>
            <w:tcW w:w="560" w:type="dxa"/>
            <w:noWrap w:val="0"/>
            <w:vAlign w:val="center"/>
          </w:tcPr>
          <w:p w14:paraId="2624F22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1.2</w:t>
            </w:r>
          </w:p>
        </w:tc>
        <w:tc>
          <w:tcPr>
            <w:tcW w:w="570" w:type="dxa"/>
            <w:noWrap w:val="0"/>
            <w:vAlign w:val="center"/>
          </w:tcPr>
          <w:p w14:paraId="7FB389D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77</w:t>
            </w:r>
          </w:p>
        </w:tc>
        <w:tc>
          <w:tcPr>
            <w:tcW w:w="640" w:type="dxa"/>
            <w:noWrap w:val="0"/>
            <w:vAlign w:val="center"/>
          </w:tcPr>
          <w:p w14:paraId="3EB6631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9</w:t>
            </w:r>
          </w:p>
        </w:tc>
        <w:tc>
          <w:tcPr>
            <w:tcW w:w="600" w:type="dxa"/>
            <w:noWrap w:val="0"/>
            <w:vAlign w:val="center"/>
          </w:tcPr>
          <w:p w14:paraId="540EF4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w:t>
            </w:r>
          </w:p>
        </w:tc>
        <w:tc>
          <w:tcPr>
            <w:tcW w:w="677" w:type="dxa"/>
            <w:noWrap w:val="0"/>
            <w:vAlign w:val="center"/>
          </w:tcPr>
          <w:p w14:paraId="5CF8FB5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80</w:t>
            </w:r>
          </w:p>
        </w:tc>
        <w:tc>
          <w:tcPr>
            <w:tcW w:w="740" w:type="dxa"/>
            <w:noWrap w:val="0"/>
            <w:vAlign w:val="center"/>
          </w:tcPr>
          <w:p w14:paraId="3BEE53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36</w:t>
            </w:r>
          </w:p>
        </w:tc>
        <w:tc>
          <w:tcPr>
            <w:tcW w:w="610" w:type="dxa"/>
            <w:noWrap w:val="0"/>
            <w:vAlign w:val="center"/>
          </w:tcPr>
          <w:p w14:paraId="33ED282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40</w:t>
            </w:r>
          </w:p>
        </w:tc>
        <w:tc>
          <w:tcPr>
            <w:tcW w:w="590" w:type="dxa"/>
            <w:noWrap w:val="0"/>
            <w:vAlign w:val="center"/>
          </w:tcPr>
          <w:p w14:paraId="238728C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44</w:t>
            </w:r>
          </w:p>
        </w:tc>
        <w:tc>
          <w:tcPr>
            <w:tcW w:w="610" w:type="dxa"/>
            <w:noWrap w:val="0"/>
            <w:vAlign w:val="center"/>
          </w:tcPr>
          <w:p w14:paraId="17D0E5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36</w:t>
            </w:r>
          </w:p>
        </w:tc>
        <w:tc>
          <w:tcPr>
            <w:tcW w:w="730" w:type="dxa"/>
            <w:vMerge w:val="continue"/>
            <w:noWrap w:val="0"/>
            <w:vAlign w:val="center"/>
          </w:tcPr>
          <w:p w14:paraId="63FA3AA1">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34C52EC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22B4BB1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4DE85DC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2DF1C79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59B1E46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2F0E77C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r>
      <w:tr w14:paraId="4BDBA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2E81607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29</w:t>
            </w:r>
          </w:p>
        </w:tc>
        <w:tc>
          <w:tcPr>
            <w:tcW w:w="520" w:type="dxa"/>
            <w:vMerge w:val="continue"/>
            <w:noWrap w:val="0"/>
            <w:vAlign w:val="center"/>
          </w:tcPr>
          <w:p w14:paraId="1739D83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0976CB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全自动电缆打柄机组</w:t>
            </w:r>
          </w:p>
        </w:tc>
        <w:tc>
          <w:tcPr>
            <w:tcW w:w="710" w:type="dxa"/>
            <w:noWrap w:val="0"/>
            <w:vAlign w:val="center"/>
          </w:tcPr>
          <w:p w14:paraId="2DE2C0A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w:t>
            </w:r>
            <w:r>
              <w:rPr>
                <w:rFonts w:hint="eastAsia" w:ascii="Times New Roman" w:hAnsi="Times New Roman" w:eastAsia="宋体" w:cs="Times New Roman"/>
                <w:color w:val="auto"/>
                <w:sz w:val="21"/>
                <w:szCs w:val="21"/>
                <w:highlight w:val="none"/>
                <w:lang w:val="en-US" w:eastAsia="zh-CN"/>
              </w:rPr>
              <w:t>0</w:t>
            </w:r>
          </w:p>
        </w:tc>
        <w:tc>
          <w:tcPr>
            <w:tcW w:w="710" w:type="dxa"/>
            <w:vMerge w:val="continue"/>
            <w:noWrap w:val="0"/>
            <w:vAlign w:val="center"/>
          </w:tcPr>
          <w:p w14:paraId="5BE67B4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166580B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49</w:t>
            </w:r>
          </w:p>
        </w:tc>
        <w:tc>
          <w:tcPr>
            <w:tcW w:w="640" w:type="dxa"/>
            <w:noWrap w:val="0"/>
            <w:vAlign w:val="center"/>
          </w:tcPr>
          <w:p w14:paraId="293C65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78</w:t>
            </w:r>
          </w:p>
        </w:tc>
        <w:tc>
          <w:tcPr>
            <w:tcW w:w="560" w:type="dxa"/>
            <w:noWrap w:val="0"/>
            <w:vAlign w:val="center"/>
          </w:tcPr>
          <w:p w14:paraId="6F41370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1.6</w:t>
            </w:r>
          </w:p>
        </w:tc>
        <w:tc>
          <w:tcPr>
            <w:tcW w:w="570" w:type="dxa"/>
            <w:noWrap w:val="0"/>
            <w:vAlign w:val="center"/>
          </w:tcPr>
          <w:p w14:paraId="7E754A7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78</w:t>
            </w:r>
          </w:p>
        </w:tc>
        <w:tc>
          <w:tcPr>
            <w:tcW w:w="640" w:type="dxa"/>
            <w:noWrap w:val="0"/>
            <w:vAlign w:val="center"/>
          </w:tcPr>
          <w:p w14:paraId="207AD10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75</w:t>
            </w:r>
          </w:p>
        </w:tc>
        <w:tc>
          <w:tcPr>
            <w:tcW w:w="600" w:type="dxa"/>
            <w:noWrap w:val="0"/>
            <w:vAlign w:val="center"/>
          </w:tcPr>
          <w:p w14:paraId="38D3DDB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w:t>
            </w:r>
          </w:p>
        </w:tc>
        <w:tc>
          <w:tcPr>
            <w:tcW w:w="677" w:type="dxa"/>
            <w:noWrap w:val="0"/>
            <w:vAlign w:val="center"/>
          </w:tcPr>
          <w:p w14:paraId="7370C7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14</w:t>
            </w:r>
          </w:p>
        </w:tc>
        <w:tc>
          <w:tcPr>
            <w:tcW w:w="740" w:type="dxa"/>
            <w:noWrap w:val="0"/>
            <w:vAlign w:val="center"/>
          </w:tcPr>
          <w:p w14:paraId="213C647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31</w:t>
            </w:r>
          </w:p>
        </w:tc>
        <w:tc>
          <w:tcPr>
            <w:tcW w:w="610" w:type="dxa"/>
            <w:noWrap w:val="0"/>
            <w:vAlign w:val="center"/>
          </w:tcPr>
          <w:p w14:paraId="12327CC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31</w:t>
            </w:r>
          </w:p>
        </w:tc>
        <w:tc>
          <w:tcPr>
            <w:tcW w:w="590" w:type="dxa"/>
            <w:noWrap w:val="0"/>
            <w:vAlign w:val="center"/>
          </w:tcPr>
          <w:p w14:paraId="6635434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40</w:t>
            </w:r>
          </w:p>
        </w:tc>
        <w:tc>
          <w:tcPr>
            <w:tcW w:w="610" w:type="dxa"/>
            <w:noWrap w:val="0"/>
            <w:vAlign w:val="center"/>
          </w:tcPr>
          <w:p w14:paraId="586B330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33</w:t>
            </w:r>
          </w:p>
        </w:tc>
        <w:tc>
          <w:tcPr>
            <w:tcW w:w="730" w:type="dxa"/>
            <w:vMerge w:val="continue"/>
            <w:noWrap w:val="0"/>
            <w:vAlign w:val="center"/>
          </w:tcPr>
          <w:p w14:paraId="2B8CFDA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6DD17A1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74CA029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5DCBFB9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753F17C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1855EEB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406C47A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rPr>
            </w:pPr>
          </w:p>
        </w:tc>
      </w:tr>
      <w:tr w14:paraId="3106E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560C2F2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30</w:t>
            </w:r>
          </w:p>
        </w:tc>
        <w:tc>
          <w:tcPr>
            <w:tcW w:w="520" w:type="dxa"/>
            <w:vMerge w:val="continue"/>
            <w:noWrap w:val="0"/>
            <w:vAlign w:val="center"/>
          </w:tcPr>
          <w:p w14:paraId="39C4345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1A0D71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全自动电缆打柄机组</w:t>
            </w:r>
          </w:p>
        </w:tc>
        <w:tc>
          <w:tcPr>
            <w:tcW w:w="710" w:type="dxa"/>
            <w:noWrap w:val="0"/>
            <w:vAlign w:val="center"/>
          </w:tcPr>
          <w:p w14:paraId="4FC3288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70</w:t>
            </w:r>
          </w:p>
        </w:tc>
        <w:tc>
          <w:tcPr>
            <w:tcW w:w="710" w:type="dxa"/>
            <w:vMerge w:val="continue"/>
            <w:noWrap w:val="0"/>
            <w:vAlign w:val="center"/>
          </w:tcPr>
          <w:p w14:paraId="1F4EDF01">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170DEE7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55</w:t>
            </w:r>
          </w:p>
        </w:tc>
        <w:tc>
          <w:tcPr>
            <w:tcW w:w="640" w:type="dxa"/>
            <w:noWrap w:val="0"/>
            <w:vAlign w:val="center"/>
          </w:tcPr>
          <w:p w14:paraId="2A25B86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38</w:t>
            </w:r>
          </w:p>
        </w:tc>
        <w:tc>
          <w:tcPr>
            <w:tcW w:w="560" w:type="dxa"/>
            <w:noWrap w:val="0"/>
            <w:vAlign w:val="center"/>
          </w:tcPr>
          <w:p w14:paraId="0C9A152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1.6</w:t>
            </w:r>
          </w:p>
        </w:tc>
        <w:tc>
          <w:tcPr>
            <w:tcW w:w="570" w:type="dxa"/>
            <w:noWrap w:val="0"/>
            <w:vAlign w:val="center"/>
          </w:tcPr>
          <w:p w14:paraId="7E053BE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63</w:t>
            </w:r>
          </w:p>
        </w:tc>
        <w:tc>
          <w:tcPr>
            <w:tcW w:w="640" w:type="dxa"/>
            <w:noWrap w:val="0"/>
            <w:vAlign w:val="center"/>
          </w:tcPr>
          <w:p w14:paraId="246CA6D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00" w:type="dxa"/>
            <w:noWrap w:val="0"/>
            <w:vAlign w:val="center"/>
          </w:tcPr>
          <w:p w14:paraId="79130B0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19</w:t>
            </w:r>
          </w:p>
        </w:tc>
        <w:tc>
          <w:tcPr>
            <w:tcW w:w="677" w:type="dxa"/>
            <w:noWrap w:val="0"/>
            <w:vAlign w:val="center"/>
          </w:tcPr>
          <w:p w14:paraId="2F19D89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38</w:t>
            </w:r>
          </w:p>
        </w:tc>
        <w:tc>
          <w:tcPr>
            <w:tcW w:w="740" w:type="dxa"/>
            <w:noWrap w:val="0"/>
            <w:vAlign w:val="center"/>
          </w:tcPr>
          <w:p w14:paraId="1466F7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31</w:t>
            </w:r>
          </w:p>
        </w:tc>
        <w:tc>
          <w:tcPr>
            <w:tcW w:w="610" w:type="dxa"/>
            <w:noWrap w:val="0"/>
            <w:vAlign w:val="center"/>
          </w:tcPr>
          <w:p w14:paraId="563909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31</w:t>
            </w:r>
          </w:p>
        </w:tc>
        <w:tc>
          <w:tcPr>
            <w:tcW w:w="590" w:type="dxa"/>
            <w:noWrap w:val="0"/>
            <w:vAlign w:val="center"/>
          </w:tcPr>
          <w:p w14:paraId="18C8D4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32</w:t>
            </w:r>
          </w:p>
        </w:tc>
        <w:tc>
          <w:tcPr>
            <w:tcW w:w="610" w:type="dxa"/>
            <w:noWrap w:val="0"/>
            <w:vAlign w:val="center"/>
          </w:tcPr>
          <w:p w14:paraId="12BC87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31</w:t>
            </w:r>
          </w:p>
        </w:tc>
        <w:tc>
          <w:tcPr>
            <w:tcW w:w="730" w:type="dxa"/>
            <w:vMerge w:val="continue"/>
            <w:noWrap w:val="0"/>
            <w:vAlign w:val="center"/>
          </w:tcPr>
          <w:p w14:paraId="3DF897D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4C78FF1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72CB27B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3AD67B4C">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3BE33A7C">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63352BF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2FE2674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rPr>
            </w:pPr>
          </w:p>
        </w:tc>
      </w:tr>
      <w:tr w14:paraId="3BE21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477090A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31</w:t>
            </w:r>
          </w:p>
        </w:tc>
        <w:tc>
          <w:tcPr>
            <w:tcW w:w="520" w:type="dxa"/>
            <w:vMerge w:val="continue"/>
            <w:noWrap w:val="0"/>
            <w:vAlign w:val="center"/>
          </w:tcPr>
          <w:p w14:paraId="074E500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78957F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全自动电缆打柄机组</w:t>
            </w:r>
          </w:p>
        </w:tc>
        <w:tc>
          <w:tcPr>
            <w:tcW w:w="710" w:type="dxa"/>
            <w:noWrap w:val="0"/>
            <w:vAlign w:val="center"/>
          </w:tcPr>
          <w:p w14:paraId="2CBFC8D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70</w:t>
            </w:r>
          </w:p>
        </w:tc>
        <w:tc>
          <w:tcPr>
            <w:tcW w:w="710" w:type="dxa"/>
            <w:vMerge w:val="continue"/>
            <w:noWrap w:val="0"/>
            <w:vAlign w:val="center"/>
          </w:tcPr>
          <w:p w14:paraId="3EA8876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4CC1D9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118</w:t>
            </w:r>
          </w:p>
        </w:tc>
        <w:tc>
          <w:tcPr>
            <w:tcW w:w="640" w:type="dxa"/>
            <w:noWrap w:val="0"/>
            <w:vAlign w:val="center"/>
          </w:tcPr>
          <w:p w14:paraId="1E8941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38</w:t>
            </w:r>
          </w:p>
        </w:tc>
        <w:tc>
          <w:tcPr>
            <w:tcW w:w="560" w:type="dxa"/>
            <w:noWrap w:val="0"/>
            <w:vAlign w:val="center"/>
          </w:tcPr>
          <w:p w14:paraId="1DBF10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1.6</w:t>
            </w:r>
          </w:p>
        </w:tc>
        <w:tc>
          <w:tcPr>
            <w:tcW w:w="570" w:type="dxa"/>
            <w:noWrap w:val="0"/>
            <w:vAlign w:val="center"/>
          </w:tcPr>
          <w:p w14:paraId="1B813C6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20</w:t>
            </w:r>
          </w:p>
        </w:tc>
        <w:tc>
          <w:tcPr>
            <w:tcW w:w="640" w:type="dxa"/>
            <w:noWrap w:val="0"/>
            <w:vAlign w:val="center"/>
          </w:tcPr>
          <w:p w14:paraId="227930F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113</w:t>
            </w:r>
          </w:p>
        </w:tc>
        <w:tc>
          <w:tcPr>
            <w:tcW w:w="600" w:type="dxa"/>
            <w:noWrap w:val="0"/>
            <w:vAlign w:val="center"/>
          </w:tcPr>
          <w:p w14:paraId="31553F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62</w:t>
            </w:r>
          </w:p>
        </w:tc>
        <w:tc>
          <w:tcPr>
            <w:tcW w:w="677" w:type="dxa"/>
            <w:noWrap w:val="0"/>
            <w:vAlign w:val="center"/>
          </w:tcPr>
          <w:p w14:paraId="72059F1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17</w:t>
            </w:r>
          </w:p>
        </w:tc>
        <w:tc>
          <w:tcPr>
            <w:tcW w:w="740" w:type="dxa"/>
            <w:noWrap w:val="0"/>
            <w:vAlign w:val="center"/>
          </w:tcPr>
          <w:p w14:paraId="5BE92E6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46.9</w:t>
            </w:r>
          </w:p>
        </w:tc>
        <w:tc>
          <w:tcPr>
            <w:tcW w:w="610" w:type="dxa"/>
            <w:noWrap w:val="0"/>
            <w:vAlign w:val="center"/>
          </w:tcPr>
          <w:p w14:paraId="30A1F38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45.6</w:t>
            </w:r>
          </w:p>
        </w:tc>
        <w:tc>
          <w:tcPr>
            <w:tcW w:w="590" w:type="dxa"/>
            <w:noWrap w:val="0"/>
            <w:vAlign w:val="center"/>
          </w:tcPr>
          <w:p w14:paraId="20B0C5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45.7</w:t>
            </w:r>
          </w:p>
        </w:tc>
        <w:tc>
          <w:tcPr>
            <w:tcW w:w="610" w:type="dxa"/>
            <w:noWrap w:val="0"/>
            <w:vAlign w:val="center"/>
          </w:tcPr>
          <w:p w14:paraId="060C16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47.3</w:t>
            </w:r>
          </w:p>
        </w:tc>
        <w:tc>
          <w:tcPr>
            <w:tcW w:w="730" w:type="dxa"/>
            <w:vMerge w:val="continue"/>
            <w:noWrap w:val="0"/>
            <w:vAlign w:val="center"/>
          </w:tcPr>
          <w:p w14:paraId="62EB65B3">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08D92411">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4F9FF25C">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142636E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54EB753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613F3A0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1B92CF83">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r>
      <w:tr w14:paraId="2AC8B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5BBF460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32</w:t>
            </w:r>
          </w:p>
        </w:tc>
        <w:tc>
          <w:tcPr>
            <w:tcW w:w="520" w:type="dxa"/>
            <w:vMerge w:val="continue"/>
            <w:noWrap w:val="0"/>
            <w:vAlign w:val="center"/>
          </w:tcPr>
          <w:p w14:paraId="118D0AB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4855B5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卧式双头包纸机</w:t>
            </w:r>
          </w:p>
        </w:tc>
        <w:tc>
          <w:tcPr>
            <w:tcW w:w="710" w:type="dxa"/>
            <w:noWrap w:val="0"/>
            <w:vAlign w:val="center"/>
          </w:tcPr>
          <w:p w14:paraId="067F31F3">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70</w:t>
            </w:r>
          </w:p>
        </w:tc>
        <w:tc>
          <w:tcPr>
            <w:tcW w:w="710" w:type="dxa"/>
            <w:vMerge w:val="continue"/>
            <w:noWrap w:val="0"/>
            <w:vAlign w:val="center"/>
          </w:tcPr>
          <w:p w14:paraId="4274C29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151522E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65</w:t>
            </w:r>
          </w:p>
        </w:tc>
        <w:tc>
          <w:tcPr>
            <w:tcW w:w="640" w:type="dxa"/>
            <w:noWrap w:val="0"/>
            <w:vAlign w:val="center"/>
          </w:tcPr>
          <w:p w14:paraId="518A8D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17</w:t>
            </w:r>
          </w:p>
        </w:tc>
        <w:tc>
          <w:tcPr>
            <w:tcW w:w="560" w:type="dxa"/>
            <w:noWrap w:val="0"/>
            <w:vAlign w:val="center"/>
          </w:tcPr>
          <w:p w14:paraId="4C63B93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1.2</w:t>
            </w:r>
          </w:p>
        </w:tc>
        <w:tc>
          <w:tcPr>
            <w:tcW w:w="570" w:type="dxa"/>
            <w:noWrap w:val="0"/>
            <w:vAlign w:val="center"/>
          </w:tcPr>
          <w:p w14:paraId="6BAB81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46</w:t>
            </w:r>
          </w:p>
        </w:tc>
        <w:tc>
          <w:tcPr>
            <w:tcW w:w="640" w:type="dxa"/>
            <w:noWrap w:val="0"/>
            <w:vAlign w:val="center"/>
          </w:tcPr>
          <w:p w14:paraId="3F0754A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77</w:t>
            </w:r>
          </w:p>
        </w:tc>
        <w:tc>
          <w:tcPr>
            <w:tcW w:w="600" w:type="dxa"/>
            <w:noWrap w:val="0"/>
            <w:vAlign w:val="center"/>
          </w:tcPr>
          <w:p w14:paraId="76BC961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36</w:t>
            </w:r>
          </w:p>
        </w:tc>
        <w:tc>
          <w:tcPr>
            <w:tcW w:w="677" w:type="dxa"/>
            <w:noWrap w:val="0"/>
            <w:vAlign w:val="center"/>
          </w:tcPr>
          <w:p w14:paraId="7E2330F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53</w:t>
            </w:r>
          </w:p>
        </w:tc>
        <w:tc>
          <w:tcPr>
            <w:tcW w:w="740" w:type="dxa"/>
            <w:noWrap w:val="0"/>
            <w:vAlign w:val="center"/>
          </w:tcPr>
          <w:p w14:paraId="230B59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55.9</w:t>
            </w:r>
          </w:p>
        </w:tc>
        <w:tc>
          <w:tcPr>
            <w:tcW w:w="610" w:type="dxa"/>
            <w:noWrap w:val="0"/>
            <w:vAlign w:val="center"/>
          </w:tcPr>
          <w:p w14:paraId="4DE6143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55.7</w:t>
            </w:r>
          </w:p>
        </w:tc>
        <w:tc>
          <w:tcPr>
            <w:tcW w:w="590" w:type="dxa"/>
            <w:noWrap w:val="0"/>
            <w:vAlign w:val="center"/>
          </w:tcPr>
          <w:p w14:paraId="4CA6A40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56</w:t>
            </w:r>
          </w:p>
        </w:tc>
        <w:tc>
          <w:tcPr>
            <w:tcW w:w="610" w:type="dxa"/>
            <w:noWrap w:val="0"/>
            <w:vAlign w:val="center"/>
          </w:tcPr>
          <w:p w14:paraId="37175DD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55.8</w:t>
            </w:r>
          </w:p>
        </w:tc>
        <w:tc>
          <w:tcPr>
            <w:tcW w:w="730" w:type="dxa"/>
            <w:vMerge w:val="continue"/>
            <w:noWrap w:val="0"/>
            <w:vAlign w:val="center"/>
          </w:tcPr>
          <w:p w14:paraId="6FDC7C1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7AE3366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497353A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04EE86A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3A978E8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3654665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15CB408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r>
      <w:tr w14:paraId="73135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6B95658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33</w:t>
            </w:r>
          </w:p>
        </w:tc>
        <w:tc>
          <w:tcPr>
            <w:tcW w:w="520" w:type="dxa"/>
            <w:vMerge w:val="continue"/>
            <w:noWrap w:val="0"/>
            <w:vAlign w:val="center"/>
          </w:tcPr>
          <w:p w14:paraId="6B5A55E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28EB0D3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卧式双头包纸机</w:t>
            </w:r>
          </w:p>
        </w:tc>
        <w:tc>
          <w:tcPr>
            <w:tcW w:w="710" w:type="dxa"/>
            <w:noWrap w:val="0"/>
            <w:vAlign w:val="center"/>
          </w:tcPr>
          <w:p w14:paraId="7E1A0BF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70</w:t>
            </w:r>
          </w:p>
        </w:tc>
        <w:tc>
          <w:tcPr>
            <w:tcW w:w="710" w:type="dxa"/>
            <w:vMerge w:val="continue"/>
            <w:noWrap w:val="0"/>
            <w:vAlign w:val="center"/>
          </w:tcPr>
          <w:p w14:paraId="444D4DE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4454F0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123</w:t>
            </w:r>
          </w:p>
        </w:tc>
        <w:tc>
          <w:tcPr>
            <w:tcW w:w="640" w:type="dxa"/>
            <w:noWrap w:val="0"/>
            <w:vAlign w:val="center"/>
          </w:tcPr>
          <w:p w14:paraId="22848D2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40</w:t>
            </w:r>
          </w:p>
        </w:tc>
        <w:tc>
          <w:tcPr>
            <w:tcW w:w="560" w:type="dxa"/>
            <w:noWrap w:val="0"/>
            <w:vAlign w:val="center"/>
          </w:tcPr>
          <w:p w14:paraId="2D6B3DA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rPr>
            </w:pPr>
            <w:r>
              <w:rPr>
                <w:sz w:val="21"/>
                <w:szCs w:val="21"/>
              </w:rPr>
              <w:t>1.6</w:t>
            </w:r>
          </w:p>
        </w:tc>
        <w:tc>
          <w:tcPr>
            <w:tcW w:w="570" w:type="dxa"/>
            <w:noWrap w:val="0"/>
            <w:vAlign w:val="center"/>
          </w:tcPr>
          <w:p w14:paraId="11DF83A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15</w:t>
            </w:r>
          </w:p>
        </w:tc>
        <w:tc>
          <w:tcPr>
            <w:tcW w:w="640" w:type="dxa"/>
            <w:noWrap w:val="0"/>
            <w:vAlign w:val="center"/>
          </w:tcPr>
          <w:p w14:paraId="189BAC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119</w:t>
            </w:r>
          </w:p>
        </w:tc>
        <w:tc>
          <w:tcPr>
            <w:tcW w:w="600" w:type="dxa"/>
            <w:noWrap w:val="0"/>
            <w:vAlign w:val="center"/>
          </w:tcPr>
          <w:p w14:paraId="54A5889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71</w:t>
            </w:r>
          </w:p>
        </w:tc>
        <w:tc>
          <w:tcPr>
            <w:tcW w:w="677" w:type="dxa"/>
            <w:noWrap w:val="0"/>
            <w:vAlign w:val="center"/>
          </w:tcPr>
          <w:p w14:paraId="654383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11</w:t>
            </w:r>
          </w:p>
        </w:tc>
        <w:tc>
          <w:tcPr>
            <w:tcW w:w="740" w:type="dxa"/>
            <w:noWrap w:val="0"/>
            <w:vAlign w:val="center"/>
          </w:tcPr>
          <w:p w14:paraId="4FF1EB7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57.7</w:t>
            </w:r>
          </w:p>
        </w:tc>
        <w:tc>
          <w:tcPr>
            <w:tcW w:w="610" w:type="dxa"/>
            <w:noWrap w:val="0"/>
            <w:vAlign w:val="center"/>
          </w:tcPr>
          <w:p w14:paraId="4544573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55.6</w:t>
            </w:r>
          </w:p>
        </w:tc>
        <w:tc>
          <w:tcPr>
            <w:tcW w:w="590" w:type="dxa"/>
            <w:noWrap w:val="0"/>
            <w:vAlign w:val="center"/>
          </w:tcPr>
          <w:p w14:paraId="2DDCF9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55.7</w:t>
            </w:r>
          </w:p>
        </w:tc>
        <w:tc>
          <w:tcPr>
            <w:tcW w:w="610" w:type="dxa"/>
            <w:noWrap w:val="0"/>
            <w:vAlign w:val="center"/>
          </w:tcPr>
          <w:p w14:paraId="10A495B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58.9</w:t>
            </w:r>
          </w:p>
        </w:tc>
        <w:tc>
          <w:tcPr>
            <w:tcW w:w="730" w:type="dxa"/>
            <w:vMerge w:val="continue"/>
            <w:noWrap w:val="0"/>
            <w:vAlign w:val="center"/>
          </w:tcPr>
          <w:p w14:paraId="56FFD33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166CE693">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7355E65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08436CC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21244D4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5485855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5AE936A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rPr>
            </w:pPr>
          </w:p>
        </w:tc>
      </w:tr>
      <w:tr w14:paraId="4CE50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299D9D1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34</w:t>
            </w:r>
          </w:p>
        </w:tc>
        <w:tc>
          <w:tcPr>
            <w:tcW w:w="520" w:type="dxa"/>
            <w:vMerge w:val="continue"/>
            <w:noWrap w:val="0"/>
            <w:vAlign w:val="center"/>
          </w:tcPr>
          <w:p w14:paraId="2EA05021">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0D6F1B3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喷码机</w:t>
            </w:r>
          </w:p>
        </w:tc>
        <w:tc>
          <w:tcPr>
            <w:tcW w:w="710" w:type="dxa"/>
            <w:noWrap w:val="0"/>
            <w:vAlign w:val="center"/>
          </w:tcPr>
          <w:p w14:paraId="420B6C8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70</w:t>
            </w:r>
          </w:p>
        </w:tc>
        <w:tc>
          <w:tcPr>
            <w:tcW w:w="710" w:type="dxa"/>
            <w:vMerge w:val="continue"/>
            <w:noWrap w:val="0"/>
            <w:vAlign w:val="center"/>
          </w:tcPr>
          <w:p w14:paraId="3B5611E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4A2145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130</w:t>
            </w:r>
          </w:p>
        </w:tc>
        <w:tc>
          <w:tcPr>
            <w:tcW w:w="640" w:type="dxa"/>
            <w:noWrap w:val="0"/>
            <w:vAlign w:val="center"/>
          </w:tcPr>
          <w:p w14:paraId="406E73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7</w:t>
            </w:r>
          </w:p>
        </w:tc>
        <w:tc>
          <w:tcPr>
            <w:tcW w:w="560" w:type="dxa"/>
            <w:noWrap w:val="0"/>
            <w:vAlign w:val="center"/>
          </w:tcPr>
          <w:p w14:paraId="51B6B1A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rPr>
            </w:pPr>
            <w:r>
              <w:rPr>
                <w:sz w:val="21"/>
                <w:szCs w:val="21"/>
              </w:rPr>
              <w:t>2</w:t>
            </w:r>
          </w:p>
        </w:tc>
        <w:tc>
          <w:tcPr>
            <w:tcW w:w="570" w:type="dxa"/>
            <w:noWrap w:val="0"/>
            <w:vAlign w:val="center"/>
          </w:tcPr>
          <w:p w14:paraId="4F43847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w:t>
            </w:r>
          </w:p>
        </w:tc>
        <w:tc>
          <w:tcPr>
            <w:tcW w:w="640" w:type="dxa"/>
            <w:noWrap w:val="0"/>
            <w:vAlign w:val="center"/>
          </w:tcPr>
          <w:p w14:paraId="2638009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104</w:t>
            </w:r>
          </w:p>
        </w:tc>
        <w:tc>
          <w:tcPr>
            <w:tcW w:w="600" w:type="dxa"/>
            <w:noWrap w:val="0"/>
            <w:vAlign w:val="center"/>
          </w:tcPr>
          <w:p w14:paraId="7D6A075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78</w:t>
            </w:r>
          </w:p>
        </w:tc>
        <w:tc>
          <w:tcPr>
            <w:tcW w:w="677" w:type="dxa"/>
            <w:noWrap w:val="0"/>
            <w:vAlign w:val="center"/>
          </w:tcPr>
          <w:p w14:paraId="512A8E4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26</w:t>
            </w:r>
          </w:p>
        </w:tc>
        <w:tc>
          <w:tcPr>
            <w:tcW w:w="740" w:type="dxa"/>
            <w:noWrap w:val="0"/>
            <w:vAlign w:val="center"/>
          </w:tcPr>
          <w:p w14:paraId="0FBF1BF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55.5</w:t>
            </w:r>
          </w:p>
        </w:tc>
        <w:tc>
          <w:tcPr>
            <w:tcW w:w="610" w:type="dxa"/>
            <w:noWrap w:val="0"/>
            <w:vAlign w:val="center"/>
          </w:tcPr>
          <w:p w14:paraId="08FE2C9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45.6</w:t>
            </w:r>
          </w:p>
        </w:tc>
        <w:tc>
          <w:tcPr>
            <w:tcW w:w="590" w:type="dxa"/>
            <w:noWrap w:val="0"/>
            <w:vAlign w:val="center"/>
          </w:tcPr>
          <w:p w14:paraId="381E094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45.7</w:t>
            </w:r>
          </w:p>
        </w:tc>
        <w:tc>
          <w:tcPr>
            <w:tcW w:w="610" w:type="dxa"/>
            <w:noWrap w:val="0"/>
            <w:vAlign w:val="center"/>
          </w:tcPr>
          <w:p w14:paraId="43F9EB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46.4</w:t>
            </w:r>
          </w:p>
        </w:tc>
        <w:tc>
          <w:tcPr>
            <w:tcW w:w="730" w:type="dxa"/>
            <w:vMerge w:val="continue"/>
            <w:noWrap w:val="0"/>
            <w:vAlign w:val="center"/>
          </w:tcPr>
          <w:p w14:paraId="04F956A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5FD5BCA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34F65A63">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007A7D1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649D6E4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3331A1CF">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3AC7F43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rPr>
            </w:pPr>
          </w:p>
        </w:tc>
      </w:tr>
      <w:tr w14:paraId="2A7F6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5528F4C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35</w:t>
            </w:r>
          </w:p>
        </w:tc>
        <w:tc>
          <w:tcPr>
            <w:tcW w:w="520" w:type="dxa"/>
            <w:vMerge w:val="continue"/>
            <w:noWrap w:val="0"/>
            <w:vAlign w:val="center"/>
          </w:tcPr>
          <w:p w14:paraId="58D865C1">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5C632D9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喷码机</w:t>
            </w:r>
          </w:p>
        </w:tc>
        <w:tc>
          <w:tcPr>
            <w:tcW w:w="710" w:type="dxa"/>
            <w:noWrap w:val="0"/>
            <w:vAlign w:val="center"/>
          </w:tcPr>
          <w:p w14:paraId="209C1E9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7</w:t>
            </w:r>
            <w:r>
              <w:rPr>
                <w:rFonts w:hint="default" w:ascii="Times New Roman" w:hAnsi="Times New Roman" w:eastAsia="宋体" w:cs="Times New Roman"/>
                <w:color w:val="auto"/>
                <w:sz w:val="21"/>
                <w:szCs w:val="21"/>
                <w:highlight w:val="none"/>
                <w:lang w:val="en-US" w:eastAsia="zh-CN"/>
              </w:rPr>
              <w:t>0</w:t>
            </w:r>
          </w:p>
        </w:tc>
        <w:tc>
          <w:tcPr>
            <w:tcW w:w="710" w:type="dxa"/>
            <w:vMerge w:val="continue"/>
            <w:noWrap w:val="0"/>
            <w:vAlign w:val="center"/>
          </w:tcPr>
          <w:p w14:paraId="21E910E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02EC767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72</w:t>
            </w:r>
          </w:p>
        </w:tc>
        <w:tc>
          <w:tcPr>
            <w:tcW w:w="640" w:type="dxa"/>
            <w:noWrap w:val="0"/>
            <w:vAlign w:val="center"/>
          </w:tcPr>
          <w:p w14:paraId="7C2B62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-70</w:t>
            </w:r>
          </w:p>
        </w:tc>
        <w:tc>
          <w:tcPr>
            <w:tcW w:w="560" w:type="dxa"/>
            <w:noWrap w:val="0"/>
            <w:vAlign w:val="center"/>
          </w:tcPr>
          <w:p w14:paraId="592C687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2</w:t>
            </w:r>
          </w:p>
        </w:tc>
        <w:tc>
          <w:tcPr>
            <w:tcW w:w="570" w:type="dxa"/>
            <w:noWrap w:val="0"/>
            <w:vAlign w:val="center"/>
          </w:tcPr>
          <w:p w14:paraId="79C5803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8</w:t>
            </w:r>
          </w:p>
        </w:tc>
        <w:tc>
          <w:tcPr>
            <w:tcW w:w="640" w:type="dxa"/>
            <w:noWrap w:val="0"/>
            <w:vAlign w:val="center"/>
          </w:tcPr>
          <w:p w14:paraId="7EB1A77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15</w:t>
            </w:r>
          </w:p>
        </w:tc>
        <w:tc>
          <w:tcPr>
            <w:tcW w:w="600" w:type="dxa"/>
            <w:noWrap w:val="0"/>
            <w:vAlign w:val="center"/>
          </w:tcPr>
          <w:p w14:paraId="3184424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74</w:t>
            </w:r>
          </w:p>
        </w:tc>
        <w:tc>
          <w:tcPr>
            <w:tcW w:w="677" w:type="dxa"/>
            <w:noWrap w:val="0"/>
            <w:vAlign w:val="center"/>
          </w:tcPr>
          <w:p w14:paraId="2817BE5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115</w:t>
            </w:r>
          </w:p>
        </w:tc>
        <w:tc>
          <w:tcPr>
            <w:tcW w:w="740" w:type="dxa"/>
            <w:noWrap w:val="0"/>
            <w:vAlign w:val="center"/>
          </w:tcPr>
          <w:p w14:paraId="442EF0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55.6</w:t>
            </w:r>
          </w:p>
        </w:tc>
        <w:tc>
          <w:tcPr>
            <w:tcW w:w="610" w:type="dxa"/>
            <w:noWrap w:val="0"/>
            <w:vAlign w:val="center"/>
          </w:tcPr>
          <w:p w14:paraId="39CD7B8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52.7</w:t>
            </w:r>
          </w:p>
        </w:tc>
        <w:tc>
          <w:tcPr>
            <w:tcW w:w="590" w:type="dxa"/>
            <w:noWrap w:val="0"/>
            <w:vAlign w:val="center"/>
          </w:tcPr>
          <w:p w14:paraId="2AF0AF6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50.7</w:t>
            </w:r>
          </w:p>
        </w:tc>
        <w:tc>
          <w:tcPr>
            <w:tcW w:w="610" w:type="dxa"/>
            <w:noWrap w:val="0"/>
            <w:vAlign w:val="center"/>
          </w:tcPr>
          <w:p w14:paraId="6419176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50.6</w:t>
            </w:r>
          </w:p>
        </w:tc>
        <w:tc>
          <w:tcPr>
            <w:tcW w:w="730" w:type="dxa"/>
            <w:vMerge w:val="continue"/>
            <w:noWrap w:val="0"/>
            <w:vAlign w:val="center"/>
          </w:tcPr>
          <w:p w14:paraId="0E42879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1EC9867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172C12D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26DBAE6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513ACF5F">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4E03FD1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6DCDAEAF">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rPr>
            </w:pPr>
          </w:p>
        </w:tc>
      </w:tr>
      <w:tr w14:paraId="31366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7F839A5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36</w:t>
            </w:r>
          </w:p>
        </w:tc>
        <w:tc>
          <w:tcPr>
            <w:tcW w:w="520" w:type="dxa"/>
            <w:vMerge w:val="continue"/>
            <w:noWrap w:val="0"/>
            <w:vAlign w:val="center"/>
          </w:tcPr>
          <w:p w14:paraId="715E3C1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572C8EB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喷码机</w:t>
            </w:r>
          </w:p>
        </w:tc>
        <w:tc>
          <w:tcPr>
            <w:tcW w:w="710" w:type="dxa"/>
            <w:noWrap w:val="0"/>
            <w:vAlign w:val="center"/>
          </w:tcPr>
          <w:p w14:paraId="19E5431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7</w:t>
            </w:r>
            <w:r>
              <w:rPr>
                <w:rFonts w:hint="default" w:ascii="Times New Roman" w:hAnsi="Times New Roman" w:eastAsia="宋体" w:cs="Times New Roman"/>
                <w:color w:val="auto"/>
                <w:sz w:val="21"/>
                <w:szCs w:val="21"/>
                <w:highlight w:val="none"/>
                <w:lang w:val="en-US" w:eastAsia="zh-CN"/>
              </w:rPr>
              <w:t>0</w:t>
            </w:r>
          </w:p>
        </w:tc>
        <w:tc>
          <w:tcPr>
            <w:tcW w:w="710" w:type="dxa"/>
            <w:vMerge w:val="continue"/>
            <w:noWrap w:val="0"/>
            <w:vAlign w:val="center"/>
          </w:tcPr>
          <w:p w14:paraId="7BE58AC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38EB811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70</w:t>
            </w:r>
          </w:p>
        </w:tc>
        <w:tc>
          <w:tcPr>
            <w:tcW w:w="640" w:type="dxa"/>
            <w:noWrap w:val="0"/>
            <w:vAlign w:val="center"/>
          </w:tcPr>
          <w:p w14:paraId="01A3133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-37</w:t>
            </w:r>
          </w:p>
        </w:tc>
        <w:tc>
          <w:tcPr>
            <w:tcW w:w="560" w:type="dxa"/>
            <w:noWrap w:val="0"/>
            <w:vAlign w:val="center"/>
          </w:tcPr>
          <w:p w14:paraId="7C872E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rPr>
            </w:pPr>
            <w:r>
              <w:rPr>
                <w:sz w:val="21"/>
                <w:szCs w:val="21"/>
              </w:rPr>
              <w:t>1.8</w:t>
            </w:r>
          </w:p>
        </w:tc>
        <w:tc>
          <w:tcPr>
            <w:tcW w:w="570" w:type="dxa"/>
            <w:noWrap w:val="0"/>
            <w:vAlign w:val="center"/>
          </w:tcPr>
          <w:p w14:paraId="79CCE3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19</w:t>
            </w:r>
          </w:p>
        </w:tc>
        <w:tc>
          <w:tcPr>
            <w:tcW w:w="640" w:type="dxa"/>
            <w:noWrap w:val="0"/>
            <w:vAlign w:val="center"/>
          </w:tcPr>
          <w:p w14:paraId="1F9B087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40</w:t>
            </w:r>
          </w:p>
        </w:tc>
        <w:tc>
          <w:tcPr>
            <w:tcW w:w="600" w:type="dxa"/>
            <w:noWrap w:val="0"/>
            <w:vAlign w:val="center"/>
          </w:tcPr>
          <w:p w14:paraId="002495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63</w:t>
            </w:r>
          </w:p>
        </w:tc>
        <w:tc>
          <w:tcPr>
            <w:tcW w:w="677" w:type="dxa"/>
            <w:noWrap w:val="0"/>
            <w:vAlign w:val="center"/>
          </w:tcPr>
          <w:p w14:paraId="1D87455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90</w:t>
            </w:r>
          </w:p>
        </w:tc>
        <w:tc>
          <w:tcPr>
            <w:tcW w:w="740" w:type="dxa"/>
            <w:noWrap w:val="0"/>
            <w:vAlign w:val="center"/>
          </w:tcPr>
          <w:p w14:paraId="391BE7A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52</w:t>
            </w:r>
          </w:p>
        </w:tc>
        <w:tc>
          <w:tcPr>
            <w:tcW w:w="610" w:type="dxa"/>
            <w:noWrap w:val="0"/>
            <w:vAlign w:val="center"/>
          </w:tcPr>
          <w:p w14:paraId="42C9CC6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590" w:type="dxa"/>
            <w:noWrap w:val="0"/>
            <w:vAlign w:val="center"/>
          </w:tcPr>
          <w:p w14:paraId="17057A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737F28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730" w:type="dxa"/>
            <w:vMerge w:val="continue"/>
            <w:noWrap w:val="0"/>
            <w:vAlign w:val="center"/>
          </w:tcPr>
          <w:p w14:paraId="27BF9D5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3955796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066D28D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53D72AF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5489936E">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58E2333C">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36DE2E6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rPr>
            </w:pPr>
          </w:p>
        </w:tc>
      </w:tr>
      <w:tr w14:paraId="52F18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61960C2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37</w:t>
            </w:r>
          </w:p>
        </w:tc>
        <w:tc>
          <w:tcPr>
            <w:tcW w:w="520" w:type="dxa"/>
            <w:vMerge w:val="continue"/>
            <w:noWrap w:val="0"/>
            <w:vAlign w:val="center"/>
          </w:tcPr>
          <w:p w14:paraId="5DD095D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565A8C3F">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束丝机</w:t>
            </w:r>
          </w:p>
        </w:tc>
        <w:tc>
          <w:tcPr>
            <w:tcW w:w="710" w:type="dxa"/>
            <w:noWrap w:val="0"/>
            <w:vAlign w:val="center"/>
          </w:tcPr>
          <w:p w14:paraId="2361618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80</w:t>
            </w:r>
          </w:p>
        </w:tc>
        <w:tc>
          <w:tcPr>
            <w:tcW w:w="710" w:type="dxa"/>
            <w:vMerge w:val="continue"/>
            <w:noWrap w:val="0"/>
            <w:vAlign w:val="center"/>
          </w:tcPr>
          <w:p w14:paraId="7655B983">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4292E9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64</w:t>
            </w:r>
          </w:p>
        </w:tc>
        <w:tc>
          <w:tcPr>
            <w:tcW w:w="640" w:type="dxa"/>
            <w:noWrap w:val="0"/>
            <w:vAlign w:val="center"/>
          </w:tcPr>
          <w:p w14:paraId="484C64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19</w:t>
            </w:r>
          </w:p>
        </w:tc>
        <w:tc>
          <w:tcPr>
            <w:tcW w:w="560" w:type="dxa"/>
            <w:noWrap w:val="0"/>
            <w:vAlign w:val="center"/>
          </w:tcPr>
          <w:p w14:paraId="48EDFB0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1.8</w:t>
            </w:r>
          </w:p>
        </w:tc>
        <w:tc>
          <w:tcPr>
            <w:tcW w:w="570" w:type="dxa"/>
            <w:noWrap w:val="0"/>
            <w:vAlign w:val="center"/>
          </w:tcPr>
          <w:p w14:paraId="437A412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41</w:t>
            </w:r>
          </w:p>
        </w:tc>
        <w:tc>
          <w:tcPr>
            <w:tcW w:w="640" w:type="dxa"/>
            <w:noWrap w:val="0"/>
            <w:vAlign w:val="center"/>
          </w:tcPr>
          <w:p w14:paraId="510968B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76</w:t>
            </w:r>
          </w:p>
        </w:tc>
        <w:tc>
          <w:tcPr>
            <w:tcW w:w="600" w:type="dxa"/>
            <w:noWrap w:val="0"/>
            <w:vAlign w:val="center"/>
          </w:tcPr>
          <w:p w14:paraId="1C87FF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44</w:t>
            </w:r>
          </w:p>
        </w:tc>
        <w:tc>
          <w:tcPr>
            <w:tcW w:w="677" w:type="dxa"/>
            <w:noWrap w:val="0"/>
            <w:vAlign w:val="center"/>
          </w:tcPr>
          <w:p w14:paraId="6C1648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55</w:t>
            </w:r>
          </w:p>
        </w:tc>
        <w:tc>
          <w:tcPr>
            <w:tcW w:w="740" w:type="dxa"/>
            <w:noWrap w:val="0"/>
            <w:vAlign w:val="center"/>
          </w:tcPr>
          <w:p w14:paraId="4FDEB0E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63D5C32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590" w:type="dxa"/>
            <w:noWrap w:val="0"/>
            <w:vAlign w:val="center"/>
          </w:tcPr>
          <w:p w14:paraId="624657A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5668F0F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730" w:type="dxa"/>
            <w:vMerge w:val="continue"/>
            <w:noWrap w:val="0"/>
            <w:vAlign w:val="center"/>
          </w:tcPr>
          <w:p w14:paraId="0221370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7A1987CF">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7EE1E0B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58728BE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7363DCD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3A9F17B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22F4B88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rPr>
            </w:pPr>
          </w:p>
        </w:tc>
      </w:tr>
      <w:tr w14:paraId="3C9F1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092E8E8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38</w:t>
            </w:r>
          </w:p>
        </w:tc>
        <w:tc>
          <w:tcPr>
            <w:tcW w:w="520" w:type="dxa"/>
            <w:vMerge w:val="continue"/>
            <w:noWrap w:val="0"/>
            <w:vAlign w:val="center"/>
          </w:tcPr>
          <w:p w14:paraId="5284B01F">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44DA2F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6+1成缆机</w:t>
            </w:r>
          </w:p>
        </w:tc>
        <w:tc>
          <w:tcPr>
            <w:tcW w:w="710" w:type="dxa"/>
            <w:noWrap w:val="0"/>
            <w:vAlign w:val="center"/>
          </w:tcPr>
          <w:p w14:paraId="4C6195E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80</w:t>
            </w:r>
          </w:p>
        </w:tc>
        <w:tc>
          <w:tcPr>
            <w:tcW w:w="710" w:type="dxa"/>
            <w:vMerge w:val="continue"/>
            <w:noWrap w:val="0"/>
            <w:vAlign w:val="center"/>
          </w:tcPr>
          <w:p w14:paraId="7D32C7E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3B06BC7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26</w:t>
            </w:r>
          </w:p>
        </w:tc>
        <w:tc>
          <w:tcPr>
            <w:tcW w:w="640" w:type="dxa"/>
            <w:noWrap w:val="0"/>
            <w:vAlign w:val="center"/>
          </w:tcPr>
          <w:p w14:paraId="547DC8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35</w:t>
            </w:r>
          </w:p>
        </w:tc>
        <w:tc>
          <w:tcPr>
            <w:tcW w:w="560" w:type="dxa"/>
            <w:noWrap w:val="0"/>
            <w:vAlign w:val="center"/>
          </w:tcPr>
          <w:p w14:paraId="42A0EE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1.8</w:t>
            </w:r>
          </w:p>
        </w:tc>
        <w:tc>
          <w:tcPr>
            <w:tcW w:w="570" w:type="dxa"/>
            <w:noWrap w:val="0"/>
            <w:vAlign w:val="center"/>
          </w:tcPr>
          <w:p w14:paraId="2EAC0BD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77</w:t>
            </w:r>
          </w:p>
        </w:tc>
        <w:tc>
          <w:tcPr>
            <w:tcW w:w="640" w:type="dxa"/>
            <w:noWrap w:val="0"/>
            <w:vAlign w:val="center"/>
          </w:tcPr>
          <w:p w14:paraId="1BFE9AF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14</w:t>
            </w:r>
          </w:p>
        </w:tc>
        <w:tc>
          <w:tcPr>
            <w:tcW w:w="600" w:type="dxa"/>
            <w:noWrap w:val="0"/>
            <w:vAlign w:val="center"/>
          </w:tcPr>
          <w:p w14:paraId="795BB2E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w:t>
            </w:r>
          </w:p>
        </w:tc>
        <w:tc>
          <w:tcPr>
            <w:tcW w:w="677" w:type="dxa"/>
            <w:noWrap w:val="0"/>
            <w:vAlign w:val="center"/>
          </w:tcPr>
          <w:p w14:paraId="6717A6D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74</w:t>
            </w:r>
          </w:p>
        </w:tc>
        <w:tc>
          <w:tcPr>
            <w:tcW w:w="740" w:type="dxa"/>
            <w:noWrap w:val="0"/>
            <w:vAlign w:val="center"/>
          </w:tcPr>
          <w:p w14:paraId="4EBA961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2A2C69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53</w:t>
            </w:r>
          </w:p>
        </w:tc>
        <w:tc>
          <w:tcPr>
            <w:tcW w:w="590" w:type="dxa"/>
            <w:noWrap w:val="0"/>
            <w:vAlign w:val="center"/>
          </w:tcPr>
          <w:p w14:paraId="08ABCB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59</w:t>
            </w:r>
          </w:p>
        </w:tc>
        <w:tc>
          <w:tcPr>
            <w:tcW w:w="610" w:type="dxa"/>
            <w:noWrap w:val="0"/>
            <w:vAlign w:val="center"/>
          </w:tcPr>
          <w:p w14:paraId="18CC073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730" w:type="dxa"/>
            <w:vMerge w:val="continue"/>
            <w:noWrap w:val="0"/>
            <w:vAlign w:val="center"/>
          </w:tcPr>
          <w:p w14:paraId="6A41210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6D302E84">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1008CCB3">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5556ADA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3639EC6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71907453">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3EBBAA9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rPr>
            </w:pPr>
          </w:p>
        </w:tc>
      </w:tr>
      <w:tr w14:paraId="337BC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3BDC7D8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39</w:t>
            </w:r>
          </w:p>
        </w:tc>
        <w:tc>
          <w:tcPr>
            <w:tcW w:w="520" w:type="dxa"/>
            <w:vMerge w:val="continue"/>
            <w:noWrap w:val="0"/>
            <w:vAlign w:val="center"/>
          </w:tcPr>
          <w:p w14:paraId="2DE79AE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0C74D2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双阶造粒机</w:t>
            </w:r>
          </w:p>
        </w:tc>
        <w:tc>
          <w:tcPr>
            <w:tcW w:w="710" w:type="dxa"/>
            <w:noWrap w:val="0"/>
            <w:vAlign w:val="center"/>
          </w:tcPr>
          <w:p w14:paraId="01A3D60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80</w:t>
            </w:r>
          </w:p>
        </w:tc>
        <w:tc>
          <w:tcPr>
            <w:tcW w:w="710" w:type="dxa"/>
            <w:vMerge w:val="continue"/>
            <w:noWrap w:val="0"/>
            <w:vAlign w:val="center"/>
          </w:tcPr>
          <w:p w14:paraId="257515A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2D0891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34</w:t>
            </w:r>
          </w:p>
        </w:tc>
        <w:tc>
          <w:tcPr>
            <w:tcW w:w="640" w:type="dxa"/>
            <w:noWrap w:val="0"/>
            <w:vAlign w:val="center"/>
          </w:tcPr>
          <w:p w14:paraId="671EE8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40</w:t>
            </w:r>
          </w:p>
        </w:tc>
        <w:tc>
          <w:tcPr>
            <w:tcW w:w="560" w:type="dxa"/>
            <w:noWrap w:val="0"/>
            <w:vAlign w:val="center"/>
          </w:tcPr>
          <w:p w14:paraId="0BC883F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1.8</w:t>
            </w:r>
          </w:p>
        </w:tc>
        <w:tc>
          <w:tcPr>
            <w:tcW w:w="570" w:type="dxa"/>
            <w:noWrap w:val="0"/>
            <w:vAlign w:val="center"/>
          </w:tcPr>
          <w:p w14:paraId="3723FBD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77</w:t>
            </w:r>
          </w:p>
        </w:tc>
        <w:tc>
          <w:tcPr>
            <w:tcW w:w="640" w:type="dxa"/>
            <w:noWrap w:val="0"/>
            <w:vAlign w:val="center"/>
          </w:tcPr>
          <w:p w14:paraId="283A859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43</w:t>
            </w:r>
          </w:p>
        </w:tc>
        <w:tc>
          <w:tcPr>
            <w:tcW w:w="600" w:type="dxa"/>
            <w:noWrap w:val="0"/>
            <w:vAlign w:val="center"/>
          </w:tcPr>
          <w:p w14:paraId="1892607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w:t>
            </w:r>
          </w:p>
        </w:tc>
        <w:tc>
          <w:tcPr>
            <w:tcW w:w="677" w:type="dxa"/>
            <w:noWrap w:val="0"/>
            <w:vAlign w:val="center"/>
          </w:tcPr>
          <w:p w14:paraId="7292ED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45</w:t>
            </w:r>
          </w:p>
        </w:tc>
        <w:tc>
          <w:tcPr>
            <w:tcW w:w="740" w:type="dxa"/>
            <w:noWrap w:val="0"/>
            <w:vAlign w:val="center"/>
          </w:tcPr>
          <w:p w14:paraId="5E19742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4388B9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590" w:type="dxa"/>
            <w:noWrap w:val="0"/>
            <w:vAlign w:val="center"/>
          </w:tcPr>
          <w:p w14:paraId="485BAF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59</w:t>
            </w:r>
          </w:p>
        </w:tc>
        <w:tc>
          <w:tcPr>
            <w:tcW w:w="610" w:type="dxa"/>
            <w:noWrap w:val="0"/>
            <w:vAlign w:val="center"/>
          </w:tcPr>
          <w:p w14:paraId="2468B6B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730" w:type="dxa"/>
            <w:vMerge w:val="continue"/>
            <w:noWrap w:val="0"/>
            <w:vAlign w:val="center"/>
          </w:tcPr>
          <w:p w14:paraId="4E86A366">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3B5D8EA5">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2111F40B">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446F889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3B72799F">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1069031D">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4F27F7F2">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r>
      <w:tr w14:paraId="58C10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0" w:type="dxa"/>
            <w:noWrap w:val="0"/>
            <w:vAlign w:val="center"/>
          </w:tcPr>
          <w:p w14:paraId="29B47C5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40</w:t>
            </w:r>
          </w:p>
        </w:tc>
        <w:tc>
          <w:tcPr>
            <w:tcW w:w="520" w:type="dxa"/>
            <w:vMerge w:val="continue"/>
            <w:noWrap w:val="0"/>
            <w:vAlign w:val="center"/>
          </w:tcPr>
          <w:p w14:paraId="33B2D85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1280" w:type="dxa"/>
            <w:noWrap w:val="0"/>
            <w:vAlign w:val="center"/>
          </w:tcPr>
          <w:p w14:paraId="0B52BBB9">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000000"/>
                <w:sz w:val="21"/>
                <w:szCs w:val="21"/>
                <w:vertAlign w:val="baseline"/>
                <w:lang w:val="en-US" w:eastAsia="zh-CN"/>
              </w:rPr>
              <w:t>拉力机</w:t>
            </w:r>
          </w:p>
        </w:tc>
        <w:tc>
          <w:tcPr>
            <w:tcW w:w="710" w:type="dxa"/>
            <w:noWrap w:val="0"/>
            <w:vAlign w:val="center"/>
          </w:tcPr>
          <w:p w14:paraId="318D9F1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80</w:t>
            </w:r>
          </w:p>
        </w:tc>
        <w:tc>
          <w:tcPr>
            <w:tcW w:w="710" w:type="dxa"/>
            <w:vMerge w:val="continue"/>
            <w:noWrap w:val="0"/>
            <w:vAlign w:val="center"/>
          </w:tcPr>
          <w:p w14:paraId="48B3CB2F">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80" w:type="dxa"/>
            <w:noWrap w:val="0"/>
            <w:vAlign w:val="center"/>
          </w:tcPr>
          <w:p w14:paraId="0DB3619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60</w:t>
            </w:r>
          </w:p>
        </w:tc>
        <w:tc>
          <w:tcPr>
            <w:tcW w:w="640" w:type="dxa"/>
            <w:noWrap w:val="0"/>
            <w:vAlign w:val="center"/>
          </w:tcPr>
          <w:p w14:paraId="08EF07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-30</w:t>
            </w:r>
          </w:p>
        </w:tc>
        <w:tc>
          <w:tcPr>
            <w:tcW w:w="560" w:type="dxa"/>
            <w:noWrap w:val="0"/>
            <w:vAlign w:val="center"/>
          </w:tcPr>
          <w:p w14:paraId="241B3D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sz w:val="21"/>
                <w:szCs w:val="21"/>
              </w:rPr>
              <w:t>1.6</w:t>
            </w:r>
          </w:p>
        </w:tc>
        <w:tc>
          <w:tcPr>
            <w:tcW w:w="570" w:type="dxa"/>
            <w:noWrap w:val="0"/>
            <w:vAlign w:val="center"/>
          </w:tcPr>
          <w:p w14:paraId="0C1157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32</w:t>
            </w:r>
          </w:p>
        </w:tc>
        <w:tc>
          <w:tcPr>
            <w:tcW w:w="640" w:type="dxa"/>
            <w:noWrap w:val="0"/>
            <w:vAlign w:val="center"/>
          </w:tcPr>
          <w:p w14:paraId="4B79F28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40</w:t>
            </w:r>
          </w:p>
        </w:tc>
        <w:tc>
          <w:tcPr>
            <w:tcW w:w="600" w:type="dxa"/>
            <w:noWrap w:val="0"/>
            <w:vAlign w:val="center"/>
          </w:tcPr>
          <w:p w14:paraId="1799C6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50</w:t>
            </w:r>
          </w:p>
        </w:tc>
        <w:tc>
          <w:tcPr>
            <w:tcW w:w="677" w:type="dxa"/>
            <w:noWrap w:val="0"/>
            <w:vAlign w:val="center"/>
          </w:tcPr>
          <w:p w14:paraId="0538B0F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90</w:t>
            </w:r>
          </w:p>
        </w:tc>
        <w:tc>
          <w:tcPr>
            <w:tcW w:w="740" w:type="dxa"/>
            <w:noWrap w:val="0"/>
            <w:vAlign w:val="center"/>
          </w:tcPr>
          <w:p w14:paraId="22DE742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7CAB3F8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590" w:type="dxa"/>
            <w:noWrap w:val="0"/>
            <w:vAlign w:val="center"/>
          </w:tcPr>
          <w:p w14:paraId="0650857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610" w:type="dxa"/>
            <w:noWrap w:val="0"/>
            <w:vAlign w:val="center"/>
          </w:tcPr>
          <w:p w14:paraId="1380422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sz w:val="21"/>
                <w:szCs w:val="21"/>
              </w:rPr>
              <w:t>51</w:t>
            </w:r>
          </w:p>
        </w:tc>
        <w:tc>
          <w:tcPr>
            <w:tcW w:w="730" w:type="dxa"/>
            <w:vMerge w:val="continue"/>
            <w:noWrap w:val="0"/>
            <w:vAlign w:val="center"/>
          </w:tcPr>
          <w:p w14:paraId="103E16E3">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30" w:type="dxa"/>
            <w:vMerge w:val="continue"/>
            <w:noWrap w:val="0"/>
            <w:vAlign w:val="center"/>
          </w:tcPr>
          <w:p w14:paraId="2E2372B7">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10" w:type="dxa"/>
            <w:vMerge w:val="continue"/>
            <w:noWrap w:val="0"/>
            <w:vAlign w:val="center"/>
          </w:tcPr>
          <w:p w14:paraId="14827FD0">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70" w:type="dxa"/>
            <w:vMerge w:val="continue"/>
            <w:noWrap w:val="0"/>
            <w:vAlign w:val="center"/>
          </w:tcPr>
          <w:p w14:paraId="4A9EAFE1">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40" w:type="dxa"/>
            <w:vMerge w:val="continue"/>
            <w:noWrap w:val="0"/>
            <w:vAlign w:val="center"/>
          </w:tcPr>
          <w:p w14:paraId="72287129">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520" w:type="dxa"/>
            <w:vMerge w:val="continue"/>
            <w:noWrap w:val="0"/>
            <w:vAlign w:val="center"/>
          </w:tcPr>
          <w:p w14:paraId="2DD8BA98">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lang w:val="en-US" w:eastAsia="zh-CN"/>
              </w:rPr>
            </w:pPr>
          </w:p>
        </w:tc>
        <w:tc>
          <w:tcPr>
            <w:tcW w:w="761" w:type="dxa"/>
            <w:vMerge w:val="continue"/>
            <w:noWrap w:val="0"/>
            <w:vAlign w:val="center"/>
          </w:tcPr>
          <w:p w14:paraId="4E7F7F9A">
            <w:pPr>
              <w:pStyle w:val="10"/>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color w:val="auto"/>
                <w:sz w:val="21"/>
                <w:szCs w:val="21"/>
                <w:highlight w:val="none"/>
              </w:rPr>
            </w:pPr>
          </w:p>
        </w:tc>
      </w:tr>
    </w:tbl>
    <w:p w14:paraId="29449BA9">
      <w:pPr>
        <w:pStyle w:val="10"/>
        <w:bidi w:val="0"/>
        <w:jc w:val="left"/>
        <w:rPr>
          <w:rFonts w:hint="default"/>
          <w:b/>
          <w:bCs/>
          <w:color w:val="auto"/>
          <w:highlight w:val="none"/>
          <w:lang w:val="en-US" w:eastAsia="zh-CN"/>
        </w:rPr>
      </w:pPr>
      <w:r>
        <w:rPr>
          <w:rFonts w:hint="default"/>
          <w:b/>
          <w:bCs/>
          <w:color w:val="auto"/>
          <w:highlight w:val="none"/>
          <w:lang w:val="en-US" w:eastAsia="zh-CN"/>
        </w:rPr>
        <w:t>注：坐标原点设在厂区西南角。</w:t>
      </w:r>
    </w:p>
    <w:p w14:paraId="13669FC2">
      <w:pPr>
        <w:ind w:firstLine="0" w:firstLineChars="0"/>
        <w:jc w:val="center"/>
        <w:outlineLvl w:val="9"/>
        <w:rPr>
          <w:rFonts w:hint="default" w:ascii="Times New Roman" w:hAnsi="Times New Roman" w:eastAsia="宋体" w:cs="Times New Roman"/>
          <w:b/>
          <w:bCs/>
          <w:color w:val="auto"/>
          <w:sz w:val="21"/>
          <w:szCs w:val="21"/>
          <w:highlight w:val="none"/>
          <w:lang w:val="en-US" w:eastAsia="zh-CN"/>
        </w:rPr>
      </w:pPr>
    </w:p>
    <w:p w14:paraId="5FCE4A43">
      <w:pPr>
        <w:ind w:firstLine="0" w:firstLineChars="0"/>
        <w:jc w:val="center"/>
        <w:outlineLvl w:val="9"/>
        <w:rPr>
          <w:rFonts w:hint="default" w:ascii="Times New Roman" w:hAnsi="Times New Roman" w:eastAsia="宋体" w:cs="Times New Roman"/>
          <w:b/>
          <w:bCs/>
          <w:color w:val="auto"/>
          <w:sz w:val="21"/>
          <w:szCs w:val="21"/>
          <w:highlight w:val="none"/>
          <w:lang w:val="en-US" w:eastAsia="zh-CN"/>
        </w:rPr>
      </w:pPr>
    </w:p>
    <w:p w14:paraId="06DD315C">
      <w:pPr>
        <w:ind w:firstLine="0" w:firstLineChars="0"/>
        <w:jc w:val="center"/>
        <w:outlineLvl w:val="9"/>
        <w:rPr>
          <w:rFonts w:hint="default" w:ascii="Times New Roman" w:hAnsi="Times New Roman" w:eastAsia="宋体" w:cs="Times New Roman"/>
          <w:b/>
          <w:bCs/>
          <w:color w:val="auto"/>
          <w:sz w:val="21"/>
          <w:szCs w:val="21"/>
          <w:highlight w:val="none"/>
          <w:lang w:val="en-US" w:eastAsia="zh-CN"/>
        </w:rPr>
      </w:pPr>
    </w:p>
    <w:p w14:paraId="409F0084">
      <w:pPr>
        <w:ind w:firstLine="0" w:firstLineChars="0"/>
        <w:jc w:val="center"/>
        <w:outlineLvl w:val="9"/>
        <w:rPr>
          <w:rFonts w:hint="default" w:ascii="Times New Roman" w:hAnsi="Times New Roman" w:cs="Times New Roman"/>
          <w:color w:val="auto"/>
          <w:highlight w:val="none"/>
          <w:lang w:val="en-US" w:eastAsia="zh-CN"/>
        </w:rPr>
      </w:pPr>
      <w:r>
        <w:rPr>
          <w:rFonts w:hint="default" w:ascii="Times New Roman" w:hAnsi="Times New Roman" w:eastAsia="宋体" w:cs="Times New Roman"/>
          <w:b/>
          <w:bCs/>
          <w:color w:val="auto"/>
          <w:sz w:val="21"/>
          <w:szCs w:val="21"/>
          <w:highlight w:val="none"/>
          <w:lang w:val="en-US" w:eastAsia="zh-CN"/>
        </w:rPr>
        <w:t>表4-1</w:t>
      </w:r>
      <w:r>
        <w:rPr>
          <w:rFonts w:hint="eastAsia" w:cs="Times New Roman"/>
          <w:b/>
          <w:bCs/>
          <w:color w:val="auto"/>
          <w:sz w:val="21"/>
          <w:szCs w:val="21"/>
          <w:highlight w:val="none"/>
          <w:lang w:val="en-US" w:eastAsia="zh-CN"/>
        </w:rPr>
        <w:t>3</w:t>
      </w:r>
      <w:r>
        <w:rPr>
          <w:rFonts w:hint="default" w:ascii="Times New Roman" w:hAnsi="Times New Roman" w:eastAsia="宋体" w:cs="Times New Roman"/>
          <w:b/>
          <w:bCs/>
          <w:color w:val="auto"/>
          <w:sz w:val="21"/>
          <w:szCs w:val="21"/>
          <w:highlight w:val="none"/>
          <w:lang w:val="en-US" w:eastAsia="zh-CN"/>
        </w:rPr>
        <w:t xml:space="preserve"> 本项目噪声源强调查清单（室外声源）  单位：dB（A）</w:t>
      </w:r>
    </w:p>
    <w:tbl>
      <w:tblPr>
        <w:tblStyle w:val="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5"/>
        <w:gridCol w:w="2774"/>
        <w:gridCol w:w="1888"/>
        <w:gridCol w:w="1375"/>
        <w:gridCol w:w="2384"/>
        <w:gridCol w:w="651"/>
        <w:gridCol w:w="651"/>
        <w:gridCol w:w="653"/>
        <w:gridCol w:w="1879"/>
      </w:tblGrid>
      <w:tr w14:paraId="73853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5" w:type="dxa"/>
            <w:vMerge w:val="restart"/>
            <w:noWrap w:val="0"/>
            <w:vAlign w:val="center"/>
          </w:tcPr>
          <w:p w14:paraId="40DD4470">
            <w:pPr>
              <w:pStyle w:val="10"/>
              <w:bidi w:val="0"/>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序号</w:t>
            </w:r>
          </w:p>
        </w:tc>
        <w:tc>
          <w:tcPr>
            <w:tcW w:w="2774" w:type="dxa"/>
            <w:vMerge w:val="restart"/>
            <w:noWrap w:val="0"/>
            <w:vAlign w:val="center"/>
          </w:tcPr>
          <w:p w14:paraId="7C646CE9">
            <w:pPr>
              <w:pStyle w:val="10"/>
              <w:bidi w:val="0"/>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声源名称</w:t>
            </w:r>
          </w:p>
        </w:tc>
        <w:tc>
          <w:tcPr>
            <w:tcW w:w="1888" w:type="dxa"/>
            <w:vMerge w:val="restart"/>
            <w:noWrap w:val="0"/>
            <w:vAlign w:val="center"/>
          </w:tcPr>
          <w:p w14:paraId="1374BDAE">
            <w:pPr>
              <w:pStyle w:val="10"/>
              <w:bidi w:val="0"/>
              <w:rPr>
                <w:rFonts w:hint="default" w:ascii="Times New Roman" w:hAnsi="Times New Roman" w:cs="Times New Roman"/>
                <w:b/>
                <w:bCs/>
                <w:color w:val="auto"/>
                <w:highlight w:val="none"/>
                <w:lang w:val="en-US" w:eastAsia="zh-CN"/>
              </w:rPr>
            </w:pPr>
            <w:r>
              <w:rPr>
                <w:rFonts w:hint="eastAsia" w:cs="Times New Roman"/>
                <w:b/>
                <w:bCs/>
                <w:color w:val="auto"/>
                <w:highlight w:val="none"/>
                <w:lang w:val="en-US" w:eastAsia="zh-CN"/>
              </w:rPr>
              <w:t>风量</w:t>
            </w:r>
          </w:p>
        </w:tc>
        <w:tc>
          <w:tcPr>
            <w:tcW w:w="1375" w:type="dxa"/>
            <w:vMerge w:val="restart"/>
            <w:noWrap w:val="0"/>
            <w:vAlign w:val="center"/>
          </w:tcPr>
          <w:p w14:paraId="331D8E77">
            <w:pPr>
              <w:pStyle w:val="10"/>
              <w:bidi w:val="0"/>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声功率级</w:t>
            </w:r>
          </w:p>
        </w:tc>
        <w:tc>
          <w:tcPr>
            <w:tcW w:w="2384" w:type="dxa"/>
            <w:vMerge w:val="restart"/>
            <w:noWrap w:val="0"/>
            <w:vAlign w:val="center"/>
          </w:tcPr>
          <w:p w14:paraId="6FF54870">
            <w:pPr>
              <w:pStyle w:val="10"/>
              <w:bidi w:val="0"/>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声源控制措施</w:t>
            </w:r>
          </w:p>
        </w:tc>
        <w:tc>
          <w:tcPr>
            <w:tcW w:w="1955" w:type="dxa"/>
            <w:gridSpan w:val="3"/>
            <w:noWrap w:val="0"/>
            <w:vAlign w:val="center"/>
          </w:tcPr>
          <w:p w14:paraId="11C3B4C2">
            <w:pPr>
              <w:pStyle w:val="10"/>
              <w:bidi w:val="0"/>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空间相对位置/m</w:t>
            </w:r>
          </w:p>
        </w:tc>
        <w:tc>
          <w:tcPr>
            <w:tcW w:w="1879" w:type="dxa"/>
            <w:vMerge w:val="restart"/>
            <w:noWrap w:val="0"/>
            <w:vAlign w:val="center"/>
          </w:tcPr>
          <w:p w14:paraId="3C33BDE4">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b/>
                <w:bCs/>
                <w:color w:val="auto"/>
                <w:highlight w:val="none"/>
                <w:lang w:val="en-US" w:eastAsia="zh-CN"/>
              </w:rPr>
              <w:t>运行时段</w:t>
            </w:r>
          </w:p>
        </w:tc>
      </w:tr>
      <w:tr w14:paraId="1BE6E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5" w:type="dxa"/>
            <w:vMerge w:val="continue"/>
            <w:noWrap w:val="0"/>
            <w:vAlign w:val="center"/>
          </w:tcPr>
          <w:p w14:paraId="0B2E7552">
            <w:pPr>
              <w:pStyle w:val="10"/>
              <w:bidi w:val="0"/>
              <w:rPr>
                <w:rFonts w:hint="default" w:ascii="Times New Roman" w:hAnsi="Times New Roman" w:cs="Times New Roman"/>
                <w:b/>
                <w:bCs/>
                <w:color w:val="auto"/>
                <w:highlight w:val="none"/>
              </w:rPr>
            </w:pPr>
          </w:p>
        </w:tc>
        <w:tc>
          <w:tcPr>
            <w:tcW w:w="2774" w:type="dxa"/>
            <w:vMerge w:val="continue"/>
            <w:noWrap w:val="0"/>
            <w:vAlign w:val="center"/>
          </w:tcPr>
          <w:p w14:paraId="652B5388">
            <w:pPr>
              <w:pStyle w:val="10"/>
              <w:bidi w:val="0"/>
              <w:rPr>
                <w:rFonts w:hint="default" w:ascii="Times New Roman" w:hAnsi="Times New Roman" w:cs="Times New Roman"/>
                <w:b/>
                <w:bCs/>
                <w:color w:val="auto"/>
                <w:highlight w:val="none"/>
              </w:rPr>
            </w:pPr>
          </w:p>
        </w:tc>
        <w:tc>
          <w:tcPr>
            <w:tcW w:w="1888" w:type="dxa"/>
            <w:vMerge w:val="continue"/>
            <w:noWrap w:val="0"/>
            <w:vAlign w:val="center"/>
          </w:tcPr>
          <w:p w14:paraId="6F71D428">
            <w:pPr>
              <w:pStyle w:val="10"/>
              <w:bidi w:val="0"/>
              <w:rPr>
                <w:rFonts w:hint="default" w:ascii="Times New Roman" w:hAnsi="Times New Roman" w:cs="Times New Roman"/>
                <w:b/>
                <w:bCs/>
                <w:color w:val="auto"/>
                <w:highlight w:val="none"/>
              </w:rPr>
            </w:pPr>
          </w:p>
        </w:tc>
        <w:tc>
          <w:tcPr>
            <w:tcW w:w="1375" w:type="dxa"/>
            <w:vMerge w:val="continue"/>
            <w:noWrap w:val="0"/>
            <w:vAlign w:val="center"/>
          </w:tcPr>
          <w:p w14:paraId="1D641972">
            <w:pPr>
              <w:pStyle w:val="10"/>
              <w:bidi w:val="0"/>
              <w:rPr>
                <w:rFonts w:hint="default" w:ascii="Times New Roman" w:hAnsi="Times New Roman" w:cs="Times New Roman"/>
                <w:b/>
                <w:bCs/>
                <w:color w:val="auto"/>
                <w:highlight w:val="none"/>
              </w:rPr>
            </w:pPr>
          </w:p>
        </w:tc>
        <w:tc>
          <w:tcPr>
            <w:tcW w:w="2384" w:type="dxa"/>
            <w:vMerge w:val="continue"/>
            <w:noWrap w:val="0"/>
            <w:vAlign w:val="center"/>
          </w:tcPr>
          <w:p w14:paraId="055EC033">
            <w:pPr>
              <w:pStyle w:val="10"/>
              <w:bidi w:val="0"/>
              <w:rPr>
                <w:rFonts w:hint="default" w:ascii="Times New Roman" w:hAnsi="Times New Roman" w:cs="Times New Roman"/>
                <w:b/>
                <w:bCs/>
                <w:color w:val="auto"/>
                <w:highlight w:val="none"/>
              </w:rPr>
            </w:pPr>
          </w:p>
        </w:tc>
        <w:tc>
          <w:tcPr>
            <w:tcW w:w="651" w:type="dxa"/>
            <w:noWrap w:val="0"/>
            <w:vAlign w:val="center"/>
          </w:tcPr>
          <w:p w14:paraId="29BCBF89">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lang w:val="en-US" w:eastAsia="zh-CN"/>
              </w:rPr>
              <w:t>X</w:t>
            </w:r>
          </w:p>
        </w:tc>
        <w:tc>
          <w:tcPr>
            <w:tcW w:w="651" w:type="dxa"/>
            <w:noWrap w:val="0"/>
            <w:vAlign w:val="center"/>
          </w:tcPr>
          <w:p w14:paraId="5D823AA7">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lang w:val="en-US" w:eastAsia="zh-CN"/>
              </w:rPr>
              <w:t>Y</w:t>
            </w:r>
          </w:p>
        </w:tc>
        <w:tc>
          <w:tcPr>
            <w:tcW w:w="653" w:type="dxa"/>
            <w:noWrap w:val="0"/>
            <w:vAlign w:val="center"/>
          </w:tcPr>
          <w:p w14:paraId="28EFE197">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lang w:val="en-US" w:eastAsia="zh-CN"/>
              </w:rPr>
              <w:t>Z</w:t>
            </w:r>
          </w:p>
        </w:tc>
        <w:tc>
          <w:tcPr>
            <w:tcW w:w="1879" w:type="dxa"/>
            <w:vMerge w:val="continue"/>
            <w:noWrap w:val="0"/>
            <w:vAlign w:val="center"/>
          </w:tcPr>
          <w:p w14:paraId="32839BC5">
            <w:pPr>
              <w:pStyle w:val="10"/>
              <w:bidi w:val="0"/>
              <w:rPr>
                <w:rFonts w:hint="default" w:ascii="Times New Roman" w:hAnsi="Times New Roman" w:cs="Times New Roman"/>
                <w:color w:val="auto"/>
                <w:highlight w:val="none"/>
              </w:rPr>
            </w:pPr>
          </w:p>
        </w:tc>
      </w:tr>
      <w:tr w14:paraId="3A4F3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5" w:type="dxa"/>
            <w:noWrap w:val="0"/>
            <w:vAlign w:val="center"/>
          </w:tcPr>
          <w:p w14:paraId="3768A7AD">
            <w:pPr>
              <w:pStyle w:val="10"/>
              <w:bidi w:val="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1</w:t>
            </w:r>
          </w:p>
        </w:tc>
        <w:tc>
          <w:tcPr>
            <w:tcW w:w="2774" w:type="dxa"/>
            <w:noWrap w:val="0"/>
            <w:vAlign w:val="center"/>
          </w:tcPr>
          <w:p w14:paraId="3D8F3AC1">
            <w:pPr>
              <w:pStyle w:val="10"/>
              <w:bidi w:val="0"/>
              <w:ind w:right="0" w:rightChars="0" w:firstLine="0" w:firstLineChars="0"/>
              <w:rPr>
                <w:rFonts w:hint="eastAsia"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highlight w:val="none"/>
                <w:lang w:val="en-US" w:eastAsia="zh-CN"/>
              </w:rPr>
              <w:t>风机</w:t>
            </w:r>
          </w:p>
        </w:tc>
        <w:tc>
          <w:tcPr>
            <w:tcW w:w="1888" w:type="dxa"/>
            <w:noWrap w:val="0"/>
            <w:vAlign w:val="center"/>
          </w:tcPr>
          <w:p w14:paraId="43923EB0">
            <w:pPr>
              <w:pStyle w:val="10"/>
              <w:bidi w:val="0"/>
              <w:ind w:right="0" w:rightChars="0" w:firstLine="0" w:firstLineChars="0"/>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highlight w:val="none"/>
                <w:lang w:val="en-US" w:eastAsia="zh-CN"/>
              </w:rPr>
              <w:t>56000</w:t>
            </w:r>
          </w:p>
        </w:tc>
        <w:tc>
          <w:tcPr>
            <w:tcW w:w="1375" w:type="dxa"/>
            <w:noWrap w:val="0"/>
            <w:vAlign w:val="center"/>
          </w:tcPr>
          <w:p w14:paraId="21BEAE54">
            <w:pPr>
              <w:pStyle w:val="10"/>
              <w:bidi w:val="0"/>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90</w:t>
            </w:r>
          </w:p>
        </w:tc>
        <w:tc>
          <w:tcPr>
            <w:tcW w:w="2384" w:type="dxa"/>
            <w:noWrap w:val="0"/>
            <w:vAlign w:val="center"/>
          </w:tcPr>
          <w:p w14:paraId="45EA13B9">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隔声罩壳，基座减震</w:t>
            </w:r>
          </w:p>
        </w:tc>
        <w:tc>
          <w:tcPr>
            <w:tcW w:w="651" w:type="dxa"/>
            <w:noWrap w:val="0"/>
            <w:vAlign w:val="center"/>
          </w:tcPr>
          <w:p w14:paraId="036FF881">
            <w:pPr>
              <w:pStyle w:val="10"/>
              <w:bidi w:val="0"/>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95</w:t>
            </w:r>
          </w:p>
        </w:tc>
        <w:tc>
          <w:tcPr>
            <w:tcW w:w="651" w:type="dxa"/>
            <w:noWrap w:val="0"/>
            <w:vAlign w:val="center"/>
          </w:tcPr>
          <w:p w14:paraId="42F8B64E">
            <w:pPr>
              <w:pStyle w:val="10"/>
              <w:bidi w:val="0"/>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16</w:t>
            </w:r>
          </w:p>
        </w:tc>
        <w:tc>
          <w:tcPr>
            <w:tcW w:w="653" w:type="dxa"/>
            <w:noWrap w:val="0"/>
            <w:vAlign w:val="center"/>
          </w:tcPr>
          <w:p w14:paraId="315C4627">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1</w:t>
            </w:r>
          </w:p>
        </w:tc>
        <w:tc>
          <w:tcPr>
            <w:tcW w:w="1879" w:type="dxa"/>
            <w:noWrap w:val="0"/>
            <w:vAlign w:val="center"/>
          </w:tcPr>
          <w:p w14:paraId="34435B09">
            <w:pPr>
              <w:pStyle w:val="10"/>
              <w:bidi w:val="0"/>
              <w:ind w:right="0" w:rightChars="0"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highlight w:val="none"/>
                <w:lang w:val="en-US" w:eastAsia="zh-CN"/>
              </w:rPr>
              <w:t>8</w:t>
            </w:r>
            <w:r>
              <w:rPr>
                <w:rFonts w:hint="default" w:ascii="Times New Roman" w:hAnsi="Times New Roman" w:cs="Times New Roman"/>
                <w:color w:val="auto"/>
                <w:highlight w:val="none"/>
                <w:lang w:val="en-US" w:eastAsia="zh-CN"/>
              </w:rPr>
              <w:t>点</w:t>
            </w:r>
            <w:r>
              <w:rPr>
                <w:rFonts w:hint="eastAsia" w:cs="Times New Roman"/>
                <w:color w:val="auto"/>
                <w:highlight w:val="none"/>
                <w:lang w:val="en-US" w:eastAsia="zh-CN"/>
              </w:rPr>
              <w:t>～</w:t>
            </w:r>
            <w:r>
              <w:rPr>
                <w:rFonts w:hint="eastAsia" w:ascii="Times New Roman" w:hAnsi="Times New Roman" w:cs="Times New Roman"/>
                <w:color w:val="auto"/>
                <w:highlight w:val="none"/>
                <w:lang w:val="en-US" w:eastAsia="zh-CN"/>
              </w:rPr>
              <w:t>17</w:t>
            </w:r>
            <w:r>
              <w:rPr>
                <w:rFonts w:hint="default" w:ascii="Times New Roman" w:hAnsi="Times New Roman" w:cs="Times New Roman"/>
                <w:color w:val="auto"/>
                <w:highlight w:val="none"/>
                <w:lang w:val="en-US" w:eastAsia="zh-CN"/>
              </w:rPr>
              <w:t>点</w:t>
            </w:r>
          </w:p>
        </w:tc>
      </w:tr>
      <w:tr w14:paraId="0BBB1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5" w:type="dxa"/>
            <w:noWrap w:val="0"/>
            <w:vAlign w:val="center"/>
          </w:tcPr>
          <w:p w14:paraId="550AD373">
            <w:pPr>
              <w:pStyle w:val="10"/>
              <w:bidi w:val="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2</w:t>
            </w:r>
          </w:p>
        </w:tc>
        <w:tc>
          <w:tcPr>
            <w:tcW w:w="2774" w:type="dxa"/>
            <w:noWrap w:val="0"/>
            <w:vAlign w:val="center"/>
          </w:tcPr>
          <w:p w14:paraId="2CE2B021">
            <w:pPr>
              <w:pStyle w:val="10"/>
              <w:bidi w:val="0"/>
              <w:ind w:right="0" w:rightChars="0" w:firstLine="0" w:firstLineChars="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风机</w:t>
            </w:r>
          </w:p>
        </w:tc>
        <w:tc>
          <w:tcPr>
            <w:tcW w:w="1888" w:type="dxa"/>
            <w:noWrap w:val="0"/>
            <w:vAlign w:val="center"/>
          </w:tcPr>
          <w:p w14:paraId="227D0A27">
            <w:pPr>
              <w:pStyle w:val="10"/>
              <w:bidi w:val="0"/>
              <w:ind w:right="0" w:rightChars="0" w:firstLine="0" w:firstLineChars="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4500</w:t>
            </w:r>
          </w:p>
        </w:tc>
        <w:tc>
          <w:tcPr>
            <w:tcW w:w="1375" w:type="dxa"/>
            <w:noWrap w:val="0"/>
            <w:vAlign w:val="center"/>
          </w:tcPr>
          <w:p w14:paraId="0CD17540">
            <w:pPr>
              <w:pStyle w:val="10"/>
              <w:bidi w:val="0"/>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90</w:t>
            </w:r>
          </w:p>
        </w:tc>
        <w:tc>
          <w:tcPr>
            <w:tcW w:w="2384" w:type="dxa"/>
            <w:noWrap w:val="0"/>
            <w:vAlign w:val="center"/>
          </w:tcPr>
          <w:p w14:paraId="3136BD42">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隔声罩壳，基座减震</w:t>
            </w:r>
          </w:p>
        </w:tc>
        <w:tc>
          <w:tcPr>
            <w:tcW w:w="651" w:type="dxa"/>
            <w:noWrap w:val="0"/>
            <w:vAlign w:val="center"/>
          </w:tcPr>
          <w:p w14:paraId="0D8D20A5">
            <w:pPr>
              <w:pStyle w:val="10"/>
              <w:bidi w:val="0"/>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70</w:t>
            </w:r>
          </w:p>
        </w:tc>
        <w:tc>
          <w:tcPr>
            <w:tcW w:w="651" w:type="dxa"/>
            <w:noWrap w:val="0"/>
            <w:vAlign w:val="center"/>
          </w:tcPr>
          <w:p w14:paraId="0132898B">
            <w:pPr>
              <w:pStyle w:val="10"/>
              <w:bidi w:val="0"/>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3</w:t>
            </w:r>
          </w:p>
        </w:tc>
        <w:tc>
          <w:tcPr>
            <w:tcW w:w="653" w:type="dxa"/>
            <w:noWrap w:val="0"/>
            <w:vAlign w:val="center"/>
          </w:tcPr>
          <w:p w14:paraId="3542B403">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1</w:t>
            </w:r>
          </w:p>
        </w:tc>
        <w:tc>
          <w:tcPr>
            <w:tcW w:w="1879" w:type="dxa"/>
            <w:noWrap w:val="0"/>
            <w:vAlign w:val="center"/>
          </w:tcPr>
          <w:p w14:paraId="2263B35F">
            <w:pPr>
              <w:pStyle w:val="10"/>
              <w:bidi w:val="0"/>
              <w:ind w:right="0" w:rightChars="0" w:firstLine="0" w:firstLineChars="0"/>
              <w:jc w:val="center"/>
              <w:rPr>
                <w:rFonts w:hint="eastAsia" w:ascii="Times New Roman" w:hAnsi="Times New Roman" w:cs="Times New Roman"/>
                <w:color w:val="auto"/>
                <w:highlight w:val="none"/>
                <w:lang w:val="en-US" w:eastAsia="zh-CN"/>
              </w:rPr>
            </w:pPr>
            <w:r>
              <w:rPr>
                <w:rFonts w:hint="eastAsia" w:cs="Times New Roman"/>
                <w:color w:val="auto"/>
                <w:highlight w:val="none"/>
                <w:lang w:val="en-US" w:eastAsia="zh-CN"/>
              </w:rPr>
              <w:t>8</w:t>
            </w:r>
            <w:r>
              <w:rPr>
                <w:rFonts w:hint="default" w:ascii="Times New Roman" w:hAnsi="Times New Roman" w:cs="Times New Roman"/>
                <w:color w:val="auto"/>
                <w:highlight w:val="none"/>
                <w:lang w:val="en-US" w:eastAsia="zh-CN"/>
              </w:rPr>
              <w:t>点</w:t>
            </w:r>
            <w:r>
              <w:rPr>
                <w:rFonts w:hint="eastAsia" w:cs="Times New Roman"/>
                <w:color w:val="auto"/>
                <w:highlight w:val="none"/>
                <w:lang w:val="en-US" w:eastAsia="zh-CN"/>
              </w:rPr>
              <w:t>～</w:t>
            </w:r>
            <w:r>
              <w:rPr>
                <w:rFonts w:hint="eastAsia" w:ascii="Times New Roman" w:hAnsi="Times New Roman" w:cs="Times New Roman"/>
                <w:color w:val="auto"/>
                <w:highlight w:val="none"/>
                <w:lang w:val="en-US" w:eastAsia="zh-CN"/>
              </w:rPr>
              <w:t>17</w:t>
            </w:r>
            <w:r>
              <w:rPr>
                <w:rFonts w:hint="default" w:ascii="Times New Roman" w:hAnsi="Times New Roman" w:cs="Times New Roman"/>
                <w:color w:val="auto"/>
                <w:highlight w:val="none"/>
                <w:lang w:val="en-US" w:eastAsia="zh-CN"/>
              </w:rPr>
              <w:t>点</w:t>
            </w:r>
          </w:p>
        </w:tc>
      </w:tr>
      <w:tr w14:paraId="33FF0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5" w:type="dxa"/>
            <w:noWrap w:val="0"/>
            <w:vAlign w:val="center"/>
          </w:tcPr>
          <w:p w14:paraId="06D4C4F0">
            <w:pPr>
              <w:pStyle w:val="10"/>
              <w:bidi w:val="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3</w:t>
            </w:r>
          </w:p>
        </w:tc>
        <w:tc>
          <w:tcPr>
            <w:tcW w:w="2774" w:type="dxa"/>
            <w:noWrap w:val="0"/>
            <w:vAlign w:val="center"/>
          </w:tcPr>
          <w:p w14:paraId="7A2B00A2">
            <w:pPr>
              <w:pStyle w:val="10"/>
              <w:bidi w:val="0"/>
              <w:ind w:right="0" w:rightChars="0" w:firstLine="0" w:firstLineChars="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风机</w:t>
            </w:r>
          </w:p>
        </w:tc>
        <w:tc>
          <w:tcPr>
            <w:tcW w:w="1888" w:type="dxa"/>
            <w:noWrap w:val="0"/>
            <w:vAlign w:val="center"/>
          </w:tcPr>
          <w:p w14:paraId="0E0E09AF">
            <w:pPr>
              <w:pStyle w:val="10"/>
              <w:bidi w:val="0"/>
              <w:ind w:right="0" w:rightChars="0" w:firstLine="0" w:firstLineChars="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8000</w:t>
            </w:r>
          </w:p>
        </w:tc>
        <w:tc>
          <w:tcPr>
            <w:tcW w:w="1375" w:type="dxa"/>
            <w:noWrap w:val="0"/>
            <w:vAlign w:val="center"/>
          </w:tcPr>
          <w:p w14:paraId="0C32D50A">
            <w:pPr>
              <w:pStyle w:val="10"/>
              <w:bidi w:val="0"/>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90</w:t>
            </w:r>
          </w:p>
        </w:tc>
        <w:tc>
          <w:tcPr>
            <w:tcW w:w="2384" w:type="dxa"/>
            <w:noWrap w:val="0"/>
            <w:vAlign w:val="center"/>
          </w:tcPr>
          <w:p w14:paraId="2A5A8A19">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隔声罩壳，基座减震</w:t>
            </w:r>
          </w:p>
        </w:tc>
        <w:tc>
          <w:tcPr>
            <w:tcW w:w="651" w:type="dxa"/>
            <w:noWrap w:val="0"/>
            <w:vAlign w:val="center"/>
          </w:tcPr>
          <w:p w14:paraId="612DB14E">
            <w:pPr>
              <w:pStyle w:val="10"/>
              <w:bidi w:val="0"/>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87</w:t>
            </w:r>
          </w:p>
        </w:tc>
        <w:tc>
          <w:tcPr>
            <w:tcW w:w="651" w:type="dxa"/>
            <w:noWrap w:val="0"/>
            <w:vAlign w:val="center"/>
          </w:tcPr>
          <w:p w14:paraId="1C22E0F5">
            <w:pPr>
              <w:pStyle w:val="10"/>
              <w:bidi w:val="0"/>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10</w:t>
            </w:r>
          </w:p>
        </w:tc>
        <w:tc>
          <w:tcPr>
            <w:tcW w:w="653" w:type="dxa"/>
            <w:noWrap w:val="0"/>
            <w:vAlign w:val="center"/>
          </w:tcPr>
          <w:p w14:paraId="369CB17E">
            <w:pPr>
              <w:pStyle w:val="10"/>
              <w:bidi w:val="0"/>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1</w:t>
            </w:r>
          </w:p>
        </w:tc>
        <w:tc>
          <w:tcPr>
            <w:tcW w:w="1879" w:type="dxa"/>
            <w:noWrap w:val="0"/>
            <w:vAlign w:val="center"/>
          </w:tcPr>
          <w:p w14:paraId="7B1CE08C">
            <w:pPr>
              <w:pStyle w:val="10"/>
              <w:bidi w:val="0"/>
              <w:ind w:right="0" w:rightChars="0" w:firstLine="0" w:firstLineChars="0"/>
              <w:jc w:val="center"/>
              <w:rPr>
                <w:rFonts w:hint="eastAsia" w:ascii="Times New Roman" w:hAnsi="Times New Roman" w:cs="Times New Roman"/>
                <w:color w:val="auto"/>
                <w:highlight w:val="none"/>
                <w:lang w:val="en-US" w:eastAsia="zh-CN"/>
              </w:rPr>
            </w:pPr>
            <w:r>
              <w:rPr>
                <w:rFonts w:hint="eastAsia" w:cs="Times New Roman"/>
                <w:color w:val="auto"/>
                <w:highlight w:val="none"/>
                <w:lang w:val="en-US" w:eastAsia="zh-CN"/>
              </w:rPr>
              <w:t>8</w:t>
            </w:r>
            <w:r>
              <w:rPr>
                <w:rFonts w:hint="default" w:ascii="Times New Roman" w:hAnsi="Times New Roman" w:cs="Times New Roman"/>
                <w:color w:val="auto"/>
                <w:highlight w:val="none"/>
                <w:lang w:val="en-US" w:eastAsia="zh-CN"/>
              </w:rPr>
              <w:t>点</w:t>
            </w:r>
            <w:r>
              <w:rPr>
                <w:rFonts w:hint="eastAsia" w:cs="Times New Roman"/>
                <w:color w:val="auto"/>
                <w:highlight w:val="none"/>
                <w:lang w:val="en-US" w:eastAsia="zh-CN"/>
              </w:rPr>
              <w:t>～</w:t>
            </w:r>
            <w:r>
              <w:rPr>
                <w:rFonts w:hint="eastAsia" w:ascii="Times New Roman" w:hAnsi="Times New Roman" w:cs="Times New Roman"/>
                <w:color w:val="auto"/>
                <w:highlight w:val="none"/>
                <w:lang w:val="en-US" w:eastAsia="zh-CN"/>
              </w:rPr>
              <w:t>17</w:t>
            </w:r>
            <w:r>
              <w:rPr>
                <w:rFonts w:hint="default" w:ascii="Times New Roman" w:hAnsi="Times New Roman" w:cs="Times New Roman"/>
                <w:color w:val="auto"/>
                <w:highlight w:val="none"/>
                <w:lang w:val="en-US" w:eastAsia="zh-CN"/>
              </w:rPr>
              <w:t>点</w:t>
            </w:r>
          </w:p>
        </w:tc>
      </w:tr>
      <w:tr w14:paraId="45623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5" w:type="dxa"/>
            <w:noWrap w:val="0"/>
            <w:vAlign w:val="center"/>
          </w:tcPr>
          <w:p w14:paraId="488DB682">
            <w:pPr>
              <w:pStyle w:val="10"/>
              <w:bidi w:val="0"/>
              <w:ind w:right="0" w:rightChars="0" w:firstLine="0" w:firstLineChars="0"/>
              <w:rPr>
                <w:rFonts w:hint="eastAsia" w:cs="Times New Roman"/>
                <w:color w:val="auto"/>
                <w:highlight w:val="none"/>
                <w:lang w:val="en-US" w:eastAsia="zh-CN"/>
              </w:rPr>
            </w:pPr>
            <w:r>
              <w:rPr>
                <w:rFonts w:hint="eastAsia" w:cs="Times New Roman"/>
                <w:color w:val="auto"/>
                <w:highlight w:val="none"/>
                <w:lang w:val="en-US" w:eastAsia="zh-CN"/>
              </w:rPr>
              <w:t>4</w:t>
            </w:r>
          </w:p>
        </w:tc>
        <w:tc>
          <w:tcPr>
            <w:tcW w:w="2774" w:type="dxa"/>
            <w:noWrap w:val="0"/>
            <w:vAlign w:val="center"/>
          </w:tcPr>
          <w:p w14:paraId="3FD19EE5">
            <w:pPr>
              <w:pStyle w:val="10"/>
              <w:bidi w:val="0"/>
              <w:ind w:right="0" w:rightChars="0" w:firstLine="0" w:firstLineChars="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风机</w:t>
            </w:r>
          </w:p>
        </w:tc>
        <w:tc>
          <w:tcPr>
            <w:tcW w:w="1888" w:type="dxa"/>
            <w:noWrap w:val="0"/>
            <w:vAlign w:val="center"/>
          </w:tcPr>
          <w:p w14:paraId="44ACD955">
            <w:pPr>
              <w:pStyle w:val="10"/>
              <w:bidi w:val="0"/>
              <w:ind w:right="0" w:rightChars="0" w:firstLine="0" w:firstLineChars="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8000</w:t>
            </w:r>
          </w:p>
        </w:tc>
        <w:tc>
          <w:tcPr>
            <w:tcW w:w="1375" w:type="dxa"/>
            <w:noWrap w:val="0"/>
            <w:vAlign w:val="center"/>
          </w:tcPr>
          <w:p w14:paraId="4DE3856A">
            <w:pPr>
              <w:pStyle w:val="10"/>
              <w:bidi w:val="0"/>
              <w:ind w:right="0" w:rightChars="0" w:firstLine="0" w:firstLineChars="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90</w:t>
            </w:r>
          </w:p>
        </w:tc>
        <w:tc>
          <w:tcPr>
            <w:tcW w:w="2384" w:type="dxa"/>
            <w:noWrap w:val="0"/>
            <w:vAlign w:val="center"/>
          </w:tcPr>
          <w:p w14:paraId="1DD27031">
            <w:pPr>
              <w:pStyle w:val="10"/>
              <w:bidi w:val="0"/>
              <w:ind w:right="0" w:rightChars="0" w:firstLine="0" w:firstLineChars="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隔声罩壳，基座减震</w:t>
            </w:r>
          </w:p>
        </w:tc>
        <w:tc>
          <w:tcPr>
            <w:tcW w:w="651" w:type="dxa"/>
            <w:noWrap w:val="0"/>
            <w:vAlign w:val="center"/>
          </w:tcPr>
          <w:p w14:paraId="17F73C71">
            <w:pPr>
              <w:pStyle w:val="10"/>
              <w:bidi w:val="0"/>
              <w:ind w:right="0" w:rightChars="0" w:firstLine="0" w:firstLineChars="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83</w:t>
            </w:r>
          </w:p>
        </w:tc>
        <w:tc>
          <w:tcPr>
            <w:tcW w:w="651" w:type="dxa"/>
            <w:noWrap w:val="0"/>
            <w:vAlign w:val="center"/>
          </w:tcPr>
          <w:p w14:paraId="4B413F16">
            <w:pPr>
              <w:pStyle w:val="10"/>
              <w:bidi w:val="0"/>
              <w:ind w:right="0" w:rightChars="0" w:firstLine="0" w:firstLineChars="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7</w:t>
            </w:r>
          </w:p>
        </w:tc>
        <w:tc>
          <w:tcPr>
            <w:tcW w:w="653" w:type="dxa"/>
            <w:noWrap w:val="0"/>
            <w:vAlign w:val="center"/>
          </w:tcPr>
          <w:p w14:paraId="1F88D366">
            <w:pPr>
              <w:pStyle w:val="10"/>
              <w:bidi w:val="0"/>
              <w:ind w:right="0" w:rightChars="0" w:firstLine="0" w:firstLineChars="0"/>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1</w:t>
            </w:r>
          </w:p>
        </w:tc>
        <w:tc>
          <w:tcPr>
            <w:tcW w:w="1879" w:type="dxa"/>
            <w:noWrap w:val="0"/>
            <w:vAlign w:val="center"/>
          </w:tcPr>
          <w:p w14:paraId="336FFFE0">
            <w:pPr>
              <w:pStyle w:val="10"/>
              <w:bidi w:val="0"/>
              <w:ind w:right="0" w:rightChars="0" w:firstLine="0" w:firstLineChars="0"/>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8</w:t>
            </w:r>
            <w:r>
              <w:rPr>
                <w:rFonts w:hint="default" w:ascii="Times New Roman" w:hAnsi="Times New Roman" w:cs="Times New Roman"/>
                <w:color w:val="auto"/>
                <w:highlight w:val="none"/>
                <w:lang w:val="en-US" w:eastAsia="zh-CN"/>
              </w:rPr>
              <w:t>点</w:t>
            </w:r>
            <w:r>
              <w:rPr>
                <w:rFonts w:hint="eastAsia" w:cs="Times New Roman"/>
                <w:color w:val="auto"/>
                <w:highlight w:val="none"/>
                <w:lang w:val="en-US" w:eastAsia="zh-CN"/>
              </w:rPr>
              <w:t>～</w:t>
            </w:r>
            <w:r>
              <w:rPr>
                <w:rFonts w:hint="eastAsia" w:ascii="Times New Roman" w:hAnsi="Times New Roman" w:cs="Times New Roman"/>
                <w:color w:val="auto"/>
                <w:highlight w:val="none"/>
                <w:lang w:val="en-US" w:eastAsia="zh-CN"/>
              </w:rPr>
              <w:t>17</w:t>
            </w:r>
            <w:r>
              <w:rPr>
                <w:rFonts w:hint="default" w:ascii="Times New Roman" w:hAnsi="Times New Roman" w:cs="Times New Roman"/>
                <w:color w:val="auto"/>
                <w:highlight w:val="none"/>
                <w:lang w:val="en-US" w:eastAsia="zh-CN"/>
              </w:rPr>
              <w:t>点</w:t>
            </w:r>
          </w:p>
        </w:tc>
      </w:tr>
    </w:tbl>
    <w:p w14:paraId="52B894EE">
      <w:pPr>
        <w:pStyle w:val="10"/>
        <w:bidi w:val="0"/>
        <w:jc w:val="left"/>
        <w:rPr>
          <w:rFonts w:hint="eastAsia"/>
          <w:b/>
          <w:bCs/>
          <w:color w:val="auto"/>
          <w:highlight w:val="none"/>
        </w:rPr>
        <w:sectPr>
          <w:pgSz w:w="16840" w:h="11907" w:orient="landscape"/>
          <w:pgMar w:top="1531" w:right="1701" w:bottom="1531" w:left="2126" w:header="851" w:footer="850" w:gutter="0"/>
          <w:pgBorders>
            <w:top w:val="none" w:sz="0" w:space="0"/>
            <w:left w:val="none" w:sz="0" w:space="0"/>
            <w:bottom w:val="none" w:sz="0" w:space="0"/>
            <w:right w:val="none" w:sz="0" w:space="0"/>
          </w:pgBorders>
          <w:pgNumType w:fmt="decimal"/>
          <w:cols w:space="720" w:num="1"/>
          <w:rtlGutter w:val="0"/>
          <w:docGrid w:type="lines" w:linePitch="312" w:charSpace="0"/>
        </w:sectPr>
      </w:pPr>
      <w:r>
        <w:rPr>
          <w:rFonts w:hint="default"/>
          <w:b/>
          <w:bCs/>
          <w:color w:val="auto"/>
          <w:highlight w:val="none"/>
        </w:rPr>
        <w:t>注：坐标原点设在</w:t>
      </w:r>
      <w:r>
        <w:rPr>
          <w:rFonts w:hint="default"/>
          <w:b/>
          <w:bCs/>
          <w:color w:val="auto"/>
          <w:highlight w:val="none"/>
          <w:lang w:val="en-US" w:eastAsia="zh-CN"/>
        </w:rPr>
        <w:t>厂区</w:t>
      </w:r>
      <w:r>
        <w:rPr>
          <w:rFonts w:hint="default"/>
          <w:b/>
          <w:bCs/>
          <w:color w:val="auto"/>
          <w:highlight w:val="none"/>
        </w:rPr>
        <w:t>西南角。</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9"/>
        <w:gridCol w:w="8692"/>
      </w:tblGrid>
      <w:tr w14:paraId="51F3D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69" w:type="dxa"/>
            <w:noWrap w:val="0"/>
            <w:vAlign w:val="top"/>
          </w:tcPr>
          <w:p w14:paraId="75B124EA">
            <w:pPr>
              <w:pStyle w:val="26"/>
              <w:rPr>
                <w:rFonts w:hint="eastAsia"/>
                <w:color w:val="auto"/>
                <w:highlight w:val="none"/>
                <w:vertAlign w:val="baseline"/>
              </w:rPr>
            </w:pPr>
          </w:p>
        </w:tc>
        <w:tc>
          <w:tcPr>
            <w:tcW w:w="8692" w:type="dxa"/>
            <w:noWrap w:val="0"/>
            <w:vAlign w:val="top"/>
          </w:tcPr>
          <w:p w14:paraId="573CDD22">
            <w:pPr>
              <w:bidi w:val="0"/>
              <w:rPr>
                <w:rFonts w:hint="default" w:ascii="Times New Roman" w:hAnsi="Times New Roman" w:cs="Times New Roman"/>
                <w:b/>
                <w:bCs/>
                <w:color w:val="auto"/>
                <w:highlight w:val="none"/>
                <w:lang w:val="en-US" w:eastAsia="zh-CN"/>
              </w:rPr>
            </w:pPr>
            <w:r>
              <w:rPr>
                <w:rFonts w:hint="eastAsia" w:ascii="Times New Roman" w:hAnsi="Times New Roman" w:cs="Times New Roman"/>
                <w:b/>
                <w:bCs/>
                <w:color w:val="auto"/>
                <w:highlight w:val="none"/>
                <w:lang w:val="en-US" w:eastAsia="zh-CN"/>
              </w:rPr>
              <w:t>（2）</w:t>
            </w:r>
            <w:r>
              <w:rPr>
                <w:rFonts w:hint="default" w:ascii="Times New Roman" w:hAnsi="Times New Roman" w:cs="Times New Roman"/>
                <w:b/>
                <w:bCs/>
                <w:color w:val="auto"/>
                <w:highlight w:val="none"/>
                <w:lang w:val="en-US" w:eastAsia="zh-CN"/>
              </w:rPr>
              <w:t>噪声防治措施</w:t>
            </w:r>
          </w:p>
          <w:p w14:paraId="05877D11">
            <w:pPr>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设计采取以下防治措施：</w:t>
            </w:r>
          </w:p>
          <w:p w14:paraId="06445657">
            <w:pPr>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1）优选设备：设备选型时，应选用低噪声设备，从源头上降低噪声；</w:t>
            </w:r>
          </w:p>
          <w:p w14:paraId="30EC5F43">
            <w:pPr>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2）合理布局：厂区在规划设计阶段，将生产加工区布置在车间中部；</w:t>
            </w:r>
          </w:p>
          <w:p w14:paraId="48B786D2">
            <w:pPr>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3）基础减振：对产噪设备安装减振基座、风机安装消音器、密封罩等措施；</w:t>
            </w:r>
          </w:p>
          <w:p w14:paraId="4B7496A6">
            <w:pPr>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4）隔声治理：生产设备安装在车间内，通过车间及厂区墙体双重建筑物隔声降噪；</w:t>
            </w:r>
          </w:p>
          <w:p w14:paraId="74FA7CD7">
            <w:pPr>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5）设置标识标牌引导进出场车辆，禁止车辆鸣笛。</w:t>
            </w:r>
          </w:p>
          <w:p w14:paraId="66AA0244">
            <w:pPr>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评价建议增加以下措施，减轻项目噪声对外环境产生的影响：</w:t>
            </w:r>
          </w:p>
          <w:p w14:paraId="42FF0AA3">
            <w:pPr>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1）设备应定期检修和维护，保证设备正常运转，避免由于设备松动、故障产生较大噪声；</w:t>
            </w:r>
          </w:p>
          <w:p w14:paraId="1C0B1344">
            <w:pPr>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2）加强管理，促进文明生产，减少人为因素噪声排放，合理安排生产；</w:t>
            </w:r>
          </w:p>
          <w:p w14:paraId="5816C7AD">
            <w:pPr>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3）安排人员引导进出场车辆，减少不必要的车辆行驶噪声。</w:t>
            </w:r>
          </w:p>
          <w:p w14:paraId="12F3BD59">
            <w:pPr>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采取以上噪声防治措施后，能够有效减小噪声的影响。</w:t>
            </w:r>
          </w:p>
          <w:p w14:paraId="70F2C4B8">
            <w:pPr>
              <w:ind w:firstLine="482"/>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2、</w:t>
            </w:r>
            <w:r>
              <w:rPr>
                <w:rFonts w:hint="default" w:ascii="Times New Roman" w:hAnsi="Times New Roman" w:eastAsia="宋体" w:cs="Times New Roman"/>
                <w:b/>
                <w:bCs/>
                <w:color w:val="auto"/>
                <w:sz w:val="24"/>
                <w:szCs w:val="24"/>
                <w:highlight w:val="none"/>
              </w:rPr>
              <w:t>厂界达标分析</w:t>
            </w:r>
          </w:p>
          <w:p w14:paraId="3F383EDC">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根据《环境影响评价技术导则 声环境（HJ2.4-2021）》附录A、附录B中户外声传播的衰减和工业噪声预测模型对</w:t>
            </w:r>
            <w:r>
              <w:rPr>
                <w:rFonts w:hint="eastAsia" w:ascii="Times New Roman" w:hAnsi="Times New Roman" w:eastAsia="宋体" w:cs="Times New Roman"/>
                <w:color w:val="auto"/>
                <w:kern w:val="0"/>
                <w:sz w:val="24"/>
                <w:szCs w:val="24"/>
                <w:highlight w:val="none"/>
                <w:lang w:val="en-US" w:eastAsia="zh-CN" w:bidi="ar"/>
              </w:rPr>
              <w:t>本项目</w:t>
            </w:r>
            <w:r>
              <w:rPr>
                <w:rFonts w:hint="default" w:ascii="Times New Roman" w:hAnsi="Times New Roman" w:eastAsia="宋体" w:cs="Times New Roman"/>
                <w:color w:val="auto"/>
                <w:kern w:val="0"/>
                <w:sz w:val="24"/>
                <w:szCs w:val="24"/>
                <w:highlight w:val="none"/>
                <w:lang w:val="en-US" w:eastAsia="zh-CN" w:bidi="ar"/>
              </w:rPr>
              <w:t>噪声进行预测分析：</w:t>
            </w:r>
          </w:p>
          <w:p w14:paraId="0E33800F">
            <w:pPr>
              <w:bidi w:val="0"/>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1）室外点声源在预测点的倍频带声压级</w:t>
            </w:r>
          </w:p>
          <w:p w14:paraId="33706F0F">
            <w:pPr>
              <w:bidi w:val="0"/>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某个点源在预测点的倍频带声压级</w:t>
            </w:r>
          </w:p>
          <w:p w14:paraId="66DAE187">
            <w:pPr>
              <w:bidi w:val="0"/>
              <w:ind w:left="0" w:leftChars="0" w:firstLine="0" w:firstLineChars="0"/>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Lp（r）=Lw+DC-A</w:t>
            </w:r>
          </w:p>
          <w:p w14:paraId="4FC36EC9">
            <w:pPr>
              <w:bidi w:val="0"/>
              <w:ind w:left="0" w:leftChars="0" w:firstLine="0" w:firstLineChars="0"/>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A=A</w:t>
            </w:r>
            <w:r>
              <w:rPr>
                <w:rFonts w:hint="default" w:ascii="Times New Roman" w:hAnsi="Times New Roman" w:cs="Times New Roman"/>
                <w:b w:val="0"/>
                <w:bCs w:val="0"/>
                <w:color w:val="auto"/>
                <w:highlight w:val="none"/>
                <w:vertAlign w:val="subscript"/>
              </w:rPr>
              <w:t>div</w:t>
            </w:r>
            <w:r>
              <w:rPr>
                <w:rFonts w:hint="default" w:ascii="Times New Roman" w:hAnsi="Times New Roman" w:cs="Times New Roman"/>
                <w:b w:val="0"/>
                <w:bCs w:val="0"/>
                <w:color w:val="auto"/>
                <w:highlight w:val="none"/>
              </w:rPr>
              <w:t>+A</w:t>
            </w:r>
            <w:r>
              <w:rPr>
                <w:rFonts w:hint="default" w:ascii="Times New Roman" w:hAnsi="Times New Roman" w:cs="Times New Roman"/>
                <w:b w:val="0"/>
                <w:bCs w:val="0"/>
                <w:color w:val="auto"/>
                <w:highlight w:val="none"/>
                <w:vertAlign w:val="subscript"/>
              </w:rPr>
              <w:t>atm</w:t>
            </w:r>
            <w:r>
              <w:rPr>
                <w:rFonts w:hint="default" w:ascii="Times New Roman" w:hAnsi="Times New Roman" w:cs="Times New Roman"/>
                <w:b w:val="0"/>
                <w:bCs w:val="0"/>
                <w:color w:val="auto"/>
                <w:highlight w:val="none"/>
              </w:rPr>
              <w:t>+A</w:t>
            </w:r>
            <w:r>
              <w:rPr>
                <w:rFonts w:hint="default" w:ascii="Times New Roman" w:hAnsi="Times New Roman" w:cs="Times New Roman"/>
                <w:b w:val="0"/>
                <w:bCs w:val="0"/>
                <w:color w:val="auto"/>
                <w:highlight w:val="none"/>
                <w:vertAlign w:val="subscript"/>
              </w:rPr>
              <w:t>gr</w:t>
            </w:r>
            <w:r>
              <w:rPr>
                <w:rFonts w:hint="default" w:ascii="Times New Roman" w:hAnsi="Times New Roman" w:cs="Times New Roman"/>
                <w:b w:val="0"/>
                <w:bCs w:val="0"/>
                <w:color w:val="auto"/>
                <w:highlight w:val="none"/>
              </w:rPr>
              <w:t>+A</w:t>
            </w:r>
            <w:r>
              <w:rPr>
                <w:rFonts w:hint="default" w:ascii="Times New Roman" w:hAnsi="Times New Roman" w:cs="Times New Roman"/>
                <w:b w:val="0"/>
                <w:bCs w:val="0"/>
                <w:color w:val="auto"/>
                <w:highlight w:val="none"/>
                <w:vertAlign w:val="subscript"/>
              </w:rPr>
              <w:t>bar</w:t>
            </w:r>
            <w:r>
              <w:rPr>
                <w:rFonts w:hint="default" w:ascii="Times New Roman" w:hAnsi="Times New Roman" w:cs="Times New Roman"/>
                <w:b w:val="0"/>
                <w:bCs w:val="0"/>
                <w:color w:val="auto"/>
                <w:highlight w:val="none"/>
              </w:rPr>
              <w:t>+A</w:t>
            </w:r>
            <w:r>
              <w:rPr>
                <w:rFonts w:hint="default" w:ascii="Times New Roman" w:hAnsi="Times New Roman" w:cs="Times New Roman"/>
                <w:b w:val="0"/>
                <w:bCs w:val="0"/>
                <w:color w:val="auto"/>
                <w:highlight w:val="none"/>
                <w:vertAlign w:val="subscript"/>
              </w:rPr>
              <w:t>misc</w:t>
            </w:r>
          </w:p>
          <w:p w14:paraId="5D232A35">
            <w:pPr>
              <w:bidi w:val="0"/>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式中：Lw——倍频带声功率级，dB；</w:t>
            </w:r>
          </w:p>
          <w:p w14:paraId="70DAA7A2">
            <w:pPr>
              <w:bidi w:val="0"/>
              <w:ind w:firstLine="1200" w:firstLineChars="500"/>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DC——指向性校正，对辐射到自由空间的全向点声源，DC=0dB；</w:t>
            </w:r>
          </w:p>
          <w:p w14:paraId="65E6496F">
            <w:pPr>
              <w:bidi w:val="0"/>
              <w:ind w:firstLine="1200" w:firstLineChars="500"/>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A——倍频带衰减，dB；</w:t>
            </w:r>
          </w:p>
          <w:p w14:paraId="08AAF17C">
            <w:pPr>
              <w:keepNext w:val="0"/>
              <w:keepLines w:val="0"/>
              <w:widowControl/>
              <w:suppressLineNumbers w:val="0"/>
              <w:ind w:firstLine="1200" w:firstLineChars="50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A</w:t>
            </w:r>
            <w:r>
              <w:rPr>
                <w:rFonts w:hint="default" w:ascii="Times New Roman" w:hAnsi="Times New Roman" w:eastAsia="宋体" w:cs="Times New Roman"/>
                <w:color w:val="auto"/>
                <w:kern w:val="0"/>
                <w:sz w:val="15"/>
                <w:szCs w:val="15"/>
                <w:highlight w:val="none"/>
                <w:lang w:val="en-US" w:eastAsia="zh-CN" w:bidi="ar"/>
              </w:rPr>
              <w:t>div</w:t>
            </w:r>
            <w:r>
              <w:rPr>
                <w:rFonts w:hint="default" w:ascii="Times New Roman" w:hAnsi="Times New Roman" w:eastAsia="宋体" w:cs="Times New Roman"/>
                <w:color w:val="auto"/>
                <w:kern w:val="0"/>
                <w:sz w:val="24"/>
                <w:szCs w:val="24"/>
                <w:highlight w:val="none"/>
                <w:lang w:val="en-US" w:eastAsia="zh-CN" w:bidi="ar"/>
              </w:rPr>
              <w:t>——几何发散引起的倍频带衰减，dB；</w:t>
            </w:r>
          </w:p>
          <w:p w14:paraId="6F10F461">
            <w:pPr>
              <w:keepNext w:val="0"/>
              <w:keepLines w:val="0"/>
              <w:widowControl/>
              <w:suppressLineNumbers w:val="0"/>
              <w:ind w:firstLine="1200" w:firstLineChars="50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A</w:t>
            </w:r>
            <w:r>
              <w:rPr>
                <w:rFonts w:hint="default" w:ascii="Times New Roman" w:hAnsi="Times New Roman" w:eastAsia="宋体" w:cs="Times New Roman"/>
                <w:color w:val="auto"/>
                <w:kern w:val="0"/>
                <w:sz w:val="15"/>
                <w:szCs w:val="15"/>
                <w:highlight w:val="none"/>
                <w:lang w:val="en-US" w:eastAsia="zh-CN" w:bidi="ar"/>
              </w:rPr>
              <w:t>atm</w:t>
            </w:r>
            <w:r>
              <w:rPr>
                <w:rFonts w:hint="default" w:ascii="Times New Roman" w:hAnsi="Times New Roman" w:eastAsia="宋体" w:cs="Times New Roman"/>
                <w:color w:val="auto"/>
                <w:kern w:val="0"/>
                <w:sz w:val="24"/>
                <w:szCs w:val="24"/>
                <w:highlight w:val="none"/>
                <w:lang w:val="en-US" w:eastAsia="zh-CN" w:bidi="ar"/>
              </w:rPr>
              <w:t>——大气吸收引起的倍频带衰减，dB；</w:t>
            </w:r>
          </w:p>
          <w:p w14:paraId="1F631A81">
            <w:pPr>
              <w:keepNext w:val="0"/>
              <w:keepLines w:val="0"/>
              <w:widowControl/>
              <w:suppressLineNumbers w:val="0"/>
              <w:ind w:firstLine="1200" w:firstLineChars="50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A</w:t>
            </w:r>
            <w:r>
              <w:rPr>
                <w:rFonts w:hint="default" w:ascii="Times New Roman" w:hAnsi="Times New Roman" w:eastAsia="宋体" w:cs="Times New Roman"/>
                <w:color w:val="auto"/>
                <w:kern w:val="0"/>
                <w:sz w:val="15"/>
                <w:szCs w:val="15"/>
                <w:highlight w:val="none"/>
                <w:lang w:val="en-US" w:eastAsia="zh-CN" w:bidi="ar"/>
              </w:rPr>
              <w:t>gr</w:t>
            </w:r>
            <w:r>
              <w:rPr>
                <w:rFonts w:hint="default" w:ascii="Times New Roman" w:hAnsi="Times New Roman" w:eastAsia="宋体" w:cs="Times New Roman"/>
                <w:color w:val="auto"/>
                <w:kern w:val="0"/>
                <w:sz w:val="24"/>
                <w:szCs w:val="24"/>
                <w:highlight w:val="none"/>
                <w:lang w:val="en-US" w:eastAsia="zh-CN" w:bidi="ar"/>
              </w:rPr>
              <w:t>——地面效应引起</w:t>
            </w:r>
            <w:r>
              <w:rPr>
                <w:rFonts w:hint="eastAsia" w:cs="Times New Roman"/>
                <w:color w:val="auto"/>
                <w:kern w:val="0"/>
                <w:sz w:val="24"/>
                <w:szCs w:val="24"/>
                <w:highlight w:val="none"/>
                <w:lang w:val="en-US" w:eastAsia="zh-CN" w:bidi="ar"/>
              </w:rPr>
              <w:t>的</w:t>
            </w:r>
            <w:r>
              <w:rPr>
                <w:rFonts w:hint="default" w:ascii="Times New Roman" w:hAnsi="Times New Roman" w:eastAsia="宋体" w:cs="Times New Roman"/>
                <w:color w:val="auto"/>
                <w:kern w:val="0"/>
                <w:sz w:val="24"/>
                <w:szCs w:val="24"/>
                <w:highlight w:val="none"/>
                <w:lang w:val="en-US" w:eastAsia="zh-CN" w:bidi="ar"/>
              </w:rPr>
              <w:t>倍频带衰减，dB；</w:t>
            </w:r>
          </w:p>
          <w:p w14:paraId="116892B3">
            <w:pPr>
              <w:keepNext w:val="0"/>
              <w:keepLines w:val="0"/>
              <w:widowControl/>
              <w:suppressLineNumbers w:val="0"/>
              <w:ind w:firstLine="1200" w:firstLineChars="50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A</w:t>
            </w:r>
            <w:r>
              <w:rPr>
                <w:rFonts w:hint="default" w:ascii="Times New Roman" w:hAnsi="Times New Roman" w:eastAsia="宋体" w:cs="Times New Roman"/>
                <w:color w:val="auto"/>
                <w:kern w:val="0"/>
                <w:sz w:val="15"/>
                <w:szCs w:val="15"/>
                <w:highlight w:val="none"/>
                <w:lang w:val="en-US" w:eastAsia="zh-CN" w:bidi="ar"/>
              </w:rPr>
              <w:t>bar</w:t>
            </w:r>
            <w:r>
              <w:rPr>
                <w:rFonts w:hint="default" w:ascii="Times New Roman" w:hAnsi="Times New Roman" w:eastAsia="宋体" w:cs="Times New Roman"/>
                <w:color w:val="auto"/>
                <w:kern w:val="0"/>
                <w:sz w:val="24"/>
                <w:szCs w:val="24"/>
                <w:highlight w:val="none"/>
                <w:lang w:val="en-US" w:eastAsia="zh-CN" w:bidi="ar"/>
              </w:rPr>
              <w:t>——声屏障引起的倍频带衰减，dB；</w:t>
            </w:r>
          </w:p>
          <w:p w14:paraId="1D98B6AE">
            <w:pPr>
              <w:keepNext w:val="0"/>
              <w:keepLines w:val="0"/>
              <w:widowControl/>
              <w:suppressLineNumbers w:val="0"/>
              <w:ind w:firstLine="1200" w:firstLineChars="50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A</w:t>
            </w:r>
            <w:r>
              <w:rPr>
                <w:rFonts w:hint="default" w:ascii="Times New Roman" w:hAnsi="Times New Roman" w:eastAsia="宋体" w:cs="Times New Roman"/>
                <w:color w:val="auto"/>
                <w:kern w:val="0"/>
                <w:sz w:val="15"/>
                <w:szCs w:val="15"/>
                <w:highlight w:val="none"/>
                <w:lang w:val="en-US" w:eastAsia="zh-CN" w:bidi="ar"/>
              </w:rPr>
              <w:t>misc</w:t>
            </w:r>
            <w:r>
              <w:rPr>
                <w:rFonts w:hint="default" w:ascii="Times New Roman" w:hAnsi="Times New Roman" w:eastAsia="宋体" w:cs="Times New Roman"/>
                <w:color w:val="auto"/>
                <w:kern w:val="0"/>
                <w:sz w:val="24"/>
                <w:szCs w:val="24"/>
                <w:highlight w:val="none"/>
                <w:lang w:val="en-US" w:eastAsia="zh-CN" w:bidi="ar"/>
              </w:rPr>
              <w:t>——其他方面效应引起的倍频带衰减，dB；</w:t>
            </w:r>
          </w:p>
          <w:p w14:paraId="6D796168">
            <w:pPr>
              <w:keepNext w:val="0"/>
              <w:keepLines w:val="0"/>
              <w:widowControl/>
              <w:suppressLineNumbers w:val="0"/>
              <w:jc w:val="left"/>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已知靠近声源处某点的倍频带声压级L</w:t>
            </w:r>
            <w:r>
              <w:rPr>
                <w:rFonts w:hint="default" w:ascii="Times New Roman" w:hAnsi="Times New Roman" w:eastAsia="宋体" w:cs="Times New Roman"/>
                <w:color w:val="auto"/>
                <w:kern w:val="0"/>
                <w:sz w:val="15"/>
                <w:szCs w:val="15"/>
                <w:highlight w:val="none"/>
                <w:lang w:val="en-US" w:eastAsia="zh-CN" w:bidi="ar"/>
              </w:rPr>
              <w:t>P</w:t>
            </w:r>
            <w:r>
              <w:rPr>
                <w:rFonts w:hint="default" w:ascii="Times New Roman" w:hAnsi="Times New Roman" w:eastAsia="宋体" w:cs="Times New Roman"/>
                <w:color w:val="auto"/>
                <w:kern w:val="0"/>
                <w:sz w:val="24"/>
                <w:szCs w:val="24"/>
                <w:highlight w:val="none"/>
                <w:lang w:val="en-US" w:eastAsia="zh-CN" w:bidi="ar"/>
              </w:rPr>
              <w:t>（r</w:t>
            </w:r>
            <w:r>
              <w:rPr>
                <w:rFonts w:hint="default" w:ascii="Times New Roman" w:hAnsi="Times New Roman" w:eastAsia="宋体" w:cs="Times New Roman"/>
                <w:color w:val="auto"/>
                <w:kern w:val="0"/>
                <w:sz w:val="15"/>
                <w:szCs w:val="15"/>
                <w:highlight w:val="none"/>
                <w:lang w:val="en-US" w:eastAsia="zh-CN" w:bidi="ar"/>
              </w:rPr>
              <w:t>0</w:t>
            </w:r>
            <w:r>
              <w:rPr>
                <w:rFonts w:hint="default" w:ascii="Times New Roman" w:hAnsi="Times New Roman" w:eastAsia="宋体" w:cs="Times New Roman"/>
                <w:color w:val="auto"/>
                <w:kern w:val="0"/>
                <w:sz w:val="24"/>
                <w:szCs w:val="24"/>
                <w:highlight w:val="none"/>
                <w:lang w:val="en-US" w:eastAsia="zh-CN" w:bidi="ar"/>
              </w:rPr>
              <w:t>）时，相同方向预测点位置的倍频带声压级L</w:t>
            </w:r>
            <w:r>
              <w:rPr>
                <w:rFonts w:hint="default" w:ascii="Times New Roman" w:hAnsi="Times New Roman" w:eastAsia="宋体" w:cs="Times New Roman"/>
                <w:color w:val="auto"/>
                <w:kern w:val="0"/>
                <w:sz w:val="15"/>
                <w:szCs w:val="15"/>
                <w:highlight w:val="none"/>
                <w:lang w:val="en-US" w:eastAsia="zh-CN" w:bidi="ar"/>
              </w:rPr>
              <w:t>P</w:t>
            </w:r>
            <w:r>
              <w:rPr>
                <w:rFonts w:hint="default" w:ascii="Times New Roman" w:hAnsi="Times New Roman" w:eastAsia="宋体" w:cs="Times New Roman"/>
                <w:color w:val="auto"/>
                <w:kern w:val="0"/>
                <w:sz w:val="24"/>
                <w:szCs w:val="24"/>
                <w:highlight w:val="none"/>
                <w:lang w:val="en-US" w:eastAsia="zh-CN" w:bidi="ar"/>
              </w:rPr>
              <w:t>（r）</w:t>
            </w:r>
          </w:p>
          <w:p w14:paraId="1CA86976">
            <w:pPr>
              <w:keepNext w:val="0"/>
              <w:keepLines w:val="0"/>
              <w:widowControl/>
              <w:suppressLineNumbers w:val="0"/>
              <w:ind w:left="0" w:leftChars="0" w:firstLine="0" w:firstLineChars="0"/>
              <w:jc w:val="center"/>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L</w:t>
            </w:r>
            <w:r>
              <w:rPr>
                <w:rFonts w:hint="default" w:ascii="Times New Roman" w:hAnsi="Times New Roman" w:eastAsia="宋体" w:cs="Times New Roman"/>
                <w:color w:val="auto"/>
                <w:kern w:val="0"/>
                <w:sz w:val="15"/>
                <w:szCs w:val="15"/>
                <w:highlight w:val="none"/>
                <w:lang w:val="en-US" w:eastAsia="zh-CN" w:bidi="ar"/>
              </w:rPr>
              <w:t>p</w:t>
            </w:r>
            <w:r>
              <w:rPr>
                <w:rFonts w:hint="default" w:ascii="Times New Roman" w:hAnsi="Times New Roman" w:eastAsia="宋体" w:cs="Times New Roman"/>
                <w:color w:val="auto"/>
                <w:kern w:val="0"/>
                <w:sz w:val="24"/>
                <w:szCs w:val="24"/>
                <w:highlight w:val="none"/>
                <w:lang w:val="en-US" w:eastAsia="zh-CN" w:bidi="ar"/>
              </w:rPr>
              <w:t>（r）=L</w:t>
            </w:r>
            <w:r>
              <w:rPr>
                <w:rFonts w:hint="default" w:ascii="Times New Roman" w:hAnsi="Times New Roman" w:eastAsia="宋体" w:cs="Times New Roman"/>
                <w:color w:val="auto"/>
                <w:kern w:val="0"/>
                <w:sz w:val="15"/>
                <w:szCs w:val="15"/>
                <w:highlight w:val="none"/>
                <w:lang w:val="en-US" w:eastAsia="zh-CN" w:bidi="ar"/>
              </w:rPr>
              <w:t>p</w:t>
            </w:r>
            <w:r>
              <w:rPr>
                <w:rFonts w:hint="default" w:ascii="Times New Roman" w:hAnsi="Times New Roman" w:eastAsia="宋体" w:cs="Times New Roman"/>
                <w:color w:val="auto"/>
                <w:kern w:val="0"/>
                <w:sz w:val="24"/>
                <w:szCs w:val="24"/>
                <w:highlight w:val="none"/>
                <w:lang w:val="en-US" w:eastAsia="zh-CN" w:bidi="ar"/>
              </w:rPr>
              <w:t>（r</w:t>
            </w:r>
            <w:r>
              <w:rPr>
                <w:rFonts w:hint="default" w:ascii="Times New Roman" w:hAnsi="Times New Roman" w:eastAsia="宋体" w:cs="Times New Roman"/>
                <w:color w:val="auto"/>
                <w:kern w:val="0"/>
                <w:sz w:val="15"/>
                <w:szCs w:val="15"/>
                <w:highlight w:val="none"/>
                <w:lang w:val="en-US" w:eastAsia="zh-CN" w:bidi="ar"/>
              </w:rPr>
              <w:t>0</w:t>
            </w:r>
            <w:r>
              <w:rPr>
                <w:rFonts w:hint="default" w:ascii="Times New Roman" w:hAnsi="Times New Roman" w:eastAsia="宋体" w:cs="Times New Roman"/>
                <w:color w:val="auto"/>
                <w:kern w:val="0"/>
                <w:sz w:val="24"/>
                <w:szCs w:val="24"/>
                <w:highlight w:val="none"/>
                <w:lang w:val="en-US" w:eastAsia="zh-CN" w:bidi="ar"/>
              </w:rPr>
              <w:t>）-A</w:t>
            </w:r>
          </w:p>
          <w:p w14:paraId="78E93E1F">
            <w:pPr>
              <w:bidi w:val="0"/>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预测点的A声级LA（r），可利用8个倍频带的声压级按公式计算：</w:t>
            </w:r>
          </w:p>
          <w:p w14:paraId="34D5BF00">
            <w:pPr>
              <w:bidi w:val="0"/>
              <w:ind w:left="0" w:leftChars="0" w:firstLine="0" w:firstLineChars="0"/>
              <w:jc w:val="center"/>
              <w:rPr>
                <w:rFonts w:hint="default" w:ascii="Times New Roman" w:hAnsi="Times New Roman" w:cs="Times New Roman"/>
                <w:b w:val="0"/>
                <w:bCs w:val="0"/>
                <w:color w:val="auto"/>
                <w:highlight w:val="none"/>
              </w:rPr>
            </w:pPr>
            <w:r>
              <w:rPr>
                <w:rFonts w:hint="default" w:ascii="Times New Roman" w:hAnsi="Times New Roman" w:cs="Times New Roman"/>
                <w:color w:val="auto"/>
                <w:highlight w:val="none"/>
              </w:rPr>
              <w:drawing>
                <wp:inline distT="0" distB="0" distL="114300" distR="114300">
                  <wp:extent cx="1692275" cy="472440"/>
                  <wp:effectExtent l="0" t="0" r="9525" b="10160"/>
                  <wp:docPr id="11"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8"/>
                          <pic:cNvPicPr>
                            <a:picLocks noChangeAspect="1"/>
                          </pic:cNvPicPr>
                        </pic:nvPicPr>
                        <pic:blipFill>
                          <a:blip r:embed="rId32"/>
                          <a:stretch>
                            <a:fillRect/>
                          </a:stretch>
                        </pic:blipFill>
                        <pic:spPr>
                          <a:xfrm>
                            <a:off x="0" y="0"/>
                            <a:ext cx="1692275" cy="472440"/>
                          </a:xfrm>
                          <a:prstGeom prst="rect">
                            <a:avLst/>
                          </a:prstGeom>
                          <a:noFill/>
                          <a:ln>
                            <a:noFill/>
                          </a:ln>
                        </pic:spPr>
                      </pic:pic>
                    </a:graphicData>
                  </a:graphic>
                </wp:inline>
              </w:drawing>
            </w:r>
          </w:p>
          <w:p w14:paraId="46F1032A">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式中：L</w:t>
            </w:r>
            <w:r>
              <w:rPr>
                <w:rFonts w:hint="default" w:ascii="Times New Roman" w:hAnsi="Times New Roman" w:eastAsia="宋体" w:cs="Times New Roman"/>
                <w:color w:val="auto"/>
                <w:kern w:val="0"/>
                <w:sz w:val="15"/>
                <w:szCs w:val="15"/>
                <w:highlight w:val="none"/>
                <w:lang w:val="en-US" w:eastAsia="zh-CN" w:bidi="ar"/>
              </w:rPr>
              <w:t>A</w:t>
            </w:r>
            <w:r>
              <w:rPr>
                <w:rFonts w:hint="default" w:ascii="Times New Roman" w:hAnsi="Times New Roman" w:eastAsia="宋体" w:cs="Times New Roman"/>
                <w:color w:val="auto"/>
                <w:kern w:val="0"/>
                <w:sz w:val="24"/>
                <w:szCs w:val="24"/>
                <w:highlight w:val="none"/>
                <w:lang w:val="en-US" w:eastAsia="zh-CN" w:bidi="ar"/>
              </w:rPr>
              <w:t>（r）——距声源r处的A声级，dB（A）；</w:t>
            </w:r>
          </w:p>
          <w:p w14:paraId="2D82A8FF">
            <w:pPr>
              <w:keepNext w:val="0"/>
              <w:keepLines w:val="0"/>
              <w:widowControl/>
              <w:suppressLineNumbers w:val="0"/>
              <w:ind w:firstLine="1200" w:firstLineChars="50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L</w:t>
            </w:r>
            <w:r>
              <w:rPr>
                <w:rFonts w:hint="default" w:ascii="Times New Roman" w:hAnsi="Times New Roman" w:eastAsia="宋体" w:cs="Times New Roman"/>
                <w:color w:val="auto"/>
                <w:kern w:val="0"/>
                <w:sz w:val="15"/>
                <w:szCs w:val="15"/>
                <w:highlight w:val="none"/>
                <w:lang w:val="en-US" w:eastAsia="zh-CN" w:bidi="ar"/>
              </w:rPr>
              <w:t>pi</w:t>
            </w:r>
            <w:r>
              <w:rPr>
                <w:rFonts w:hint="default" w:ascii="Times New Roman" w:hAnsi="Times New Roman" w:eastAsia="宋体" w:cs="Times New Roman"/>
                <w:color w:val="auto"/>
                <w:kern w:val="0"/>
                <w:sz w:val="24"/>
                <w:szCs w:val="24"/>
                <w:highlight w:val="none"/>
                <w:lang w:val="en-US" w:eastAsia="zh-CN" w:bidi="ar"/>
              </w:rPr>
              <w:t>（r）——预测点（r）处，第i倍频带声压级，dB；</w:t>
            </w:r>
          </w:p>
          <w:p w14:paraId="76393DE6">
            <w:pPr>
              <w:keepNext w:val="0"/>
              <w:keepLines w:val="0"/>
              <w:widowControl/>
              <w:suppressLineNumbers w:val="0"/>
              <w:ind w:firstLine="1200" w:firstLineChars="50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ΔL</w:t>
            </w:r>
            <w:r>
              <w:rPr>
                <w:rFonts w:hint="default" w:ascii="Times New Roman" w:hAnsi="Times New Roman" w:eastAsia="宋体" w:cs="Times New Roman"/>
                <w:color w:val="auto"/>
                <w:kern w:val="0"/>
                <w:sz w:val="15"/>
                <w:szCs w:val="15"/>
                <w:highlight w:val="none"/>
                <w:lang w:val="en-US" w:eastAsia="zh-CN" w:bidi="ar"/>
              </w:rPr>
              <w:t>i</w:t>
            </w:r>
            <w:r>
              <w:rPr>
                <w:rFonts w:hint="default" w:ascii="Times New Roman" w:hAnsi="Times New Roman" w:eastAsia="宋体" w:cs="Times New Roman"/>
                <w:color w:val="auto"/>
                <w:kern w:val="0"/>
                <w:sz w:val="24"/>
                <w:szCs w:val="24"/>
                <w:highlight w:val="none"/>
                <w:lang w:val="en-US" w:eastAsia="zh-CN" w:bidi="ar"/>
              </w:rPr>
              <w:t>——第i倍频带的A计权网络修正值，dB。</w:t>
            </w:r>
          </w:p>
          <w:p w14:paraId="13537877">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在不能取得声源倍频带声功率级或倍频带声压级，只能获得A声功率级或某点的A声级时，可按公式</w:t>
            </w:r>
            <w:r>
              <w:rPr>
                <w:rFonts w:hint="eastAsia" w:cs="Times New Roman"/>
                <w:color w:val="auto"/>
                <w:kern w:val="0"/>
                <w:sz w:val="24"/>
                <w:szCs w:val="24"/>
                <w:highlight w:val="none"/>
                <w:lang w:val="en-US" w:eastAsia="zh-CN" w:bidi="ar"/>
              </w:rPr>
              <w:t>作</w:t>
            </w:r>
            <w:r>
              <w:rPr>
                <w:rFonts w:hint="default" w:ascii="Times New Roman" w:hAnsi="Times New Roman" w:eastAsia="宋体" w:cs="Times New Roman"/>
                <w:color w:val="auto"/>
                <w:kern w:val="0"/>
                <w:sz w:val="24"/>
                <w:szCs w:val="24"/>
                <w:highlight w:val="none"/>
                <w:lang w:val="en-US" w:eastAsia="zh-CN" w:bidi="ar"/>
              </w:rPr>
              <w:t>近似计算：</w:t>
            </w:r>
          </w:p>
          <w:p w14:paraId="1489A5C4">
            <w:pPr>
              <w:keepNext w:val="0"/>
              <w:keepLines w:val="0"/>
              <w:widowControl/>
              <w:suppressLineNumbers w:val="0"/>
              <w:ind w:left="0" w:leftChars="0" w:firstLine="0" w:firstLineChars="0"/>
              <w:jc w:val="center"/>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L</w:t>
            </w:r>
            <w:r>
              <w:rPr>
                <w:rFonts w:hint="default" w:ascii="Times New Roman" w:hAnsi="Times New Roman" w:eastAsia="宋体" w:cs="Times New Roman"/>
                <w:color w:val="auto"/>
                <w:kern w:val="0"/>
                <w:sz w:val="15"/>
                <w:szCs w:val="15"/>
                <w:highlight w:val="none"/>
                <w:lang w:val="en-US" w:eastAsia="zh-CN" w:bidi="ar"/>
              </w:rPr>
              <w:t>A</w:t>
            </w:r>
            <w:r>
              <w:rPr>
                <w:rFonts w:hint="default" w:ascii="Times New Roman" w:hAnsi="Times New Roman" w:eastAsia="宋体" w:cs="Times New Roman"/>
                <w:color w:val="auto"/>
                <w:kern w:val="0"/>
                <w:sz w:val="24"/>
                <w:szCs w:val="24"/>
                <w:highlight w:val="none"/>
                <w:lang w:val="en-US" w:eastAsia="zh-CN" w:bidi="ar"/>
              </w:rPr>
              <w:t>（r）=L</w:t>
            </w:r>
            <w:r>
              <w:rPr>
                <w:rFonts w:hint="default" w:ascii="Times New Roman" w:hAnsi="Times New Roman" w:eastAsia="宋体" w:cs="Times New Roman"/>
                <w:color w:val="auto"/>
                <w:kern w:val="0"/>
                <w:sz w:val="15"/>
                <w:szCs w:val="15"/>
                <w:highlight w:val="none"/>
                <w:lang w:val="en-US" w:eastAsia="zh-CN" w:bidi="ar"/>
              </w:rPr>
              <w:t>AW</w:t>
            </w:r>
            <w:r>
              <w:rPr>
                <w:rFonts w:hint="default" w:ascii="Times New Roman" w:hAnsi="Times New Roman" w:eastAsia="宋体" w:cs="Times New Roman"/>
                <w:color w:val="auto"/>
                <w:kern w:val="0"/>
                <w:sz w:val="24"/>
                <w:szCs w:val="24"/>
                <w:highlight w:val="none"/>
                <w:lang w:val="en-US" w:eastAsia="zh-CN" w:bidi="ar"/>
              </w:rPr>
              <w:t>-D</w:t>
            </w:r>
            <w:r>
              <w:rPr>
                <w:rFonts w:hint="default" w:ascii="Times New Roman" w:hAnsi="Times New Roman" w:eastAsia="宋体" w:cs="Times New Roman"/>
                <w:color w:val="auto"/>
                <w:kern w:val="0"/>
                <w:sz w:val="15"/>
                <w:szCs w:val="15"/>
                <w:highlight w:val="none"/>
                <w:lang w:val="en-US" w:eastAsia="zh-CN" w:bidi="ar"/>
              </w:rPr>
              <w:t>C</w:t>
            </w:r>
            <w:r>
              <w:rPr>
                <w:rFonts w:hint="default" w:ascii="Times New Roman" w:hAnsi="Times New Roman" w:eastAsia="宋体" w:cs="Times New Roman"/>
                <w:color w:val="auto"/>
                <w:kern w:val="0"/>
                <w:sz w:val="24"/>
                <w:szCs w:val="24"/>
                <w:highlight w:val="none"/>
                <w:lang w:val="en-US" w:eastAsia="zh-CN" w:bidi="ar"/>
              </w:rPr>
              <w:t>-A</w:t>
            </w:r>
          </w:p>
          <w:p w14:paraId="53CEB069">
            <w:pPr>
              <w:keepNext w:val="0"/>
              <w:keepLines w:val="0"/>
              <w:widowControl/>
              <w:suppressLineNumbers w:val="0"/>
              <w:ind w:left="0" w:leftChars="0" w:firstLine="0" w:firstLineChars="0"/>
              <w:jc w:val="center"/>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或L</w:t>
            </w:r>
            <w:r>
              <w:rPr>
                <w:rFonts w:hint="default" w:ascii="Times New Roman" w:hAnsi="Times New Roman" w:eastAsia="宋体" w:cs="Times New Roman"/>
                <w:color w:val="auto"/>
                <w:kern w:val="0"/>
                <w:sz w:val="15"/>
                <w:szCs w:val="15"/>
                <w:highlight w:val="none"/>
                <w:lang w:val="en-US" w:eastAsia="zh-CN" w:bidi="ar"/>
              </w:rPr>
              <w:t>A</w:t>
            </w:r>
            <w:r>
              <w:rPr>
                <w:rFonts w:hint="default" w:ascii="Times New Roman" w:hAnsi="Times New Roman" w:eastAsia="宋体" w:cs="Times New Roman"/>
                <w:color w:val="auto"/>
                <w:kern w:val="0"/>
                <w:sz w:val="24"/>
                <w:szCs w:val="24"/>
                <w:highlight w:val="none"/>
                <w:lang w:val="en-US" w:eastAsia="zh-CN" w:bidi="ar"/>
              </w:rPr>
              <w:t>（r）=L</w:t>
            </w:r>
            <w:r>
              <w:rPr>
                <w:rFonts w:hint="default" w:ascii="Times New Roman" w:hAnsi="Times New Roman" w:eastAsia="宋体" w:cs="Times New Roman"/>
                <w:color w:val="auto"/>
                <w:kern w:val="0"/>
                <w:sz w:val="15"/>
                <w:szCs w:val="15"/>
                <w:highlight w:val="none"/>
                <w:lang w:val="en-US" w:eastAsia="zh-CN" w:bidi="ar"/>
              </w:rPr>
              <w:t>A</w:t>
            </w:r>
            <w:r>
              <w:rPr>
                <w:rFonts w:hint="default" w:ascii="Times New Roman" w:hAnsi="Times New Roman" w:eastAsia="宋体" w:cs="Times New Roman"/>
                <w:color w:val="auto"/>
                <w:kern w:val="0"/>
                <w:sz w:val="24"/>
                <w:szCs w:val="24"/>
                <w:highlight w:val="none"/>
                <w:lang w:val="en-US" w:eastAsia="zh-CN" w:bidi="ar"/>
              </w:rPr>
              <w:t>（r</w:t>
            </w:r>
            <w:r>
              <w:rPr>
                <w:rFonts w:hint="default" w:ascii="Times New Roman" w:hAnsi="Times New Roman" w:eastAsia="宋体" w:cs="Times New Roman"/>
                <w:color w:val="auto"/>
                <w:kern w:val="0"/>
                <w:sz w:val="15"/>
                <w:szCs w:val="15"/>
                <w:highlight w:val="none"/>
                <w:lang w:val="en-US" w:eastAsia="zh-CN" w:bidi="ar"/>
              </w:rPr>
              <w:t>0</w:t>
            </w:r>
            <w:r>
              <w:rPr>
                <w:rFonts w:hint="default" w:ascii="Times New Roman" w:hAnsi="Times New Roman" w:eastAsia="宋体" w:cs="Times New Roman"/>
                <w:color w:val="auto"/>
                <w:kern w:val="0"/>
                <w:sz w:val="24"/>
                <w:szCs w:val="24"/>
                <w:highlight w:val="none"/>
                <w:lang w:val="en-US" w:eastAsia="zh-CN" w:bidi="ar"/>
              </w:rPr>
              <w:t>）-A</w:t>
            </w:r>
          </w:p>
          <w:p w14:paraId="38DA61D4">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A可选择对A声级影响最大的倍频带计算，一般可</w:t>
            </w:r>
            <w:r>
              <w:rPr>
                <w:rFonts w:hint="eastAsia" w:cs="Times New Roman"/>
                <w:color w:val="auto"/>
                <w:kern w:val="0"/>
                <w:sz w:val="24"/>
                <w:szCs w:val="24"/>
                <w:highlight w:val="none"/>
                <w:lang w:val="en-US" w:eastAsia="zh-CN" w:bidi="ar"/>
              </w:rPr>
              <w:t>选择</w:t>
            </w:r>
            <w:r>
              <w:rPr>
                <w:rFonts w:hint="default" w:ascii="Times New Roman" w:hAnsi="Times New Roman" w:eastAsia="宋体" w:cs="Times New Roman"/>
                <w:color w:val="auto"/>
                <w:kern w:val="0"/>
                <w:sz w:val="24"/>
                <w:szCs w:val="24"/>
                <w:highlight w:val="none"/>
                <w:lang w:val="en-US" w:eastAsia="zh-CN" w:bidi="ar"/>
              </w:rPr>
              <w:t>中心频率为500Hz的倍频带做估算。</w:t>
            </w:r>
          </w:p>
          <w:p w14:paraId="70C6B270">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2）室内点声源的预测</w:t>
            </w:r>
          </w:p>
          <w:p w14:paraId="496B144F">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设靠近开口处（或窗户）室内、室外某倍频带的声压级分别为L</w:t>
            </w:r>
            <w:r>
              <w:rPr>
                <w:rFonts w:hint="default" w:ascii="Times New Roman" w:hAnsi="Times New Roman" w:eastAsia="宋体" w:cs="Times New Roman"/>
                <w:color w:val="auto"/>
                <w:kern w:val="0"/>
                <w:sz w:val="15"/>
                <w:szCs w:val="15"/>
                <w:highlight w:val="none"/>
                <w:lang w:val="en-US" w:eastAsia="zh-CN" w:bidi="ar"/>
              </w:rPr>
              <w:t>p1</w:t>
            </w:r>
            <w:r>
              <w:rPr>
                <w:rFonts w:hint="default" w:ascii="Times New Roman" w:hAnsi="Times New Roman" w:eastAsia="宋体" w:cs="Times New Roman"/>
                <w:color w:val="auto"/>
                <w:kern w:val="0"/>
                <w:sz w:val="24"/>
                <w:szCs w:val="24"/>
                <w:highlight w:val="none"/>
                <w:lang w:val="en-US" w:eastAsia="zh-CN" w:bidi="ar"/>
              </w:rPr>
              <w:t>和L</w:t>
            </w:r>
            <w:r>
              <w:rPr>
                <w:rFonts w:hint="default" w:ascii="Times New Roman" w:hAnsi="Times New Roman" w:eastAsia="宋体" w:cs="Times New Roman"/>
                <w:color w:val="auto"/>
                <w:kern w:val="0"/>
                <w:sz w:val="15"/>
                <w:szCs w:val="15"/>
                <w:highlight w:val="none"/>
                <w:lang w:val="en-US" w:eastAsia="zh-CN" w:bidi="ar"/>
              </w:rPr>
              <w:t>p2</w:t>
            </w:r>
            <w:r>
              <w:rPr>
                <w:rFonts w:hint="default" w:ascii="Times New Roman" w:hAnsi="Times New Roman" w:eastAsia="宋体" w:cs="Times New Roman"/>
                <w:color w:val="auto"/>
                <w:kern w:val="0"/>
                <w:sz w:val="24"/>
                <w:szCs w:val="24"/>
                <w:highlight w:val="none"/>
                <w:lang w:val="en-US" w:eastAsia="zh-CN" w:bidi="ar"/>
              </w:rPr>
              <w:t>。若声源所在室内声场为近似扩散声场，则室外的倍频带声压级可按公式近似求出：</w:t>
            </w:r>
          </w:p>
          <w:p w14:paraId="758B24CD">
            <w:pPr>
              <w:keepNext w:val="0"/>
              <w:keepLines w:val="0"/>
              <w:widowControl/>
              <w:suppressLineNumbers w:val="0"/>
              <w:ind w:left="0" w:leftChars="0" w:firstLine="0" w:firstLineChars="0"/>
              <w:jc w:val="center"/>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L</w:t>
            </w:r>
            <w:r>
              <w:rPr>
                <w:rFonts w:hint="default" w:ascii="Times New Roman" w:hAnsi="Times New Roman" w:eastAsia="宋体" w:cs="Times New Roman"/>
                <w:color w:val="auto"/>
                <w:kern w:val="0"/>
                <w:sz w:val="15"/>
                <w:szCs w:val="15"/>
                <w:highlight w:val="none"/>
                <w:lang w:val="en-US" w:eastAsia="zh-CN" w:bidi="ar"/>
              </w:rPr>
              <w:t>P2</w:t>
            </w:r>
            <w:r>
              <w:rPr>
                <w:rFonts w:hint="default" w:ascii="Times New Roman" w:hAnsi="Times New Roman" w:eastAsia="宋体" w:cs="Times New Roman"/>
                <w:color w:val="auto"/>
                <w:kern w:val="0"/>
                <w:sz w:val="24"/>
                <w:szCs w:val="24"/>
                <w:highlight w:val="none"/>
                <w:lang w:val="en-US" w:eastAsia="zh-CN" w:bidi="ar"/>
              </w:rPr>
              <w:t>=L</w:t>
            </w:r>
            <w:r>
              <w:rPr>
                <w:rFonts w:hint="default" w:ascii="Times New Roman" w:hAnsi="Times New Roman" w:eastAsia="宋体" w:cs="Times New Roman"/>
                <w:color w:val="auto"/>
                <w:kern w:val="0"/>
                <w:sz w:val="15"/>
                <w:szCs w:val="15"/>
                <w:highlight w:val="none"/>
                <w:lang w:val="en-US" w:eastAsia="zh-CN" w:bidi="ar"/>
              </w:rPr>
              <w:t>P1</w:t>
            </w:r>
            <w:r>
              <w:rPr>
                <w:rFonts w:hint="default" w:ascii="Times New Roman" w:hAnsi="Times New Roman" w:eastAsia="宋体" w:cs="Times New Roman"/>
                <w:color w:val="auto"/>
                <w:kern w:val="0"/>
                <w:sz w:val="24"/>
                <w:szCs w:val="24"/>
                <w:highlight w:val="none"/>
                <w:lang w:val="en-US" w:eastAsia="zh-CN" w:bidi="ar"/>
              </w:rPr>
              <w:t>-（TL+6）</w:t>
            </w:r>
          </w:p>
          <w:p w14:paraId="13CDB58C">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式中：TL－隔墙（或窗户）倍频带的隔声量，dB。</w:t>
            </w:r>
          </w:p>
          <w:p w14:paraId="6E08D0D9">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A）计算某一室内声源靠近围护结构处产生的倍频带声压级：</w:t>
            </w:r>
          </w:p>
          <w:p w14:paraId="224B0247">
            <w:pPr>
              <w:bidi w:val="0"/>
              <w:ind w:left="0" w:leftChars="0" w:firstLine="0" w:firstLineChars="0"/>
              <w:jc w:val="center"/>
              <w:rPr>
                <w:rFonts w:hint="default" w:ascii="Times New Roman" w:hAnsi="Times New Roman" w:cs="Times New Roman"/>
                <w:b/>
                <w:bCs/>
                <w:color w:val="auto"/>
                <w:highlight w:val="none"/>
              </w:rPr>
            </w:pPr>
            <w:r>
              <w:rPr>
                <w:rFonts w:hint="default" w:ascii="Times New Roman" w:hAnsi="Times New Roman" w:cs="Times New Roman"/>
                <w:color w:val="auto"/>
                <w:highlight w:val="none"/>
              </w:rPr>
              <w:drawing>
                <wp:inline distT="0" distB="0" distL="114300" distR="114300">
                  <wp:extent cx="1764030" cy="464820"/>
                  <wp:effectExtent l="0" t="0" r="1270" b="5080"/>
                  <wp:docPr id="12"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9"/>
                          <pic:cNvPicPr>
                            <a:picLocks noChangeAspect="1"/>
                          </pic:cNvPicPr>
                        </pic:nvPicPr>
                        <pic:blipFill>
                          <a:blip r:embed="rId33"/>
                          <a:srcRect t="6398" b="11447"/>
                          <a:stretch>
                            <a:fillRect/>
                          </a:stretch>
                        </pic:blipFill>
                        <pic:spPr>
                          <a:xfrm>
                            <a:off x="0" y="0"/>
                            <a:ext cx="1764030" cy="464820"/>
                          </a:xfrm>
                          <a:prstGeom prst="rect">
                            <a:avLst/>
                          </a:prstGeom>
                          <a:noFill/>
                          <a:ln>
                            <a:noFill/>
                          </a:ln>
                        </pic:spPr>
                      </pic:pic>
                    </a:graphicData>
                  </a:graphic>
                </wp:inline>
              </w:drawing>
            </w:r>
          </w:p>
          <w:p w14:paraId="0D2B207D">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式中：</w:t>
            </w:r>
            <w:r>
              <w:rPr>
                <w:rFonts w:hint="default" w:ascii="Times New Roman" w:hAnsi="Times New Roman" w:cs="Times New Roman"/>
                <w:color w:val="auto"/>
                <w:highlight w:val="none"/>
                <w:lang w:val="en-US" w:eastAsia="zh-CN"/>
              </w:rPr>
              <w:t>L</w:t>
            </w:r>
            <w:r>
              <w:rPr>
                <w:rFonts w:hint="default" w:ascii="Times New Roman" w:hAnsi="Times New Roman" w:cs="Times New Roman"/>
                <w:color w:val="auto"/>
                <w:highlight w:val="none"/>
                <w:vertAlign w:val="subscript"/>
                <w:lang w:val="en-US" w:eastAsia="zh-CN"/>
              </w:rPr>
              <w:t>P1</w:t>
            </w:r>
            <w:r>
              <w:rPr>
                <w:rFonts w:hint="default" w:ascii="Times New Roman" w:hAnsi="Times New Roman" w:eastAsia="宋体" w:cs="Times New Roman"/>
                <w:color w:val="auto"/>
                <w:kern w:val="0"/>
                <w:sz w:val="24"/>
                <w:szCs w:val="24"/>
                <w:highlight w:val="none"/>
                <w:lang w:val="en-US" w:eastAsia="zh-CN" w:bidi="ar"/>
              </w:rPr>
              <w:t>——某个室内声源在靠近围护结构处产生的倍频带声压级；</w:t>
            </w:r>
          </w:p>
          <w:p w14:paraId="54009D71">
            <w:pPr>
              <w:keepNext w:val="0"/>
              <w:keepLines w:val="0"/>
              <w:widowControl/>
              <w:suppressLineNumbers w:val="0"/>
              <w:ind w:firstLine="1200" w:firstLineChars="500"/>
              <w:jc w:val="left"/>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L</w:t>
            </w:r>
            <w:r>
              <w:rPr>
                <w:rFonts w:hint="default" w:ascii="Times New Roman" w:hAnsi="Times New Roman" w:cs="Times New Roman"/>
                <w:color w:val="auto"/>
                <w:highlight w:val="none"/>
                <w:vertAlign w:val="subscript"/>
                <w:lang w:val="en-US" w:eastAsia="zh-CN"/>
              </w:rPr>
              <w:t>w</w:t>
            </w:r>
            <w:r>
              <w:rPr>
                <w:rFonts w:hint="default" w:ascii="Times New Roman" w:hAnsi="Times New Roman" w:eastAsia="宋体" w:cs="Times New Roman"/>
                <w:color w:val="auto"/>
                <w:kern w:val="0"/>
                <w:sz w:val="24"/>
                <w:szCs w:val="24"/>
                <w:highlight w:val="none"/>
                <w:lang w:val="en-US" w:eastAsia="zh-CN" w:bidi="ar"/>
              </w:rPr>
              <w:t>——某个声源的倍频带声功率级；</w:t>
            </w:r>
          </w:p>
          <w:p w14:paraId="25A53DBB">
            <w:pPr>
              <w:keepNext w:val="0"/>
              <w:keepLines w:val="0"/>
              <w:widowControl/>
              <w:suppressLineNumbers w:val="0"/>
              <w:ind w:firstLine="1200" w:firstLineChars="50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r——室内某个声源与靠近围护结构处的距离；</w:t>
            </w:r>
          </w:p>
          <w:p w14:paraId="71889E13">
            <w:pPr>
              <w:keepNext w:val="0"/>
              <w:keepLines w:val="0"/>
              <w:widowControl/>
              <w:suppressLineNumbers w:val="0"/>
              <w:ind w:firstLine="1200" w:firstLineChars="50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R——房间常数；R=Sα/（1−α），S为房间内表面面积，m</w:t>
            </w:r>
            <w:r>
              <w:rPr>
                <w:rFonts w:hint="default" w:ascii="Times New Roman" w:hAnsi="Times New Roman" w:cs="Times New Roman"/>
                <w:color w:val="auto"/>
                <w:highlight w:val="none"/>
                <w:vertAlign w:val="superscript"/>
                <w:lang w:val="en-US" w:eastAsia="zh-CN"/>
              </w:rPr>
              <w:t>2</w:t>
            </w:r>
            <w:r>
              <w:rPr>
                <w:rFonts w:hint="default" w:ascii="Times New Roman" w:hAnsi="Times New Roman" w:eastAsia="宋体" w:cs="Times New Roman"/>
                <w:color w:val="auto"/>
                <w:kern w:val="0"/>
                <w:sz w:val="24"/>
                <w:szCs w:val="24"/>
                <w:highlight w:val="none"/>
                <w:lang w:val="en-US" w:eastAsia="zh-CN" w:bidi="ar"/>
              </w:rPr>
              <w:t>；α为平均吸声系数，本次评价取0.05；</w:t>
            </w:r>
          </w:p>
          <w:p w14:paraId="4F6AD8FA">
            <w:pPr>
              <w:keepNext w:val="0"/>
              <w:keepLines w:val="0"/>
              <w:widowControl/>
              <w:suppressLineNumbers w:val="0"/>
              <w:ind w:firstLine="1200" w:firstLineChars="50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Q——方向性因子，通常对无指向性声源，当声源放在房间中心时，Q=1；当放在一面墙的中心时，Q=2；当放在两面墙夹角处时，Q=4；当放在三面墙夹角处时，Q=8。本次评价取Q=2。</w:t>
            </w:r>
          </w:p>
          <w:p w14:paraId="032F7CFA">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B）计算出所有室内声源在靠近围护结构处产生的总倍频带声压级：</w:t>
            </w:r>
          </w:p>
          <w:p w14:paraId="58B1E7C9">
            <w:pPr>
              <w:bidi w:val="0"/>
              <w:ind w:left="0" w:leftChars="0" w:firstLine="0" w:firstLineChars="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drawing>
                <wp:inline distT="0" distB="0" distL="114300" distR="114300">
                  <wp:extent cx="1656080" cy="487680"/>
                  <wp:effectExtent l="0" t="0" r="7620" b="7620"/>
                  <wp:docPr id="13"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0"/>
                          <pic:cNvPicPr>
                            <a:picLocks noChangeAspect="1"/>
                          </pic:cNvPicPr>
                        </pic:nvPicPr>
                        <pic:blipFill>
                          <a:blip r:embed="rId34"/>
                          <a:stretch>
                            <a:fillRect/>
                          </a:stretch>
                        </pic:blipFill>
                        <pic:spPr>
                          <a:xfrm>
                            <a:off x="0" y="0"/>
                            <a:ext cx="1656080" cy="487680"/>
                          </a:xfrm>
                          <a:prstGeom prst="rect">
                            <a:avLst/>
                          </a:prstGeom>
                          <a:noFill/>
                          <a:ln>
                            <a:noFill/>
                          </a:ln>
                        </pic:spPr>
                      </pic:pic>
                    </a:graphicData>
                  </a:graphic>
                </wp:inline>
              </w:drawing>
            </w:r>
          </w:p>
          <w:p w14:paraId="4624017B">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C）计算出室外靠近围护结构的声压级：</w:t>
            </w:r>
          </w:p>
          <w:p w14:paraId="6123E2EF">
            <w:pPr>
              <w:bidi w:val="0"/>
              <w:ind w:left="0" w:leftChars="0" w:firstLine="0" w:firstLineChars="0"/>
              <w:jc w:val="center"/>
              <w:rPr>
                <w:rFonts w:hint="default" w:ascii="Times New Roman" w:hAnsi="Times New Roman" w:cs="Times New Roman"/>
                <w:b w:val="0"/>
                <w:bCs w:val="0"/>
                <w:color w:val="auto"/>
                <w:highlight w:val="none"/>
              </w:rPr>
            </w:pPr>
            <w:r>
              <w:rPr>
                <w:rFonts w:hint="default" w:ascii="Times New Roman" w:hAnsi="Times New Roman" w:cs="Times New Roman"/>
                <w:color w:val="auto"/>
                <w:highlight w:val="none"/>
              </w:rPr>
              <w:drawing>
                <wp:inline distT="0" distB="0" distL="114300" distR="114300">
                  <wp:extent cx="1835785" cy="427990"/>
                  <wp:effectExtent l="0" t="0" r="5715" b="3810"/>
                  <wp:docPr id="14"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1"/>
                          <pic:cNvPicPr>
                            <a:picLocks noChangeAspect="1"/>
                          </pic:cNvPicPr>
                        </pic:nvPicPr>
                        <pic:blipFill>
                          <a:blip r:embed="rId35"/>
                          <a:stretch>
                            <a:fillRect/>
                          </a:stretch>
                        </pic:blipFill>
                        <pic:spPr>
                          <a:xfrm>
                            <a:off x="0" y="0"/>
                            <a:ext cx="1835785" cy="427990"/>
                          </a:xfrm>
                          <a:prstGeom prst="rect">
                            <a:avLst/>
                          </a:prstGeom>
                          <a:noFill/>
                          <a:ln>
                            <a:noFill/>
                          </a:ln>
                        </pic:spPr>
                      </pic:pic>
                    </a:graphicData>
                  </a:graphic>
                </wp:inline>
              </w:drawing>
            </w:r>
          </w:p>
          <w:p w14:paraId="48699D89">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式中：L</w:t>
            </w:r>
            <w:r>
              <w:rPr>
                <w:rFonts w:hint="default" w:ascii="Times New Roman" w:hAnsi="Times New Roman" w:eastAsia="宋体" w:cs="Times New Roman"/>
                <w:color w:val="auto"/>
                <w:kern w:val="0"/>
                <w:sz w:val="15"/>
                <w:szCs w:val="15"/>
                <w:highlight w:val="none"/>
                <w:lang w:val="en-US" w:eastAsia="zh-CN" w:bidi="ar"/>
              </w:rPr>
              <w:t>p2i</w:t>
            </w:r>
            <w:r>
              <w:rPr>
                <w:rFonts w:hint="default" w:ascii="Times New Roman" w:hAnsi="Times New Roman" w:eastAsia="宋体" w:cs="Times New Roman"/>
                <w:color w:val="auto"/>
                <w:kern w:val="0"/>
                <w:sz w:val="24"/>
                <w:szCs w:val="24"/>
                <w:highlight w:val="none"/>
                <w:lang w:val="en-US" w:eastAsia="zh-CN" w:bidi="ar"/>
              </w:rPr>
              <w:t>（T）——靠近围护结构处室外N个声源i倍频带的叠加声压级，dB；</w:t>
            </w:r>
          </w:p>
          <w:p w14:paraId="38849668">
            <w:pPr>
              <w:keepNext w:val="0"/>
              <w:keepLines w:val="0"/>
              <w:widowControl/>
              <w:suppressLineNumbers w:val="0"/>
              <w:ind w:firstLine="1200" w:firstLineChars="50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TL</w:t>
            </w:r>
            <w:r>
              <w:rPr>
                <w:rFonts w:hint="default" w:ascii="Times New Roman" w:hAnsi="Times New Roman" w:eastAsia="宋体" w:cs="Times New Roman"/>
                <w:color w:val="auto"/>
                <w:kern w:val="0"/>
                <w:sz w:val="15"/>
                <w:szCs w:val="15"/>
                <w:highlight w:val="none"/>
                <w:lang w:val="en-US" w:eastAsia="zh-CN" w:bidi="ar"/>
              </w:rPr>
              <w:t>i</w:t>
            </w:r>
            <w:r>
              <w:rPr>
                <w:rFonts w:hint="default" w:ascii="Times New Roman" w:hAnsi="Times New Roman" w:eastAsia="宋体" w:cs="Times New Roman"/>
                <w:color w:val="auto"/>
                <w:kern w:val="0"/>
                <w:sz w:val="24"/>
                <w:szCs w:val="24"/>
                <w:highlight w:val="none"/>
                <w:lang w:val="en-US" w:eastAsia="zh-CN" w:bidi="ar"/>
              </w:rPr>
              <w:t>——围护结构i倍频带的隔声量，dB，本次评价TL=14dB。</w:t>
            </w:r>
          </w:p>
          <w:p w14:paraId="6D643C15">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D）室外声级和透声面积换算成等效室外声源，计算等效声源第i个倍频带声功率级L</w:t>
            </w:r>
            <w:r>
              <w:rPr>
                <w:rFonts w:hint="default" w:ascii="Times New Roman" w:hAnsi="Times New Roman" w:eastAsia="宋体" w:cs="Times New Roman"/>
                <w:color w:val="auto"/>
                <w:kern w:val="0"/>
                <w:sz w:val="24"/>
                <w:szCs w:val="24"/>
                <w:highlight w:val="none"/>
                <w:vertAlign w:val="subscript"/>
                <w:lang w:val="en-US" w:eastAsia="zh-CN" w:bidi="ar"/>
              </w:rPr>
              <w:t>w</w:t>
            </w:r>
            <w:r>
              <w:rPr>
                <w:rFonts w:hint="default" w:ascii="Times New Roman" w:hAnsi="Times New Roman" w:eastAsia="宋体" w:cs="Times New Roman"/>
                <w:color w:val="auto"/>
                <w:kern w:val="0"/>
                <w:sz w:val="24"/>
                <w:szCs w:val="24"/>
                <w:highlight w:val="none"/>
                <w:lang w:val="en-US" w:eastAsia="zh-CN" w:bidi="ar"/>
              </w:rPr>
              <w:t>：</w:t>
            </w:r>
          </w:p>
          <w:p w14:paraId="24E1BD6B">
            <w:pPr>
              <w:keepNext w:val="0"/>
              <w:keepLines w:val="0"/>
              <w:widowControl/>
              <w:suppressLineNumbers w:val="0"/>
              <w:ind w:left="0" w:leftChars="0" w:firstLine="0" w:firstLineChars="0"/>
              <w:jc w:val="center"/>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L</w:t>
            </w:r>
            <w:r>
              <w:rPr>
                <w:rFonts w:hint="default" w:ascii="Times New Roman" w:hAnsi="Times New Roman" w:eastAsia="宋体" w:cs="Times New Roman"/>
                <w:color w:val="auto"/>
                <w:kern w:val="0"/>
                <w:sz w:val="24"/>
                <w:szCs w:val="24"/>
                <w:highlight w:val="none"/>
                <w:vertAlign w:val="subscript"/>
                <w:lang w:val="en-US" w:eastAsia="zh-CN" w:bidi="ar"/>
              </w:rPr>
              <w:t>w</w:t>
            </w:r>
            <w:r>
              <w:rPr>
                <w:rFonts w:hint="default" w:ascii="Times New Roman" w:hAnsi="Times New Roman" w:eastAsia="宋体" w:cs="Times New Roman"/>
                <w:color w:val="auto"/>
                <w:kern w:val="0"/>
                <w:sz w:val="24"/>
                <w:szCs w:val="24"/>
                <w:highlight w:val="none"/>
                <w:lang w:val="en-US" w:eastAsia="zh-CN" w:bidi="ar"/>
              </w:rPr>
              <w:t>=L</w:t>
            </w:r>
            <w:r>
              <w:rPr>
                <w:rFonts w:hint="default" w:ascii="Times New Roman" w:hAnsi="Times New Roman" w:eastAsia="宋体" w:cs="Times New Roman"/>
                <w:color w:val="auto"/>
                <w:kern w:val="0"/>
                <w:sz w:val="15"/>
                <w:szCs w:val="15"/>
                <w:highlight w:val="none"/>
                <w:lang w:val="en-US" w:eastAsia="zh-CN" w:bidi="ar"/>
              </w:rPr>
              <w:t>p2</w:t>
            </w:r>
            <w:r>
              <w:rPr>
                <w:rFonts w:hint="eastAsia" w:cs="Times New Roman"/>
                <w:color w:val="auto"/>
                <w:kern w:val="0"/>
                <w:sz w:val="15"/>
                <w:szCs w:val="15"/>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T</w:t>
            </w:r>
            <w:r>
              <w:rPr>
                <w:rFonts w:hint="eastAsia"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+10lgS</w:t>
            </w:r>
          </w:p>
          <w:p w14:paraId="07861E20">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式中：S——透声面积，m</w:t>
            </w:r>
            <w:r>
              <w:rPr>
                <w:rFonts w:hint="default" w:ascii="Times New Roman" w:hAnsi="Times New Roman" w:cs="Times New Roman"/>
                <w:color w:val="auto"/>
                <w:highlight w:val="none"/>
                <w:vertAlign w:val="superscript"/>
                <w:lang w:val="en-US" w:eastAsia="zh-CN"/>
              </w:rPr>
              <w:t>2</w:t>
            </w:r>
            <w:r>
              <w:rPr>
                <w:rFonts w:hint="default" w:ascii="Times New Roman" w:hAnsi="Times New Roman" w:eastAsia="宋体" w:cs="Times New Roman"/>
                <w:color w:val="auto"/>
                <w:kern w:val="0"/>
                <w:sz w:val="24"/>
                <w:szCs w:val="24"/>
                <w:highlight w:val="none"/>
                <w:lang w:val="en-US" w:eastAsia="zh-CN" w:bidi="ar"/>
              </w:rPr>
              <w:t>，本次评价S取32m</w:t>
            </w:r>
            <w:r>
              <w:rPr>
                <w:rFonts w:hint="default" w:ascii="Times New Roman" w:hAnsi="Times New Roman" w:cs="Times New Roman"/>
                <w:color w:val="auto"/>
                <w:highlight w:val="none"/>
                <w:vertAlign w:val="superscript"/>
                <w:lang w:val="en-US" w:eastAsia="zh-CN"/>
              </w:rPr>
              <w:t>2</w:t>
            </w:r>
            <w:r>
              <w:rPr>
                <w:rFonts w:hint="default" w:ascii="Times New Roman" w:hAnsi="Times New Roman" w:eastAsia="宋体" w:cs="Times New Roman"/>
                <w:color w:val="auto"/>
                <w:kern w:val="0"/>
                <w:sz w:val="24"/>
                <w:szCs w:val="24"/>
                <w:highlight w:val="none"/>
                <w:lang w:val="en-US" w:eastAsia="zh-CN" w:bidi="ar"/>
              </w:rPr>
              <w:t>。</w:t>
            </w:r>
          </w:p>
          <w:p w14:paraId="7E87F53E">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E）按室外声源预测方法计算预测点处的A声级。室外声源处于半自由声场情况下，且声源可看作是位于地面上的，则：</w:t>
            </w:r>
          </w:p>
          <w:p w14:paraId="281B373F">
            <w:pPr>
              <w:keepNext w:val="0"/>
              <w:keepLines w:val="0"/>
              <w:widowControl/>
              <w:suppressLineNumbers w:val="0"/>
              <w:ind w:left="0" w:leftChars="0" w:firstLine="0" w:firstLineChars="0"/>
              <w:jc w:val="center"/>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L</w:t>
            </w:r>
            <w:r>
              <w:rPr>
                <w:rFonts w:hint="default" w:ascii="Times New Roman" w:hAnsi="Times New Roman" w:eastAsia="宋体" w:cs="Times New Roman"/>
                <w:color w:val="auto"/>
                <w:kern w:val="0"/>
                <w:sz w:val="15"/>
                <w:szCs w:val="15"/>
                <w:highlight w:val="none"/>
                <w:lang w:val="en-US" w:eastAsia="zh-CN" w:bidi="ar"/>
              </w:rPr>
              <w:t>p</w:t>
            </w:r>
            <w:r>
              <w:rPr>
                <w:rFonts w:hint="default" w:ascii="Times New Roman" w:hAnsi="Times New Roman" w:eastAsia="宋体" w:cs="Times New Roman"/>
                <w:color w:val="auto"/>
                <w:kern w:val="0"/>
                <w:sz w:val="24"/>
                <w:szCs w:val="24"/>
                <w:highlight w:val="none"/>
                <w:lang w:val="en-US" w:eastAsia="zh-CN" w:bidi="ar"/>
              </w:rPr>
              <w:t>（r）=L</w:t>
            </w:r>
            <w:r>
              <w:rPr>
                <w:rFonts w:hint="default" w:ascii="Times New Roman" w:hAnsi="Times New Roman" w:eastAsia="宋体" w:cs="Times New Roman"/>
                <w:color w:val="auto"/>
                <w:kern w:val="0"/>
                <w:sz w:val="24"/>
                <w:szCs w:val="24"/>
                <w:highlight w:val="none"/>
                <w:vertAlign w:val="subscript"/>
                <w:lang w:val="en-US" w:eastAsia="zh-CN" w:bidi="ar"/>
              </w:rPr>
              <w:t>w</w:t>
            </w:r>
            <w:r>
              <w:rPr>
                <w:rFonts w:hint="default" w:ascii="Times New Roman" w:hAnsi="Times New Roman" w:eastAsia="宋体" w:cs="Times New Roman"/>
                <w:color w:val="auto"/>
                <w:kern w:val="0"/>
                <w:sz w:val="24"/>
                <w:szCs w:val="24"/>
                <w:highlight w:val="none"/>
                <w:lang w:val="en-US" w:eastAsia="zh-CN" w:bidi="ar"/>
              </w:rPr>
              <w:t>-20lg（r）-8</w:t>
            </w:r>
          </w:p>
          <w:p w14:paraId="519BE145">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式中：r——点声源到受声点的距离，m。</w:t>
            </w:r>
          </w:p>
          <w:p w14:paraId="1A209837">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3）声贡献值计算</w:t>
            </w:r>
          </w:p>
          <w:p w14:paraId="7C1F08B6">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设第i个室外声源在预测点产生的A声级为L</w:t>
            </w:r>
            <w:r>
              <w:rPr>
                <w:rFonts w:hint="default" w:ascii="Times New Roman" w:hAnsi="Times New Roman" w:eastAsia="宋体" w:cs="Times New Roman"/>
                <w:color w:val="auto"/>
                <w:kern w:val="0"/>
                <w:sz w:val="15"/>
                <w:szCs w:val="15"/>
                <w:highlight w:val="none"/>
                <w:lang w:val="en-US" w:eastAsia="zh-CN" w:bidi="ar"/>
              </w:rPr>
              <w:t>Ai</w:t>
            </w:r>
            <w:r>
              <w:rPr>
                <w:rFonts w:hint="default" w:ascii="Times New Roman" w:hAnsi="Times New Roman" w:eastAsia="宋体" w:cs="Times New Roman"/>
                <w:color w:val="auto"/>
                <w:kern w:val="0"/>
                <w:sz w:val="24"/>
                <w:szCs w:val="24"/>
                <w:highlight w:val="none"/>
                <w:lang w:val="en-US" w:eastAsia="zh-CN" w:bidi="ar"/>
              </w:rPr>
              <w:t>，在T时间内该声源工作时间为t</w:t>
            </w:r>
            <w:r>
              <w:rPr>
                <w:rFonts w:hint="default" w:ascii="Times New Roman" w:hAnsi="Times New Roman" w:eastAsia="宋体" w:cs="Times New Roman"/>
                <w:color w:val="auto"/>
                <w:kern w:val="0"/>
                <w:sz w:val="15"/>
                <w:szCs w:val="15"/>
                <w:highlight w:val="none"/>
                <w:lang w:val="en-US" w:eastAsia="zh-CN" w:bidi="ar"/>
              </w:rPr>
              <w:t>i</w:t>
            </w:r>
            <w:r>
              <w:rPr>
                <w:rFonts w:hint="default" w:ascii="Times New Roman" w:hAnsi="Times New Roman" w:eastAsia="宋体" w:cs="Times New Roman"/>
                <w:color w:val="auto"/>
                <w:kern w:val="0"/>
                <w:sz w:val="24"/>
                <w:szCs w:val="24"/>
                <w:highlight w:val="none"/>
                <w:lang w:val="en-US" w:eastAsia="zh-CN" w:bidi="ar"/>
              </w:rPr>
              <w:t>；第j个等效室外声源在预测点产生的A声级为L</w:t>
            </w:r>
            <w:r>
              <w:rPr>
                <w:rFonts w:hint="default" w:ascii="Times New Roman" w:hAnsi="Times New Roman" w:eastAsia="宋体" w:cs="Times New Roman"/>
                <w:color w:val="auto"/>
                <w:kern w:val="0"/>
                <w:sz w:val="15"/>
                <w:szCs w:val="15"/>
                <w:highlight w:val="none"/>
                <w:lang w:val="en-US" w:eastAsia="zh-CN" w:bidi="ar"/>
              </w:rPr>
              <w:t>Aj</w:t>
            </w:r>
            <w:r>
              <w:rPr>
                <w:rFonts w:hint="default" w:ascii="Times New Roman" w:hAnsi="Times New Roman" w:eastAsia="宋体" w:cs="Times New Roman"/>
                <w:color w:val="auto"/>
                <w:kern w:val="0"/>
                <w:sz w:val="24"/>
                <w:szCs w:val="24"/>
                <w:highlight w:val="none"/>
                <w:lang w:val="en-US" w:eastAsia="zh-CN" w:bidi="ar"/>
              </w:rPr>
              <w:t>，在T时间内该声源工作时间为t</w:t>
            </w:r>
            <w:r>
              <w:rPr>
                <w:rFonts w:hint="default" w:ascii="Times New Roman" w:hAnsi="Times New Roman" w:eastAsia="宋体" w:cs="Times New Roman"/>
                <w:color w:val="auto"/>
                <w:kern w:val="0"/>
                <w:sz w:val="15"/>
                <w:szCs w:val="15"/>
                <w:highlight w:val="none"/>
                <w:lang w:val="en-US" w:eastAsia="zh-CN" w:bidi="ar"/>
              </w:rPr>
              <w:t>j</w:t>
            </w:r>
            <w:r>
              <w:rPr>
                <w:rFonts w:hint="default" w:ascii="Times New Roman" w:hAnsi="Times New Roman" w:eastAsia="宋体" w:cs="Times New Roman"/>
                <w:color w:val="auto"/>
                <w:kern w:val="0"/>
                <w:sz w:val="24"/>
                <w:szCs w:val="24"/>
                <w:highlight w:val="none"/>
                <w:lang w:val="en-US" w:eastAsia="zh-CN" w:bidi="ar"/>
              </w:rPr>
              <w:t>，则拟建工程声源对预测点产生的贡献值（L</w:t>
            </w:r>
            <w:r>
              <w:rPr>
                <w:rFonts w:hint="default" w:ascii="Times New Roman" w:hAnsi="Times New Roman" w:eastAsia="宋体" w:cs="Times New Roman"/>
                <w:color w:val="auto"/>
                <w:kern w:val="0"/>
                <w:sz w:val="24"/>
                <w:szCs w:val="24"/>
                <w:highlight w:val="none"/>
                <w:vertAlign w:val="subscript"/>
                <w:lang w:val="en-US" w:eastAsia="zh-CN" w:bidi="ar"/>
              </w:rPr>
              <w:t>eqg</w:t>
            </w:r>
            <w:r>
              <w:rPr>
                <w:rFonts w:hint="default" w:ascii="Times New Roman" w:hAnsi="Times New Roman" w:eastAsia="宋体" w:cs="Times New Roman"/>
                <w:color w:val="auto"/>
                <w:kern w:val="0"/>
                <w:sz w:val="24"/>
                <w:szCs w:val="24"/>
                <w:highlight w:val="none"/>
                <w:lang w:val="en-US" w:eastAsia="zh-CN" w:bidi="ar"/>
              </w:rPr>
              <w:t>）为：</w:t>
            </w:r>
          </w:p>
          <w:p w14:paraId="575AF874">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drawing>
                <wp:inline distT="0" distB="0" distL="114300" distR="114300">
                  <wp:extent cx="2592070" cy="589280"/>
                  <wp:effectExtent l="0" t="0" r="11430" b="7620"/>
                  <wp:docPr id="15" name="图片 132" descr="QQ截图20140418145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32" descr="QQ截图20140418145329"/>
                          <pic:cNvPicPr>
                            <a:picLocks noChangeAspect="1"/>
                          </pic:cNvPicPr>
                        </pic:nvPicPr>
                        <pic:blipFill>
                          <a:blip r:embed="rId36"/>
                          <a:stretch>
                            <a:fillRect/>
                          </a:stretch>
                        </pic:blipFill>
                        <pic:spPr>
                          <a:xfrm>
                            <a:off x="0" y="0"/>
                            <a:ext cx="2592070" cy="589280"/>
                          </a:xfrm>
                          <a:prstGeom prst="rect">
                            <a:avLst/>
                          </a:prstGeom>
                          <a:noFill/>
                          <a:ln>
                            <a:noFill/>
                          </a:ln>
                        </pic:spPr>
                      </pic:pic>
                    </a:graphicData>
                  </a:graphic>
                </wp:inline>
              </w:drawing>
            </w:r>
          </w:p>
          <w:p w14:paraId="165BEB2C">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式中：</w:t>
            </w:r>
            <w:r>
              <w:rPr>
                <w:rFonts w:hint="default" w:ascii="Times New Roman" w:hAnsi="Times New Roman" w:eastAsia="宋体" w:cs="Times New Roman"/>
                <w:i w:val="0"/>
                <w:iCs w:val="0"/>
                <w:color w:val="auto"/>
                <w:kern w:val="0"/>
                <w:sz w:val="24"/>
                <w:szCs w:val="24"/>
                <w:highlight w:val="none"/>
                <w:lang w:val="en-US" w:eastAsia="zh-CN" w:bidi="ar"/>
              </w:rPr>
              <w:t>L</w:t>
            </w:r>
            <w:r>
              <w:rPr>
                <w:rFonts w:hint="default" w:ascii="Times New Roman" w:hAnsi="Times New Roman" w:eastAsia="宋体" w:cs="Times New Roman"/>
                <w:i w:val="0"/>
                <w:iCs w:val="0"/>
                <w:color w:val="auto"/>
                <w:kern w:val="0"/>
                <w:sz w:val="15"/>
                <w:szCs w:val="15"/>
                <w:highlight w:val="none"/>
                <w:lang w:val="en-US" w:eastAsia="zh-CN" w:bidi="ar"/>
              </w:rPr>
              <w:t>eqg</w:t>
            </w:r>
            <w:r>
              <w:rPr>
                <w:rFonts w:hint="default" w:ascii="Times New Roman" w:hAnsi="Times New Roman" w:eastAsia="宋体" w:cs="Times New Roman"/>
                <w:color w:val="auto"/>
                <w:kern w:val="0"/>
                <w:sz w:val="24"/>
                <w:szCs w:val="24"/>
                <w:highlight w:val="none"/>
                <w:lang w:val="en-US" w:eastAsia="zh-CN" w:bidi="ar"/>
              </w:rPr>
              <w:t>——建设项目声源在预测点的等效声级贡献值，dB（A）；</w:t>
            </w:r>
          </w:p>
          <w:p w14:paraId="384F17D6">
            <w:pPr>
              <w:pStyle w:val="87"/>
              <w:ind w:firstLine="1200" w:firstLineChars="50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L</w:t>
            </w:r>
            <w:r>
              <w:rPr>
                <w:rFonts w:hint="default" w:ascii="Times New Roman" w:hAnsi="Times New Roman" w:cs="Times New Roman"/>
                <w:color w:val="auto"/>
                <w:highlight w:val="none"/>
                <w:vertAlign w:val="subscript"/>
                <w:lang w:val="en-US" w:eastAsia="zh-CN"/>
              </w:rPr>
              <w:t>Aj</w:t>
            </w:r>
            <w:r>
              <w:rPr>
                <w:rFonts w:hint="default" w:ascii="Times New Roman" w:hAnsi="Times New Roman" w:cs="Times New Roman"/>
                <w:color w:val="auto"/>
                <w:highlight w:val="none"/>
              </w:rPr>
              <w:t>——</w:t>
            </w:r>
            <w:r>
              <w:rPr>
                <w:rFonts w:hint="default" w:ascii="Times New Roman" w:hAnsi="Times New Roman" w:cs="Times New Roman"/>
                <w:color w:val="auto"/>
                <w:highlight w:val="none"/>
                <w:vertAlign w:val="baseline"/>
                <w:lang w:val="en-US" w:eastAsia="zh-CN"/>
              </w:rPr>
              <w:t>室外i声源在预测点产生的A声级，dB（A）；</w:t>
            </w:r>
          </w:p>
          <w:p w14:paraId="4095F370">
            <w:pPr>
              <w:pStyle w:val="87"/>
              <w:ind w:firstLine="1200" w:firstLineChars="500"/>
              <w:rPr>
                <w:rFonts w:hint="default" w:ascii="Times New Roman" w:hAnsi="Times New Roman" w:cs="Times New Roman"/>
                <w:color w:val="auto"/>
                <w:highlight w:val="none"/>
              </w:rPr>
            </w:pPr>
            <w:r>
              <w:rPr>
                <w:rFonts w:hint="default" w:ascii="Times New Roman" w:hAnsi="Times New Roman" w:cs="Times New Roman"/>
                <w:color w:val="auto"/>
                <w:highlight w:val="none"/>
              </w:rPr>
              <w:t>tj——在T时间内j声源工作时间，s；</w:t>
            </w:r>
          </w:p>
          <w:p w14:paraId="619D5A9B">
            <w:pPr>
              <w:pStyle w:val="87"/>
              <w:ind w:firstLine="1200" w:firstLineChars="500"/>
              <w:rPr>
                <w:rFonts w:hint="default" w:ascii="Times New Roman" w:hAnsi="Times New Roman" w:cs="Times New Roman"/>
                <w:color w:val="auto"/>
                <w:highlight w:val="none"/>
              </w:rPr>
            </w:pPr>
            <w:r>
              <w:rPr>
                <w:rFonts w:hint="default" w:ascii="Times New Roman" w:hAnsi="Times New Roman" w:cs="Times New Roman"/>
                <w:color w:val="auto"/>
                <w:highlight w:val="none"/>
              </w:rPr>
              <w:t>ti——在T时间内i声源工作时间，s；</w:t>
            </w:r>
          </w:p>
          <w:p w14:paraId="749BD5A6">
            <w:pPr>
              <w:pStyle w:val="87"/>
              <w:ind w:firstLine="1200" w:firstLineChars="500"/>
              <w:rPr>
                <w:rFonts w:hint="default" w:ascii="Times New Roman" w:hAnsi="Times New Roman" w:cs="Times New Roman"/>
                <w:color w:val="auto"/>
                <w:highlight w:val="none"/>
              </w:rPr>
            </w:pPr>
            <w:r>
              <w:rPr>
                <w:rFonts w:hint="default" w:ascii="Times New Roman" w:hAnsi="Times New Roman" w:cs="Times New Roman"/>
                <w:color w:val="auto"/>
                <w:highlight w:val="none"/>
              </w:rPr>
              <w:t>T——用于计算等效声级的时间，s；</w:t>
            </w:r>
          </w:p>
          <w:p w14:paraId="28240B87">
            <w:pPr>
              <w:pStyle w:val="87"/>
              <w:ind w:firstLine="1200" w:firstLineChars="500"/>
              <w:rPr>
                <w:rFonts w:hint="default" w:ascii="Times New Roman" w:hAnsi="Times New Roman" w:cs="Times New Roman"/>
                <w:color w:val="auto"/>
                <w:highlight w:val="none"/>
              </w:rPr>
            </w:pPr>
            <w:r>
              <w:rPr>
                <w:rFonts w:hint="default" w:ascii="Times New Roman" w:hAnsi="Times New Roman" w:cs="Times New Roman"/>
                <w:color w:val="auto"/>
                <w:highlight w:val="none"/>
              </w:rPr>
              <w:t>N——室外声源个数；</w:t>
            </w:r>
          </w:p>
          <w:p w14:paraId="48B763BA">
            <w:pPr>
              <w:pStyle w:val="87"/>
              <w:ind w:firstLine="1200" w:firstLineChars="500"/>
              <w:rPr>
                <w:rFonts w:hint="default" w:ascii="Times New Roman" w:hAnsi="Times New Roman" w:cs="Times New Roman"/>
                <w:color w:val="auto"/>
                <w:highlight w:val="none"/>
              </w:rPr>
            </w:pPr>
            <w:r>
              <w:rPr>
                <w:rFonts w:hint="default" w:ascii="Times New Roman" w:hAnsi="Times New Roman" w:cs="Times New Roman"/>
                <w:color w:val="auto"/>
                <w:highlight w:val="none"/>
              </w:rPr>
              <w:t>M——等效室内外声源个数。</w:t>
            </w:r>
          </w:p>
          <w:p w14:paraId="25121420">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根据上述的预测方法和模式，在考虑采取设备噪声隔声、减振等措施的情况下，计算对</w:t>
            </w:r>
            <w:r>
              <w:rPr>
                <w:rFonts w:hint="eastAsia" w:ascii="Times New Roman" w:hAnsi="Times New Roman" w:eastAsia="宋体" w:cs="Times New Roman"/>
                <w:color w:val="auto"/>
                <w:kern w:val="0"/>
                <w:sz w:val="24"/>
                <w:szCs w:val="24"/>
                <w:highlight w:val="none"/>
                <w:lang w:val="en-US" w:eastAsia="zh-CN" w:bidi="ar"/>
              </w:rPr>
              <w:t>本项目</w:t>
            </w:r>
            <w:r>
              <w:rPr>
                <w:rFonts w:hint="default" w:ascii="Times New Roman" w:hAnsi="Times New Roman" w:eastAsia="宋体" w:cs="Times New Roman"/>
                <w:color w:val="auto"/>
                <w:kern w:val="0"/>
                <w:sz w:val="24"/>
                <w:szCs w:val="24"/>
                <w:highlight w:val="none"/>
                <w:lang w:val="en-US" w:eastAsia="zh-CN" w:bidi="ar"/>
              </w:rPr>
              <w:t>厂房边界噪声贡献值情况，结果见下表。</w:t>
            </w:r>
          </w:p>
          <w:p w14:paraId="33DA6BA8">
            <w:pPr>
              <w:pStyle w:val="5"/>
              <w:tabs>
                <w:tab w:val="left" w:pos="1284"/>
              </w:tabs>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表4-</w:t>
            </w:r>
            <w:r>
              <w:rPr>
                <w:rFonts w:hint="default" w:ascii="Times New Roman" w:hAnsi="Times New Roman" w:cs="Times New Roman"/>
                <w:color w:val="auto"/>
                <w:highlight w:val="none"/>
                <w:lang w:val="en-US" w:eastAsia="zh-CN"/>
              </w:rPr>
              <w:t>1</w:t>
            </w:r>
            <w:r>
              <w:rPr>
                <w:rFonts w:hint="eastAsia" w:cs="Times New Roman"/>
                <w:color w:val="auto"/>
                <w:highlight w:val="none"/>
                <w:lang w:val="en-US" w:eastAsia="zh-CN"/>
              </w:rPr>
              <w:t>4</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项目厂房边界环境噪声预测结果表 </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单位：dB（A）</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8"/>
              <w:gridCol w:w="2059"/>
              <w:gridCol w:w="1738"/>
              <w:gridCol w:w="1683"/>
              <w:gridCol w:w="1405"/>
            </w:tblGrid>
            <w:tr w14:paraId="18E9D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932" w:type="pct"/>
                  <w:noWrap w:val="0"/>
                  <w:vAlign w:val="center"/>
                </w:tcPr>
                <w:p w14:paraId="7DB4AAC3">
                  <w:pPr>
                    <w:pStyle w:val="10"/>
                    <w:bidi w:val="0"/>
                    <w:ind w:right="0" w:rightChars="0" w:firstLine="0" w:firstLineChars="0"/>
                    <w:rPr>
                      <w:rFonts w:hint="default" w:ascii="Times New Roman" w:hAnsi="Times New Roman" w:eastAsia="宋体" w:cs="Times New Roman"/>
                      <w:b/>
                      <w:bCs/>
                      <w:color w:val="auto"/>
                      <w:kern w:val="0"/>
                      <w:sz w:val="21"/>
                      <w:szCs w:val="20"/>
                      <w:highlight w:val="none"/>
                      <w:lang w:val="en-US" w:eastAsia="zh-CN" w:bidi="ar-SA"/>
                    </w:rPr>
                  </w:pPr>
                  <w:r>
                    <w:rPr>
                      <w:rFonts w:hint="default" w:ascii="Times New Roman" w:hAnsi="Times New Roman" w:cs="Times New Roman"/>
                      <w:b/>
                      <w:bCs/>
                      <w:color w:val="auto"/>
                      <w:highlight w:val="none"/>
                      <w:lang w:eastAsia="zh-CN"/>
                    </w:rPr>
                    <w:t>类别</w:t>
                  </w:r>
                </w:p>
              </w:tc>
              <w:tc>
                <w:tcPr>
                  <w:tcW w:w="1216" w:type="pct"/>
                  <w:noWrap w:val="0"/>
                  <w:vAlign w:val="center"/>
                </w:tcPr>
                <w:p w14:paraId="6909D513">
                  <w:pPr>
                    <w:pStyle w:val="10"/>
                    <w:bidi w:val="0"/>
                    <w:ind w:right="0" w:rightChars="0" w:firstLine="0" w:firstLineChars="0"/>
                    <w:rPr>
                      <w:rFonts w:hint="default" w:ascii="Times New Roman" w:hAnsi="Times New Roman" w:eastAsia="宋体" w:cs="Times New Roman"/>
                      <w:b/>
                      <w:bCs/>
                      <w:color w:val="auto"/>
                      <w:kern w:val="0"/>
                      <w:sz w:val="21"/>
                      <w:szCs w:val="20"/>
                      <w:highlight w:val="none"/>
                      <w:lang w:val="en-US" w:eastAsia="zh-CN" w:bidi="ar-SA"/>
                    </w:rPr>
                  </w:pPr>
                  <w:r>
                    <w:rPr>
                      <w:rFonts w:hint="default" w:ascii="Times New Roman" w:hAnsi="Times New Roman" w:cs="Times New Roman"/>
                      <w:b/>
                      <w:bCs/>
                      <w:color w:val="auto"/>
                      <w:highlight w:val="none"/>
                    </w:rPr>
                    <w:t>预测点</w:t>
                  </w:r>
                </w:p>
              </w:tc>
              <w:tc>
                <w:tcPr>
                  <w:tcW w:w="1026" w:type="pct"/>
                  <w:noWrap w:val="0"/>
                  <w:vAlign w:val="center"/>
                </w:tcPr>
                <w:p w14:paraId="0A81BE9B">
                  <w:pPr>
                    <w:pStyle w:val="10"/>
                    <w:bidi w:val="0"/>
                    <w:ind w:right="0" w:rightChars="0" w:firstLine="0" w:firstLineChars="0"/>
                    <w:rPr>
                      <w:rFonts w:hint="default" w:ascii="Times New Roman" w:hAnsi="Times New Roman" w:eastAsia="宋体" w:cs="Times New Roman"/>
                      <w:b/>
                      <w:bCs/>
                      <w:color w:val="auto"/>
                      <w:kern w:val="0"/>
                      <w:sz w:val="21"/>
                      <w:szCs w:val="20"/>
                      <w:highlight w:val="none"/>
                      <w:lang w:val="en-US" w:eastAsia="zh-CN" w:bidi="ar-SA"/>
                    </w:rPr>
                  </w:pPr>
                  <w:r>
                    <w:rPr>
                      <w:rFonts w:hint="default" w:ascii="Times New Roman" w:hAnsi="Times New Roman" w:cs="Times New Roman"/>
                      <w:b/>
                      <w:bCs/>
                      <w:color w:val="auto"/>
                      <w:highlight w:val="none"/>
                    </w:rPr>
                    <w:t>贡献值</w:t>
                  </w:r>
                </w:p>
              </w:tc>
              <w:tc>
                <w:tcPr>
                  <w:tcW w:w="994" w:type="pct"/>
                  <w:noWrap w:val="0"/>
                  <w:vAlign w:val="center"/>
                </w:tcPr>
                <w:p w14:paraId="51675192">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cs="Times New Roman"/>
                      <w:b/>
                      <w:bCs/>
                      <w:color w:val="auto"/>
                      <w:highlight w:val="none"/>
                      <w:lang w:eastAsia="zh-CN"/>
                    </w:rPr>
                    <w:t>评价标准</w:t>
                  </w:r>
                </w:p>
              </w:tc>
              <w:tc>
                <w:tcPr>
                  <w:tcW w:w="829" w:type="pct"/>
                  <w:noWrap w:val="0"/>
                  <w:vAlign w:val="center"/>
                </w:tcPr>
                <w:p w14:paraId="03E61E5B">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cs="Times New Roman"/>
                      <w:b/>
                      <w:bCs/>
                      <w:color w:val="auto"/>
                      <w:highlight w:val="none"/>
                    </w:rPr>
                    <w:t>达标情况</w:t>
                  </w:r>
                </w:p>
              </w:tc>
            </w:tr>
            <w:tr w14:paraId="72C9D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2" w:type="pct"/>
                  <w:vMerge w:val="restart"/>
                  <w:noWrap w:val="0"/>
                  <w:vAlign w:val="center"/>
                </w:tcPr>
                <w:p w14:paraId="4175BE25">
                  <w:pPr>
                    <w:pStyle w:val="10"/>
                    <w:bidi w:val="0"/>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eastAsia="zh-CN"/>
                    </w:rPr>
                    <w:t>厂界</w:t>
                  </w:r>
                </w:p>
              </w:tc>
              <w:tc>
                <w:tcPr>
                  <w:tcW w:w="1216" w:type="pct"/>
                  <w:noWrap w:val="0"/>
                  <w:vAlign w:val="center"/>
                </w:tcPr>
                <w:p w14:paraId="2BAB7774">
                  <w:pPr>
                    <w:pStyle w:val="10"/>
                    <w:bidi w:val="0"/>
                    <w:ind w:right="0" w:rightChars="0" w:firstLine="0" w:firstLineChars="0"/>
                    <w:rPr>
                      <w:rFonts w:hint="default" w:ascii="Times New Roman" w:hAnsi="Times New Roman" w:cs="Times New Roman"/>
                      <w:color w:val="auto"/>
                      <w:highlight w:val="none"/>
                    </w:rPr>
                  </w:pPr>
                  <w:r>
                    <w:rPr>
                      <w:rFonts w:hint="default" w:ascii="Times New Roman" w:hAnsi="Times New Roman" w:cs="Times New Roman"/>
                      <w:color w:val="auto"/>
                      <w:highlight w:val="none"/>
                    </w:rPr>
                    <w:t>东厂界</w:t>
                  </w:r>
                </w:p>
              </w:tc>
              <w:tc>
                <w:tcPr>
                  <w:tcW w:w="1026" w:type="pct"/>
                  <w:noWrap w:val="0"/>
                  <w:vAlign w:val="center"/>
                </w:tcPr>
                <w:p w14:paraId="5AC05184">
                  <w:pPr>
                    <w:pStyle w:val="1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eastAsia" w:cs="Times New Roman"/>
                      <w:color w:val="auto"/>
                      <w:highlight w:val="none"/>
                      <w:lang w:val="en-US" w:eastAsia="zh-CN"/>
                    </w:rPr>
                    <w:t>55.2</w:t>
                  </w:r>
                </w:p>
              </w:tc>
              <w:tc>
                <w:tcPr>
                  <w:tcW w:w="994" w:type="pct"/>
                  <w:vMerge w:val="restart"/>
                  <w:noWrap w:val="0"/>
                  <w:vAlign w:val="center"/>
                </w:tcPr>
                <w:p w14:paraId="4E26F63D">
                  <w:pPr>
                    <w:pStyle w:val="10"/>
                    <w:bidi w:val="0"/>
                    <w:rPr>
                      <w:rFonts w:hint="default" w:ascii="Times New Roman" w:hAnsi="Times New Roman" w:cs="Times New Roman"/>
                      <w:color w:val="auto"/>
                      <w:highlight w:val="none"/>
                      <w:lang w:val="en-US"/>
                    </w:rPr>
                  </w:pPr>
                  <w:r>
                    <w:rPr>
                      <w:rFonts w:hint="default" w:ascii="Times New Roman" w:hAnsi="Times New Roman" w:cs="Times New Roman"/>
                      <w:color w:val="auto"/>
                      <w:highlight w:val="none"/>
                      <w:lang w:eastAsia="zh-CN"/>
                    </w:rPr>
                    <w:t>昼间：</w:t>
                  </w:r>
                  <w:r>
                    <w:rPr>
                      <w:rFonts w:hint="eastAsia" w:cs="Times New Roman"/>
                      <w:color w:val="auto"/>
                      <w:highlight w:val="none"/>
                      <w:lang w:val="en-US" w:eastAsia="zh-CN"/>
                    </w:rPr>
                    <w:t>65</w:t>
                  </w:r>
                </w:p>
              </w:tc>
              <w:tc>
                <w:tcPr>
                  <w:tcW w:w="829" w:type="pct"/>
                  <w:noWrap w:val="0"/>
                  <w:vAlign w:val="center"/>
                </w:tcPr>
                <w:p w14:paraId="5F5D3DDA">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达标</w:t>
                  </w:r>
                </w:p>
              </w:tc>
            </w:tr>
            <w:tr w14:paraId="119EB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2" w:type="pct"/>
                  <w:vMerge w:val="continue"/>
                  <w:noWrap w:val="0"/>
                  <w:vAlign w:val="center"/>
                </w:tcPr>
                <w:p w14:paraId="0BCDCA79">
                  <w:pPr>
                    <w:pStyle w:val="10"/>
                    <w:bidi w:val="0"/>
                    <w:rPr>
                      <w:rFonts w:hint="default" w:ascii="Times New Roman" w:hAnsi="Times New Roman" w:cs="Times New Roman"/>
                      <w:color w:val="auto"/>
                      <w:highlight w:val="none"/>
                    </w:rPr>
                  </w:pPr>
                </w:p>
              </w:tc>
              <w:tc>
                <w:tcPr>
                  <w:tcW w:w="1216" w:type="pct"/>
                  <w:noWrap w:val="0"/>
                  <w:vAlign w:val="center"/>
                </w:tcPr>
                <w:p w14:paraId="12E72080">
                  <w:pPr>
                    <w:pStyle w:val="10"/>
                    <w:bidi w:val="0"/>
                    <w:ind w:right="0" w:rightChars="0" w:firstLine="0" w:firstLineChars="0"/>
                    <w:rPr>
                      <w:rFonts w:hint="default" w:ascii="Times New Roman" w:hAnsi="Times New Roman" w:cs="Times New Roman"/>
                      <w:color w:val="auto"/>
                      <w:highlight w:val="none"/>
                    </w:rPr>
                  </w:pPr>
                  <w:r>
                    <w:rPr>
                      <w:rFonts w:hint="default" w:ascii="Times New Roman" w:hAnsi="Times New Roman" w:cs="Times New Roman"/>
                      <w:color w:val="auto"/>
                      <w:highlight w:val="none"/>
                    </w:rPr>
                    <w:t>南厂界</w:t>
                  </w:r>
                </w:p>
              </w:tc>
              <w:tc>
                <w:tcPr>
                  <w:tcW w:w="1026" w:type="pct"/>
                  <w:noWrap w:val="0"/>
                  <w:vAlign w:val="center"/>
                </w:tcPr>
                <w:p w14:paraId="7880A87E">
                  <w:pPr>
                    <w:pStyle w:val="1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cs="Times New Roman"/>
                      <w:color w:val="auto"/>
                      <w:highlight w:val="none"/>
                      <w:lang w:val="en-US" w:eastAsia="zh-CN"/>
                    </w:rPr>
                    <w:t>5</w:t>
                  </w:r>
                  <w:r>
                    <w:rPr>
                      <w:rFonts w:hint="eastAsia" w:cs="Times New Roman"/>
                      <w:color w:val="auto"/>
                      <w:highlight w:val="none"/>
                      <w:lang w:val="en-US" w:eastAsia="zh-CN"/>
                    </w:rPr>
                    <w:t>3.4</w:t>
                  </w:r>
                </w:p>
              </w:tc>
              <w:tc>
                <w:tcPr>
                  <w:tcW w:w="994" w:type="pct"/>
                  <w:vMerge w:val="continue"/>
                  <w:noWrap w:val="0"/>
                  <w:vAlign w:val="center"/>
                </w:tcPr>
                <w:p w14:paraId="31416104">
                  <w:pPr>
                    <w:pStyle w:val="10"/>
                    <w:bidi w:val="0"/>
                    <w:rPr>
                      <w:rFonts w:hint="default" w:ascii="Times New Roman" w:hAnsi="Times New Roman" w:cs="Times New Roman"/>
                      <w:color w:val="auto"/>
                      <w:highlight w:val="none"/>
                    </w:rPr>
                  </w:pPr>
                </w:p>
              </w:tc>
              <w:tc>
                <w:tcPr>
                  <w:tcW w:w="829" w:type="pct"/>
                  <w:noWrap w:val="0"/>
                  <w:vAlign w:val="center"/>
                </w:tcPr>
                <w:p w14:paraId="58C986C1">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达标</w:t>
                  </w:r>
                </w:p>
              </w:tc>
            </w:tr>
            <w:tr w14:paraId="201DF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932" w:type="pct"/>
                  <w:vMerge w:val="continue"/>
                  <w:noWrap w:val="0"/>
                  <w:vAlign w:val="center"/>
                </w:tcPr>
                <w:p w14:paraId="0F6C7CB3">
                  <w:pPr>
                    <w:pStyle w:val="10"/>
                    <w:bidi w:val="0"/>
                    <w:rPr>
                      <w:rFonts w:hint="default" w:ascii="Times New Roman" w:hAnsi="Times New Roman" w:cs="Times New Roman"/>
                      <w:color w:val="auto"/>
                      <w:highlight w:val="none"/>
                    </w:rPr>
                  </w:pPr>
                </w:p>
              </w:tc>
              <w:tc>
                <w:tcPr>
                  <w:tcW w:w="1216" w:type="pct"/>
                  <w:noWrap w:val="0"/>
                  <w:vAlign w:val="center"/>
                </w:tcPr>
                <w:p w14:paraId="2E223B2B">
                  <w:pPr>
                    <w:pStyle w:val="10"/>
                    <w:bidi w:val="0"/>
                    <w:ind w:right="0" w:rightChars="0" w:firstLine="0" w:firstLineChars="0"/>
                    <w:rPr>
                      <w:rFonts w:hint="default" w:ascii="Times New Roman" w:hAnsi="Times New Roman" w:cs="Times New Roman"/>
                      <w:color w:val="auto"/>
                      <w:highlight w:val="none"/>
                    </w:rPr>
                  </w:pPr>
                  <w:r>
                    <w:rPr>
                      <w:rFonts w:hint="default" w:ascii="Times New Roman" w:hAnsi="Times New Roman" w:cs="Times New Roman"/>
                      <w:color w:val="auto"/>
                      <w:highlight w:val="none"/>
                    </w:rPr>
                    <w:t>西厂界</w:t>
                  </w:r>
                </w:p>
              </w:tc>
              <w:tc>
                <w:tcPr>
                  <w:tcW w:w="1026" w:type="pct"/>
                  <w:noWrap w:val="0"/>
                  <w:vAlign w:val="center"/>
                </w:tcPr>
                <w:p w14:paraId="77D5CBA1">
                  <w:pPr>
                    <w:pStyle w:val="1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cs="Times New Roman"/>
                      <w:color w:val="auto"/>
                      <w:highlight w:val="none"/>
                      <w:lang w:val="en-US" w:eastAsia="zh-CN"/>
                    </w:rPr>
                    <w:t>5</w:t>
                  </w:r>
                  <w:r>
                    <w:rPr>
                      <w:rFonts w:hint="eastAsia" w:cs="Times New Roman"/>
                      <w:color w:val="auto"/>
                      <w:highlight w:val="none"/>
                      <w:lang w:val="en-US" w:eastAsia="zh-CN"/>
                    </w:rPr>
                    <w:t>1.9</w:t>
                  </w:r>
                </w:p>
              </w:tc>
              <w:tc>
                <w:tcPr>
                  <w:tcW w:w="994" w:type="pct"/>
                  <w:vMerge w:val="continue"/>
                  <w:noWrap w:val="0"/>
                  <w:vAlign w:val="center"/>
                </w:tcPr>
                <w:p w14:paraId="5F835D78">
                  <w:pPr>
                    <w:pStyle w:val="10"/>
                    <w:bidi w:val="0"/>
                    <w:rPr>
                      <w:rFonts w:hint="default" w:ascii="Times New Roman" w:hAnsi="Times New Roman" w:cs="Times New Roman"/>
                      <w:color w:val="auto"/>
                      <w:highlight w:val="none"/>
                    </w:rPr>
                  </w:pPr>
                </w:p>
              </w:tc>
              <w:tc>
                <w:tcPr>
                  <w:tcW w:w="829" w:type="pct"/>
                  <w:noWrap w:val="0"/>
                  <w:vAlign w:val="center"/>
                </w:tcPr>
                <w:p w14:paraId="60798824">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达标</w:t>
                  </w:r>
                </w:p>
              </w:tc>
            </w:tr>
            <w:tr w14:paraId="49998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2" w:type="pct"/>
                  <w:vMerge w:val="continue"/>
                  <w:noWrap w:val="0"/>
                  <w:vAlign w:val="center"/>
                </w:tcPr>
                <w:p w14:paraId="36E39FE2">
                  <w:pPr>
                    <w:pStyle w:val="10"/>
                    <w:bidi w:val="0"/>
                    <w:rPr>
                      <w:rFonts w:hint="default" w:ascii="Times New Roman" w:hAnsi="Times New Roman" w:cs="Times New Roman"/>
                      <w:color w:val="auto"/>
                      <w:highlight w:val="none"/>
                    </w:rPr>
                  </w:pPr>
                </w:p>
              </w:tc>
              <w:tc>
                <w:tcPr>
                  <w:tcW w:w="1216" w:type="pct"/>
                  <w:noWrap w:val="0"/>
                  <w:vAlign w:val="center"/>
                </w:tcPr>
                <w:p w14:paraId="5E3E11DD">
                  <w:pPr>
                    <w:pStyle w:val="10"/>
                    <w:bidi w:val="0"/>
                    <w:ind w:right="0" w:rightChars="0" w:firstLine="0" w:firstLineChars="0"/>
                    <w:rPr>
                      <w:rFonts w:hint="default" w:ascii="Times New Roman" w:hAnsi="Times New Roman" w:cs="Times New Roman"/>
                      <w:color w:val="auto"/>
                      <w:highlight w:val="none"/>
                    </w:rPr>
                  </w:pPr>
                  <w:r>
                    <w:rPr>
                      <w:rFonts w:hint="default" w:ascii="Times New Roman" w:hAnsi="Times New Roman" w:cs="Times New Roman"/>
                      <w:color w:val="auto"/>
                      <w:highlight w:val="none"/>
                    </w:rPr>
                    <w:t>北厂界</w:t>
                  </w:r>
                </w:p>
              </w:tc>
              <w:tc>
                <w:tcPr>
                  <w:tcW w:w="1026" w:type="pct"/>
                  <w:noWrap w:val="0"/>
                  <w:vAlign w:val="center"/>
                </w:tcPr>
                <w:p w14:paraId="6B33337E">
                  <w:pPr>
                    <w:pStyle w:val="1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cs="Times New Roman"/>
                      <w:color w:val="auto"/>
                      <w:highlight w:val="none"/>
                    </w:rPr>
                    <w:t>5</w:t>
                  </w:r>
                  <w:r>
                    <w:rPr>
                      <w:rFonts w:hint="eastAsia" w:cs="Times New Roman"/>
                      <w:color w:val="auto"/>
                      <w:highlight w:val="none"/>
                      <w:lang w:val="en-US" w:eastAsia="zh-CN"/>
                    </w:rPr>
                    <w:t>1.2</w:t>
                  </w:r>
                </w:p>
              </w:tc>
              <w:tc>
                <w:tcPr>
                  <w:tcW w:w="994" w:type="pct"/>
                  <w:vMerge w:val="continue"/>
                  <w:noWrap w:val="0"/>
                  <w:vAlign w:val="center"/>
                </w:tcPr>
                <w:p w14:paraId="49AE1854">
                  <w:pPr>
                    <w:pStyle w:val="10"/>
                    <w:bidi w:val="0"/>
                    <w:rPr>
                      <w:rFonts w:hint="default" w:ascii="Times New Roman" w:hAnsi="Times New Roman" w:cs="Times New Roman"/>
                      <w:color w:val="auto"/>
                      <w:highlight w:val="none"/>
                    </w:rPr>
                  </w:pPr>
                </w:p>
              </w:tc>
              <w:tc>
                <w:tcPr>
                  <w:tcW w:w="829" w:type="pct"/>
                  <w:noWrap w:val="0"/>
                  <w:vAlign w:val="center"/>
                </w:tcPr>
                <w:p w14:paraId="43B47FE8">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达标</w:t>
                  </w:r>
                </w:p>
              </w:tc>
            </w:tr>
          </w:tbl>
          <w:p w14:paraId="262D5F24">
            <w:pPr>
              <w:pStyle w:val="87"/>
              <w:rPr>
                <w:rFonts w:hint="eastAsia"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t>根据预测结果，经</w:t>
            </w:r>
            <w:r>
              <w:rPr>
                <w:rFonts w:hint="default" w:ascii="Times New Roman" w:hAnsi="Times New Roman" w:cs="Times New Roman"/>
                <w:color w:val="auto"/>
                <w:highlight w:val="none"/>
                <w:lang w:val="en-US" w:eastAsia="zh-CN"/>
              </w:rPr>
              <w:t>选用低噪声设备、减振隔声和</w:t>
            </w:r>
            <w:r>
              <w:rPr>
                <w:rFonts w:hint="default" w:ascii="Times New Roman" w:hAnsi="Times New Roman" w:cs="Times New Roman"/>
                <w:color w:val="auto"/>
                <w:highlight w:val="none"/>
              </w:rPr>
              <w:t>距离衰减后项目</w:t>
            </w:r>
            <w:r>
              <w:rPr>
                <w:rFonts w:hint="default" w:ascii="Times New Roman" w:hAnsi="Times New Roman" w:cs="Times New Roman"/>
                <w:color w:val="auto"/>
                <w:highlight w:val="none"/>
                <w:lang w:val="en-US" w:eastAsia="zh-CN"/>
              </w:rPr>
              <w:t>四周</w:t>
            </w:r>
            <w:r>
              <w:rPr>
                <w:rFonts w:hint="default" w:ascii="Times New Roman" w:hAnsi="Times New Roman" w:cs="Times New Roman"/>
                <w:color w:val="auto"/>
                <w:sz w:val="24"/>
                <w:szCs w:val="24"/>
                <w:highlight w:val="none"/>
              </w:rPr>
              <w:t>厂界</w:t>
            </w:r>
            <w:r>
              <w:rPr>
                <w:rFonts w:hint="default" w:ascii="Times New Roman" w:hAnsi="Times New Roman" w:cs="Times New Roman"/>
                <w:color w:val="auto"/>
                <w:highlight w:val="none"/>
              </w:rPr>
              <w:t>噪声</w:t>
            </w:r>
            <w:r>
              <w:rPr>
                <w:rFonts w:hint="default" w:ascii="Times New Roman" w:hAnsi="Times New Roman" w:cs="Times New Roman"/>
                <w:color w:val="auto"/>
                <w:highlight w:val="none"/>
                <w:lang w:val="en-US" w:eastAsia="zh-CN"/>
              </w:rPr>
              <w:t>均</w:t>
            </w:r>
            <w:r>
              <w:rPr>
                <w:rFonts w:hint="default" w:ascii="Times New Roman" w:hAnsi="Times New Roman" w:cs="Times New Roman"/>
                <w:color w:val="auto"/>
                <w:highlight w:val="none"/>
              </w:rPr>
              <w:t>满足《工业企业厂界环境噪声排放标准》（GB12348-2008）</w:t>
            </w:r>
            <w:r>
              <w:rPr>
                <w:rFonts w:hint="eastAsia" w:cs="Times New Roman"/>
                <w:color w:val="auto"/>
                <w:highlight w:val="none"/>
                <w:lang w:val="en-US" w:eastAsia="zh-CN"/>
              </w:rPr>
              <w:t>3</w:t>
            </w:r>
            <w:r>
              <w:rPr>
                <w:rFonts w:hint="default" w:ascii="Times New Roman" w:hAnsi="Times New Roman" w:cs="Times New Roman"/>
                <w:color w:val="auto"/>
                <w:highlight w:val="none"/>
              </w:rPr>
              <w:t>类区标准昼间标准要求</w:t>
            </w:r>
            <w:r>
              <w:rPr>
                <w:rFonts w:hint="default" w:ascii="Times New Roman" w:hAnsi="Times New Roman" w:eastAsia="宋体" w:cs="Times New Roman"/>
                <w:color w:val="auto"/>
                <w:highlight w:val="none"/>
              </w:rPr>
              <w:t>。因此，建设单位严格执行本评价提出的降噪措施，</w:t>
            </w:r>
            <w:r>
              <w:rPr>
                <w:rFonts w:hint="eastAsia" w:ascii="Times New Roman" w:hAnsi="Times New Roman" w:eastAsia="宋体" w:cs="Times New Roman"/>
                <w:color w:val="auto"/>
                <w:highlight w:val="none"/>
                <w:lang w:eastAsia="zh-CN"/>
              </w:rPr>
              <w:t>本项目</w:t>
            </w:r>
            <w:r>
              <w:rPr>
                <w:rFonts w:hint="default" w:ascii="Times New Roman" w:hAnsi="Times New Roman" w:eastAsia="宋体" w:cs="Times New Roman"/>
                <w:color w:val="auto"/>
                <w:highlight w:val="none"/>
              </w:rPr>
              <w:t>生产过程不会对周围环境产生影响。</w:t>
            </w:r>
          </w:p>
          <w:p w14:paraId="3C5EB7CB">
            <w:pPr>
              <w:ind w:firstLine="482"/>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3</w:t>
            </w:r>
            <w:r>
              <w:rPr>
                <w:rFonts w:hint="eastAsia" w:ascii="Times New Roman" w:hAnsi="Times New Roman" w:cs="Times New Roman"/>
                <w:b/>
                <w:bCs/>
                <w:color w:val="auto"/>
                <w:highlight w:val="none"/>
                <w:lang w:val="en-US" w:eastAsia="zh-CN"/>
              </w:rPr>
              <w:t>、</w:t>
            </w:r>
            <w:r>
              <w:rPr>
                <w:rFonts w:hint="default" w:ascii="Times New Roman" w:hAnsi="Times New Roman" w:cs="Times New Roman"/>
                <w:b/>
                <w:bCs/>
                <w:color w:val="auto"/>
                <w:highlight w:val="none"/>
              </w:rPr>
              <w:t>监测计划</w:t>
            </w:r>
          </w:p>
          <w:p w14:paraId="3643C5D8">
            <w:pPr>
              <w:widowControl w:val="0"/>
              <w:spacing w:after="0" w:line="360" w:lineRule="auto"/>
              <w:ind w:firstLine="480" w:firstLineChars="200"/>
              <w:jc w:val="both"/>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参考《排污许可证申请与核发技术规范 总则》等文件，具体监测工作可委托有资质单位进行，执行</w:t>
            </w:r>
            <w:r>
              <w:rPr>
                <w:rFonts w:hint="eastAsia" w:ascii="Times New Roman" w:hAnsi="Times New Roman" w:eastAsia="宋体" w:cs="Times New Roman"/>
                <w:color w:val="auto"/>
                <w:kern w:val="2"/>
                <w:sz w:val="24"/>
                <w:szCs w:val="24"/>
                <w:highlight w:val="none"/>
                <w:lang w:val="en-US" w:eastAsia="zh-CN" w:bidi="ar-SA"/>
              </w:rPr>
              <w:t>本项目</w:t>
            </w:r>
            <w:r>
              <w:rPr>
                <w:rFonts w:hint="default" w:ascii="Times New Roman" w:hAnsi="Times New Roman" w:eastAsia="宋体" w:cs="Times New Roman"/>
                <w:color w:val="auto"/>
                <w:kern w:val="2"/>
                <w:sz w:val="24"/>
                <w:szCs w:val="24"/>
                <w:highlight w:val="none"/>
                <w:lang w:val="en-US" w:eastAsia="zh-CN" w:bidi="ar-SA"/>
              </w:rPr>
              <w:t>环境影响评价中的标准，营运期环境监测计划如下：</w:t>
            </w:r>
          </w:p>
          <w:p w14:paraId="0C13022A">
            <w:pPr>
              <w:pStyle w:val="5"/>
              <w:tabs>
                <w:tab w:val="left" w:pos="1284"/>
              </w:tabs>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表4-</w:t>
            </w:r>
            <w:r>
              <w:rPr>
                <w:rFonts w:hint="eastAsia" w:ascii="Times New Roman" w:hAnsi="Times New Roman" w:cs="Times New Roman"/>
                <w:color w:val="auto"/>
                <w:highlight w:val="none"/>
                <w:lang w:val="en-US" w:eastAsia="zh-CN"/>
              </w:rPr>
              <w:t>1</w:t>
            </w:r>
            <w:r>
              <w:rPr>
                <w:rFonts w:hint="eastAsia" w:cs="Times New Roman"/>
                <w:color w:val="auto"/>
                <w:highlight w:val="none"/>
                <w:lang w:val="en-US" w:eastAsia="zh-CN"/>
              </w:rPr>
              <w:t>5</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项目营运期环境监测计划一览表</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515"/>
              <w:gridCol w:w="1791"/>
              <w:gridCol w:w="1380"/>
              <w:gridCol w:w="3062"/>
            </w:tblGrid>
            <w:tr w14:paraId="1FA6E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4" w:type="pct"/>
                  <w:tcBorders>
                    <w:top w:val="single" w:color="auto" w:sz="4" w:space="0"/>
                    <w:left w:val="single" w:color="auto" w:sz="4" w:space="0"/>
                    <w:bottom w:val="single" w:color="auto" w:sz="4" w:space="0"/>
                    <w:right w:val="single" w:color="auto" w:sz="4" w:space="0"/>
                  </w:tcBorders>
                  <w:noWrap w:val="0"/>
                  <w:vAlign w:val="center"/>
                </w:tcPr>
                <w:p w14:paraId="472B4AE9">
                  <w:pPr>
                    <w:adjustRightInd w:val="0"/>
                    <w:spacing w:line="240" w:lineRule="auto"/>
                    <w:ind w:firstLine="0" w:firstLineChars="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项目</w:t>
                  </w:r>
                </w:p>
              </w:tc>
              <w:tc>
                <w:tcPr>
                  <w:tcW w:w="895" w:type="pct"/>
                  <w:tcBorders>
                    <w:top w:val="single" w:color="auto" w:sz="4" w:space="0"/>
                    <w:left w:val="nil"/>
                    <w:bottom w:val="single" w:color="auto" w:sz="4" w:space="0"/>
                    <w:right w:val="single" w:color="auto" w:sz="4" w:space="0"/>
                  </w:tcBorders>
                  <w:noWrap w:val="0"/>
                  <w:vAlign w:val="center"/>
                </w:tcPr>
                <w:p w14:paraId="0CF633B2">
                  <w:pPr>
                    <w:adjustRightInd w:val="0"/>
                    <w:spacing w:line="240" w:lineRule="auto"/>
                    <w:ind w:firstLine="0" w:firstLineChars="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监测位置</w:t>
                  </w:r>
                </w:p>
              </w:tc>
              <w:tc>
                <w:tcPr>
                  <w:tcW w:w="1058" w:type="pct"/>
                  <w:tcBorders>
                    <w:top w:val="single" w:color="auto" w:sz="4" w:space="0"/>
                    <w:left w:val="nil"/>
                    <w:bottom w:val="single" w:color="auto" w:sz="4" w:space="0"/>
                    <w:right w:val="single" w:color="auto" w:sz="4" w:space="0"/>
                  </w:tcBorders>
                  <w:noWrap w:val="0"/>
                  <w:vAlign w:val="center"/>
                </w:tcPr>
                <w:p w14:paraId="00611BC2">
                  <w:pPr>
                    <w:adjustRightInd w:val="0"/>
                    <w:spacing w:line="240" w:lineRule="auto"/>
                    <w:ind w:firstLine="0" w:firstLineChars="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监测项目</w:t>
                  </w:r>
                </w:p>
              </w:tc>
              <w:tc>
                <w:tcPr>
                  <w:tcW w:w="815" w:type="pct"/>
                  <w:tcBorders>
                    <w:top w:val="single" w:color="auto" w:sz="4" w:space="0"/>
                    <w:left w:val="nil"/>
                    <w:bottom w:val="single" w:color="auto" w:sz="4" w:space="0"/>
                    <w:right w:val="single" w:color="auto" w:sz="4" w:space="0"/>
                  </w:tcBorders>
                  <w:noWrap w:val="0"/>
                  <w:vAlign w:val="center"/>
                </w:tcPr>
                <w:p w14:paraId="4D894CC8">
                  <w:pPr>
                    <w:adjustRightInd w:val="0"/>
                    <w:spacing w:line="240" w:lineRule="auto"/>
                    <w:ind w:firstLine="0" w:firstLineChars="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监测频次</w:t>
                  </w:r>
                </w:p>
              </w:tc>
              <w:tc>
                <w:tcPr>
                  <w:tcW w:w="1809" w:type="pct"/>
                  <w:tcBorders>
                    <w:top w:val="single" w:color="auto" w:sz="4" w:space="0"/>
                    <w:left w:val="nil"/>
                    <w:bottom w:val="single" w:color="auto" w:sz="4" w:space="0"/>
                    <w:right w:val="single" w:color="auto" w:sz="4" w:space="0"/>
                  </w:tcBorders>
                  <w:noWrap w:val="0"/>
                  <w:vAlign w:val="center"/>
                </w:tcPr>
                <w:p w14:paraId="78906597">
                  <w:pPr>
                    <w:adjustRightInd w:val="0"/>
                    <w:spacing w:line="240" w:lineRule="auto"/>
                    <w:ind w:firstLine="0" w:firstLineChars="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执行标准</w:t>
                  </w:r>
                </w:p>
              </w:tc>
            </w:tr>
            <w:tr w14:paraId="049B5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4" w:type="pct"/>
                  <w:tcBorders>
                    <w:top w:val="single" w:color="auto" w:sz="4" w:space="0"/>
                    <w:left w:val="single" w:color="auto" w:sz="4" w:space="0"/>
                    <w:bottom w:val="single" w:color="auto" w:sz="4" w:space="0"/>
                    <w:right w:val="single" w:color="auto" w:sz="4" w:space="0"/>
                  </w:tcBorders>
                  <w:noWrap w:val="0"/>
                  <w:vAlign w:val="center"/>
                </w:tcPr>
                <w:p w14:paraId="39617198">
                  <w:pPr>
                    <w:adjustRightInd w:val="0"/>
                    <w:spacing w:line="240" w:lineRule="auto"/>
                    <w:ind w:firstLine="0" w:firstLineChar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噪声</w:t>
                  </w:r>
                </w:p>
              </w:tc>
              <w:tc>
                <w:tcPr>
                  <w:tcW w:w="895" w:type="pct"/>
                  <w:tcBorders>
                    <w:top w:val="single" w:color="auto" w:sz="4" w:space="0"/>
                    <w:left w:val="nil"/>
                    <w:bottom w:val="single" w:color="auto" w:sz="4" w:space="0"/>
                    <w:right w:val="single" w:color="auto" w:sz="4" w:space="0"/>
                  </w:tcBorders>
                  <w:noWrap w:val="0"/>
                  <w:vAlign w:val="center"/>
                </w:tcPr>
                <w:p w14:paraId="322A5006">
                  <w:pPr>
                    <w:adjustRightInd w:val="0"/>
                    <w:spacing w:line="240" w:lineRule="auto"/>
                    <w:ind w:firstLine="0" w:firstLineChar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厂区厂界四周</w:t>
                  </w:r>
                </w:p>
              </w:tc>
              <w:tc>
                <w:tcPr>
                  <w:tcW w:w="1058" w:type="pct"/>
                  <w:tcBorders>
                    <w:top w:val="single" w:color="auto" w:sz="4" w:space="0"/>
                    <w:left w:val="nil"/>
                    <w:bottom w:val="single" w:color="auto" w:sz="4" w:space="0"/>
                    <w:right w:val="single" w:color="auto" w:sz="4" w:space="0"/>
                  </w:tcBorders>
                  <w:noWrap w:val="0"/>
                  <w:vAlign w:val="center"/>
                </w:tcPr>
                <w:p w14:paraId="242DCE8A">
                  <w:pPr>
                    <w:adjustRightInd w:val="0"/>
                    <w:spacing w:line="240" w:lineRule="auto"/>
                    <w:ind w:firstLine="0" w:firstLineChar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等效连续A声级</w:t>
                  </w:r>
                </w:p>
              </w:tc>
              <w:tc>
                <w:tcPr>
                  <w:tcW w:w="815" w:type="pct"/>
                  <w:tcBorders>
                    <w:top w:val="single" w:color="auto" w:sz="4" w:space="0"/>
                    <w:left w:val="nil"/>
                    <w:bottom w:val="single" w:color="auto" w:sz="4" w:space="0"/>
                    <w:right w:val="single" w:color="auto" w:sz="4" w:space="0"/>
                  </w:tcBorders>
                  <w:noWrap w:val="0"/>
                  <w:vAlign w:val="center"/>
                </w:tcPr>
                <w:p w14:paraId="25C62BC2">
                  <w:pPr>
                    <w:adjustRightInd w:val="0"/>
                    <w:spacing w:line="240" w:lineRule="auto"/>
                    <w:ind w:firstLine="0" w:firstLineChar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每季度一次昼夜监测</w:t>
                  </w:r>
                </w:p>
              </w:tc>
              <w:tc>
                <w:tcPr>
                  <w:tcW w:w="1809" w:type="pct"/>
                  <w:tcBorders>
                    <w:top w:val="single" w:color="auto" w:sz="4" w:space="0"/>
                    <w:left w:val="nil"/>
                    <w:bottom w:val="single" w:color="auto" w:sz="4" w:space="0"/>
                    <w:right w:val="single" w:color="auto" w:sz="4" w:space="0"/>
                  </w:tcBorders>
                  <w:noWrap w:val="0"/>
                  <w:vAlign w:val="center"/>
                </w:tcPr>
                <w:p w14:paraId="425BF98D">
                  <w:pPr>
                    <w:adjustRightInd w:val="0"/>
                    <w:spacing w:line="240" w:lineRule="auto"/>
                    <w:ind w:firstLine="0" w:firstLineChar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执行《工业企业厂界环境噪声排放标准》中的</w:t>
                  </w:r>
                  <w:r>
                    <w:rPr>
                      <w:rFonts w:hint="eastAsia" w:cs="Times New Roman"/>
                      <w:color w:val="auto"/>
                      <w:sz w:val="21"/>
                      <w:szCs w:val="21"/>
                      <w:highlight w:val="none"/>
                      <w:lang w:val="en-US" w:eastAsia="zh-CN"/>
                    </w:rPr>
                    <w:t>3</w:t>
                  </w:r>
                  <w:r>
                    <w:rPr>
                      <w:rFonts w:hint="default" w:ascii="Times New Roman" w:hAnsi="Times New Roman" w:cs="Times New Roman"/>
                      <w:color w:val="auto"/>
                      <w:sz w:val="21"/>
                      <w:szCs w:val="21"/>
                      <w:highlight w:val="none"/>
                    </w:rPr>
                    <w:t>类标准</w:t>
                  </w:r>
                </w:p>
              </w:tc>
            </w:tr>
          </w:tbl>
          <w:p w14:paraId="21214942">
            <w:pPr>
              <w:pStyle w:val="23"/>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jc w:val="both"/>
              <w:textAlignment w:val="auto"/>
              <w:rPr>
                <w:rFonts w:hint="eastAsia" w:ascii="宋体" w:hAnsi="宋体" w:eastAsia="宋体" w:cs="宋体"/>
                <w:b/>
                <w:bCs/>
                <w:color w:val="auto"/>
                <w:spacing w:val="0"/>
                <w:sz w:val="24"/>
                <w:szCs w:val="24"/>
                <w:highlight w:val="none"/>
                <w:lang w:val="en-US" w:eastAsia="zh-CN"/>
              </w:rPr>
            </w:pPr>
            <w:r>
              <w:rPr>
                <w:rFonts w:hint="eastAsia" w:ascii="Times New Roman" w:hAnsi="Times New Roman" w:eastAsia="宋体" w:cs="Times New Roman"/>
                <w:b/>
                <w:bCs/>
                <w:color w:val="auto"/>
                <w:spacing w:val="0"/>
                <w:sz w:val="24"/>
                <w:szCs w:val="24"/>
                <w:highlight w:val="none"/>
                <w:lang w:val="en-US" w:eastAsia="zh-CN"/>
              </w:rPr>
              <w:t>四</w:t>
            </w:r>
            <w:r>
              <w:rPr>
                <w:rFonts w:hint="default" w:ascii="Times New Roman" w:hAnsi="Times New Roman" w:eastAsia="宋体" w:cs="Times New Roman"/>
                <w:b/>
                <w:bCs/>
                <w:color w:val="auto"/>
                <w:spacing w:val="0"/>
                <w:sz w:val="24"/>
                <w:szCs w:val="24"/>
                <w:highlight w:val="none"/>
                <w:lang w:val="en-US" w:eastAsia="zh-CN"/>
              </w:rPr>
              <w:t>、固体废物环境影响和保护措施</w:t>
            </w:r>
          </w:p>
          <w:p w14:paraId="3D65325D">
            <w:pPr>
              <w:bidi w:val="0"/>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eastAsia="zh-CN"/>
              </w:rPr>
              <w:t>1、</w:t>
            </w:r>
            <w:r>
              <w:rPr>
                <w:rFonts w:hint="default" w:ascii="Times New Roman" w:hAnsi="Times New Roman" w:cs="Times New Roman"/>
                <w:b/>
                <w:bCs/>
                <w:color w:val="auto"/>
                <w:highlight w:val="none"/>
                <w:lang w:val="en-US" w:eastAsia="zh-CN"/>
              </w:rPr>
              <w:t>污染源分析</w:t>
            </w:r>
          </w:p>
          <w:p w14:paraId="0D84E1F2">
            <w:pPr>
              <w:bidi w:val="0"/>
              <w:rPr>
                <w:rFonts w:hint="default" w:ascii="Times New Roman" w:hAnsi="Times New Roman" w:cs="Times New Roman"/>
                <w:color w:val="auto"/>
                <w:highlight w:val="none"/>
                <w:lang w:val="en-US" w:eastAsia="zh-CN"/>
              </w:rPr>
            </w:pPr>
            <w:r>
              <w:rPr>
                <w:rFonts w:hint="eastAsia" w:ascii="Times New Roman" w:hAnsi="Times New Roman" w:eastAsia="宋体" w:cs="Times New Roman"/>
                <w:color w:val="auto"/>
                <w:sz w:val="24"/>
                <w:szCs w:val="24"/>
                <w:highlight w:val="none"/>
                <w:lang w:val="en-US" w:eastAsia="zh-CN"/>
              </w:rPr>
              <w:t>本项目</w:t>
            </w:r>
            <w:r>
              <w:rPr>
                <w:rFonts w:hint="default" w:ascii="Times New Roman" w:hAnsi="Times New Roman" w:eastAsia="宋体" w:cs="Times New Roman"/>
                <w:color w:val="auto"/>
                <w:sz w:val="24"/>
                <w:szCs w:val="24"/>
                <w:highlight w:val="none"/>
              </w:rPr>
              <w:t>营运期固废主要为一般固废、危险</w:t>
            </w:r>
            <w:r>
              <w:rPr>
                <w:rFonts w:hint="eastAsia" w:ascii="Times New Roman" w:hAnsi="Times New Roman" w:eastAsia="宋体" w:cs="Times New Roman"/>
                <w:color w:val="auto"/>
                <w:sz w:val="24"/>
                <w:szCs w:val="24"/>
                <w:highlight w:val="none"/>
                <w:lang w:val="en-US" w:eastAsia="zh-CN"/>
              </w:rPr>
              <w:t>废物</w:t>
            </w:r>
            <w:r>
              <w:rPr>
                <w:rFonts w:hint="default" w:ascii="Times New Roman" w:hAnsi="Times New Roman" w:eastAsia="宋体" w:cs="Times New Roman"/>
                <w:color w:val="auto"/>
                <w:sz w:val="24"/>
                <w:szCs w:val="24"/>
                <w:highlight w:val="none"/>
              </w:rPr>
              <w:t>和生活垃圾，一般固废包括</w:t>
            </w:r>
            <w:r>
              <w:rPr>
                <w:rFonts w:hint="eastAsia" w:cs="Times New Roman"/>
                <w:color w:val="auto"/>
                <w:sz w:val="24"/>
                <w:szCs w:val="24"/>
                <w:highlight w:val="none"/>
                <w:lang w:eastAsia="zh-CN"/>
              </w:rPr>
              <w:t>不合格</w:t>
            </w:r>
            <w:r>
              <w:rPr>
                <w:rFonts w:hint="eastAsia" w:cs="Times New Roman"/>
                <w:color w:val="auto"/>
                <w:sz w:val="24"/>
                <w:szCs w:val="24"/>
                <w:highlight w:val="none"/>
                <w:lang w:val="en-US" w:eastAsia="zh-CN"/>
              </w:rPr>
              <w:t>机器人电缆、不合格塑料电缆颗粒、布袋除尘收尘和废布袋；</w:t>
            </w:r>
            <w:r>
              <w:rPr>
                <w:rFonts w:hint="default" w:ascii="Times New Roman" w:hAnsi="Times New Roman" w:eastAsia="宋体" w:cs="Times New Roman"/>
                <w:color w:val="auto"/>
                <w:sz w:val="24"/>
                <w:szCs w:val="24"/>
                <w:highlight w:val="none"/>
              </w:rPr>
              <w:t>危险</w:t>
            </w:r>
            <w:r>
              <w:rPr>
                <w:rFonts w:hint="eastAsia" w:ascii="Times New Roman" w:hAnsi="Times New Roman" w:eastAsia="宋体" w:cs="Times New Roman"/>
                <w:color w:val="auto"/>
                <w:sz w:val="24"/>
                <w:szCs w:val="24"/>
                <w:highlight w:val="none"/>
                <w:lang w:val="en-US" w:eastAsia="zh-CN"/>
              </w:rPr>
              <w:t>废物</w:t>
            </w:r>
            <w:r>
              <w:rPr>
                <w:rFonts w:hint="default" w:ascii="Times New Roman" w:hAnsi="Times New Roman" w:eastAsia="宋体" w:cs="Times New Roman"/>
                <w:color w:val="auto"/>
                <w:sz w:val="24"/>
                <w:szCs w:val="24"/>
                <w:highlight w:val="none"/>
              </w:rPr>
              <w:t>为</w:t>
            </w:r>
            <w:r>
              <w:rPr>
                <w:rFonts w:hint="eastAsia" w:cs="Times New Roman"/>
                <w:color w:val="auto"/>
                <w:sz w:val="24"/>
                <w:szCs w:val="24"/>
                <w:highlight w:val="none"/>
                <w:lang w:val="en-US" w:eastAsia="zh-CN"/>
              </w:rPr>
              <w:t>废活性炭、废油墨包装桶、</w:t>
            </w:r>
            <w:r>
              <w:rPr>
                <w:rFonts w:hint="default" w:ascii="Times New Roman" w:hAnsi="Times New Roman" w:eastAsia="宋体" w:cs="Times New Roman"/>
                <w:color w:val="auto"/>
                <w:sz w:val="24"/>
                <w:szCs w:val="24"/>
                <w:highlight w:val="none"/>
              </w:rPr>
              <w:t>废</w:t>
            </w:r>
            <w:r>
              <w:rPr>
                <w:rFonts w:hint="eastAsia" w:cs="Times New Roman"/>
                <w:color w:val="auto"/>
                <w:sz w:val="24"/>
                <w:szCs w:val="24"/>
                <w:highlight w:val="none"/>
                <w:lang w:val="en-US" w:eastAsia="zh-CN"/>
              </w:rPr>
              <w:t>机</w:t>
            </w:r>
            <w:r>
              <w:rPr>
                <w:rFonts w:hint="eastAsia" w:ascii="Times New Roman" w:hAnsi="Times New Roman" w:eastAsia="宋体" w:cs="Times New Roman"/>
                <w:color w:val="auto"/>
                <w:sz w:val="24"/>
                <w:szCs w:val="24"/>
                <w:highlight w:val="none"/>
                <w:lang w:val="en-US" w:eastAsia="zh-CN"/>
              </w:rPr>
              <w:t>油、废</w:t>
            </w:r>
            <w:r>
              <w:rPr>
                <w:rFonts w:hint="eastAsia" w:cs="Times New Roman"/>
                <w:color w:val="auto"/>
                <w:sz w:val="24"/>
                <w:szCs w:val="24"/>
                <w:highlight w:val="none"/>
                <w:lang w:val="en-US" w:eastAsia="zh-CN"/>
              </w:rPr>
              <w:t>机油</w:t>
            </w:r>
            <w:r>
              <w:rPr>
                <w:rFonts w:hint="eastAsia" w:ascii="Times New Roman" w:hAnsi="Times New Roman" w:eastAsia="宋体" w:cs="Times New Roman"/>
                <w:color w:val="auto"/>
                <w:sz w:val="24"/>
                <w:szCs w:val="24"/>
                <w:highlight w:val="none"/>
                <w:lang w:val="en-US" w:eastAsia="zh-CN"/>
              </w:rPr>
              <w:t>桶和含油抹布</w:t>
            </w:r>
            <w:r>
              <w:rPr>
                <w:rFonts w:hint="eastAsia" w:cs="Times New Roman"/>
                <w:color w:val="auto"/>
                <w:sz w:val="24"/>
                <w:szCs w:val="24"/>
                <w:highlight w:val="none"/>
                <w:lang w:val="en-US" w:eastAsia="zh-CN"/>
              </w:rPr>
              <w:t>和</w:t>
            </w:r>
            <w:r>
              <w:rPr>
                <w:rFonts w:hint="eastAsia" w:ascii="Times New Roman" w:hAnsi="Times New Roman" w:eastAsia="宋体" w:cs="Times New Roman"/>
                <w:color w:val="auto"/>
                <w:sz w:val="24"/>
                <w:szCs w:val="24"/>
                <w:highlight w:val="none"/>
                <w:lang w:val="en-US" w:eastAsia="zh-CN"/>
              </w:rPr>
              <w:t>手套</w:t>
            </w:r>
            <w:r>
              <w:rPr>
                <w:rFonts w:hint="default" w:ascii="Times New Roman" w:hAnsi="Times New Roman" w:eastAsia="宋体" w:cs="Times New Roman"/>
                <w:color w:val="auto"/>
                <w:sz w:val="24"/>
                <w:szCs w:val="24"/>
                <w:highlight w:val="none"/>
              </w:rPr>
              <w:t>。</w:t>
            </w:r>
          </w:p>
          <w:p w14:paraId="062D80A3">
            <w:pPr>
              <w:pStyle w:val="2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eastAsia="宋体" w:cs="Times New Roman"/>
                <w:b/>
                <w:bCs/>
                <w:color w:val="auto"/>
                <w:spacing w:val="0"/>
                <w:sz w:val="24"/>
                <w:szCs w:val="24"/>
                <w:highlight w:val="none"/>
                <w:lang w:val="en-US" w:eastAsia="zh-CN"/>
              </w:rPr>
            </w:pPr>
            <w:r>
              <w:rPr>
                <w:rFonts w:hint="eastAsia" w:ascii="Times New Roman" w:hAnsi="Times New Roman" w:eastAsia="宋体" w:cs="Times New Roman"/>
                <w:b/>
                <w:bCs/>
                <w:color w:val="auto"/>
                <w:spacing w:val="0"/>
                <w:sz w:val="24"/>
                <w:szCs w:val="24"/>
                <w:highlight w:val="none"/>
                <w:lang w:val="en-US" w:eastAsia="zh-CN"/>
              </w:rPr>
              <w:t>（1）</w:t>
            </w:r>
            <w:r>
              <w:rPr>
                <w:rFonts w:hint="default" w:ascii="Times New Roman" w:hAnsi="Times New Roman" w:eastAsia="宋体" w:cs="Times New Roman"/>
                <w:b/>
                <w:bCs/>
                <w:color w:val="auto"/>
                <w:spacing w:val="0"/>
                <w:sz w:val="24"/>
                <w:szCs w:val="24"/>
                <w:highlight w:val="none"/>
                <w:lang w:val="en-US" w:eastAsia="zh-CN"/>
              </w:rPr>
              <w:t>生活垃圾</w:t>
            </w:r>
          </w:p>
          <w:p w14:paraId="04CF2CC4">
            <w:pPr>
              <w:pStyle w:val="2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val="0"/>
                <w:color w:val="auto"/>
                <w:spacing w:val="0"/>
                <w:sz w:val="24"/>
                <w:szCs w:val="24"/>
                <w:highlight w:val="none"/>
                <w:lang w:val="en-US" w:eastAsia="zh-CN"/>
              </w:rPr>
            </w:pPr>
            <w:r>
              <w:rPr>
                <w:rFonts w:hint="default" w:ascii="Times New Roman" w:hAnsi="Times New Roman" w:eastAsia="宋体" w:cs="Times New Roman"/>
                <w:b w:val="0"/>
                <w:bCs w:val="0"/>
                <w:color w:val="auto"/>
                <w:spacing w:val="0"/>
                <w:sz w:val="24"/>
                <w:szCs w:val="24"/>
                <w:highlight w:val="none"/>
                <w:lang w:val="en-US" w:eastAsia="zh-CN"/>
              </w:rPr>
              <w:t>厂房内生产办公人员</w:t>
            </w:r>
            <w:r>
              <w:rPr>
                <w:rFonts w:hint="eastAsia" w:eastAsia="宋体" w:cs="Times New Roman"/>
                <w:b w:val="0"/>
                <w:bCs w:val="0"/>
                <w:color w:val="auto"/>
                <w:spacing w:val="0"/>
                <w:sz w:val="24"/>
                <w:szCs w:val="24"/>
                <w:highlight w:val="none"/>
                <w:lang w:val="en-US" w:eastAsia="zh-CN"/>
              </w:rPr>
              <w:t>30</w:t>
            </w:r>
            <w:r>
              <w:rPr>
                <w:rFonts w:hint="default" w:ascii="Times New Roman" w:hAnsi="Times New Roman" w:eastAsia="宋体" w:cs="Times New Roman"/>
                <w:b w:val="0"/>
                <w:bCs w:val="0"/>
                <w:color w:val="auto"/>
                <w:spacing w:val="0"/>
                <w:sz w:val="24"/>
                <w:szCs w:val="24"/>
                <w:highlight w:val="none"/>
                <w:lang w:val="en-US" w:eastAsia="zh-CN"/>
              </w:rPr>
              <w:t>人，生活垃圾产生量按0.5kg/人·d计算，则厂房内生活垃圾产量约</w:t>
            </w:r>
            <w:r>
              <w:rPr>
                <w:rFonts w:hint="eastAsia" w:eastAsia="宋体" w:cs="Times New Roman"/>
                <w:b w:val="0"/>
                <w:bCs w:val="0"/>
                <w:color w:val="auto"/>
                <w:spacing w:val="0"/>
                <w:sz w:val="24"/>
                <w:szCs w:val="24"/>
                <w:highlight w:val="none"/>
                <w:lang w:val="en-US" w:eastAsia="zh-CN"/>
              </w:rPr>
              <w:t>0.015t</w:t>
            </w:r>
            <w:r>
              <w:rPr>
                <w:rFonts w:hint="default" w:ascii="Times New Roman" w:hAnsi="Times New Roman" w:eastAsia="宋体" w:cs="Times New Roman"/>
                <w:b w:val="0"/>
                <w:bCs w:val="0"/>
                <w:color w:val="auto"/>
                <w:spacing w:val="0"/>
                <w:sz w:val="24"/>
                <w:szCs w:val="24"/>
                <w:highlight w:val="none"/>
                <w:lang w:val="en-US" w:eastAsia="zh-CN"/>
              </w:rPr>
              <w:t>/d（</w:t>
            </w:r>
            <w:r>
              <w:rPr>
                <w:rFonts w:hint="eastAsia" w:eastAsia="宋体" w:cs="Times New Roman"/>
                <w:b w:val="0"/>
                <w:bCs w:val="0"/>
                <w:color w:val="auto"/>
                <w:spacing w:val="0"/>
                <w:sz w:val="24"/>
                <w:szCs w:val="24"/>
                <w:highlight w:val="none"/>
                <w:lang w:val="en-US" w:eastAsia="zh-CN"/>
              </w:rPr>
              <w:t>3.9</w:t>
            </w:r>
            <w:r>
              <w:rPr>
                <w:rFonts w:hint="default" w:ascii="Times New Roman" w:hAnsi="Times New Roman" w:eastAsia="宋体" w:cs="Times New Roman"/>
                <w:b w:val="0"/>
                <w:bCs w:val="0"/>
                <w:color w:val="auto"/>
                <w:spacing w:val="0"/>
                <w:sz w:val="24"/>
                <w:szCs w:val="24"/>
                <w:highlight w:val="none"/>
                <w:lang w:val="en-US" w:eastAsia="zh-CN"/>
              </w:rPr>
              <w:t>t/a）。项目厂房及厂房外均设置有垃圾收集桶，生活垃圾收集</w:t>
            </w:r>
            <w:r>
              <w:rPr>
                <w:rFonts w:hint="eastAsia" w:ascii="Times New Roman" w:hAnsi="Times New Roman" w:eastAsia="宋体" w:cs="Times New Roman"/>
                <w:b w:val="0"/>
                <w:bCs w:val="0"/>
                <w:color w:val="auto"/>
                <w:spacing w:val="0"/>
                <w:sz w:val="24"/>
                <w:szCs w:val="24"/>
                <w:highlight w:val="none"/>
                <w:lang w:val="en-US" w:eastAsia="zh-CN"/>
              </w:rPr>
              <w:t>后</w:t>
            </w:r>
            <w:r>
              <w:rPr>
                <w:rFonts w:hint="default" w:ascii="Times New Roman" w:hAnsi="Times New Roman" w:eastAsia="宋体" w:cs="Times New Roman"/>
                <w:b w:val="0"/>
                <w:bCs w:val="0"/>
                <w:color w:val="auto"/>
                <w:spacing w:val="0"/>
                <w:sz w:val="24"/>
                <w:szCs w:val="24"/>
                <w:highlight w:val="none"/>
                <w:lang w:val="en-US" w:eastAsia="zh-CN"/>
              </w:rPr>
              <w:t>由环卫部门定期清运。</w:t>
            </w:r>
          </w:p>
          <w:p w14:paraId="409D2072">
            <w:pPr>
              <w:pStyle w:val="2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jc w:val="both"/>
              <w:textAlignment w:val="auto"/>
              <w:rPr>
                <w:rFonts w:hint="default" w:eastAsia="宋体" w:cs="Times New Roman"/>
                <w:b/>
                <w:bCs/>
                <w:color w:val="auto"/>
                <w:spacing w:val="0"/>
                <w:sz w:val="24"/>
                <w:szCs w:val="24"/>
                <w:highlight w:val="none"/>
                <w:lang w:val="en-US" w:eastAsia="zh-CN"/>
              </w:rPr>
            </w:pPr>
            <w:r>
              <w:rPr>
                <w:rFonts w:hint="eastAsia" w:ascii="Times New Roman" w:hAnsi="Times New Roman" w:eastAsia="宋体" w:cs="Times New Roman"/>
                <w:b/>
                <w:bCs/>
                <w:color w:val="auto"/>
                <w:spacing w:val="0"/>
                <w:sz w:val="24"/>
                <w:szCs w:val="24"/>
                <w:highlight w:val="none"/>
                <w:lang w:val="en-US" w:eastAsia="zh-CN"/>
              </w:rPr>
              <w:t>（2）一般固废</w:t>
            </w:r>
          </w:p>
          <w:p w14:paraId="0B91B583">
            <w:pPr>
              <w:pStyle w:val="2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val="0"/>
                <w:color w:val="auto"/>
                <w:spacing w:val="0"/>
                <w:sz w:val="24"/>
                <w:szCs w:val="24"/>
                <w:highlight w:val="none"/>
                <w:lang w:val="en-US" w:eastAsia="zh-CN"/>
              </w:rPr>
            </w:pPr>
            <w:r>
              <w:rPr>
                <w:rFonts w:hint="eastAsia" w:eastAsia="宋体" w:cs="Times New Roman"/>
                <w:b w:val="0"/>
                <w:bCs w:val="0"/>
                <w:color w:val="auto"/>
                <w:spacing w:val="0"/>
                <w:sz w:val="24"/>
                <w:szCs w:val="24"/>
                <w:highlight w:val="none"/>
                <w:lang w:val="en-US" w:eastAsia="zh-CN"/>
              </w:rPr>
              <w:t>①不合格机器人电缆</w:t>
            </w:r>
          </w:p>
          <w:p w14:paraId="395D07D0">
            <w:pPr>
              <w:pStyle w:val="2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eastAsia="宋体" w:cs="Times New Roman"/>
                <w:b w:val="0"/>
                <w:bCs w:val="0"/>
                <w:color w:val="auto"/>
                <w:spacing w:val="0"/>
                <w:sz w:val="24"/>
                <w:szCs w:val="24"/>
                <w:highlight w:val="none"/>
                <w:lang w:val="en-US" w:eastAsia="zh-CN"/>
              </w:rPr>
            </w:pPr>
            <w:r>
              <w:rPr>
                <w:rFonts w:hint="default" w:ascii="Times New Roman" w:hAnsi="Times New Roman" w:eastAsia="宋体" w:cs="Times New Roman"/>
                <w:b w:val="0"/>
                <w:bCs w:val="0"/>
                <w:color w:val="auto"/>
                <w:spacing w:val="0"/>
                <w:sz w:val="24"/>
                <w:szCs w:val="24"/>
                <w:highlight w:val="none"/>
                <w:lang w:val="en-US" w:eastAsia="zh-CN"/>
              </w:rPr>
              <w:t>项目</w:t>
            </w:r>
            <w:r>
              <w:rPr>
                <w:rFonts w:hint="eastAsia" w:eastAsia="宋体" w:cs="Times New Roman"/>
                <w:b w:val="0"/>
                <w:bCs w:val="0"/>
                <w:color w:val="auto"/>
                <w:spacing w:val="0"/>
                <w:sz w:val="24"/>
                <w:szCs w:val="24"/>
                <w:highlight w:val="none"/>
                <w:lang w:val="en-US" w:eastAsia="zh-CN"/>
              </w:rPr>
              <w:t>机器人电缆生产过程中需经产品检验，会产生不合格机器人电缆。不合格线缆产生量约为5t/a。不合格线缆收集后暂存于固废库，后外售综合利用。</w:t>
            </w:r>
          </w:p>
          <w:p w14:paraId="15CE9DF1">
            <w:pPr>
              <w:pStyle w:val="2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val="0"/>
                <w:color w:val="auto"/>
                <w:spacing w:val="0"/>
                <w:sz w:val="24"/>
                <w:szCs w:val="24"/>
                <w:highlight w:val="none"/>
                <w:lang w:val="en-US" w:eastAsia="zh-CN"/>
              </w:rPr>
            </w:pPr>
            <w:r>
              <w:rPr>
                <w:rFonts w:hint="eastAsia" w:eastAsia="宋体" w:cs="Times New Roman"/>
                <w:b w:val="0"/>
                <w:bCs w:val="0"/>
                <w:color w:val="auto"/>
                <w:spacing w:val="0"/>
                <w:sz w:val="24"/>
                <w:szCs w:val="24"/>
                <w:highlight w:val="none"/>
                <w:lang w:val="en-US" w:eastAsia="zh-CN"/>
              </w:rPr>
              <w:t>②不合格塑料电缆颗粒</w:t>
            </w:r>
          </w:p>
          <w:p w14:paraId="702D7B10">
            <w:pPr>
              <w:pStyle w:val="2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eastAsia="宋体" w:cs="Times New Roman"/>
                <w:b w:val="0"/>
                <w:bCs w:val="0"/>
                <w:color w:val="auto"/>
                <w:spacing w:val="0"/>
                <w:sz w:val="24"/>
                <w:szCs w:val="24"/>
                <w:highlight w:val="none"/>
                <w:lang w:val="en-US" w:eastAsia="zh-CN"/>
              </w:rPr>
            </w:pPr>
            <w:r>
              <w:rPr>
                <w:rFonts w:hint="default" w:ascii="Times New Roman" w:hAnsi="Times New Roman" w:eastAsia="宋体" w:cs="Times New Roman"/>
                <w:b w:val="0"/>
                <w:bCs w:val="0"/>
                <w:color w:val="auto"/>
                <w:spacing w:val="0"/>
                <w:sz w:val="24"/>
                <w:szCs w:val="24"/>
                <w:highlight w:val="none"/>
                <w:lang w:val="en-US" w:eastAsia="zh-CN"/>
              </w:rPr>
              <w:t>项目</w:t>
            </w:r>
            <w:r>
              <w:rPr>
                <w:rFonts w:hint="eastAsia" w:eastAsia="宋体" w:cs="Times New Roman"/>
                <w:b w:val="0"/>
                <w:bCs w:val="0"/>
                <w:color w:val="auto"/>
                <w:spacing w:val="0"/>
                <w:sz w:val="24"/>
                <w:szCs w:val="24"/>
                <w:highlight w:val="none"/>
                <w:lang w:val="en-US" w:eastAsia="zh-CN"/>
              </w:rPr>
              <w:t>塑料电缆颗粒生产过程中需经筛分，会产生不合格塑料电缆颗粒。不合格电缆颗粒产生量约为1.4t/a。不合格电缆颗粒可回收进行重新造粒。</w:t>
            </w:r>
          </w:p>
          <w:p w14:paraId="7C7FCBC6">
            <w:pPr>
              <w:pStyle w:val="2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val="0"/>
                <w:color w:val="auto"/>
                <w:spacing w:val="0"/>
                <w:sz w:val="24"/>
                <w:szCs w:val="24"/>
                <w:highlight w:val="none"/>
                <w:lang w:val="en-US" w:eastAsia="zh-CN"/>
              </w:rPr>
            </w:pPr>
            <w:r>
              <w:rPr>
                <w:rFonts w:hint="eastAsia" w:eastAsia="宋体" w:cs="Times New Roman"/>
                <w:b w:val="0"/>
                <w:bCs w:val="0"/>
                <w:color w:val="auto"/>
                <w:spacing w:val="0"/>
                <w:sz w:val="24"/>
                <w:szCs w:val="24"/>
                <w:highlight w:val="none"/>
                <w:lang w:val="en-US" w:eastAsia="zh-CN"/>
              </w:rPr>
              <w:t>③布袋除尘收尘和废布袋</w:t>
            </w:r>
          </w:p>
          <w:p w14:paraId="64F980F8">
            <w:pPr>
              <w:pStyle w:val="2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eastAsia="宋体" w:cs="Times New Roman"/>
                <w:b w:val="0"/>
                <w:bCs w:val="0"/>
                <w:color w:val="auto"/>
                <w:spacing w:val="0"/>
                <w:sz w:val="24"/>
                <w:szCs w:val="24"/>
                <w:highlight w:val="none"/>
                <w:lang w:val="en-US" w:eastAsia="zh-CN"/>
              </w:rPr>
            </w:pPr>
            <w:r>
              <w:rPr>
                <w:rFonts w:hint="eastAsia" w:eastAsia="宋体" w:cs="Times New Roman"/>
                <w:b w:val="0"/>
                <w:bCs w:val="0"/>
                <w:color w:val="auto"/>
                <w:spacing w:val="0"/>
                <w:sz w:val="24"/>
                <w:szCs w:val="24"/>
                <w:highlight w:val="none"/>
                <w:lang w:val="en-US" w:eastAsia="zh-CN"/>
              </w:rPr>
              <w:t>项目废气治理过程中会产生布袋除尘收尘和废布袋，根据废气核算的内容可知，项目布袋除尘收尘产生量为9.556t/a；项目废布袋产生量约为0.1t/a。该固废暂存于固废库，后外售综合利用。</w:t>
            </w:r>
          </w:p>
          <w:p w14:paraId="34D11781">
            <w:pPr>
              <w:pStyle w:val="2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eastAsia="宋体" w:cs="Times New Roman"/>
                <w:b/>
                <w:bCs/>
                <w:color w:val="auto"/>
                <w:spacing w:val="0"/>
                <w:sz w:val="24"/>
                <w:szCs w:val="24"/>
                <w:highlight w:val="none"/>
                <w:lang w:val="en-US" w:eastAsia="zh-CN"/>
              </w:rPr>
            </w:pPr>
            <w:r>
              <w:rPr>
                <w:rFonts w:hint="eastAsia" w:ascii="Times New Roman" w:hAnsi="Times New Roman" w:eastAsia="宋体" w:cs="Times New Roman"/>
                <w:b/>
                <w:bCs/>
                <w:color w:val="auto"/>
                <w:spacing w:val="0"/>
                <w:sz w:val="24"/>
                <w:szCs w:val="24"/>
                <w:highlight w:val="none"/>
                <w:lang w:val="en-US" w:eastAsia="zh-CN"/>
              </w:rPr>
              <w:t>（3）危险废物</w:t>
            </w:r>
          </w:p>
          <w:p w14:paraId="421A47B8">
            <w:pPr>
              <w:keepNext w:val="0"/>
              <w:keepLines w:val="0"/>
              <w:widowControl w:val="0"/>
              <w:suppressLineNumbers w:val="0"/>
              <w:spacing w:before="0" w:beforeAutospacing="0" w:after="0" w:afterAutospacing="0" w:line="360" w:lineRule="auto"/>
              <w:ind w:left="0" w:right="0" w:firstLine="480"/>
              <w:jc w:val="left"/>
              <w:textAlignment w:val="baseline"/>
              <w:rPr>
                <w:rFonts w:hint="default" w:ascii="Times New Roman" w:hAnsi="Times New Roman" w:eastAsia="宋体" w:cs="Times New Roman"/>
                <w:b w:val="0"/>
                <w:bCs w:val="0"/>
                <w:color w:val="auto"/>
                <w:kern w:val="0"/>
                <w:sz w:val="24"/>
                <w:szCs w:val="24"/>
                <w:highlight w:val="none"/>
                <w:lang w:val="en-US" w:eastAsia="zh-CN" w:bidi="ar"/>
              </w:rPr>
            </w:pPr>
            <w:r>
              <w:rPr>
                <w:rFonts w:hint="eastAsia" w:cs="Times New Roman"/>
                <w:b w:val="0"/>
                <w:bCs w:val="0"/>
                <w:color w:val="auto"/>
                <w:kern w:val="0"/>
                <w:sz w:val="24"/>
                <w:szCs w:val="24"/>
                <w:highlight w:val="none"/>
                <w:lang w:val="en-US" w:eastAsia="zh-CN" w:bidi="ar"/>
              </w:rPr>
              <w:t>①</w:t>
            </w:r>
            <w:r>
              <w:rPr>
                <w:rFonts w:hint="default" w:ascii="Times New Roman" w:hAnsi="Times New Roman" w:eastAsia="宋体" w:cs="Times New Roman"/>
                <w:b w:val="0"/>
                <w:bCs w:val="0"/>
                <w:color w:val="auto"/>
                <w:kern w:val="0"/>
                <w:sz w:val="24"/>
                <w:szCs w:val="24"/>
                <w:highlight w:val="none"/>
                <w:lang w:val="en-US" w:eastAsia="zh-CN" w:bidi="ar"/>
              </w:rPr>
              <w:t>废</w:t>
            </w:r>
            <w:r>
              <w:rPr>
                <w:rFonts w:hint="eastAsia" w:cs="Times New Roman"/>
                <w:b w:val="0"/>
                <w:bCs w:val="0"/>
                <w:color w:val="auto"/>
                <w:kern w:val="0"/>
                <w:sz w:val="24"/>
                <w:szCs w:val="24"/>
                <w:highlight w:val="none"/>
                <w:lang w:val="en-US" w:eastAsia="zh-CN" w:bidi="ar"/>
              </w:rPr>
              <w:t>机油</w:t>
            </w:r>
          </w:p>
          <w:p w14:paraId="49B194BE">
            <w:pPr>
              <w:keepNext w:val="0"/>
              <w:keepLines w:val="0"/>
              <w:widowControl w:val="0"/>
              <w:suppressLineNumbers w:val="0"/>
              <w:spacing w:before="0" w:beforeAutospacing="0" w:after="0" w:afterAutospacing="0" w:line="360" w:lineRule="auto"/>
              <w:ind w:left="0" w:right="0" w:firstLine="480"/>
              <w:jc w:val="left"/>
              <w:textAlignment w:val="baseline"/>
              <w:rPr>
                <w:rFonts w:hint="default" w:ascii="Times New Roman" w:hAnsi="Times New Roman" w:eastAsia="宋体" w:cs="Times New Roman"/>
                <w:b w:val="0"/>
                <w:bCs w:val="0"/>
                <w:color w:val="auto"/>
                <w:kern w:val="0"/>
                <w:sz w:val="24"/>
                <w:szCs w:val="24"/>
                <w:highlight w:val="none"/>
                <w:lang w:val="en-US" w:eastAsia="zh-CN" w:bidi="ar"/>
              </w:rPr>
            </w:pPr>
            <w:r>
              <w:rPr>
                <w:rFonts w:hint="default" w:ascii="Times New Roman" w:hAnsi="Times New Roman" w:eastAsia="宋体" w:cs="Times New Roman"/>
                <w:b w:val="0"/>
                <w:bCs w:val="0"/>
                <w:color w:val="auto"/>
                <w:kern w:val="0"/>
                <w:sz w:val="24"/>
                <w:szCs w:val="24"/>
                <w:highlight w:val="none"/>
                <w:lang w:val="en-US" w:eastAsia="zh-CN" w:bidi="ar"/>
              </w:rPr>
              <w:t>设备维修保养使用</w:t>
            </w:r>
            <w:r>
              <w:rPr>
                <w:rFonts w:hint="eastAsia" w:cs="Times New Roman"/>
                <w:b w:val="0"/>
                <w:bCs w:val="0"/>
                <w:color w:val="auto"/>
                <w:kern w:val="0"/>
                <w:sz w:val="24"/>
                <w:szCs w:val="24"/>
                <w:highlight w:val="none"/>
                <w:lang w:val="en-US" w:eastAsia="zh-CN" w:bidi="ar"/>
              </w:rPr>
              <w:t>机</w:t>
            </w:r>
            <w:r>
              <w:rPr>
                <w:rFonts w:hint="default" w:ascii="Times New Roman" w:hAnsi="Times New Roman" w:cs="Times New Roman"/>
                <w:b w:val="0"/>
                <w:bCs w:val="0"/>
                <w:color w:val="auto"/>
                <w:kern w:val="0"/>
                <w:sz w:val="24"/>
                <w:szCs w:val="24"/>
                <w:highlight w:val="none"/>
                <w:lang w:val="en-US" w:eastAsia="zh-CN" w:bidi="ar"/>
              </w:rPr>
              <w:t>油</w:t>
            </w:r>
            <w:r>
              <w:rPr>
                <w:rFonts w:hint="default" w:ascii="Times New Roman" w:hAnsi="Times New Roman" w:eastAsia="宋体" w:cs="Times New Roman"/>
                <w:b w:val="0"/>
                <w:bCs w:val="0"/>
                <w:color w:val="auto"/>
                <w:kern w:val="0"/>
                <w:sz w:val="24"/>
                <w:szCs w:val="24"/>
                <w:highlight w:val="none"/>
                <w:lang w:val="en-US" w:eastAsia="zh-CN" w:bidi="ar"/>
              </w:rPr>
              <w:t>，废</w:t>
            </w:r>
            <w:r>
              <w:rPr>
                <w:rFonts w:hint="eastAsia" w:cs="Times New Roman"/>
                <w:b w:val="0"/>
                <w:bCs w:val="0"/>
                <w:color w:val="auto"/>
                <w:kern w:val="0"/>
                <w:sz w:val="24"/>
                <w:szCs w:val="24"/>
                <w:highlight w:val="none"/>
                <w:lang w:val="en-US" w:eastAsia="zh-CN" w:bidi="ar"/>
              </w:rPr>
              <w:t>机</w:t>
            </w:r>
            <w:r>
              <w:rPr>
                <w:rFonts w:hint="default" w:ascii="Times New Roman" w:hAnsi="Times New Roman" w:cs="Times New Roman"/>
                <w:b w:val="0"/>
                <w:bCs w:val="0"/>
                <w:color w:val="auto"/>
                <w:kern w:val="0"/>
                <w:sz w:val="24"/>
                <w:szCs w:val="24"/>
                <w:highlight w:val="none"/>
                <w:lang w:val="en-US" w:eastAsia="zh-CN" w:bidi="ar"/>
              </w:rPr>
              <w:t>油</w:t>
            </w:r>
            <w:r>
              <w:rPr>
                <w:rFonts w:hint="default" w:ascii="Times New Roman" w:hAnsi="Times New Roman" w:eastAsia="宋体" w:cs="Times New Roman"/>
                <w:b w:val="0"/>
                <w:bCs w:val="0"/>
                <w:color w:val="auto"/>
                <w:kern w:val="0"/>
                <w:sz w:val="24"/>
                <w:szCs w:val="24"/>
                <w:highlight w:val="none"/>
                <w:lang w:val="en-US" w:eastAsia="zh-CN" w:bidi="ar"/>
              </w:rPr>
              <w:t>（HW08，900-214-08）产生量约为</w:t>
            </w:r>
            <w:r>
              <w:rPr>
                <w:rFonts w:hint="default" w:ascii="Times New Roman" w:hAnsi="Times New Roman" w:cs="Times New Roman"/>
                <w:b w:val="0"/>
                <w:bCs w:val="0"/>
                <w:color w:val="auto"/>
                <w:kern w:val="0"/>
                <w:sz w:val="24"/>
                <w:szCs w:val="24"/>
                <w:highlight w:val="none"/>
                <w:lang w:val="en-US" w:eastAsia="zh-CN" w:bidi="ar"/>
              </w:rPr>
              <w:t>0.</w:t>
            </w:r>
            <w:r>
              <w:rPr>
                <w:rFonts w:hint="eastAsia" w:cs="Times New Roman"/>
                <w:b w:val="0"/>
                <w:bCs w:val="0"/>
                <w:color w:val="auto"/>
                <w:kern w:val="0"/>
                <w:sz w:val="24"/>
                <w:szCs w:val="24"/>
                <w:highlight w:val="none"/>
                <w:lang w:val="en-US" w:eastAsia="zh-CN" w:bidi="ar"/>
              </w:rPr>
              <w:t>16</w:t>
            </w:r>
            <w:r>
              <w:rPr>
                <w:rFonts w:hint="default" w:ascii="Times New Roman" w:hAnsi="Times New Roman" w:eastAsia="宋体" w:cs="Times New Roman"/>
                <w:b w:val="0"/>
                <w:bCs w:val="0"/>
                <w:color w:val="auto"/>
                <w:kern w:val="0"/>
                <w:sz w:val="24"/>
                <w:szCs w:val="24"/>
                <w:highlight w:val="none"/>
                <w:lang w:val="en-US" w:eastAsia="zh-CN" w:bidi="ar"/>
              </w:rPr>
              <w:t>t/a。</w:t>
            </w:r>
          </w:p>
          <w:p w14:paraId="00E886B7">
            <w:pPr>
              <w:keepNext w:val="0"/>
              <w:keepLines w:val="0"/>
              <w:widowControl w:val="0"/>
              <w:suppressLineNumbers w:val="0"/>
              <w:spacing w:before="0" w:beforeAutospacing="0" w:after="0" w:afterAutospacing="0" w:line="360" w:lineRule="auto"/>
              <w:ind w:left="0" w:right="0" w:firstLine="480"/>
              <w:jc w:val="left"/>
              <w:textAlignment w:val="baseline"/>
              <w:rPr>
                <w:rFonts w:hint="default" w:ascii="Times New Roman" w:hAnsi="Times New Roman" w:eastAsia="宋体" w:cs="Times New Roman"/>
                <w:b w:val="0"/>
                <w:bCs w:val="0"/>
                <w:color w:val="auto"/>
                <w:kern w:val="0"/>
                <w:sz w:val="24"/>
                <w:szCs w:val="24"/>
                <w:highlight w:val="none"/>
                <w:lang w:val="en-US" w:eastAsia="zh-CN" w:bidi="ar"/>
              </w:rPr>
            </w:pPr>
            <w:r>
              <w:rPr>
                <w:rFonts w:hint="eastAsia" w:cs="Times New Roman"/>
                <w:b w:val="0"/>
                <w:bCs w:val="0"/>
                <w:color w:val="auto"/>
                <w:kern w:val="0"/>
                <w:sz w:val="24"/>
                <w:szCs w:val="24"/>
                <w:highlight w:val="none"/>
                <w:lang w:val="en-US" w:eastAsia="zh-CN" w:bidi="ar"/>
              </w:rPr>
              <w:t>②</w:t>
            </w:r>
            <w:r>
              <w:rPr>
                <w:rFonts w:hint="default" w:ascii="Times New Roman" w:hAnsi="Times New Roman" w:eastAsia="宋体" w:cs="Times New Roman"/>
                <w:b w:val="0"/>
                <w:bCs w:val="0"/>
                <w:color w:val="auto"/>
                <w:kern w:val="0"/>
                <w:sz w:val="24"/>
                <w:szCs w:val="24"/>
                <w:highlight w:val="none"/>
                <w:lang w:val="en-US" w:eastAsia="zh-CN" w:bidi="ar"/>
              </w:rPr>
              <w:t>废</w:t>
            </w:r>
            <w:r>
              <w:rPr>
                <w:rFonts w:hint="eastAsia" w:cs="Times New Roman"/>
                <w:b w:val="0"/>
                <w:bCs w:val="0"/>
                <w:color w:val="auto"/>
                <w:kern w:val="0"/>
                <w:sz w:val="24"/>
                <w:szCs w:val="24"/>
                <w:highlight w:val="none"/>
                <w:lang w:val="en-US" w:eastAsia="zh-CN" w:bidi="ar"/>
              </w:rPr>
              <w:t>机油</w:t>
            </w:r>
            <w:r>
              <w:rPr>
                <w:rFonts w:hint="default" w:ascii="Times New Roman" w:hAnsi="Times New Roman" w:eastAsia="宋体" w:cs="Times New Roman"/>
                <w:b w:val="0"/>
                <w:bCs w:val="0"/>
                <w:color w:val="auto"/>
                <w:kern w:val="0"/>
                <w:sz w:val="24"/>
                <w:szCs w:val="24"/>
                <w:highlight w:val="none"/>
                <w:lang w:val="en-US" w:eastAsia="zh-CN" w:bidi="ar"/>
              </w:rPr>
              <w:t>桶</w:t>
            </w:r>
          </w:p>
          <w:p w14:paraId="3B74AE93">
            <w:pPr>
              <w:keepNext w:val="0"/>
              <w:keepLines w:val="0"/>
              <w:widowControl w:val="0"/>
              <w:suppressLineNumbers w:val="0"/>
              <w:spacing w:before="0" w:beforeAutospacing="0" w:after="0" w:afterAutospacing="0" w:line="360" w:lineRule="auto"/>
              <w:ind w:left="0" w:right="0" w:firstLine="480"/>
              <w:jc w:val="left"/>
              <w:textAlignment w:val="baseline"/>
              <w:rPr>
                <w:rFonts w:hint="default" w:ascii="Times New Roman" w:hAnsi="Times New Roman" w:eastAsia="宋体" w:cs="Times New Roman"/>
                <w:b w:val="0"/>
                <w:bCs w:val="0"/>
                <w:color w:val="auto"/>
                <w:kern w:val="0"/>
                <w:sz w:val="24"/>
                <w:szCs w:val="24"/>
                <w:highlight w:val="none"/>
                <w:lang w:val="en-US" w:eastAsia="zh-CN" w:bidi="ar"/>
              </w:rPr>
            </w:pPr>
            <w:r>
              <w:rPr>
                <w:rFonts w:hint="default" w:ascii="Times New Roman" w:hAnsi="Times New Roman" w:eastAsia="宋体" w:cs="Times New Roman"/>
                <w:b w:val="0"/>
                <w:bCs w:val="0"/>
                <w:color w:val="auto"/>
                <w:kern w:val="0"/>
                <w:sz w:val="24"/>
                <w:szCs w:val="24"/>
                <w:highlight w:val="none"/>
                <w:lang w:val="en-US" w:eastAsia="zh-CN" w:bidi="ar"/>
              </w:rPr>
              <w:t>项目废</w:t>
            </w:r>
            <w:r>
              <w:rPr>
                <w:rFonts w:hint="eastAsia" w:cs="Times New Roman"/>
                <w:b w:val="0"/>
                <w:bCs w:val="0"/>
                <w:color w:val="auto"/>
                <w:kern w:val="0"/>
                <w:sz w:val="24"/>
                <w:szCs w:val="24"/>
                <w:highlight w:val="none"/>
                <w:lang w:val="en-US" w:eastAsia="zh-CN" w:bidi="ar"/>
              </w:rPr>
              <w:t>机</w:t>
            </w:r>
            <w:r>
              <w:rPr>
                <w:rFonts w:hint="default" w:ascii="Times New Roman" w:hAnsi="Times New Roman" w:eastAsia="宋体" w:cs="Times New Roman"/>
                <w:b w:val="0"/>
                <w:bCs w:val="0"/>
                <w:color w:val="auto"/>
                <w:kern w:val="0"/>
                <w:sz w:val="24"/>
                <w:szCs w:val="24"/>
                <w:highlight w:val="none"/>
                <w:lang w:val="en-US" w:eastAsia="zh-CN" w:bidi="ar"/>
              </w:rPr>
              <w:t>油桶（HW49</w:t>
            </w:r>
            <w:r>
              <w:rPr>
                <w:rFonts w:hint="eastAsia" w:cs="Times New Roman"/>
                <w:b w:val="0"/>
                <w:bCs w:val="0"/>
                <w:color w:val="auto"/>
                <w:kern w:val="0"/>
                <w:sz w:val="24"/>
                <w:szCs w:val="24"/>
                <w:highlight w:val="none"/>
                <w:lang w:val="en-US" w:eastAsia="zh-CN" w:bidi="ar"/>
              </w:rPr>
              <w:t>，</w:t>
            </w:r>
            <w:r>
              <w:rPr>
                <w:rFonts w:hint="default" w:ascii="Times New Roman" w:hAnsi="Times New Roman" w:eastAsia="宋体" w:cs="Times New Roman"/>
                <w:b w:val="0"/>
                <w:bCs w:val="0"/>
                <w:color w:val="auto"/>
                <w:kern w:val="0"/>
                <w:sz w:val="24"/>
                <w:szCs w:val="24"/>
                <w:highlight w:val="none"/>
                <w:lang w:val="en-US" w:eastAsia="zh-CN" w:bidi="ar"/>
              </w:rPr>
              <w:t>900-041-49）产生量约为0.0</w:t>
            </w:r>
            <w:r>
              <w:rPr>
                <w:rFonts w:hint="eastAsia" w:cs="Times New Roman"/>
                <w:b w:val="0"/>
                <w:bCs w:val="0"/>
                <w:color w:val="auto"/>
                <w:kern w:val="0"/>
                <w:sz w:val="24"/>
                <w:szCs w:val="24"/>
                <w:highlight w:val="none"/>
                <w:lang w:val="en-US" w:eastAsia="zh-CN" w:bidi="ar"/>
              </w:rPr>
              <w:t>4</w:t>
            </w:r>
            <w:r>
              <w:rPr>
                <w:rFonts w:hint="default" w:ascii="Times New Roman" w:hAnsi="Times New Roman" w:eastAsia="宋体" w:cs="Times New Roman"/>
                <w:b w:val="0"/>
                <w:bCs w:val="0"/>
                <w:color w:val="auto"/>
                <w:kern w:val="0"/>
                <w:sz w:val="24"/>
                <w:szCs w:val="24"/>
                <w:highlight w:val="none"/>
                <w:lang w:val="en-US" w:eastAsia="zh-CN" w:bidi="ar"/>
              </w:rPr>
              <w:t>t/a。</w:t>
            </w:r>
          </w:p>
          <w:p w14:paraId="42558649">
            <w:pPr>
              <w:bidi w:val="0"/>
              <w:rPr>
                <w:rFonts w:hint="eastAsia" w:eastAsia="宋体"/>
                <w:color w:val="auto"/>
                <w:highlight w:val="none"/>
                <w:lang w:eastAsia="zh-CN"/>
              </w:rPr>
            </w:pPr>
            <w:r>
              <w:rPr>
                <w:rFonts w:hint="eastAsia" w:ascii="Times New Roman" w:hAnsi="Times New Roman" w:eastAsia="宋体" w:cs="Times New Roman"/>
                <w:b w:val="0"/>
                <w:bCs w:val="0"/>
                <w:color w:val="auto"/>
                <w:spacing w:val="0"/>
                <w:sz w:val="24"/>
                <w:szCs w:val="24"/>
                <w:highlight w:val="none"/>
                <w:lang w:val="en-US" w:eastAsia="zh-CN"/>
              </w:rPr>
              <w:t>③</w:t>
            </w:r>
            <w:r>
              <w:rPr>
                <w:rFonts w:hint="eastAsia" w:eastAsia="宋体"/>
                <w:color w:val="auto"/>
                <w:highlight w:val="none"/>
                <w:lang w:eastAsia="zh-CN"/>
              </w:rPr>
              <w:t>废含油抹布手套</w:t>
            </w:r>
          </w:p>
          <w:p w14:paraId="087A85A3">
            <w:pPr>
              <w:bidi w:val="0"/>
              <w:rPr>
                <w:rFonts w:hint="default"/>
                <w:color w:val="auto"/>
                <w:highlight w:val="none"/>
                <w:lang w:eastAsia="zh-CN"/>
              </w:rPr>
            </w:pPr>
            <w:r>
              <w:rPr>
                <w:rFonts w:hint="default" w:ascii="Times New Roman" w:hAnsi="Times New Roman" w:eastAsia="宋体" w:cs="Times New Roman"/>
                <w:b w:val="0"/>
                <w:bCs w:val="0"/>
                <w:color w:val="auto"/>
                <w:spacing w:val="0"/>
                <w:szCs w:val="24"/>
                <w:highlight w:val="none"/>
                <w:lang w:val="en-US" w:eastAsia="zh-CN"/>
              </w:rPr>
              <w:t>设备日常维护</w:t>
            </w:r>
            <w:r>
              <w:rPr>
                <w:rFonts w:hint="default"/>
                <w:color w:val="auto"/>
                <w:highlight w:val="none"/>
              </w:rPr>
              <w:t>过程中产生</w:t>
            </w:r>
            <w:r>
              <w:rPr>
                <w:rFonts w:hint="eastAsia"/>
                <w:color w:val="auto"/>
                <w:highlight w:val="none"/>
                <w:lang w:eastAsia="zh-CN"/>
              </w:rPr>
              <w:t>废含油抹布手套</w:t>
            </w:r>
            <w:r>
              <w:rPr>
                <w:rFonts w:hint="default"/>
                <w:color w:val="auto"/>
                <w:highlight w:val="none"/>
              </w:rPr>
              <w:t>，根据《国家危险废物名录》（202</w:t>
            </w:r>
            <w:r>
              <w:rPr>
                <w:rFonts w:hint="eastAsia"/>
                <w:color w:val="auto"/>
                <w:highlight w:val="none"/>
                <w:lang w:val="en-US" w:eastAsia="zh-CN"/>
              </w:rPr>
              <w:t>5</w:t>
            </w:r>
            <w:r>
              <w:rPr>
                <w:rFonts w:hint="default"/>
                <w:color w:val="auto"/>
                <w:highlight w:val="none"/>
              </w:rPr>
              <w:t>版），属于危险废物，废物类别为（废物代码900-041-49），产生量约为0.0</w:t>
            </w:r>
            <w:r>
              <w:rPr>
                <w:rFonts w:hint="default"/>
                <w:color w:val="auto"/>
                <w:highlight w:val="none"/>
                <w:lang w:val="en-US" w:eastAsia="zh-CN"/>
              </w:rPr>
              <w:t>1</w:t>
            </w:r>
            <w:r>
              <w:rPr>
                <w:rFonts w:hint="default"/>
                <w:color w:val="auto"/>
                <w:highlight w:val="none"/>
              </w:rPr>
              <w:t>t/a，在危废库内封闭暂存后，定期委托有资质单位处置</w:t>
            </w:r>
            <w:r>
              <w:rPr>
                <w:rFonts w:hint="default"/>
                <w:color w:val="auto"/>
                <w:highlight w:val="none"/>
                <w:lang w:eastAsia="zh-CN"/>
              </w:rPr>
              <w:t>。</w:t>
            </w:r>
          </w:p>
          <w:p w14:paraId="7D79AC61">
            <w:pPr>
              <w:bidi w:val="0"/>
              <w:rPr>
                <w:rFonts w:hint="eastAsia"/>
                <w:color w:val="auto"/>
                <w:highlight w:val="none"/>
                <w:lang w:val="en-US" w:eastAsia="zh-CN"/>
              </w:rPr>
            </w:pPr>
            <w:r>
              <w:rPr>
                <w:rFonts w:hint="eastAsia"/>
                <w:color w:val="auto"/>
                <w:highlight w:val="none"/>
                <w:lang w:val="en-US" w:eastAsia="zh-CN"/>
              </w:rPr>
              <w:t>④废活性炭</w:t>
            </w:r>
          </w:p>
          <w:p w14:paraId="5527F8D5">
            <w:pPr>
              <w:spacing w:line="360" w:lineRule="auto"/>
              <w:ind w:firstLine="480" w:firstLineChars="200"/>
              <w:rPr>
                <w:bCs/>
                <w:color w:val="auto"/>
                <w:sz w:val="24"/>
              </w:rPr>
            </w:pPr>
            <w:r>
              <w:rPr>
                <w:color w:val="auto"/>
                <w:sz w:val="24"/>
              </w:rPr>
              <w:t>本项目有机废气由活性炭吸附装置进行处理（去除效率不低于90%），产生废活性炭。根据前述工程分析，活性炭吸附装置吸附VOCs废气量</w:t>
            </w:r>
            <w:r>
              <w:rPr>
                <w:rFonts w:hint="eastAsia"/>
                <w:color w:val="auto"/>
                <w:sz w:val="24"/>
                <w:lang w:val="en-US" w:eastAsia="zh-CN"/>
              </w:rPr>
              <w:t>5.6663</w:t>
            </w:r>
            <w:r>
              <w:rPr>
                <w:color w:val="auto"/>
                <w:sz w:val="24"/>
              </w:rPr>
              <w:t>t/a，为保证吸附率，活性炭需及时更换，产生废活性炭。活性炭对项目有机废气的平均吸附量约0.3g</w:t>
            </w:r>
            <w:r>
              <w:rPr>
                <w:rFonts w:hint="eastAsia"/>
                <w:color w:val="auto"/>
                <w:sz w:val="24"/>
                <w:lang w:eastAsia="zh-CN"/>
              </w:rPr>
              <w:t>（</w:t>
            </w:r>
            <w:r>
              <w:rPr>
                <w:color w:val="auto"/>
                <w:sz w:val="24"/>
              </w:rPr>
              <w:t>有机废气</w:t>
            </w:r>
            <w:r>
              <w:rPr>
                <w:rFonts w:hint="eastAsia"/>
                <w:color w:val="auto"/>
                <w:sz w:val="24"/>
                <w:lang w:eastAsia="zh-CN"/>
              </w:rPr>
              <w:t>）</w:t>
            </w:r>
            <w:r>
              <w:rPr>
                <w:color w:val="auto"/>
                <w:sz w:val="24"/>
              </w:rPr>
              <w:t>/g</w:t>
            </w:r>
            <w:r>
              <w:rPr>
                <w:rFonts w:hint="eastAsia"/>
                <w:color w:val="auto"/>
                <w:sz w:val="24"/>
                <w:lang w:eastAsia="zh-CN"/>
              </w:rPr>
              <w:t>（</w:t>
            </w:r>
            <w:r>
              <w:rPr>
                <w:color w:val="auto"/>
                <w:sz w:val="24"/>
              </w:rPr>
              <w:t>活性炭</w:t>
            </w:r>
            <w:r>
              <w:rPr>
                <w:rFonts w:hint="eastAsia"/>
                <w:color w:val="auto"/>
                <w:sz w:val="24"/>
                <w:lang w:eastAsia="zh-CN"/>
              </w:rPr>
              <w:t>）</w:t>
            </w:r>
            <w:r>
              <w:rPr>
                <w:color w:val="auto"/>
                <w:sz w:val="24"/>
              </w:rPr>
              <w:t>，则</w:t>
            </w:r>
            <w:r>
              <w:rPr>
                <w:bCs/>
                <w:color w:val="auto"/>
                <w:sz w:val="24"/>
              </w:rPr>
              <w:t>活性炭吸附处理装置产生的废弃活性炭总量约为</w:t>
            </w:r>
            <w:r>
              <w:rPr>
                <w:rFonts w:hint="eastAsia"/>
                <w:bCs/>
                <w:color w:val="auto"/>
                <w:sz w:val="24"/>
                <w:lang w:val="en-US" w:eastAsia="zh-CN"/>
              </w:rPr>
              <w:t>24.55</w:t>
            </w:r>
            <w:r>
              <w:rPr>
                <w:bCs/>
                <w:color w:val="auto"/>
                <w:sz w:val="24"/>
              </w:rPr>
              <w:t>t/a。</w:t>
            </w:r>
            <w:r>
              <w:rPr>
                <w:color w:val="auto"/>
                <w:sz w:val="24"/>
              </w:rPr>
              <w:t>根据《国家危险废物名录》（202</w:t>
            </w:r>
            <w:r>
              <w:rPr>
                <w:rFonts w:hint="eastAsia"/>
                <w:color w:val="auto"/>
                <w:sz w:val="24"/>
                <w:lang w:val="en-US" w:eastAsia="zh-CN"/>
              </w:rPr>
              <w:t>5</w:t>
            </w:r>
            <w:r>
              <w:rPr>
                <w:color w:val="auto"/>
                <w:sz w:val="24"/>
              </w:rPr>
              <w:t>年版），属于危险废物，废物类别为HW49其他废物（废物代码900-039-49），</w:t>
            </w:r>
            <w:r>
              <w:rPr>
                <w:bCs/>
                <w:color w:val="auto"/>
                <w:sz w:val="24"/>
              </w:rPr>
              <w:t>废弃活性炭收集后暂存于危废库，后定期委托有资质单位处理。</w:t>
            </w:r>
          </w:p>
          <w:p w14:paraId="01BCD615">
            <w:pPr>
              <w:spacing w:line="360" w:lineRule="auto"/>
              <w:ind w:firstLine="480" w:firstLineChars="200"/>
              <w:rPr>
                <w:rFonts w:hint="eastAsia"/>
                <w:bCs/>
                <w:color w:val="auto"/>
                <w:sz w:val="24"/>
                <w:lang w:val="en-US" w:eastAsia="zh-CN"/>
              </w:rPr>
            </w:pPr>
            <w:r>
              <w:rPr>
                <w:rFonts w:hint="eastAsia"/>
                <w:bCs/>
                <w:color w:val="auto"/>
                <w:sz w:val="24"/>
                <w:lang w:val="en-US" w:eastAsia="zh-CN"/>
              </w:rPr>
              <w:t>⑤废油墨包装桶</w:t>
            </w:r>
          </w:p>
          <w:p w14:paraId="4625F4DF">
            <w:pPr>
              <w:spacing w:line="360" w:lineRule="auto"/>
              <w:ind w:firstLine="480" w:firstLineChars="200"/>
              <w:rPr>
                <w:rFonts w:hint="eastAsia"/>
                <w:bCs/>
                <w:color w:val="auto"/>
                <w:sz w:val="24"/>
                <w:lang w:eastAsia="zh-CN"/>
              </w:rPr>
            </w:pPr>
            <w:r>
              <w:rPr>
                <w:rFonts w:hint="eastAsia"/>
                <w:sz w:val="24"/>
                <w:highlight w:val="none"/>
                <w:lang w:val="en-US" w:eastAsia="zh-CN"/>
              </w:rPr>
              <w:t>本项目油墨使用过程中会产生废油墨包装桶，产生量约为0.1t/a。</w:t>
            </w:r>
            <w:r>
              <w:rPr>
                <w:color w:val="auto"/>
                <w:sz w:val="24"/>
              </w:rPr>
              <w:t>根据《国家危险废物名录》（202</w:t>
            </w:r>
            <w:r>
              <w:rPr>
                <w:rFonts w:hint="eastAsia"/>
                <w:color w:val="auto"/>
                <w:sz w:val="24"/>
                <w:lang w:val="en-US" w:eastAsia="zh-CN"/>
              </w:rPr>
              <w:t>5</w:t>
            </w:r>
            <w:r>
              <w:rPr>
                <w:color w:val="auto"/>
                <w:sz w:val="24"/>
              </w:rPr>
              <w:t>年版），废油墨桶危废编号：HW49，代码900-041-49。废</w:t>
            </w:r>
            <w:r>
              <w:rPr>
                <w:bCs/>
                <w:color w:val="auto"/>
                <w:sz w:val="24"/>
              </w:rPr>
              <w:t>油墨桶收集后暂存于危废库，后定期委托有资质单位处理</w:t>
            </w:r>
            <w:r>
              <w:rPr>
                <w:rFonts w:hint="eastAsia"/>
                <w:bCs/>
                <w:color w:val="auto"/>
                <w:sz w:val="24"/>
                <w:lang w:eastAsia="zh-CN"/>
              </w:rPr>
              <w:t>。</w:t>
            </w:r>
          </w:p>
          <w:p w14:paraId="7D1B201C">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⑥油雾净化器收集废油</w:t>
            </w:r>
          </w:p>
          <w:p w14:paraId="0F438770">
            <w:pPr>
              <w:spacing w:line="360" w:lineRule="auto"/>
              <w:ind w:firstLine="480" w:firstLineChars="200"/>
              <w:rPr>
                <w:rFonts w:hint="eastAsia"/>
                <w:bCs/>
                <w:color w:val="auto"/>
                <w:sz w:val="24"/>
                <w:lang w:val="en-US" w:eastAsia="zh-CN"/>
              </w:rPr>
            </w:pPr>
            <w:r>
              <w:rPr>
                <w:rFonts w:hint="eastAsia" w:ascii="Times New Roman" w:hAnsi="Times New Roman" w:eastAsia="宋体" w:cs="Times New Roman"/>
                <w:color w:val="auto"/>
                <w:sz w:val="24"/>
                <w:szCs w:val="24"/>
                <w:highlight w:val="none"/>
                <w:lang w:val="en-US" w:eastAsia="zh-CN"/>
              </w:rPr>
              <w:t>项目ES0、DOTP熔融造粒过程会产生油雾，通过静电式油雾净化器处理，油雾</w:t>
            </w:r>
            <w:r>
              <w:rPr>
                <w:rFonts w:hint="eastAsia" w:cs="Times New Roman"/>
                <w:color w:val="auto"/>
                <w:sz w:val="24"/>
                <w:szCs w:val="24"/>
                <w:highlight w:val="none"/>
                <w:lang w:val="en-US" w:eastAsia="zh-CN"/>
              </w:rPr>
              <w:t>在</w:t>
            </w:r>
            <w:r>
              <w:rPr>
                <w:rFonts w:hint="eastAsia" w:ascii="Times New Roman" w:hAnsi="Times New Roman" w:eastAsia="宋体" w:cs="Times New Roman"/>
                <w:color w:val="auto"/>
                <w:sz w:val="24"/>
                <w:szCs w:val="24"/>
                <w:highlight w:val="none"/>
                <w:lang w:val="en-US" w:eastAsia="zh-CN"/>
              </w:rPr>
              <w:t>净化器上形成油膜后流入集油槽，该废油产生量约为1.68t/a。</w:t>
            </w:r>
            <w:r>
              <w:rPr>
                <w:rFonts w:hint="default" w:ascii="Times New Roman" w:hAnsi="Times New Roman" w:eastAsia="宋体" w:cs="Times New Roman"/>
                <w:color w:val="auto"/>
                <w:sz w:val="24"/>
                <w:szCs w:val="24"/>
                <w:highlight w:val="none"/>
              </w:rPr>
              <w:t>根据《国家危险废物名录》（202</w:t>
            </w:r>
            <w:r>
              <w:rPr>
                <w:rFonts w:hint="eastAsia"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年版</w:t>
            </w:r>
            <w:r>
              <w:rPr>
                <w:rFonts w:hint="default" w:ascii="Times New Roman" w:hAnsi="Times New Roman" w:eastAsia="宋体" w:cs="Times New Roman"/>
                <w:color w:val="auto"/>
                <w:sz w:val="24"/>
                <w:szCs w:val="24"/>
                <w:highlight w:val="none"/>
              </w:rPr>
              <w:t>），属于危险废物，废物类别为HW08废矿物油与含矿物油废物（废物代码900-249-08）。在危废</w:t>
            </w:r>
            <w:r>
              <w:rPr>
                <w:rFonts w:hint="eastAsia" w:ascii="Times New Roman" w:hAnsi="Times New Roman" w:eastAsia="宋体" w:cs="Times New Roman"/>
                <w:color w:val="auto"/>
                <w:sz w:val="24"/>
                <w:szCs w:val="24"/>
                <w:highlight w:val="none"/>
                <w:lang w:val="en-US" w:eastAsia="zh-CN"/>
              </w:rPr>
              <w:t>库</w:t>
            </w:r>
            <w:r>
              <w:rPr>
                <w:rFonts w:hint="default" w:ascii="Times New Roman" w:hAnsi="Times New Roman" w:eastAsia="宋体" w:cs="Times New Roman"/>
                <w:color w:val="auto"/>
                <w:sz w:val="24"/>
                <w:szCs w:val="24"/>
                <w:highlight w:val="none"/>
              </w:rPr>
              <w:t>内封闭暂存后，定期委托有资质单位处置。</w:t>
            </w:r>
          </w:p>
          <w:p w14:paraId="404DC073">
            <w:pPr>
              <w:pStyle w:val="2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ascii="宋体" w:hAnsi="宋体" w:eastAsia="宋体" w:cs="宋体"/>
                <w:b w:val="0"/>
                <w:bCs w:val="0"/>
                <w:color w:val="auto"/>
                <w:spacing w:val="0"/>
                <w:sz w:val="24"/>
                <w:szCs w:val="24"/>
                <w:highlight w:val="none"/>
                <w:lang w:val="en-US" w:eastAsia="zh-CN"/>
              </w:rPr>
            </w:pPr>
            <w:r>
              <w:rPr>
                <w:rFonts w:hint="default" w:ascii="宋体" w:hAnsi="宋体" w:eastAsia="宋体" w:cs="宋体"/>
                <w:b w:val="0"/>
                <w:bCs w:val="0"/>
                <w:color w:val="auto"/>
                <w:spacing w:val="0"/>
                <w:sz w:val="24"/>
                <w:szCs w:val="24"/>
                <w:highlight w:val="none"/>
                <w:lang w:val="en-US" w:eastAsia="zh-CN"/>
              </w:rPr>
              <w:t>本项目固体废物产生及排放情况详见下表。</w:t>
            </w:r>
          </w:p>
          <w:p w14:paraId="07E5DDF1">
            <w:pPr>
              <w:pStyle w:val="5"/>
              <w:bidi w:val="0"/>
              <w:rPr>
                <w:rFonts w:hint="eastAsia"/>
                <w:color w:val="auto"/>
                <w:highlight w:val="none"/>
                <w:lang w:val="en-US" w:eastAsia="zh-CN"/>
              </w:rPr>
            </w:pPr>
            <w:r>
              <w:rPr>
                <w:rFonts w:hint="eastAsia"/>
                <w:color w:val="auto"/>
                <w:highlight w:val="none"/>
                <w:lang w:val="en-US" w:eastAsia="zh-CN"/>
              </w:rPr>
              <w:t>表</w:t>
            </w:r>
            <w:r>
              <w:rPr>
                <w:rFonts w:hint="default"/>
                <w:color w:val="auto"/>
                <w:highlight w:val="none"/>
                <w:lang w:val="en-US" w:eastAsia="zh-CN"/>
              </w:rPr>
              <w:t>4-1</w:t>
            </w:r>
            <w:r>
              <w:rPr>
                <w:rFonts w:hint="eastAsia"/>
                <w:color w:val="auto"/>
                <w:highlight w:val="none"/>
                <w:lang w:val="en-US" w:eastAsia="zh-CN"/>
              </w:rPr>
              <w:t>6 固体废物源强及排放情况</w:t>
            </w:r>
          </w:p>
          <w:tbl>
            <w:tblPr>
              <w:tblStyle w:val="28"/>
              <w:tblW w:w="49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1730"/>
              <w:gridCol w:w="657"/>
              <w:gridCol w:w="2000"/>
              <w:gridCol w:w="950"/>
              <w:gridCol w:w="2382"/>
            </w:tblGrid>
            <w:tr w14:paraId="2AB47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385" w:type="pct"/>
                  <w:tcBorders>
                    <w:tl2br w:val="nil"/>
                    <w:tr2bl w:val="nil"/>
                  </w:tcBorders>
                  <w:noWrap w:val="0"/>
                  <w:vAlign w:val="center"/>
                </w:tcPr>
                <w:p w14:paraId="565789AF">
                  <w:pPr>
                    <w:pStyle w:val="10"/>
                    <w:bidi w:val="0"/>
                    <w:rPr>
                      <w:rFonts w:hint="default"/>
                      <w:b/>
                      <w:bCs/>
                      <w:color w:val="auto"/>
                      <w:sz w:val="21"/>
                      <w:szCs w:val="21"/>
                      <w:highlight w:val="none"/>
                      <w:lang w:val="en-US" w:eastAsia="zh-CN"/>
                    </w:rPr>
                  </w:pPr>
                  <w:r>
                    <w:rPr>
                      <w:rFonts w:hint="eastAsia"/>
                      <w:b/>
                      <w:bCs/>
                      <w:color w:val="auto"/>
                      <w:sz w:val="21"/>
                      <w:szCs w:val="21"/>
                      <w:highlight w:val="none"/>
                      <w:lang w:val="en-US" w:eastAsia="zh-CN"/>
                    </w:rPr>
                    <w:t>序号</w:t>
                  </w:r>
                </w:p>
              </w:tc>
              <w:tc>
                <w:tcPr>
                  <w:tcW w:w="1034" w:type="pct"/>
                  <w:tcBorders>
                    <w:tl2br w:val="nil"/>
                    <w:tr2bl w:val="nil"/>
                  </w:tcBorders>
                  <w:noWrap w:val="0"/>
                  <w:vAlign w:val="center"/>
                </w:tcPr>
                <w:p w14:paraId="14274330">
                  <w:pPr>
                    <w:pStyle w:val="10"/>
                    <w:bidi w:val="0"/>
                    <w:rPr>
                      <w:rFonts w:hint="default"/>
                      <w:b/>
                      <w:bCs/>
                      <w:color w:val="auto"/>
                      <w:sz w:val="21"/>
                      <w:szCs w:val="21"/>
                      <w:highlight w:val="none"/>
                      <w:lang w:val="en-US" w:eastAsia="zh-CN"/>
                    </w:rPr>
                  </w:pPr>
                  <w:r>
                    <w:rPr>
                      <w:rFonts w:hint="eastAsia"/>
                      <w:b/>
                      <w:bCs/>
                      <w:color w:val="auto"/>
                      <w:sz w:val="21"/>
                      <w:szCs w:val="21"/>
                      <w:highlight w:val="none"/>
                      <w:lang w:val="en-US" w:eastAsia="zh-CN"/>
                    </w:rPr>
                    <w:t>固废名称</w:t>
                  </w:r>
                </w:p>
              </w:tc>
              <w:tc>
                <w:tcPr>
                  <w:tcW w:w="392" w:type="pct"/>
                  <w:tcBorders>
                    <w:tl2br w:val="nil"/>
                    <w:tr2bl w:val="nil"/>
                  </w:tcBorders>
                  <w:noWrap w:val="0"/>
                  <w:vAlign w:val="center"/>
                </w:tcPr>
                <w:p w14:paraId="2EADC144">
                  <w:pPr>
                    <w:pStyle w:val="10"/>
                    <w:bidi w:val="0"/>
                    <w:rPr>
                      <w:rFonts w:hint="default"/>
                      <w:b/>
                      <w:bCs/>
                      <w:color w:val="auto"/>
                      <w:sz w:val="21"/>
                      <w:szCs w:val="21"/>
                      <w:highlight w:val="none"/>
                      <w:lang w:val="en-US" w:eastAsia="zh-CN"/>
                    </w:rPr>
                  </w:pPr>
                  <w:r>
                    <w:rPr>
                      <w:rFonts w:hint="eastAsia"/>
                      <w:b/>
                      <w:bCs/>
                      <w:color w:val="auto"/>
                      <w:sz w:val="21"/>
                      <w:szCs w:val="21"/>
                      <w:highlight w:val="none"/>
                      <w:lang w:val="en-US" w:eastAsia="zh-CN"/>
                    </w:rPr>
                    <w:t>属性</w:t>
                  </w:r>
                </w:p>
              </w:tc>
              <w:tc>
                <w:tcPr>
                  <w:tcW w:w="1195" w:type="pct"/>
                  <w:tcBorders>
                    <w:tl2br w:val="nil"/>
                    <w:tr2bl w:val="nil"/>
                  </w:tcBorders>
                  <w:noWrap w:val="0"/>
                  <w:vAlign w:val="center"/>
                </w:tcPr>
                <w:p w14:paraId="47976440">
                  <w:pPr>
                    <w:pStyle w:val="10"/>
                    <w:bidi w:val="0"/>
                    <w:rPr>
                      <w:rFonts w:hint="default"/>
                      <w:b/>
                      <w:bCs/>
                      <w:color w:val="auto"/>
                      <w:sz w:val="21"/>
                      <w:szCs w:val="21"/>
                      <w:highlight w:val="none"/>
                      <w:lang w:val="en-US" w:eastAsia="zh-CN"/>
                    </w:rPr>
                  </w:pPr>
                  <w:r>
                    <w:rPr>
                      <w:rFonts w:hint="eastAsia"/>
                      <w:b/>
                      <w:bCs/>
                      <w:color w:val="auto"/>
                      <w:sz w:val="21"/>
                      <w:szCs w:val="21"/>
                      <w:highlight w:val="none"/>
                      <w:lang w:val="en-US" w:eastAsia="zh-CN"/>
                    </w:rPr>
                    <w:t>产生工序</w:t>
                  </w:r>
                </w:p>
              </w:tc>
              <w:tc>
                <w:tcPr>
                  <w:tcW w:w="567" w:type="pct"/>
                  <w:tcBorders>
                    <w:tl2br w:val="nil"/>
                    <w:tr2bl w:val="nil"/>
                  </w:tcBorders>
                  <w:noWrap w:val="0"/>
                  <w:vAlign w:val="center"/>
                </w:tcPr>
                <w:p w14:paraId="50022B55">
                  <w:pPr>
                    <w:pStyle w:val="10"/>
                    <w:bidi w:val="0"/>
                    <w:rPr>
                      <w:rFonts w:hint="default"/>
                      <w:b/>
                      <w:bCs/>
                      <w:color w:val="auto"/>
                      <w:sz w:val="21"/>
                      <w:szCs w:val="21"/>
                      <w:highlight w:val="none"/>
                      <w:lang w:val="en-US" w:eastAsia="zh-CN"/>
                    </w:rPr>
                  </w:pPr>
                  <w:r>
                    <w:rPr>
                      <w:rFonts w:hint="eastAsia"/>
                      <w:b/>
                      <w:bCs/>
                      <w:color w:val="auto"/>
                      <w:sz w:val="21"/>
                      <w:szCs w:val="21"/>
                      <w:highlight w:val="none"/>
                      <w:lang w:val="en-US" w:eastAsia="zh-CN"/>
                    </w:rPr>
                    <w:t>产生量</w:t>
                  </w:r>
                  <w:r>
                    <w:rPr>
                      <w:rFonts w:hint="default"/>
                      <w:b/>
                      <w:bCs/>
                      <w:color w:val="auto"/>
                      <w:sz w:val="21"/>
                      <w:szCs w:val="21"/>
                      <w:highlight w:val="none"/>
                      <w:lang w:val="en-US" w:eastAsia="zh-CN"/>
                    </w:rPr>
                    <w:t>（t/a）</w:t>
                  </w:r>
                </w:p>
              </w:tc>
              <w:tc>
                <w:tcPr>
                  <w:tcW w:w="1423" w:type="pct"/>
                  <w:tcBorders>
                    <w:tl2br w:val="nil"/>
                    <w:tr2bl w:val="nil"/>
                  </w:tcBorders>
                  <w:noWrap w:val="0"/>
                  <w:vAlign w:val="center"/>
                </w:tcPr>
                <w:p w14:paraId="19989014">
                  <w:pPr>
                    <w:pStyle w:val="10"/>
                    <w:bidi w:val="0"/>
                    <w:rPr>
                      <w:rFonts w:hint="default"/>
                      <w:b/>
                      <w:bCs/>
                      <w:color w:val="auto"/>
                      <w:sz w:val="21"/>
                      <w:szCs w:val="21"/>
                      <w:highlight w:val="none"/>
                      <w:lang w:val="en-US" w:eastAsia="zh-CN"/>
                    </w:rPr>
                  </w:pPr>
                  <w:r>
                    <w:rPr>
                      <w:rFonts w:hint="eastAsia"/>
                      <w:b/>
                      <w:bCs/>
                      <w:color w:val="auto"/>
                      <w:sz w:val="21"/>
                      <w:szCs w:val="21"/>
                      <w:highlight w:val="none"/>
                      <w:lang w:val="en-US" w:eastAsia="zh-CN"/>
                    </w:rPr>
                    <w:t>处理处置方式</w:t>
                  </w:r>
                </w:p>
              </w:tc>
            </w:tr>
            <w:tr w14:paraId="4BB42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385" w:type="pct"/>
                  <w:tcBorders>
                    <w:tl2br w:val="nil"/>
                    <w:tr2bl w:val="nil"/>
                  </w:tcBorders>
                  <w:noWrap w:val="0"/>
                  <w:vAlign w:val="center"/>
                </w:tcPr>
                <w:p w14:paraId="2C3001E8">
                  <w:pPr>
                    <w:pStyle w:val="10"/>
                    <w:bidi w:val="0"/>
                    <w:ind w:right="0" w:rightChars="0" w:firstLine="0" w:firstLineChars="0"/>
                    <w:rPr>
                      <w:rFonts w:hint="default" w:ascii="Times New Roman" w:hAnsi="Times New Roman" w:eastAsia="宋体"/>
                      <w:color w:val="auto"/>
                      <w:kern w:val="0"/>
                      <w:sz w:val="21"/>
                      <w:szCs w:val="21"/>
                      <w:highlight w:val="none"/>
                      <w:lang w:val="en-US" w:eastAsia="zh-CN" w:bidi="ar-SA"/>
                    </w:rPr>
                  </w:pPr>
                  <w:r>
                    <w:rPr>
                      <w:rFonts w:hint="default"/>
                      <w:color w:val="auto"/>
                      <w:sz w:val="21"/>
                      <w:szCs w:val="21"/>
                      <w:highlight w:val="none"/>
                      <w:lang w:val="en-US" w:eastAsia="zh-CN"/>
                    </w:rPr>
                    <w:t>1</w:t>
                  </w:r>
                </w:p>
              </w:tc>
              <w:tc>
                <w:tcPr>
                  <w:tcW w:w="1034" w:type="pct"/>
                  <w:tcBorders>
                    <w:tl2br w:val="nil"/>
                    <w:tr2bl w:val="nil"/>
                  </w:tcBorders>
                  <w:noWrap w:val="0"/>
                  <w:vAlign w:val="center"/>
                </w:tcPr>
                <w:p w14:paraId="3F5B6C6D">
                  <w:pPr>
                    <w:pStyle w:val="10"/>
                    <w:bidi w:val="0"/>
                    <w:ind w:right="0" w:rightChars="0" w:firstLine="0" w:firstLineChars="0"/>
                    <w:rPr>
                      <w:rFonts w:hint="eastAsia" w:ascii="Times New Roman" w:hAnsi="Times New Roman" w:eastAsia="宋体"/>
                      <w:color w:val="auto"/>
                      <w:kern w:val="0"/>
                      <w:sz w:val="21"/>
                      <w:szCs w:val="21"/>
                      <w:highlight w:val="none"/>
                      <w:lang w:val="en-US" w:eastAsia="zh-CN" w:bidi="ar-SA"/>
                    </w:rPr>
                  </w:pPr>
                  <w:r>
                    <w:rPr>
                      <w:rFonts w:hint="eastAsia"/>
                      <w:color w:val="auto"/>
                      <w:sz w:val="21"/>
                      <w:szCs w:val="21"/>
                      <w:highlight w:val="none"/>
                      <w:lang w:val="en-US" w:eastAsia="zh-CN"/>
                    </w:rPr>
                    <w:t>生活垃圾</w:t>
                  </w:r>
                </w:p>
              </w:tc>
              <w:tc>
                <w:tcPr>
                  <w:tcW w:w="392" w:type="pct"/>
                  <w:tcBorders>
                    <w:tl2br w:val="nil"/>
                    <w:tr2bl w:val="nil"/>
                  </w:tcBorders>
                  <w:noWrap w:val="0"/>
                  <w:vAlign w:val="center"/>
                </w:tcPr>
                <w:p w14:paraId="62BDB05F">
                  <w:pPr>
                    <w:pStyle w:val="10"/>
                    <w:bidi w:val="0"/>
                    <w:ind w:right="0" w:rightChars="0" w:firstLine="0" w:firstLineChars="0"/>
                    <w:rPr>
                      <w:rFonts w:hint="eastAsia" w:ascii="Times New Roman" w:hAnsi="Times New Roman" w:eastAsia="宋体"/>
                      <w:color w:val="auto"/>
                      <w:kern w:val="0"/>
                      <w:sz w:val="21"/>
                      <w:szCs w:val="21"/>
                      <w:highlight w:val="none"/>
                      <w:lang w:val="en-US" w:eastAsia="zh-CN" w:bidi="ar-SA"/>
                    </w:rPr>
                  </w:pPr>
                  <w:r>
                    <w:rPr>
                      <w:rFonts w:hint="eastAsia"/>
                      <w:color w:val="auto"/>
                      <w:sz w:val="21"/>
                      <w:szCs w:val="21"/>
                      <w:highlight w:val="none"/>
                      <w:lang w:val="en-US" w:eastAsia="zh-CN"/>
                    </w:rPr>
                    <w:t>/</w:t>
                  </w:r>
                </w:p>
              </w:tc>
              <w:tc>
                <w:tcPr>
                  <w:tcW w:w="1195" w:type="pct"/>
                  <w:tcBorders>
                    <w:tl2br w:val="nil"/>
                    <w:tr2bl w:val="nil"/>
                  </w:tcBorders>
                  <w:noWrap w:val="0"/>
                  <w:vAlign w:val="center"/>
                </w:tcPr>
                <w:p w14:paraId="1AD6C6B2">
                  <w:pPr>
                    <w:pStyle w:val="10"/>
                    <w:bidi w:val="0"/>
                    <w:ind w:right="0" w:rightChars="0" w:firstLine="0" w:firstLineChars="0"/>
                    <w:rPr>
                      <w:rFonts w:hint="eastAsia" w:ascii="Times New Roman" w:hAnsi="Times New Roman" w:eastAsia="宋体"/>
                      <w:color w:val="auto"/>
                      <w:kern w:val="0"/>
                      <w:sz w:val="21"/>
                      <w:szCs w:val="21"/>
                      <w:highlight w:val="none"/>
                      <w:lang w:val="en-US" w:eastAsia="zh-CN" w:bidi="ar-SA"/>
                    </w:rPr>
                  </w:pPr>
                  <w:r>
                    <w:rPr>
                      <w:rFonts w:hint="eastAsia"/>
                      <w:color w:val="auto"/>
                      <w:sz w:val="21"/>
                      <w:szCs w:val="21"/>
                      <w:highlight w:val="none"/>
                      <w:lang w:val="en-US" w:eastAsia="zh-CN"/>
                    </w:rPr>
                    <w:t>职工生活</w:t>
                  </w:r>
                </w:p>
              </w:tc>
              <w:tc>
                <w:tcPr>
                  <w:tcW w:w="567" w:type="pct"/>
                  <w:tcBorders>
                    <w:tl2br w:val="nil"/>
                    <w:tr2bl w:val="nil"/>
                  </w:tcBorders>
                  <w:noWrap w:val="0"/>
                  <w:vAlign w:val="center"/>
                </w:tcPr>
                <w:p w14:paraId="31E218F4">
                  <w:pPr>
                    <w:pStyle w:val="10"/>
                    <w:bidi w:val="0"/>
                    <w:ind w:right="0" w:rightChars="0" w:firstLine="0" w:firstLineChars="0"/>
                    <w:rPr>
                      <w:rFonts w:hint="default" w:ascii="Times New Roman" w:hAnsi="Times New Roman" w:eastAsia="宋体"/>
                      <w:color w:val="auto"/>
                      <w:kern w:val="0"/>
                      <w:sz w:val="21"/>
                      <w:szCs w:val="21"/>
                      <w:highlight w:val="none"/>
                      <w:lang w:val="en-US" w:eastAsia="zh-CN" w:bidi="ar-SA"/>
                    </w:rPr>
                  </w:pPr>
                  <w:r>
                    <w:rPr>
                      <w:rFonts w:hint="eastAsia"/>
                      <w:color w:val="auto"/>
                      <w:sz w:val="21"/>
                      <w:szCs w:val="21"/>
                      <w:highlight w:val="none"/>
                      <w:lang w:val="en-US" w:eastAsia="zh-CN"/>
                    </w:rPr>
                    <w:t>3.9</w:t>
                  </w:r>
                </w:p>
              </w:tc>
              <w:tc>
                <w:tcPr>
                  <w:tcW w:w="1423" w:type="pct"/>
                  <w:tcBorders>
                    <w:tl2br w:val="nil"/>
                    <w:tr2bl w:val="nil"/>
                  </w:tcBorders>
                  <w:noWrap w:val="0"/>
                  <w:vAlign w:val="center"/>
                </w:tcPr>
                <w:p w14:paraId="6DE2EE45">
                  <w:pPr>
                    <w:pStyle w:val="10"/>
                    <w:bidi w:val="0"/>
                    <w:ind w:right="0" w:rightChars="0" w:firstLine="0" w:firstLineChars="0"/>
                    <w:rPr>
                      <w:rFonts w:hint="eastAsia" w:ascii="Times New Roman" w:hAnsi="Times New Roman" w:eastAsia="宋体"/>
                      <w:color w:val="auto"/>
                      <w:kern w:val="0"/>
                      <w:sz w:val="21"/>
                      <w:szCs w:val="21"/>
                      <w:highlight w:val="none"/>
                      <w:lang w:val="en-US" w:eastAsia="zh-CN" w:bidi="ar-SA"/>
                    </w:rPr>
                  </w:pPr>
                  <w:r>
                    <w:rPr>
                      <w:rFonts w:hint="eastAsia"/>
                      <w:color w:val="auto"/>
                      <w:sz w:val="21"/>
                      <w:szCs w:val="21"/>
                      <w:highlight w:val="none"/>
                      <w:lang w:val="en-US" w:eastAsia="zh-CN"/>
                    </w:rPr>
                    <w:t>环卫部门清运</w:t>
                  </w:r>
                </w:p>
              </w:tc>
            </w:tr>
            <w:tr w14:paraId="3DE82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385" w:type="pct"/>
                  <w:tcBorders>
                    <w:tl2br w:val="nil"/>
                    <w:tr2bl w:val="nil"/>
                  </w:tcBorders>
                  <w:noWrap w:val="0"/>
                  <w:vAlign w:val="center"/>
                </w:tcPr>
                <w:p w14:paraId="7F2B55BC">
                  <w:pPr>
                    <w:pStyle w:val="10"/>
                    <w:bidi w:val="0"/>
                    <w:ind w:right="0" w:rightChars="0" w:firstLine="0" w:firstLineChars="0"/>
                    <w:rPr>
                      <w:rFonts w:hint="default" w:ascii="Times New Roman" w:hAnsi="Times New Roman" w:eastAsia="宋体"/>
                      <w:color w:val="auto"/>
                      <w:kern w:val="0"/>
                      <w:sz w:val="21"/>
                      <w:szCs w:val="21"/>
                      <w:highlight w:val="none"/>
                      <w:lang w:val="en-US" w:eastAsia="zh-CN" w:bidi="ar-SA"/>
                    </w:rPr>
                  </w:pPr>
                  <w:r>
                    <w:rPr>
                      <w:rFonts w:hint="eastAsia"/>
                      <w:color w:val="auto"/>
                      <w:sz w:val="21"/>
                      <w:szCs w:val="21"/>
                      <w:highlight w:val="none"/>
                      <w:lang w:val="en-US" w:eastAsia="zh-CN"/>
                    </w:rPr>
                    <w:t>2</w:t>
                  </w:r>
                </w:p>
              </w:tc>
              <w:tc>
                <w:tcPr>
                  <w:tcW w:w="1034" w:type="pct"/>
                  <w:tcBorders>
                    <w:tl2br w:val="nil"/>
                    <w:tr2bl w:val="nil"/>
                  </w:tcBorders>
                  <w:noWrap w:val="0"/>
                  <w:vAlign w:val="center"/>
                </w:tcPr>
                <w:p w14:paraId="3944FFC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olor w:val="auto"/>
                      <w:kern w:val="0"/>
                      <w:sz w:val="21"/>
                      <w:szCs w:val="21"/>
                      <w:highlight w:val="none"/>
                      <w:lang w:val="en-US" w:eastAsia="zh-CN" w:bidi="ar-SA"/>
                    </w:rPr>
                  </w:pPr>
                  <w:r>
                    <w:rPr>
                      <w:rFonts w:hint="eastAsia" w:ascii="宋体" w:hAnsi="宋体"/>
                      <w:b w:val="0"/>
                      <w:bCs/>
                      <w:color w:val="000000"/>
                      <w:sz w:val="21"/>
                      <w:szCs w:val="21"/>
                      <w:highlight w:val="none"/>
                      <w:vertAlign w:val="baseline"/>
                      <w:lang w:val="en-US" w:eastAsia="zh-CN"/>
                    </w:rPr>
                    <w:t>不合格机器人电缆</w:t>
                  </w:r>
                </w:p>
              </w:tc>
              <w:tc>
                <w:tcPr>
                  <w:tcW w:w="392" w:type="pct"/>
                  <w:vMerge w:val="restart"/>
                  <w:tcBorders>
                    <w:tl2br w:val="nil"/>
                    <w:tr2bl w:val="nil"/>
                  </w:tcBorders>
                  <w:noWrap w:val="0"/>
                  <w:vAlign w:val="center"/>
                </w:tcPr>
                <w:p w14:paraId="2D4B577D">
                  <w:pPr>
                    <w:pStyle w:val="10"/>
                    <w:bidi w:val="0"/>
                    <w:rPr>
                      <w:rFonts w:hint="default"/>
                      <w:color w:val="auto"/>
                      <w:sz w:val="21"/>
                      <w:szCs w:val="21"/>
                      <w:highlight w:val="none"/>
                      <w:lang w:val="en-US" w:eastAsia="zh-CN"/>
                    </w:rPr>
                  </w:pPr>
                  <w:r>
                    <w:rPr>
                      <w:rFonts w:hint="eastAsia"/>
                      <w:color w:val="auto"/>
                      <w:sz w:val="21"/>
                      <w:szCs w:val="21"/>
                      <w:highlight w:val="none"/>
                      <w:lang w:val="en-US" w:eastAsia="zh-CN"/>
                    </w:rPr>
                    <w:t>一般固废</w:t>
                  </w:r>
                </w:p>
              </w:tc>
              <w:tc>
                <w:tcPr>
                  <w:tcW w:w="1195" w:type="pct"/>
                  <w:tcBorders>
                    <w:tl2br w:val="nil"/>
                    <w:tr2bl w:val="nil"/>
                  </w:tcBorders>
                  <w:noWrap w:val="0"/>
                  <w:vAlign w:val="center"/>
                </w:tcPr>
                <w:p w14:paraId="227142B0">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olor w:val="auto"/>
                      <w:kern w:val="0"/>
                      <w:sz w:val="21"/>
                      <w:szCs w:val="21"/>
                      <w:highlight w:val="none"/>
                      <w:lang w:val="en-US" w:eastAsia="zh-CN" w:bidi="ar-SA"/>
                    </w:rPr>
                  </w:pPr>
                  <w:r>
                    <w:rPr>
                      <w:rFonts w:hint="eastAsia" w:ascii="宋体" w:hAnsi="宋体"/>
                      <w:b w:val="0"/>
                      <w:bCs/>
                      <w:color w:val="000000"/>
                      <w:sz w:val="21"/>
                      <w:szCs w:val="21"/>
                      <w:highlight w:val="none"/>
                      <w:vertAlign w:val="baseline"/>
                      <w:lang w:val="en-US" w:eastAsia="zh-CN"/>
                    </w:rPr>
                    <w:t>成品检验</w:t>
                  </w:r>
                </w:p>
              </w:tc>
              <w:tc>
                <w:tcPr>
                  <w:tcW w:w="567" w:type="pct"/>
                  <w:tcBorders>
                    <w:tl2br w:val="nil"/>
                    <w:tr2bl w:val="nil"/>
                  </w:tcBorders>
                  <w:noWrap w:val="0"/>
                  <w:vAlign w:val="center"/>
                </w:tcPr>
                <w:p w14:paraId="021B0671">
                  <w:pPr>
                    <w:pStyle w:val="10"/>
                    <w:bidi w:val="0"/>
                    <w:ind w:right="0" w:rightChars="0" w:firstLine="0" w:firstLineChars="0"/>
                    <w:rPr>
                      <w:rFonts w:hint="default" w:ascii="Times New Roman" w:hAnsi="Times New Roman" w:eastAsia="宋体"/>
                      <w:color w:val="auto"/>
                      <w:kern w:val="0"/>
                      <w:sz w:val="21"/>
                      <w:szCs w:val="21"/>
                      <w:highlight w:val="none"/>
                      <w:lang w:val="en-US" w:eastAsia="zh-CN" w:bidi="ar-SA"/>
                    </w:rPr>
                  </w:pPr>
                  <w:r>
                    <w:rPr>
                      <w:rFonts w:hint="eastAsia"/>
                      <w:color w:val="auto"/>
                      <w:kern w:val="0"/>
                      <w:sz w:val="21"/>
                      <w:szCs w:val="21"/>
                      <w:highlight w:val="none"/>
                      <w:lang w:val="en-US" w:eastAsia="zh-CN" w:bidi="ar-SA"/>
                    </w:rPr>
                    <w:t>5</w:t>
                  </w:r>
                </w:p>
              </w:tc>
              <w:tc>
                <w:tcPr>
                  <w:tcW w:w="1423" w:type="pct"/>
                  <w:tcBorders>
                    <w:tl2br w:val="nil"/>
                    <w:tr2bl w:val="nil"/>
                  </w:tcBorders>
                  <w:noWrap w:val="0"/>
                  <w:vAlign w:val="center"/>
                </w:tcPr>
                <w:p w14:paraId="363C8003">
                  <w:pPr>
                    <w:pStyle w:val="10"/>
                    <w:bidi w:val="0"/>
                    <w:ind w:right="0" w:rightChars="0" w:firstLine="0" w:firstLineChars="0"/>
                    <w:rPr>
                      <w:rFonts w:hint="default" w:ascii="Times New Roman" w:hAnsi="Times New Roman" w:eastAsia="宋体"/>
                      <w:color w:val="auto"/>
                      <w:kern w:val="0"/>
                      <w:sz w:val="21"/>
                      <w:szCs w:val="21"/>
                      <w:highlight w:val="none"/>
                      <w:lang w:val="en-US" w:eastAsia="zh-CN" w:bidi="ar-SA"/>
                    </w:rPr>
                  </w:pPr>
                  <w:r>
                    <w:rPr>
                      <w:rFonts w:hint="eastAsia"/>
                      <w:color w:val="auto"/>
                      <w:sz w:val="21"/>
                      <w:szCs w:val="21"/>
                      <w:highlight w:val="none"/>
                      <w:lang w:val="en-US" w:eastAsia="zh-CN"/>
                    </w:rPr>
                    <w:t>固废库暂存，后外售综合利用</w:t>
                  </w:r>
                </w:p>
              </w:tc>
            </w:tr>
            <w:tr w14:paraId="2260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385" w:type="pct"/>
                  <w:tcBorders>
                    <w:tl2br w:val="nil"/>
                    <w:tr2bl w:val="nil"/>
                  </w:tcBorders>
                  <w:noWrap w:val="0"/>
                  <w:vAlign w:val="center"/>
                </w:tcPr>
                <w:p w14:paraId="4C92FC66">
                  <w:pPr>
                    <w:pStyle w:val="10"/>
                    <w:bidi w:val="0"/>
                    <w:ind w:right="0" w:rightChars="0" w:firstLine="0" w:firstLineChars="0"/>
                    <w:rPr>
                      <w:rFonts w:hint="default" w:ascii="Times New Roman" w:hAnsi="Times New Roman" w:eastAsia="宋体"/>
                      <w:color w:val="auto"/>
                      <w:kern w:val="0"/>
                      <w:sz w:val="21"/>
                      <w:szCs w:val="21"/>
                      <w:highlight w:val="none"/>
                      <w:lang w:val="en-US" w:eastAsia="zh-CN" w:bidi="ar-SA"/>
                    </w:rPr>
                  </w:pPr>
                  <w:r>
                    <w:rPr>
                      <w:rFonts w:hint="eastAsia"/>
                      <w:color w:val="auto"/>
                      <w:sz w:val="21"/>
                      <w:szCs w:val="21"/>
                      <w:highlight w:val="none"/>
                      <w:lang w:val="en-US" w:eastAsia="zh-CN"/>
                    </w:rPr>
                    <w:t>3</w:t>
                  </w:r>
                </w:p>
              </w:tc>
              <w:tc>
                <w:tcPr>
                  <w:tcW w:w="1034" w:type="pct"/>
                  <w:tcBorders>
                    <w:tl2br w:val="nil"/>
                    <w:tr2bl w:val="nil"/>
                  </w:tcBorders>
                  <w:noWrap w:val="0"/>
                  <w:vAlign w:val="center"/>
                </w:tcPr>
                <w:p w14:paraId="5B0E03C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olor w:val="auto"/>
                      <w:kern w:val="0"/>
                      <w:sz w:val="21"/>
                      <w:szCs w:val="21"/>
                      <w:highlight w:val="none"/>
                      <w:lang w:val="en-US" w:eastAsia="zh-CN" w:bidi="ar-SA"/>
                    </w:rPr>
                  </w:pPr>
                  <w:r>
                    <w:rPr>
                      <w:rFonts w:hint="eastAsia" w:ascii="宋体" w:hAnsi="宋体"/>
                      <w:b w:val="0"/>
                      <w:bCs/>
                      <w:color w:val="000000"/>
                      <w:sz w:val="21"/>
                      <w:szCs w:val="21"/>
                      <w:highlight w:val="none"/>
                      <w:vertAlign w:val="baseline"/>
                      <w:lang w:val="en-US" w:eastAsia="zh-CN"/>
                    </w:rPr>
                    <w:t>不合格塑料电缆颗粒</w:t>
                  </w:r>
                </w:p>
              </w:tc>
              <w:tc>
                <w:tcPr>
                  <w:tcW w:w="392" w:type="pct"/>
                  <w:vMerge w:val="continue"/>
                  <w:tcBorders>
                    <w:tl2br w:val="nil"/>
                    <w:tr2bl w:val="nil"/>
                  </w:tcBorders>
                  <w:noWrap w:val="0"/>
                  <w:vAlign w:val="center"/>
                </w:tcPr>
                <w:p w14:paraId="2F3DF443">
                  <w:pPr>
                    <w:pStyle w:val="10"/>
                    <w:bidi w:val="0"/>
                    <w:rPr>
                      <w:rFonts w:hint="eastAsia"/>
                      <w:color w:val="auto"/>
                      <w:sz w:val="21"/>
                      <w:szCs w:val="21"/>
                      <w:highlight w:val="none"/>
                      <w:lang w:val="en-US" w:eastAsia="zh-CN"/>
                    </w:rPr>
                  </w:pPr>
                </w:p>
              </w:tc>
              <w:tc>
                <w:tcPr>
                  <w:tcW w:w="1195" w:type="pct"/>
                  <w:tcBorders>
                    <w:tl2br w:val="nil"/>
                    <w:tr2bl w:val="nil"/>
                  </w:tcBorders>
                  <w:noWrap w:val="0"/>
                  <w:vAlign w:val="center"/>
                </w:tcPr>
                <w:p w14:paraId="3A2A019C">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olor w:val="auto"/>
                      <w:kern w:val="0"/>
                      <w:sz w:val="21"/>
                      <w:szCs w:val="21"/>
                      <w:highlight w:val="none"/>
                      <w:lang w:val="en-US" w:eastAsia="zh-CN" w:bidi="ar-SA"/>
                    </w:rPr>
                  </w:pPr>
                  <w:r>
                    <w:rPr>
                      <w:rFonts w:hint="eastAsia" w:ascii="宋体" w:hAnsi="宋体"/>
                      <w:b w:val="0"/>
                      <w:bCs/>
                      <w:color w:val="000000"/>
                      <w:sz w:val="21"/>
                      <w:szCs w:val="21"/>
                      <w:highlight w:val="none"/>
                      <w:vertAlign w:val="baseline"/>
                      <w:lang w:val="en-US" w:eastAsia="zh-CN"/>
                    </w:rPr>
                    <w:t>筛分</w:t>
                  </w:r>
                </w:p>
              </w:tc>
              <w:tc>
                <w:tcPr>
                  <w:tcW w:w="567" w:type="pct"/>
                  <w:tcBorders>
                    <w:tl2br w:val="nil"/>
                    <w:tr2bl w:val="nil"/>
                  </w:tcBorders>
                  <w:noWrap w:val="0"/>
                  <w:vAlign w:val="center"/>
                </w:tcPr>
                <w:p w14:paraId="140D88BC">
                  <w:pPr>
                    <w:pStyle w:val="10"/>
                    <w:bidi w:val="0"/>
                    <w:ind w:right="0" w:rightChars="0" w:firstLine="0" w:firstLineChars="0"/>
                    <w:rPr>
                      <w:rFonts w:hint="default" w:ascii="Times New Roman" w:hAnsi="Times New Roman" w:eastAsia="宋体"/>
                      <w:color w:val="auto"/>
                      <w:kern w:val="0"/>
                      <w:sz w:val="21"/>
                      <w:szCs w:val="21"/>
                      <w:highlight w:val="none"/>
                      <w:lang w:val="en-US" w:eastAsia="zh-CN" w:bidi="ar-SA"/>
                    </w:rPr>
                  </w:pPr>
                  <w:r>
                    <w:rPr>
                      <w:rFonts w:hint="eastAsia"/>
                      <w:color w:val="auto"/>
                      <w:sz w:val="21"/>
                      <w:szCs w:val="21"/>
                      <w:highlight w:val="none"/>
                      <w:lang w:val="en-US" w:eastAsia="zh-CN"/>
                    </w:rPr>
                    <w:t>1.4</w:t>
                  </w:r>
                </w:p>
              </w:tc>
              <w:tc>
                <w:tcPr>
                  <w:tcW w:w="1423" w:type="pct"/>
                  <w:tcBorders>
                    <w:tl2br w:val="nil"/>
                    <w:tr2bl w:val="nil"/>
                  </w:tcBorders>
                  <w:noWrap w:val="0"/>
                  <w:vAlign w:val="center"/>
                </w:tcPr>
                <w:p w14:paraId="21DBF9E9">
                  <w:pPr>
                    <w:pStyle w:val="10"/>
                    <w:bidi w:val="0"/>
                    <w:ind w:right="0" w:rightChars="0" w:firstLine="0" w:firstLineChars="0"/>
                    <w:rPr>
                      <w:rFonts w:hint="default" w:ascii="Times New Roman" w:hAnsi="Times New Roman" w:eastAsia="宋体"/>
                      <w:color w:val="auto"/>
                      <w:kern w:val="0"/>
                      <w:sz w:val="21"/>
                      <w:szCs w:val="21"/>
                      <w:highlight w:val="none"/>
                      <w:lang w:val="en-US" w:eastAsia="zh-CN" w:bidi="ar-SA"/>
                    </w:rPr>
                  </w:pPr>
                  <w:r>
                    <w:rPr>
                      <w:rFonts w:hint="eastAsia"/>
                      <w:color w:val="auto"/>
                      <w:kern w:val="0"/>
                      <w:sz w:val="21"/>
                      <w:szCs w:val="21"/>
                      <w:highlight w:val="none"/>
                      <w:lang w:val="en-US" w:eastAsia="zh-CN" w:bidi="ar-SA"/>
                    </w:rPr>
                    <w:t>回用重新造粒</w:t>
                  </w:r>
                </w:p>
              </w:tc>
            </w:tr>
            <w:tr w14:paraId="7B350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385" w:type="pct"/>
                  <w:tcBorders>
                    <w:tl2br w:val="nil"/>
                    <w:tr2bl w:val="nil"/>
                  </w:tcBorders>
                  <w:noWrap w:val="0"/>
                  <w:vAlign w:val="center"/>
                </w:tcPr>
                <w:p w14:paraId="43EEE712">
                  <w:pPr>
                    <w:pStyle w:val="10"/>
                    <w:bidi w:val="0"/>
                    <w:ind w:right="0" w:rightChars="0" w:firstLine="0" w:firstLineChars="0"/>
                    <w:rPr>
                      <w:rFonts w:hint="eastAsia" w:ascii="Times New Roman" w:hAnsi="Times New Roman" w:eastAsia="宋体"/>
                      <w:color w:val="auto"/>
                      <w:kern w:val="0"/>
                      <w:sz w:val="21"/>
                      <w:szCs w:val="21"/>
                      <w:highlight w:val="none"/>
                      <w:lang w:val="en-US" w:eastAsia="zh-CN" w:bidi="ar-SA"/>
                    </w:rPr>
                  </w:pPr>
                  <w:r>
                    <w:rPr>
                      <w:rFonts w:hint="eastAsia"/>
                      <w:color w:val="auto"/>
                      <w:sz w:val="21"/>
                      <w:szCs w:val="21"/>
                      <w:highlight w:val="none"/>
                      <w:lang w:val="en-US" w:eastAsia="zh-CN"/>
                    </w:rPr>
                    <w:t>4</w:t>
                  </w:r>
                </w:p>
              </w:tc>
              <w:tc>
                <w:tcPr>
                  <w:tcW w:w="1034" w:type="pct"/>
                  <w:tcBorders>
                    <w:tl2br w:val="nil"/>
                    <w:tr2bl w:val="nil"/>
                  </w:tcBorders>
                  <w:noWrap w:val="0"/>
                  <w:vAlign w:val="center"/>
                </w:tcPr>
                <w:p w14:paraId="1CF4B881">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olor w:val="auto"/>
                      <w:kern w:val="0"/>
                      <w:sz w:val="21"/>
                      <w:szCs w:val="21"/>
                      <w:highlight w:val="none"/>
                      <w:lang w:val="en-US" w:eastAsia="zh-CN" w:bidi="ar-SA"/>
                    </w:rPr>
                  </w:pPr>
                  <w:r>
                    <w:rPr>
                      <w:rFonts w:hint="eastAsia" w:ascii="宋体" w:hAnsi="宋体"/>
                      <w:b w:val="0"/>
                      <w:bCs/>
                      <w:color w:val="000000"/>
                      <w:sz w:val="21"/>
                      <w:szCs w:val="21"/>
                      <w:highlight w:val="none"/>
                      <w:vertAlign w:val="baseline"/>
                      <w:lang w:val="en-US" w:eastAsia="zh-CN"/>
                    </w:rPr>
                    <w:t>布袋除尘收尘和废布袋</w:t>
                  </w:r>
                </w:p>
              </w:tc>
              <w:tc>
                <w:tcPr>
                  <w:tcW w:w="392" w:type="pct"/>
                  <w:vMerge w:val="continue"/>
                  <w:tcBorders>
                    <w:tl2br w:val="nil"/>
                    <w:tr2bl w:val="nil"/>
                  </w:tcBorders>
                  <w:noWrap w:val="0"/>
                  <w:vAlign w:val="center"/>
                </w:tcPr>
                <w:p w14:paraId="71B5242A">
                  <w:pPr>
                    <w:pStyle w:val="10"/>
                    <w:bidi w:val="0"/>
                    <w:rPr>
                      <w:rFonts w:hint="eastAsia"/>
                      <w:color w:val="auto"/>
                      <w:sz w:val="21"/>
                      <w:szCs w:val="21"/>
                      <w:highlight w:val="none"/>
                      <w:lang w:val="en-US" w:eastAsia="zh-CN"/>
                    </w:rPr>
                  </w:pPr>
                </w:p>
              </w:tc>
              <w:tc>
                <w:tcPr>
                  <w:tcW w:w="1195" w:type="pct"/>
                  <w:tcBorders>
                    <w:tl2br w:val="nil"/>
                    <w:tr2bl w:val="nil"/>
                  </w:tcBorders>
                  <w:noWrap w:val="0"/>
                  <w:vAlign w:val="center"/>
                </w:tcPr>
                <w:p w14:paraId="2C98A43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olor w:val="auto"/>
                      <w:kern w:val="0"/>
                      <w:sz w:val="21"/>
                      <w:szCs w:val="21"/>
                      <w:highlight w:val="none"/>
                      <w:lang w:val="en-US" w:eastAsia="zh-CN" w:bidi="ar-SA"/>
                    </w:rPr>
                  </w:pPr>
                  <w:r>
                    <w:rPr>
                      <w:rFonts w:hint="eastAsia" w:ascii="宋体" w:hAnsi="宋体"/>
                      <w:b w:val="0"/>
                      <w:bCs/>
                      <w:color w:val="000000"/>
                      <w:sz w:val="21"/>
                      <w:szCs w:val="21"/>
                      <w:highlight w:val="none"/>
                      <w:vertAlign w:val="baseline"/>
                      <w:lang w:val="en-US" w:eastAsia="zh-CN"/>
                    </w:rPr>
                    <w:t>废气治理</w:t>
                  </w:r>
                </w:p>
              </w:tc>
              <w:tc>
                <w:tcPr>
                  <w:tcW w:w="567" w:type="pct"/>
                  <w:tcBorders>
                    <w:tl2br w:val="nil"/>
                    <w:tr2bl w:val="nil"/>
                  </w:tcBorders>
                  <w:noWrap w:val="0"/>
                  <w:vAlign w:val="center"/>
                </w:tcPr>
                <w:p w14:paraId="3F898312">
                  <w:pPr>
                    <w:pStyle w:val="10"/>
                    <w:bidi w:val="0"/>
                    <w:ind w:right="0" w:rightChars="0" w:firstLine="0" w:firstLineChars="0"/>
                    <w:rPr>
                      <w:rFonts w:hint="default" w:ascii="Times New Roman" w:hAnsi="Times New Roman" w:eastAsia="宋体"/>
                      <w:color w:val="auto"/>
                      <w:kern w:val="0"/>
                      <w:sz w:val="21"/>
                      <w:szCs w:val="21"/>
                      <w:highlight w:val="none"/>
                      <w:lang w:val="en-US" w:eastAsia="zh-CN" w:bidi="ar-SA"/>
                    </w:rPr>
                  </w:pPr>
                  <w:r>
                    <w:rPr>
                      <w:rFonts w:hint="eastAsia"/>
                      <w:color w:val="auto"/>
                      <w:kern w:val="0"/>
                      <w:sz w:val="21"/>
                      <w:szCs w:val="21"/>
                      <w:highlight w:val="none"/>
                      <w:lang w:val="en-US" w:eastAsia="zh-CN" w:bidi="ar-SA"/>
                    </w:rPr>
                    <w:t>9.656</w:t>
                  </w:r>
                </w:p>
              </w:tc>
              <w:tc>
                <w:tcPr>
                  <w:tcW w:w="1423" w:type="pct"/>
                  <w:tcBorders>
                    <w:tl2br w:val="nil"/>
                    <w:tr2bl w:val="nil"/>
                  </w:tcBorders>
                  <w:noWrap w:val="0"/>
                  <w:vAlign w:val="center"/>
                </w:tcPr>
                <w:p w14:paraId="6E22268B">
                  <w:pPr>
                    <w:pStyle w:val="10"/>
                    <w:bidi w:val="0"/>
                    <w:ind w:right="0" w:rightChars="0" w:firstLine="0" w:firstLineChars="0"/>
                    <w:rPr>
                      <w:rFonts w:hint="eastAsia" w:ascii="Times New Roman" w:hAnsi="Times New Roman" w:eastAsia="宋体"/>
                      <w:color w:val="auto"/>
                      <w:kern w:val="0"/>
                      <w:sz w:val="21"/>
                      <w:szCs w:val="21"/>
                      <w:highlight w:val="none"/>
                      <w:lang w:val="en-US" w:eastAsia="zh-CN" w:bidi="ar-SA"/>
                    </w:rPr>
                  </w:pPr>
                  <w:r>
                    <w:rPr>
                      <w:rFonts w:hint="eastAsia"/>
                      <w:color w:val="auto"/>
                      <w:sz w:val="21"/>
                      <w:szCs w:val="21"/>
                      <w:highlight w:val="none"/>
                      <w:lang w:val="en-US" w:eastAsia="zh-CN"/>
                    </w:rPr>
                    <w:t>固废库暂存，后外售综合利用</w:t>
                  </w:r>
                </w:p>
              </w:tc>
            </w:tr>
            <w:tr w14:paraId="24AA5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385" w:type="pct"/>
                  <w:tcBorders>
                    <w:tl2br w:val="nil"/>
                    <w:tr2bl w:val="nil"/>
                  </w:tcBorders>
                  <w:noWrap w:val="0"/>
                  <w:vAlign w:val="center"/>
                </w:tcPr>
                <w:p w14:paraId="7A12CE38">
                  <w:pPr>
                    <w:pStyle w:val="10"/>
                    <w:bidi w:val="0"/>
                    <w:ind w:right="0" w:rightChars="0" w:firstLine="0" w:firstLineChars="0"/>
                    <w:rPr>
                      <w:rFonts w:hint="default" w:ascii="Times New Roman" w:hAnsi="Times New Roman" w:eastAsia="宋体"/>
                      <w:color w:val="auto"/>
                      <w:kern w:val="0"/>
                      <w:sz w:val="21"/>
                      <w:szCs w:val="21"/>
                      <w:highlight w:val="none"/>
                      <w:lang w:val="en-US" w:eastAsia="zh-CN" w:bidi="ar-SA"/>
                    </w:rPr>
                  </w:pPr>
                  <w:r>
                    <w:rPr>
                      <w:rFonts w:hint="eastAsia"/>
                      <w:color w:val="auto"/>
                      <w:sz w:val="21"/>
                      <w:szCs w:val="21"/>
                      <w:highlight w:val="none"/>
                      <w:lang w:val="en-US" w:eastAsia="zh-CN"/>
                    </w:rPr>
                    <w:t>5</w:t>
                  </w:r>
                </w:p>
              </w:tc>
              <w:tc>
                <w:tcPr>
                  <w:tcW w:w="1034" w:type="pct"/>
                  <w:tcBorders>
                    <w:tl2br w:val="nil"/>
                    <w:tr2bl w:val="nil"/>
                  </w:tcBorders>
                  <w:noWrap w:val="0"/>
                  <w:vAlign w:val="center"/>
                </w:tcPr>
                <w:p w14:paraId="2F4D257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color w:val="auto"/>
                      <w:sz w:val="21"/>
                      <w:szCs w:val="21"/>
                      <w:highlight w:val="none"/>
                      <w:lang w:val="en-US" w:eastAsia="zh-CN"/>
                    </w:rPr>
                  </w:pPr>
                  <w:r>
                    <w:rPr>
                      <w:rFonts w:hint="eastAsia" w:ascii="宋体" w:hAnsi="宋体" w:eastAsia="宋体" w:cs="宋体"/>
                      <w:b w:val="0"/>
                      <w:bCs w:val="0"/>
                      <w:color w:val="000000"/>
                      <w:sz w:val="21"/>
                      <w:szCs w:val="21"/>
                      <w:highlight w:val="none"/>
                      <w:vertAlign w:val="baseline"/>
                      <w:lang w:val="en-US" w:eastAsia="zh-CN"/>
                    </w:rPr>
                    <w:t>废活性炭</w:t>
                  </w:r>
                </w:p>
              </w:tc>
              <w:tc>
                <w:tcPr>
                  <w:tcW w:w="392" w:type="pct"/>
                  <w:vMerge w:val="restart"/>
                  <w:tcBorders>
                    <w:tl2br w:val="nil"/>
                    <w:tr2bl w:val="nil"/>
                  </w:tcBorders>
                  <w:noWrap w:val="0"/>
                  <w:vAlign w:val="center"/>
                </w:tcPr>
                <w:p w14:paraId="13826DCF">
                  <w:pPr>
                    <w:pStyle w:val="10"/>
                    <w:bidi w:val="0"/>
                    <w:rPr>
                      <w:rFonts w:hint="default"/>
                      <w:color w:val="auto"/>
                      <w:sz w:val="21"/>
                      <w:szCs w:val="21"/>
                      <w:highlight w:val="none"/>
                      <w:lang w:val="en-US" w:eastAsia="zh-CN"/>
                    </w:rPr>
                  </w:pPr>
                  <w:r>
                    <w:rPr>
                      <w:rFonts w:hint="eastAsia"/>
                      <w:color w:val="auto"/>
                      <w:sz w:val="21"/>
                      <w:szCs w:val="21"/>
                      <w:highlight w:val="none"/>
                      <w:lang w:val="en-US" w:eastAsia="zh-CN"/>
                    </w:rPr>
                    <w:t>危险废物</w:t>
                  </w:r>
                </w:p>
              </w:tc>
              <w:tc>
                <w:tcPr>
                  <w:tcW w:w="1195" w:type="pct"/>
                  <w:tcBorders>
                    <w:tl2br w:val="nil"/>
                    <w:tr2bl w:val="nil"/>
                  </w:tcBorders>
                  <w:noWrap w:val="0"/>
                  <w:vAlign w:val="center"/>
                </w:tcPr>
                <w:p w14:paraId="1ABCC0E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color w:val="auto"/>
                      <w:sz w:val="21"/>
                      <w:szCs w:val="21"/>
                      <w:highlight w:val="none"/>
                      <w:lang w:val="en-US" w:eastAsia="zh-CN"/>
                    </w:rPr>
                  </w:pPr>
                  <w:r>
                    <w:rPr>
                      <w:rFonts w:hint="eastAsia" w:ascii="宋体" w:hAnsi="宋体"/>
                      <w:b w:val="0"/>
                      <w:bCs/>
                      <w:color w:val="000000"/>
                      <w:sz w:val="21"/>
                      <w:szCs w:val="21"/>
                      <w:highlight w:val="none"/>
                      <w:vertAlign w:val="baseline"/>
                      <w:lang w:val="en-US" w:eastAsia="zh-CN"/>
                    </w:rPr>
                    <w:t>废气治理</w:t>
                  </w:r>
                </w:p>
              </w:tc>
              <w:tc>
                <w:tcPr>
                  <w:tcW w:w="567" w:type="pct"/>
                  <w:tcBorders>
                    <w:tl2br w:val="nil"/>
                    <w:tr2bl w:val="nil"/>
                  </w:tcBorders>
                  <w:noWrap w:val="0"/>
                  <w:vAlign w:val="center"/>
                </w:tcPr>
                <w:p w14:paraId="27FBC578">
                  <w:pPr>
                    <w:pStyle w:val="10"/>
                    <w:bidi w:val="0"/>
                    <w:rPr>
                      <w:rFonts w:hint="default"/>
                      <w:color w:val="auto"/>
                      <w:sz w:val="21"/>
                      <w:szCs w:val="21"/>
                      <w:highlight w:val="none"/>
                      <w:lang w:val="en-US" w:eastAsia="zh-CN"/>
                    </w:rPr>
                  </w:pPr>
                  <w:r>
                    <w:rPr>
                      <w:rFonts w:hint="eastAsia"/>
                      <w:color w:val="auto"/>
                      <w:sz w:val="21"/>
                      <w:szCs w:val="21"/>
                      <w:highlight w:val="none"/>
                      <w:lang w:val="en-US" w:eastAsia="zh-CN"/>
                    </w:rPr>
                    <w:t>24.55</w:t>
                  </w:r>
                </w:p>
              </w:tc>
              <w:tc>
                <w:tcPr>
                  <w:tcW w:w="1423" w:type="pct"/>
                  <w:vMerge w:val="restart"/>
                  <w:tcBorders>
                    <w:tl2br w:val="nil"/>
                    <w:tr2bl w:val="nil"/>
                  </w:tcBorders>
                  <w:noWrap w:val="0"/>
                  <w:vAlign w:val="center"/>
                </w:tcPr>
                <w:p w14:paraId="2E0F368B">
                  <w:pPr>
                    <w:pStyle w:val="10"/>
                    <w:bidi w:val="0"/>
                    <w:rPr>
                      <w:rFonts w:hint="eastAsia"/>
                      <w:color w:val="auto"/>
                      <w:sz w:val="21"/>
                      <w:szCs w:val="21"/>
                      <w:highlight w:val="none"/>
                      <w:lang w:val="en-US" w:eastAsia="zh-CN"/>
                    </w:rPr>
                  </w:pPr>
                  <w:r>
                    <w:rPr>
                      <w:rFonts w:hint="eastAsia"/>
                      <w:color w:val="auto"/>
                      <w:sz w:val="21"/>
                      <w:szCs w:val="21"/>
                      <w:highlight w:val="none"/>
                      <w:lang w:val="en-US" w:eastAsia="zh-CN"/>
                    </w:rPr>
                    <w:t>危废库暂存，委托有资质的单位进行处置</w:t>
                  </w:r>
                </w:p>
              </w:tc>
            </w:tr>
            <w:tr w14:paraId="27FC2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385" w:type="pct"/>
                  <w:tcBorders>
                    <w:tl2br w:val="nil"/>
                    <w:tr2bl w:val="nil"/>
                  </w:tcBorders>
                  <w:noWrap w:val="0"/>
                  <w:vAlign w:val="center"/>
                </w:tcPr>
                <w:p w14:paraId="19F5EBE9">
                  <w:pPr>
                    <w:pStyle w:val="10"/>
                    <w:bidi w:val="0"/>
                    <w:ind w:right="0" w:rightChars="0" w:firstLine="0" w:firstLineChars="0"/>
                    <w:rPr>
                      <w:rFonts w:hint="default" w:ascii="Times New Roman" w:hAnsi="Times New Roman" w:eastAsia="宋体"/>
                      <w:color w:val="auto"/>
                      <w:kern w:val="0"/>
                      <w:sz w:val="21"/>
                      <w:szCs w:val="21"/>
                      <w:highlight w:val="none"/>
                      <w:lang w:val="en-US" w:eastAsia="zh-CN" w:bidi="ar-SA"/>
                    </w:rPr>
                  </w:pPr>
                  <w:r>
                    <w:rPr>
                      <w:rFonts w:hint="eastAsia"/>
                      <w:color w:val="auto"/>
                      <w:sz w:val="21"/>
                      <w:szCs w:val="21"/>
                      <w:highlight w:val="none"/>
                      <w:lang w:val="en-US" w:eastAsia="zh-CN"/>
                    </w:rPr>
                    <w:t>6</w:t>
                  </w:r>
                </w:p>
              </w:tc>
              <w:tc>
                <w:tcPr>
                  <w:tcW w:w="1034" w:type="pct"/>
                  <w:tcBorders>
                    <w:tl2br w:val="nil"/>
                    <w:tr2bl w:val="nil"/>
                  </w:tcBorders>
                  <w:noWrap w:val="0"/>
                  <w:vAlign w:val="center"/>
                </w:tcPr>
                <w:p w14:paraId="4B6032AE">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color w:val="auto"/>
                      <w:sz w:val="21"/>
                      <w:szCs w:val="21"/>
                      <w:highlight w:val="none"/>
                      <w:lang w:val="en-US" w:eastAsia="zh-CN"/>
                    </w:rPr>
                  </w:pPr>
                  <w:r>
                    <w:rPr>
                      <w:rFonts w:hint="eastAsia" w:ascii="宋体" w:hAnsi="宋体" w:eastAsia="宋体" w:cs="宋体"/>
                      <w:b w:val="0"/>
                      <w:bCs w:val="0"/>
                      <w:color w:val="000000"/>
                      <w:sz w:val="21"/>
                      <w:szCs w:val="21"/>
                      <w:highlight w:val="none"/>
                      <w:vertAlign w:val="baseline"/>
                      <w:lang w:val="en-US" w:eastAsia="zh-CN"/>
                    </w:rPr>
                    <w:t>废机油</w:t>
                  </w:r>
                </w:p>
              </w:tc>
              <w:tc>
                <w:tcPr>
                  <w:tcW w:w="392" w:type="pct"/>
                  <w:vMerge w:val="continue"/>
                  <w:tcBorders>
                    <w:tl2br w:val="nil"/>
                    <w:tr2bl w:val="nil"/>
                  </w:tcBorders>
                  <w:noWrap w:val="0"/>
                  <w:vAlign w:val="center"/>
                </w:tcPr>
                <w:p w14:paraId="4C5A6498">
                  <w:pPr>
                    <w:pStyle w:val="10"/>
                    <w:bidi w:val="0"/>
                    <w:rPr>
                      <w:rFonts w:hint="eastAsia"/>
                      <w:color w:val="auto"/>
                      <w:sz w:val="21"/>
                      <w:szCs w:val="21"/>
                      <w:highlight w:val="none"/>
                      <w:lang w:val="en-US" w:eastAsia="zh-CN"/>
                    </w:rPr>
                  </w:pPr>
                </w:p>
              </w:tc>
              <w:tc>
                <w:tcPr>
                  <w:tcW w:w="1195" w:type="pct"/>
                  <w:tcBorders>
                    <w:tl2br w:val="nil"/>
                    <w:tr2bl w:val="nil"/>
                  </w:tcBorders>
                  <w:noWrap w:val="0"/>
                  <w:vAlign w:val="center"/>
                </w:tcPr>
                <w:p w14:paraId="46931993">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color w:val="auto"/>
                      <w:sz w:val="21"/>
                      <w:szCs w:val="21"/>
                      <w:highlight w:val="none"/>
                      <w:lang w:val="en-US" w:eastAsia="zh-CN"/>
                    </w:rPr>
                  </w:pPr>
                  <w:r>
                    <w:rPr>
                      <w:rFonts w:hint="eastAsia" w:ascii="宋体" w:hAnsi="宋体" w:cs="宋体"/>
                      <w:b w:val="0"/>
                      <w:bCs w:val="0"/>
                      <w:color w:val="000000"/>
                      <w:sz w:val="21"/>
                      <w:szCs w:val="21"/>
                      <w:highlight w:val="none"/>
                      <w:vertAlign w:val="baseline"/>
                      <w:lang w:val="en-US" w:eastAsia="zh-CN"/>
                    </w:rPr>
                    <w:t>设备维保</w:t>
                  </w:r>
                </w:p>
              </w:tc>
              <w:tc>
                <w:tcPr>
                  <w:tcW w:w="567" w:type="pct"/>
                  <w:tcBorders>
                    <w:tl2br w:val="nil"/>
                    <w:tr2bl w:val="nil"/>
                  </w:tcBorders>
                  <w:noWrap w:val="0"/>
                  <w:vAlign w:val="center"/>
                </w:tcPr>
                <w:p w14:paraId="1520D545">
                  <w:pPr>
                    <w:pStyle w:val="10"/>
                    <w:bidi w:val="0"/>
                    <w:rPr>
                      <w:rFonts w:hint="default"/>
                      <w:color w:val="auto"/>
                      <w:sz w:val="21"/>
                      <w:szCs w:val="21"/>
                      <w:highlight w:val="none"/>
                      <w:lang w:val="en-US" w:eastAsia="zh-CN"/>
                    </w:rPr>
                  </w:pPr>
                  <w:r>
                    <w:rPr>
                      <w:rFonts w:hint="eastAsia"/>
                      <w:color w:val="auto"/>
                      <w:sz w:val="21"/>
                      <w:szCs w:val="21"/>
                      <w:highlight w:val="none"/>
                      <w:lang w:val="en-US" w:eastAsia="zh-CN"/>
                    </w:rPr>
                    <w:t>0.16</w:t>
                  </w:r>
                </w:p>
              </w:tc>
              <w:tc>
                <w:tcPr>
                  <w:tcW w:w="1423" w:type="pct"/>
                  <w:vMerge w:val="continue"/>
                  <w:tcBorders>
                    <w:tl2br w:val="nil"/>
                    <w:tr2bl w:val="nil"/>
                  </w:tcBorders>
                  <w:noWrap w:val="0"/>
                  <w:vAlign w:val="center"/>
                </w:tcPr>
                <w:p w14:paraId="4B4B07E9">
                  <w:pPr>
                    <w:pStyle w:val="10"/>
                    <w:bidi w:val="0"/>
                    <w:rPr>
                      <w:rFonts w:hint="eastAsia"/>
                      <w:color w:val="auto"/>
                      <w:sz w:val="21"/>
                      <w:szCs w:val="21"/>
                      <w:highlight w:val="none"/>
                      <w:lang w:val="en-US" w:eastAsia="zh-CN"/>
                    </w:rPr>
                  </w:pPr>
                </w:p>
              </w:tc>
            </w:tr>
            <w:tr w14:paraId="312F7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385" w:type="pct"/>
                  <w:tcBorders>
                    <w:tl2br w:val="nil"/>
                    <w:tr2bl w:val="nil"/>
                  </w:tcBorders>
                  <w:noWrap w:val="0"/>
                  <w:vAlign w:val="center"/>
                </w:tcPr>
                <w:p w14:paraId="4960A588">
                  <w:pPr>
                    <w:pStyle w:val="10"/>
                    <w:bidi w:val="0"/>
                    <w:ind w:right="0" w:rightChars="0" w:firstLine="0" w:firstLineChars="0"/>
                    <w:rPr>
                      <w:rFonts w:hint="default" w:ascii="Times New Roman" w:hAnsi="Times New Roman" w:eastAsia="宋体"/>
                      <w:color w:val="auto"/>
                      <w:kern w:val="0"/>
                      <w:sz w:val="21"/>
                      <w:szCs w:val="21"/>
                      <w:highlight w:val="none"/>
                      <w:lang w:val="en-US" w:eastAsia="zh-CN" w:bidi="ar-SA"/>
                    </w:rPr>
                  </w:pPr>
                  <w:r>
                    <w:rPr>
                      <w:rFonts w:hint="eastAsia"/>
                      <w:color w:val="auto"/>
                      <w:sz w:val="21"/>
                      <w:szCs w:val="21"/>
                      <w:highlight w:val="none"/>
                      <w:lang w:val="en-US" w:eastAsia="zh-CN"/>
                    </w:rPr>
                    <w:t>7</w:t>
                  </w:r>
                </w:p>
              </w:tc>
              <w:tc>
                <w:tcPr>
                  <w:tcW w:w="1034" w:type="pct"/>
                  <w:tcBorders>
                    <w:tl2br w:val="nil"/>
                    <w:tr2bl w:val="nil"/>
                  </w:tcBorders>
                  <w:noWrap w:val="0"/>
                  <w:vAlign w:val="center"/>
                </w:tcPr>
                <w:p w14:paraId="539A962C">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eastAsia="宋体"/>
                      <w:color w:val="auto"/>
                      <w:sz w:val="21"/>
                      <w:szCs w:val="21"/>
                      <w:highlight w:val="none"/>
                      <w:lang w:val="en-US" w:eastAsia="zh-CN"/>
                    </w:rPr>
                  </w:pPr>
                  <w:r>
                    <w:rPr>
                      <w:rFonts w:hint="eastAsia" w:ascii="宋体" w:hAnsi="宋体" w:eastAsia="宋体" w:cs="宋体"/>
                      <w:b w:val="0"/>
                      <w:bCs w:val="0"/>
                      <w:color w:val="000000"/>
                      <w:sz w:val="21"/>
                      <w:szCs w:val="21"/>
                      <w:highlight w:val="none"/>
                      <w:vertAlign w:val="baseline"/>
                      <w:lang w:val="en-US" w:eastAsia="zh-CN"/>
                    </w:rPr>
                    <w:t>废机油桶</w:t>
                  </w:r>
                </w:p>
              </w:tc>
              <w:tc>
                <w:tcPr>
                  <w:tcW w:w="392" w:type="pct"/>
                  <w:vMerge w:val="continue"/>
                  <w:tcBorders>
                    <w:tl2br w:val="nil"/>
                    <w:tr2bl w:val="nil"/>
                  </w:tcBorders>
                  <w:noWrap w:val="0"/>
                  <w:vAlign w:val="center"/>
                </w:tcPr>
                <w:p w14:paraId="0531FBA0">
                  <w:pPr>
                    <w:pStyle w:val="10"/>
                    <w:bidi w:val="0"/>
                    <w:rPr>
                      <w:rFonts w:hint="eastAsia"/>
                      <w:color w:val="auto"/>
                      <w:sz w:val="21"/>
                      <w:szCs w:val="21"/>
                      <w:highlight w:val="none"/>
                      <w:lang w:val="en-US" w:eastAsia="zh-CN"/>
                    </w:rPr>
                  </w:pPr>
                </w:p>
              </w:tc>
              <w:tc>
                <w:tcPr>
                  <w:tcW w:w="1195" w:type="pct"/>
                  <w:tcBorders>
                    <w:tl2br w:val="nil"/>
                    <w:tr2bl w:val="nil"/>
                  </w:tcBorders>
                  <w:noWrap w:val="0"/>
                  <w:vAlign w:val="center"/>
                </w:tcPr>
                <w:p w14:paraId="6EE54F9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color w:val="auto"/>
                      <w:sz w:val="21"/>
                      <w:szCs w:val="21"/>
                      <w:highlight w:val="none"/>
                      <w:lang w:val="en-US" w:eastAsia="zh-CN"/>
                    </w:rPr>
                  </w:pPr>
                  <w:r>
                    <w:rPr>
                      <w:rFonts w:hint="eastAsia" w:ascii="宋体" w:hAnsi="宋体" w:cs="宋体"/>
                      <w:b w:val="0"/>
                      <w:bCs w:val="0"/>
                      <w:color w:val="000000"/>
                      <w:sz w:val="21"/>
                      <w:szCs w:val="21"/>
                      <w:highlight w:val="none"/>
                      <w:vertAlign w:val="baseline"/>
                      <w:lang w:val="en-US" w:eastAsia="zh-CN"/>
                    </w:rPr>
                    <w:t>设备维保</w:t>
                  </w:r>
                </w:p>
              </w:tc>
              <w:tc>
                <w:tcPr>
                  <w:tcW w:w="567" w:type="pct"/>
                  <w:tcBorders>
                    <w:tl2br w:val="nil"/>
                    <w:tr2bl w:val="nil"/>
                  </w:tcBorders>
                  <w:noWrap w:val="0"/>
                  <w:vAlign w:val="center"/>
                </w:tcPr>
                <w:p w14:paraId="3817497C">
                  <w:pPr>
                    <w:pStyle w:val="10"/>
                    <w:bidi w:val="0"/>
                    <w:rPr>
                      <w:rFonts w:hint="default"/>
                      <w:color w:val="auto"/>
                      <w:sz w:val="21"/>
                      <w:szCs w:val="21"/>
                      <w:highlight w:val="none"/>
                      <w:lang w:val="en-US" w:eastAsia="zh-CN"/>
                    </w:rPr>
                  </w:pPr>
                  <w:r>
                    <w:rPr>
                      <w:rFonts w:hint="eastAsia"/>
                      <w:color w:val="auto"/>
                      <w:sz w:val="21"/>
                      <w:szCs w:val="21"/>
                      <w:highlight w:val="none"/>
                      <w:lang w:val="en-US" w:eastAsia="zh-CN"/>
                    </w:rPr>
                    <w:t>0.04</w:t>
                  </w:r>
                </w:p>
              </w:tc>
              <w:tc>
                <w:tcPr>
                  <w:tcW w:w="1423" w:type="pct"/>
                  <w:vMerge w:val="continue"/>
                  <w:tcBorders>
                    <w:tl2br w:val="nil"/>
                    <w:tr2bl w:val="nil"/>
                  </w:tcBorders>
                  <w:noWrap w:val="0"/>
                  <w:vAlign w:val="center"/>
                </w:tcPr>
                <w:p w14:paraId="257CBD86">
                  <w:pPr>
                    <w:pStyle w:val="10"/>
                    <w:bidi w:val="0"/>
                    <w:rPr>
                      <w:rFonts w:hint="eastAsia"/>
                      <w:color w:val="auto"/>
                      <w:sz w:val="21"/>
                      <w:szCs w:val="21"/>
                      <w:highlight w:val="none"/>
                      <w:lang w:val="en-US" w:eastAsia="zh-CN"/>
                    </w:rPr>
                  </w:pPr>
                </w:p>
              </w:tc>
            </w:tr>
            <w:tr w14:paraId="51025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385" w:type="pct"/>
                  <w:tcBorders>
                    <w:tl2br w:val="nil"/>
                    <w:tr2bl w:val="nil"/>
                  </w:tcBorders>
                  <w:noWrap w:val="0"/>
                  <w:vAlign w:val="center"/>
                </w:tcPr>
                <w:p w14:paraId="391D10C4">
                  <w:pPr>
                    <w:pStyle w:val="10"/>
                    <w:bidi w:val="0"/>
                    <w:ind w:right="0" w:rightChars="0" w:firstLine="0" w:firstLineChars="0"/>
                    <w:rPr>
                      <w:rFonts w:hint="default"/>
                      <w:color w:val="auto"/>
                      <w:sz w:val="21"/>
                      <w:szCs w:val="21"/>
                      <w:highlight w:val="none"/>
                      <w:lang w:val="en-US" w:eastAsia="zh-CN"/>
                    </w:rPr>
                  </w:pPr>
                  <w:r>
                    <w:rPr>
                      <w:rFonts w:hint="eastAsia"/>
                      <w:color w:val="auto"/>
                      <w:sz w:val="21"/>
                      <w:szCs w:val="21"/>
                      <w:highlight w:val="none"/>
                      <w:lang w:val="en-US" w:eastAsia="zh-CN"/>
                    </w:rPr>
                    <w:t>8</w:t>
                  </w:r>
                </w:p>
              </w:tc>
              <w:tc>
                <w:tcPr>
                  <w:tcW w:w="1034" w:type="pct"/>
                  <w:tcBorders>
                    <w:tl2br w:val="nil"/>
                    <w:tr2bl w:val="nil"/>
                  </w:tcBorders>
                  <w:noWrap w:val="0"/>
                  <w:vAlign w:val="center"/>
                </w:tcPr>
                <w:p w14:paraId="3B5C54FE">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color w:val="auto"/>
                      <w:highlight w:val="none"/>
                      <w:lang w:eastAsia="zh-CN"/>
                    </w:rPr>
                  </w:pPr>
                  <w:r>
                    <w:rPr>
                      <w:rFonts w:hint="eastAsia" w:ascii="宋体" w:hAnsi="宋体" w:eastAsia="宋体" w:cs="宋体"/>
                      <w:b w:val="0"/>
                      <w:bCs w:val="0"/>
                      <w:color w:val="000000"/>
                      <w:sz w:val="21"/>
                      <w:szCs w:val="21"/>
                      <w:highlight w:val="none"/>
                      <w:vertAlign w:val="baseline"/>
                      <w:lang w:val="en-US" w:eastAsia="zh-CN"/>
                    </w:rPr>
                    <w:t>废油墨</w:t>
                  </w:r>
                  <w:r>
                    <w:rPr>
                      <w:rFonts w:hint="eastAsia" w:ascii="宋体" w:hAnsi="宋体" w:cs="宋体"/>
                      <w:b w:val="0"/>
                      <w:bCs w:val="0"/>
                      <w:color w:val="000000"/>
                      <w:sz w:val="21"/>
                      <w:szCs w:val="21"/>
                      <w:highlight w:val="none"/>
                      <w:vertAlign w:val="baseline"/>
                      <w:lang w:val="en-US" w:eastAsia="zh-CN"/>
                    </w:rPr>
                    <w:t>包装桶</w:t>
                  </w:r>
                </w:p>
              </w:tc>
              <w:tc>
                <w:tcPr>
                  <w:tcW w:w="392" w:type="pct"/>
                  <w:vMerge w:val="continue"/>
                  <w:tcBorders>
                    <w:tl2br w:val="nil"/>
                    <w:tr2bl w:val="nil"/>
                  </w:tcBorders>
                  <w:noWrap w:val="0"/>
                  <w:vAlign w:val="center"/>
                </w:tcPr>
                <w:p w14:paraId="3186C51A">
                  <w:pPr>
                    <w:pStyle w:val="10"/>
                    <w:bidi w:val="0"/>
                    <w:rPr>
                      <w:rFonts w:hint="eastAsia"/>
                      <w:color w:val="auto"/>
                      <w:sz w:val="21"/>
                      <w:szCs w:val="21"/>
                      <w:highlight w:val="none"/>
                      <w:lang w:val="en-US" w:eastAsia="zh-CN"/>
                    </w:rPr>
                  </w:pPr>
                </w:p>
              </w:tc>
              <w:tc>
                <w:tcPr>
                  <w:tcW w:w="1195" w:type="pct"/>
                  <w:tcBorders>
                    <w:tl2br w:val="nil"/>
                    <w:tr2bl w:val="nil"/>
                  </w:tcBorders>
                  <w:noWrap w:val="0"/>
                  <w:vAlign w:val="center"/>
                </w:tcPr>
                <w:p w14:paraId="0F1FF250">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color w:val="auto"/>
                      <w:sz w:val="21"/>
                      <w:szCs w:val="21"/>
                      <w:highlight w:val="none"/>
                      <w:lang w:val="en-US" w:eastAsia="zh-CN"/>
                    </w:rPr>
                  </w:pPr>
                  <w:r>
                    <w:rPr>
                      <w:rFonts w:hint="eastAsia" w:ascii="宋体" w:hAnsi="宋体" w:cs="宋体"/>
                      <w:b w:val="0"/>
                      <w:bCs w:val="0"/>
                      <w:color w:val="000000"/>
                      <w:sz w:val="21"/>
                      <w:szCs w:val="21"/>
                      <w:highlight w:val="none"/>
                      <w:vertAlign w:val="baseline"/>
                      <w:lang w:val="en-US" w:eastAsia="zh-CN"/>
                    </w:rPr>
                    <w:t>喷码</w:t>
                  </w:r>
                </w:p>
              </w:tc>
              <w:tc>
                <w:tcPr>
                  <w:tcW w:w="567" w:type="pct"/>
                  <w:tcBorders>
                    <w:tl2br w:val="nil"/>
                    <w:tr2bl w:val="nil"/>
                  </w:tcBorders>
                  <w:noWrap w:val="0"/>
                  <w:vAlign w:val="center"/>
                </w:tcPr>
                <w:p w14:paraId="6D033A50">
                  <w:pPr>
                    <w:pStyle w:val="10"/>
                    <w:bidi w:val="0"/>
                    <w:rPr>
                      <w:rFonts w:hint="default"/>
                      <w:color w:val="auto"/>
                      <w:sz w:val="21"/>
                      <w:szCs w:val="21"/>
                      <w:highlight w:val="none"/>
                      <w:lang w:val="en-US" w:eastAsia="zh-CN"/>
                    </w:rPr>
                  </w:pPr>
                  <w:r>
                    <w:rPr>
                      <w:rFonts w:hint="eastAsia"/>
                      <w:color w:val="auto"/>
                      <w:sz w:val="21"/>
                      <w:szCs w:val="21"/>
                      <w:highlight w:val="none"/>
                      <w:lang w:val="en-US" w:eastAsia="zh-CN"/>
                    </w:rPr>
                    <w:t>0.1</w:t>
                  </w:r>
                </w:p>
              </w:tc>
              <w:tc>
                <w:tcPr>
                  <w:tcW w:w="1423" w:type="pct"/>
                  <w:vMerge w:val="continue"/>
                  <w:tcBorders>
                    <w:tl2br w:val="nil"/>
                    <w:tr2bl w:val="nil"/>
                  </w:tcBorders>
                  <w:noWrap w:val="0"/>
                  <w:vAlign w:val="center"/>
                </w:tcPr>
                <w:p w14:paraId="12290677">
                  <w:pPr>
                    <w:pStyle w:val="10"/>
                    <w:bidi w:val="0"/>
                    <w:rPr>
                      <w:rFonts w:hint="eastAsia"/>
                      <w:color w:val="auto"/>
                      <w:sz w:val="21"/>
                      <w:szCs w:val="21"/>
                      <w:highlight w:val="none"/>
                      <w:lang w:val="en-US" w:eastAsia="zh-CN"/>
                    </w:rPr>
                  </w:pPr>
                </w:p>
              </w:tc>
            </w:tr>
            <w:tr w14:paraId="1E5FD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385" w:type="pct"/>
                  <w:tcBorders>
                    <w:tl2br w:val="nil"/>
                    <w:tr2bl w:val="nil"/>
                  </w:tcBorders>
                  <w:noWrap w:val="0"/>
                  <w:vAlign w:val="center"/>
                </w:tcPr>
                <w:p w14:paraId="5B761251">
                  <w:pPr>
                    <w:pStyle w:val="10"/>
                    <w:bidi w:val="0"/>
                    <w:ind w:right="0" w:rightChars="0" w:firstLine="0" w:firstLineChars="0"/>
                    <w:rPr>
                      <w:rFonts w:hint="default"/>
                      <w:color w:val="auto"/>
                      <w:sz w:val="21"/>
                      <w:szCs w:val="21"/>
                      <w:highlight w:val="none"/>
                      <w:lang w:val="en-US" w:eastAsia="zh-CN"/>
                    </w:rPr>
                  </w:pPr>
                  <w:r>
                    <w:rPr>
                      <w:rFonts w:hint="eastAsia"/>
                      <w:color w:val="auto"/>
                      <w:sz w:val="21"/>
                      <w:szCs w:val="21"/>
                      <w:highlight w:val="none"/>
                      <w:lang w:val="en-US" w:eastAsia="zh-CN"/>
                    </w:rPr>
                    <w:t>9</w:t>
                  </w:r>
                </w:p>
              </w:tc>
              <w:tc>
                <w:tcPr>
                  <w:tcW w:w="1034" w:type="pct"/>
                  <w:tcBorders>
                    <w:tl2br w:val="nil"/>
                    <w:tr2bl w:val="nil"/>
                  </w:tcBorders>
                  <w:noWrap w:val="0"/>
                  <w:vAlign w:val="center"/>
                </w:tcPr>
                <w:p w14:paraId="6B6B2362">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color w:val="auto"/>
                      <w:highlight w:val="none"/>
                      <w:lang w:eastAsia="zh-CN"/>
                    </w:rPr>
                  </w:pPr>
                  <w:r>
                    <w:rPr>
                      <w:rFonts w:hint="eastAsia" w:ascii="宋体" w:hAnsi="宋体" w:cs="宋体"/>
                      <w:b w:val="0"/>
                      <w:bCs w:val="0"/>
                      <w:color w:val="000000"/>
                      <w:sz w:val="21"/>
                      <w:szCs w:val="21"/>
                      <w:highlight w:val="none"/>
                      <w:vertAlign w:val="baseline"/>
                      <w:lang w:val="en-US" w:eastAsia="zh-CN"/>
                    </w:rPr>
                    <w:t>含油抹布和手套</w:t>
                  </w:r>
                </w:p>
              </w:tc>
              <w:tc>
                <w:tcPr>
                  <w:tcW w:w="392" w:type="pct"/>
                  <w:vMerge w:val="continue"/>
                  <w:tcBorders>
                    <w:tl2br w:val="nil"/>
                    <w:tr2bl w:val="nil"/>
                  </w:tcBorders>
                  <w:noWrap w:val="0"/>
                  <w:vAlign w:val="center"/>
                </w:tcPr>
                <w:p w14:paraId="54EE3C6F">
                  <w:pPr>
                    <w:pStyle w:val="10"/>
                    <w:bidi w:val="0"/>
                    <w:rPr>
                      <w:rFonts w:hint="eastAsia"/>
                      <w:color w:val="auto"/>
                      <w:sz w:val="21"/>
                      <w:szCs w:val="21"/>
                      <w:highlight w:val="none"/>
                      <w:lang w:val="en-US" w:eastAsia="zh-CN"/>
                    </w:rPr>
                  </w:pPr>
                </w:p>
              </w:tc>
              <w:tc>
                <w:tcPr>
                  <w:tcW w:w="1195" w:type="pct"/>
                  <w:tcBorders>
                    <w:tl2br w:val="nil"/>
                    <w:tr2bl w:val="nil"/>
                  </w:tcBorders>
                  <w:noWrap w:val="0"/>
                  <w:vAlign w:val="center"/>
                </w:tcPr>
                <w:p w14:paraId="62A0B2B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color w:val="auto"/>
                      <w:sz w:val="21"/>
                      <w:szCs w:val="21"/>
                      <w:highlight w:val="none"/>
                      <w:lang w:val="en-US" w:eastAsia="zh-CN"/>
                    </w:rPr>
                  </w:pPr>
                  <w:r>
                    <w:rPr>
                      <w:rFonts w:hint="eastAsia" w:ascii="宋体" w:hAnsi="宋体" w:cs="宋体"/>
                      <w:b w:val="0"/>
                      <w:bCs w:val="0"/>
                      <w:color w:val="000000"/>
                      <w:sz w:val="21"/>
                      <w:szCs w:val="21"/>
                      <w:highlight w:val="none"/>
                      <w:vertAlign w:val="baseline"/>
                      <w:lang w:val="en-US" w:eastAsia="zh-CN"/>
                    </w:rPr>
                    <w:t>设备维保</w:t>
                  </w:r>
                </w:p>
              </w:tc>
              <w:tc>
                <w:tcPr>
                  <w:tcW w:w="567" w:type="pct"/>
                  <w:tcBorders>
                    <w:tl2br w:val="nil"/>
                    <w:tr2bl w:val="nil"/>
                  </w:tcBorders>
                  <w:noWrap w:val="0"/>
                  <w:vAlign w:val="center"/>
                </w:tcPr>
                <w:p w14:paraId="66E3593D">
                  <w:pPr>
                    <w:pStyle w:val="10"/>
                    <w:bidi w:val="0"/>
                    <w:rPr>
                      <w:rFonts w:hint="default"/>
                      <w:color w:val="auto"/>
                      <w:sz w:val="21"/>
                      <w:szCs w:val="21"/>
                      <w:highlight w:val="none"/>
                      <w:lang w:val="en-US" w:eastAsia="zh-CN"/>
                    </w:rPr>
                  </w:pPr>
                  <w:r>
                    <w:rPr>
                      <w:rFonts w:hint="eastAsia"/>
                      <w:color w:val="auto"/>
                      <w:sz w:val="21"/>
                      <w:szCs w:val="21"/>
                      <w:highlight w:val="none"/>
                      <w:lang w:val="en-US" w:eastAsia="zh-CN"/>
                    </w:rPr>
                    <w:t>0.01</w:t>
                  </w:r>
                </w:p>
              </w:tc>
              <w:tc>
                <w:tcPr>
                  <w:tcW w:w="1423" w:type="pct"/>
                  <w:vMerge w:val="continue"/>
                  <w:tcBorders>
                    <w:tl2br w:val="nil"/>
                    <w:tr2bl w:val="nil"/>
                  </w:tcBorders>
                  <w:noWrap w:val="0"/>
                  <w:vAlign w:val="center"/>
                </w:tcPr>
                <w:p w14:paraId="3A4EB20D">
                  <w:pPr>
                    <w:pStyle w:val="10"/>
                    <w:bidi w:val="0"/>
                    <w:rPr>
                      <w:rFonts w:hint="eastAsia"/>
                      <w:color w:val="auto"/>
                      <w:sz w:val="21"/>
                      <w:szCs w:val="21"/>
                      <w:highlight w:val="none"/>
                      <w:lang w:val="en-US" w:eastAsia="zh-CN"/>
                    </w:rPr>
                  </w:pPr>
                </w:p>
              </w:tc>
            </w:tr>
            <w:tr w14:paraId="69AC2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385" w:type="pct"/>
                  <w:tcBorders>
                    <w:tl2br w:val="nil"/>
                    <w:tr2bl w:val="nil"/>
                  </w:tcBorders>
                  <w:noWrap w:val="0"/>
                  <w:vAlign w:val="center"/>
                </w:tcPr>
                <w:p w14:paraId="120246DC">
                  <w:pPr>
                    <w:pStyle w:val="10"/>
                    <w:bidi w:val="0"/>
                    <w:ind w:right="0" w:rightChars="0" w:firstLine="0" w:firstLineChars="0"/>
                    <w:rPr>
                      <w:rFonts w:hint="default"/>
                      <w:color w:val="auto"/>
                      <w:sz w:val="21"/>
                      <w:szCs w:val="21"/>
                      <w:highlight w:val="none"/>
                      <w:lang w:val="en-US" w:eastAsia="zh-CN"/>
                    </w:rPr>
                  </w:pPr>
                  <w:r>
                    <w:rPr>
                      <w:rFonts w:hint="eastAsia"/>
                      <w:color w:val="auto"/>
                      <w:sz w:val="21"/>
                      <w:szCs w:val="21"/>
                      <w:highlight w:val="none"/>
                      <w:lang w:val="en-US" w:eastAsia="zh-CN"/>
                    </w:rPr>
                    <w:t>10</w:t>
                  </w:r>
                </w:p>
              </w:tc>
              <w:tc>
                <w:tcPr>
                  <w:tcW w:w="1034" w:type="pct"/>
                  <w:tcBorders>
                    <w:tl2br w:val="nil"/>
                    <w:tr2bl w:val="nil"/>
                  </w:tcBorders>
                  <w:noWrap w:val="0"/>
                  <w:vAlign w:val="center"/>
                </w:tcPr>
                <w:p w14:paraId="049271F9">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油雾净化器收集废油</w:t>
                  </w:r>
                </w:p>
              </w:tc>
              <w:tc>
                <w:tcPr>
                  <w:tcW w:w="392" w:type="pct"/>
                  <w:vMerge w:val="continue"/>
                  <w:tcBorders>
                    <w:tl2br w:val="nil"/>
                    <w:tr2bl w:val="nil"/>
                  </w:tcBorders>
                  <w:noWrap w:val="0"/>
                  <w:vAlign w:val="center"/>
                </w:tcPr>
                <w:p w14:paraId="5B576B8D">
                  <w:pPr>
                    <w:pStyle w:val="10"/>
                    <w:bidi w:val="0"/>
                    <w:rPr>
                      <w:rFonts w:hint="eastAsia"/>
                      <w:color w:val="auto"/>
                      <w:sz w:val="21"/>
                      <w:szCs w:val="21"/>
                      <w:highlight w:val="none"/>
                      <w:lang w:val="en-US" w:eastAsia="zh-CN"/>
                    </w:rPr>
                  </w:pPr>
                </w:p>
              </w:tc>
              <w:tc>
                <w:tcPr>
                  <w:tcW w:w="1195" w:type="pct"/>
                  <w:tcBorders>
                    <w:tl2br w:val="nil"/>
                    <w:tr2bl w:val="nil"/>
                  </w:tcBorders>
                  <w:noWrap w:val="0"/>
                  <w:vAlign w:val="center"/>
                </w:tcPr>
                <w:p w14:paraId="5E0BF80E">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宋体" w:hAnsi="宋体" w:cs="宋体"/>
                      <w:b w:val="0"/>
                      <w:bCs w:val="0"/>
                      <w:color w:val="000000"/>
                      <w:sz w:val="21"/>
                      <w:szCs w:val="21"/>
                      <w:highlight w:val="none"/>
                      <w:vertAlign w:val="baseline"/>
                      <w:lang w:val="en-US" w:eastAsia="zh-CN"/>
                    </w:rPr>
                  </w:pPr>
                  <w:r>
                    <w:rPr>
                      <w:rFonts w:hint="eastAsia" w:ascii="宋体" w:hAnsi="宋体" w:cs="宋体"/>
                      <w:b w:val="0"/>
                      <w:bCs w:val="0"/>
                      <w:color w:val="000000"/>
                      <w:sz w:val="21"/>
                      <w:szCs w:val="21"/>
                      <w:highlight w:val="none"/>
                      <w:vertAlign w:val="baseline"/>
                      <w:lang w:val="en-US" w:eastAsia="zh-CN"/>
                    </w:rPr>
                    <w:t>废气治理</w:t>
                  </w:r>
                </w:p>
              </w:tc>
              <w:tc>
                <w:tcPr>
                  <w:tcW w:w="567" w:type="pct"/>
                  <w:tcBorders>
                    <w:tl2br w:val="nil"/>
                    <w:tr2bl w:val="nil"/>
                  </w:tcBorders>
                  <w:noWrap w:val="0"/>
                  <w:vAlign w:val="center"/>
                </w:tcPr>
                <w:p w14:paraId="57E5779E">
                  <w:pPr>
                    <w:pStyle w:val="10"/>
                    <w:bidi w:val="0"/>
                    <w:rPr>
                      <w:rFonts w:hint="default"/>
                      <w:color w:val="auto"/>
                      <w:sz w:val="21"/>
                      <w:szCs w:val="21"/>
                      <w:highlight w:val="none"/>
                      <w:lang w:val="en-US" w:eastAsia="zh-CN"/>
                    </w:rPr>
                  </w:pPr>
                  <w:r>
                    <w:rPr>
                      <w:rFonts w:hint="eastAsia"/>
                      <w:color w:val="auto"/>
                      <w:sz w:val="21"/>
                      <w:szCs w:val="21"/>
                      <w:highlight w:val="none"/>
                      <w:lang w:val="en-US" w:eastAsia="zh-CN"/>
                    </w:rPr>
                    <w:t>1.68</w:t>
                  </w:r>
                </w:p>
              </w:tc>
              <w:tc>
                <w:tcPr>
                  <w:tcW w:w="1423" w:type="pct"/>
                  <w:vMerge w:val="continue"/>
                  <w:tcBorders>
                    <w:tl2br w:val="nil"/>
                    <w:tr2bl w:val="nil"/>
                  </w:tcBorders>
                  <w:noWrap w:val="0"/>
                  <w:vAlign w:val="center"/>
                </w:tcPr>
                <w:p w14:paraId="2AF2CD44">
                  <w:pPr>
                    <w:pStyle w:val="10"/>
                    <w:bidi w:val="0"/>
                    <w:rPr>
                      <w:rFonts w:hint="eastAsia"/>
                      <w:color w:val="auto"/>
                      <w:sz w:val="21"/>
                      <w:szCs w:val="21"/>
                      <w:highlight w:val="none"/>
                      <w:lang w:val="en-US" w:eastAsia="zh-CN"/>
                    </w:rPr>
                  </w:pPr>
                </w:p>
              </w:tc>
            </w:tr>
          </w:tbl>
          <w:p w14:paraId="7CBF6A69">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根据《国家危险废物名录》（202</w:t>
            </w:r>
            <w:r>
              <w:rPr>
                <w:rFonts w:hint="eastAsia" w:cs="Times New Roman"/>
                <w:color w:val="auto"/>
                <w:highlight w:val="none"/>
                <w:lang w:val="en-US" w:eastAsia="zh-CN"/>
              </w:rPr>
              <w:t>5</w:t>
            </w:r>
            <w:r>
              <w:rPr>
                <w:rFonts w:hint="default" w:ascii="Times New Roman" w:hAnsi="Times New Roman" w:cs="Times New Roman"/>
                <w:color w:val="auto"/>
                <w:highlight w:val="none"/>
              </w:rPr>
              <w:t>年版）</w:t>
            </w:r>
            <w:r>
              <w:rPr>
                <w:rFonts w:hint="default" w:ascii="Times New Roman" w:hAnsi="Times New Roman" w:cs="Times New Roman"/>
                <w:color w:val="auto"/>
                <w:highlight w:val="none"/>
                <w:lang w:val="en-US" w:eastAsia="zh-CN"/>
              </w:rPr>
              <w:t>和</w:t>
            </w:r>
            <w:r>
              <w:rPr>
                <w:rFonts w:hint="default" w:ascii="Times New Roman" w:hAnsi="Times New Roman" w:cs="Times New Roman"/>
                <w:color w:val="auto"/>
                <w:highlight w:val="none"/>
              </w:rPr>
              <w:t>《危险废物鉴别标准通则》（GB5085.7-2019），判定是否属于危险废物，如下表所示。</w:t>
            </w:r>
          </w:p>
          <w:p w14:paraId="411D00C3">
            <w:pPr>
              <w:pStyle w:val="5"/>
              <w:tabs>
                <w:tab w:val="left" w:pos="1284"/>
              </w:tabs>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表4-</w:t>
            </w:r>
            <w:r>
              <w:rPr>
                <w:rFonts w:hint="eastAsia" w:ascii="Times New Roman" w:hAnsi="Times New Roman" w:cs="Times New Roman"/>
                <w:color w:val="auto"/>
                <w:highlight w:val="none"/>
                <w:lang w:val="en-US" w:eastAsia="zh-CN"/>
              </w:rPr>
              <w:t>1</w:t>
            </w:r>
            <w:r>
              <w:rPr>
                <w:rFonts w:hint="eastAsia" w:cs="Times New Roman"/>
                <w:color w:val="auto"/>
                <w:highlight w:val="none"/>
                <w:lang w:val="en-US" w:eastAsia="zh-CN"/>
              </w:rPr>
              <w:t>7</w:t>
            </w:r>
            <w:r>
              <w:rPr>
                <w:rFonts w:hint="default" w:ascii="Times New Roman" w:hAnsi="Times New Roman" w:cs="Times New Roman"/>
                <w:color w:val="auto"/>
                <w:highlight w:val="none"/>
              </w:rPr>
              <w:t xml:space="preserve"> </w:t>
            </w:r>
            <w:r>
              <w:rPr>
                <w:rFonts w:hint="eastAsia" w:ascii="Times New Roman" w:hAnsi="Times New Roman" w:cs="Times New Roman"/>
                <w:color w:val="auto"/>
                <w:highlight w:val="none"/>
                <w:lang w:eastAsia="zh-CN"/>
              </w:rPr>
              <w:t>本项目</w:t>
            </w:r>
            <w:r>
              <w:rPr>
                <w:rFonts w:hint="default" w:ascii="Times New Roman" w:hAnsi="Times New Roman" w:cs="Times New Roman"/>
                <w:color w:val="auto"/>
                <w:highlight w:val="none"/>
              </w:rPr>
              <w:t>危险废物汇总表</w:t>
            </w:r>
          </w:p>
          <w:tbl>
            <w:tblPr>
              <w:tblStyle w:val="2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4"/>
              <w:gridCol w:w="1085"/>
              <w:gridCol w:w="900"/>
              <w:gridCol w:w="1269"/>
              <w:gridCol w:w="862"/>
              <w:gridCol w:w="692"/>
              <w:gridCol w:w="1308"/>
              <w:gridCol w:w="912"/>
              <w:gridCol w:w="934"/>
            </w:tblGrid>
            <w:tr w14:paraId="488C6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2" w:type="pct"/>
                  <w:tcBorders>
                    <w:top w:val="single" w:color="auto" w:sz="4" w:space="0"/>
                    <w:left w:val="single" w:color="auto" w:sz="4" w:space="0"/>
                    <w:bottom w:val="single" w:color="auto" w:sz="4" w:space="0"/>
                    <w:right w:val="single" w:color="auto" w:sz="4" w:space="0"/>
                  </w:tcBorders>
                  <w:noWrap w:val="0"/>
                  <w:vAlign w:val="center"/>
                </w:tcPr>
                <w:p w14:paraId="49A7856B">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序号</w:t>
                  </w:r>
                </w:p>
              </w:tc>
              <w:tc>
                <w:tcPr>
                  <w:tcW w:w="641" w:type="pct"/>
                  <w:tcBorders>
                    <w:top w:val="single" w:color="auto" w:sz="4" w:space="0"/>
                    <w:left w:val="nil"/>
                    <w:bottom w:val="single" w:color="auto" w:sz="4" w:space="0"/>
                    <w:right w:val="single" w:color="auto" w:sz="4" w:space="0"/>
                  </w:tcBorders>
                  <w:noWrap w:val="0"/>
                  <w:vAlign w:val="center"/>
                </w:tcPr>
                <w:p w14:paraId="0FB6F9FF">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危险废物名称</w:t>
                  </w:r>
                </w:p>
              </w:tc>
              <w:tc>
                <w:tcPr>
                  <w:tcW w:w="532" w:type="pct"/>
                  <w:tcBorders>
                    <w:top w:val="single" w:color="auto" w:sz="4" w:space="0"/>
                    <w:left w:val="nil"/>
                    <w:bottom w:val="single" w:color="auto" w:sz="4" w:space="0"/>
                    <w:right w:val="single" w:color="auto" w:sz="4" w:space="0"/>
                  </w:tcBorders>
                  <w:noWrap w:val="0"/>
                  <w:vAlign w:val="center"/>
                </w:tcPr>
                <w:p w14:paraId="2E4C2754">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危险废物类别</w:t>
                  </w:r>
                </w:p>
              </w:tc>
              <w:tc>
                <w:tcPr>
                  <w:tcW w:w="750" w:type="pct"/>
                  <w:tcBorders>
                    <w:top w:val="single" w:color="auto" w:sz="4" w:space="0"/>
                    <w:left w:val="nil"/>
                    <w:bottom w:val="single" w:color="auto" w:sz="4" w:space="0"/>
                    <w:right w:val="single" w:color="auto" w:sz="4" w:space="0"/>
                  </w:tcBorders>
                  <w:noWrap w:val="0"/>
                  <w:vAlign w:val="center"/>
                </w:tcPr>
                <w:p w14:paraId="576051D7">
                  <w:pPr>
                    <w:pStyle w:val="10"/>
                    <w:bidi w:val="0"/>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rPr>
                    <w:t>危险</w:t>
                  </w:r>
                  <w:r>
                    <w:rPr>
                      <w:rFonts w:hint="default" w:ascii="Times New Roman" w:hAnsi="Times New Roman" w:cs="Times New Roman"/>
                      <w:b/>
                      <w:bCs/>
                      <w:color w:val="auto"/>
                      <w:highlight w:val="none"/>
                      <w:lang w:val="en-US" w:eastAsia="zh-CN"/>
                    </w:rPr>
                    <w:t>废物</w:t>
                  </w:r>
                </w:p>
                <w:p w14:paraId="542A0A36">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代码</w:t>
                  </w:r>
                </w:p>
              </w:tc>
              <w:tc>
                <w:tcPr>
                  <w:tcW w:w="509" w:type="pct"/>
                  <w:tcBorders>
                    <w:top w:val="single" w:color="auto" w:sz="4" w:space="0"/>
                    <w:left w:val="nil"/>
                    <w:bottom w:val="single" w:color="auto" w:sz="4" w:space="0"/>
                    <w:right w:val="single" w:color="auto" w:sz="4" w:space="0"/>
                  </w:tcBorders>
                  <w:noWrap w:val="0"/>
                  <w:vAlign w:val="center"/>
                </w:tcPr>
                <w:p w14:paraId="32AACF95">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产生量</w:t>
                  </w:r>
                  <w:r>
                    <w:rPr>
                      <w:rFonts w:hint="default" w:ascii="Times New Roman" w:hAnsi="Times New Roman" w:cs="Times New Roman"/>
                      <w:b/>
                      <w:bCs/>
                      <w:color w:val="auto"/>
                      <w:highlight w:val="none"/>
                      <w:lang w:eastAsia="zh-CN"/>
                    </w:rPr>
                    <w:t>（</w:t>
                  </w:r>
                  <w:r>
                    <w:rPr>
                      <w:rFonts w:hint="default" w:ascii="Times New Roman" w:hAnsi="Times New Roman" w:cs="Times New Roman"/>
                      <w:b/>
                      <w:bCs/>
                      <w:color w:val="auto"/>
                      <w:highlight w:val="none"/>
                    </w:rPr>
                    <w:t>t/a）</w:t>
                  </w:r>
                </w:p>
              </w:tc>
              <w:tc>
                <w:tcPr>
                  <w:tcW w:w="409" w:type="pct"/>
                  <w:tcBorders>
                    <w:top w:val="single" w:color="auto" w:sz="4" w:space="0"/>
                    <w:left w:val="nil"/>
                    <w:bottom w:val="single" w:color="auto" w:sz="4" w:space="0"/>
                    <w:right w:val="single" w:color="auto" w:sz="4" w:space="0"/>
                  </w:tcBorders>
                  <w:noWrap w:val="0"/>
                  <w:vAlign w:val="center"/>
                </w:tcPr>
                <w:p w14:paraId="17612649">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危险特性</w:t>
                  </w:r>
                </w:p>
              </w:tc>
              <w:tc>
                <w:tcPr>
                  <w:tcW w:w="773" w:type="pct"/>
                  <w:tcBorders>
                    <w:top w:val="single" w:color="auto" w:sz="4" w:space="0"/>
                    <w:left w:val="nil"/>
                    <w:bottom w:val="single" w:color="auto" w:sz="4" w:space="0"/>
                    <w:right w:val="single" w:color="auto" w:sz="4" w:space="0"/>
                  </w:tcBorders>
                  <w:noWrap w:val="0"/>
                  <w:vAlign w:val="center"/>
                </w:tcPr>
                <w:p w14:paraId="4F525C2C">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污染防治措施</w:t>
                  </w:r>
                </w:p>
              </w:tc>
              <w:tc>
                <w:tcPr>
                  <w:tcW w:w="539" w:type="pct"/>
                  <w:tcBorders>
                    <w:top w:val="single" w:color="auto" w:sz="4" w:space="0"/>
                    <w:left w:val="nil"/>
                    <w:bottom w:val="single" w:color="auto" w:sz="4" w:space="0"/>
                    <w:right w:val="single" w:color="auto" w:sz="4" w:space="0"/>
                  </w:tcBorders>
                  <w:noWrap w:val="0"/>
                  <w:vAlign w:val="center"/>
                </w:tcPr>
                <w:p w14:paraId="24230D99">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贮储周期（月）</w:t>
                  </w:r>
                </w:p>
              </w:tc>
              <w:tc>
                <w:tcPr>
                  <w:tcW w:w="552" w:type="pct"/>
                  <w:tcBorders>
                    <w:top w:val="single" w:color="auto" w:sz="4" w:space="0"/>
                    <w:left w:val="nil"/>
                    <w:bottom w:val="single" w:color="auto" w:sz="4" w:space="0"/>
                    <w:right w:val="single" w:color="auto" w:sz="4" w:space="0"/>
                  </w:tcBorders>
                  <w:noWrap w:val="0"/>
                  <w:vAlign w:val="center"/>
                </w:tcPr>
                <w:p w14:paraId="3C6AF456">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最大贮存量（t）</w:t>
                  </w:r>
                </w:p>
              </w:tc>
            </w:tr>
            <w:tr w14:paraId="72C2E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2" w:type="pct"/>
                  <w:tcBorders>
                    <w:top w:val="single" w:color="auto" w:sz="4" w:space="0"/>
                    <w:left w:val="single" w:color="auto" w:sz="4" w:space="0"/>
                    <w:bottom w:val="single" w:color="auto" w:sz="4" w:space="0"/>
                    <w:right w:val="single" w:color="auto" w:sz="4" w:space="0"/>
                  </w:tcBorders>
                  <w:noWrap w:val="0"/>
                  <w:vAlign w:val="center"/>
                </w:tcPr>
                <w:p w14:paraId="36D13B8D">
                  <w:pPr>
                    <w:pStyle w:val="10"/>
                    <w:bidi w:val="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1</w:t>
                  </w:r>
                </w:p>
              </w:tc>
              <w:tc>
                <w:tcPr>
                  <w:tcW w:w="641" w:type="pct"/>
                  <w:tcBorders>
                    <w:top w:val="single" w:color="auto" w:sz="4" w:space="0"/>
                    <w:left w:val="nil"/>
                    <w:bottom w:val="single" w:color="auto" w:sz="4" w:space="0"/>
                    <w:right w:val="single" w:color="auto" w:sz="4" w:space="0"/>
                  </w:tcBorders>
                  <w:noWrap w:val="0"/>
                  <w:vAlign w:val="center"/>
                </w:tcPr>
                <w:p w14:paraId="3C884754">
                  <w:pPr>
                    <w:pStyle w:val="10"/>
                    <w:bidi w:val="0"/>
                    <w:ind w:right="0" w:rightChars="0" w:firstLine="0" w:firstLineChars="0"/>
                    <w:rPr>
                      <w:rFonts w:hint="default"/>
                      <w:color w:val="auto"/>
                      <w:sz w:val="21"/>
                      <w:szCs w:val="21"/>
                      <w:highlight w:val="none"/>
                      <w:lang w:val="en-US" w:eastAsia="zh-CN"/>
                    </w:rPr>
                  </w:pPr>
                  <w:r>
                    <w:rPr>
                      <w:rFonts w:hint="eastAsia"/>
                      <w:color w:val="auto"/>
                      <w:sz w:val="21"/>
                      <w:szCs w:val="21"/>
                      <w:highlight w:val="none"/>
                      <w:lang w:val="en-US" w:eastAsia="zh-CN"/>
                    </w:rPr>
                    <w:t>废活性炭</w:t>
                  </w:r>
                </w:p>
              </w:tc>
              <w:tc>
                <w:tcPr>
                  <w:tcW w:w="532" w:type="pct"/>
                  <w:tcBorders>
                    <w:top w:val="single" w:color="auto" w:sz="4" w:space="0"/>
                    <w:left w:val="nil"/>
                    <w:bottom w:val="single" w:color="auto" w:sz="4" w:space="0"/>
                    <w:right w:val="single" w:color="auto" w:sz="4" w:space="0"/>
                  </w:tcBorders>
                  <w:noWrap w:val="0"/>
                  <w:vAlign w:val="center"/>
                </w:tcPr>
                <w:p w14:paraId="72437150">
                  <w:pPr>
                    <w:pStyle w:val="10"/>
                    <w:bidi w:val="0"/>
                    <w:ind w:right="0" w:rightChars="0" w:firstLine="0" w:firstLineChars="0"/>
                    <w:rPr>
                      <w:rFonts w:hint="default" w:ascii="Times New Roman" w:hAnsi="Times New Roman" w:cs="Times New Roman"/>
                      <w:color w:val="auto"/>
                      <w:highlight w:val="none"/>
                    </w:rPr>
                  </w:pPr>
                  <w:r>
                    <w:rPr>
                      <w:rFonts w:hint="default" w:ascii="Times New Roman" w:hAnsi="Times New Roman" w:cs="Times New Roman"/>
                      <w:color w:val="auto"/>
                      <w:highlight w:val="none"/>
                    </w:rPr>
                    <w:t>HW49</w:t>
                  </w:r>
                </w:p>
              </w:tc>
              <w:tc>
                <w:tcPr>
                  <w:tcW w:w="750" w:type="pct"/>
                  <w:tcBorders>
                    <w:top w:val="single" w:color="auto" w:sz="4" w:space="0"/>
                    <w:left w:val="nil"/>
                    <w:bottom w:val="single" w:color="auto" w:sz="4" w:space="0"/>
                    <w:right w:val="single" w:color="auto" w:sz="4" w:space="0"/>
                  </w:tcBorders>
                  <w:noWrap w:val="0"/>
                  <w:vAlign w:val="center"/>
                </w:tcPr>
                <w:p w14:paraId="782F90C9">
                  <w:pPr>
                    <w:pStyle w:val="10"/>
                    <w:bidi w:val="0"/>
                    <w:ind w:right="0" w:rightChars="0" w:firstLine="0" w:firstLineChars="0"/>
                    <w:rPr>
                      <w:rFonts w:hint="default" w:ascii="Times New Roman" w:hAnsi="Times New Roman" w:cs="Times New Roman"/>
                      <w:color w:val="auto"/>
                      <w:highlight w:val="none"/>
                    </w:rPr>
                  </w:pPr>
                  <w:r>
                    <w:rPr>
                      <w:sz w:val="21"/>
                      <w:szCs w:val="21"/>
                    </w:rPr>
                    <w:t>900-039-49</w:t>
                  </w:r>
                </w:p>
              </w:tc>
              <w:tc>
                <w:tcPr>
                  <w:tcW w:w="509" w:type="pct"/>
                  <w:tcBorders>
                    <w:top w:val="single" w:color="auto" w:sz="4" w:space="0"/>
                    <w:left w:val="nil"/>
                    <w:bottom w:val="single" w:color="auto" w:sz="4" w:space="0"/>
                    <w:right w:val="single" w:color="auto" w:sz="4" w:space="0"/>
                  </w:tcBorders>
                  <w:noWrap w:val="0"/>
                  <w:vAlign w:val="center"/>
                </w:tcPr>
                <w:p w14:paraId="641569E6">
                  <w:pPr>
                    <w:pStyle w:val="10"/>
                    <w:bidi w:val="0"/>
                    <w:ind w:right="0" w:rightChars="0" w:firstLine="0" w:firstLineChars="0"/>
                    <w:rPr>
                      <w:rFonts w:hint="default"/>
                      <w:color w:val="auto"/>
                      <w:sz w:val="21"/>
                      <w:szCs w:val="21"/>
                      <w:highlight w:val="none"/>
                      <w:lang w:val="en-US" w:eastAsia="zh-CN"/>
                    </w:rPr>
                  </w:pPr>
                  <w:r>
                    <w:rPr>
                      <w:rFonts w:hint="eastAsia"/>
                      <w:color w:val="auto"/>
                      <w:sz w:val="21"/>
                      <w:szCs w:val="21"/>
                      <w:highlight w:val="none"/>
                      <w:lang w:val="en-US" w:eastAsia="zh-CN"/>
                    </w:rPr>
                    <w:t>24.55</w:t>
                  </w:r>
                </w:p>
              </w:tc>
              <w:tc>
                <w:tcPr>
                  <w:tcW w:w="409" w:type="pct"/>
                  <w:tcBorders>
                    <w:top w:val="single" w:color="auto" w:sz="4" w:space="0"/>
                    <w:left w:val="nil"/>
                    <w:bottom w:val="single" w:color="auto" w:sz="4" w:space="0"/>
                    <w:right w:val="single" w:color="auto" w:sz="4" w:space="0"/>
                  </w:tcBorders>
                  <w:noWrap w:val="0"/>
                  <w:vAlign w:val="center"/>
                </w:tcPr>
                <w:p w14:paraId="2DE2A9F3">
                  <w:pPr>
                    <w:pStyle w:val="10"/>
                    <w:bidi w:val="0"/>
                    <w:ind w:right="0" w:rightChars="0" w:firstLine="0" w:firstLineChars="0"/>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1"/>
                      <w:szCs w:val="20"/>
                      <w:highlight w:val="none"/>
                      <w:lang w:val="en-US" w:eastAsia="zh-CN" w:bidi="ar-SA"/>
                    </w:rPr>
                    <w:t>T/In</w:t>
                  </w:r>
                </w:p>
              </w:tc>
              <w:tc>
                <w:tcPr>
                  <w:tcW w:w="773" w:type="pct"/>
                  <w:vMerge w:val="restart"/>
                  <w:tcBorders>
                    <w:top w:val="nil"/>
                    <w:left w:val="nil"/>
                    <w:right w:val="single" w:color="auto" w:sz="4" w:space="0"/>
                  </w:tcBorders>
                  <w:noWrap w:val="0"/>
                  <w:vAlign w:val="center"/>
                </w:tcPr>
                <w:p w14:paraId="5D7FD541">
                  <w:pPr>
                    <w:pStyle w:val="10"/>
                    <w:bidi w:val="0"/>
                    <w:ind w:right="0" w:rightChars="0" w:firstLine="0" w:firstLineChars="0"/>
                    <w:rPr>
                      <w:rFonts w:hint="default" w:ascii="Times New Roman" w:hAnsi="Times New Roman" w:cs="Times New Roman"/>
                      <w:color w:val="auto"/>
                      <w:highlight w:val="none"/>
                    </w:rPr>
                  </w:pPr>
                  <w:r>
                    <w:rPr>
                      <w:rFonts w:hint="default" w:ascii="Times New Roman" w:hAnsi="Times New Roman" w:cs="Times New Roman"/>
                      <w:color w:val="auto"/>
                      <w:highlight w:val="none"/>
                    </w:rPr>
                    <w:t>委托有危废处置资质单位处理</w:t>
                  </w:r>
                </w:p>
              </w:tc>
              <w:tc>
                <w:tcPr>
                  <w:tcW w:w="539" w:type="pct"/>
                  <w:tcBorders>
                    <w:top w:val="nil"/>
                    <w:left w:val="nil"/>
                    <w:bottom w:val="single" w:color="auto" w:sz="4" w:space="0"/>
                    <w:right w:val="single" w:color="auto" w:sz="4" w:space="0"/>
                  </w:tcBorders>
                  <w:noWrap w:val="0"/>
                  <w:vAlign w:val="center"/>
                </w:tcPr>
                <w:p w14:paraId="7EE8ACE3">
                  <w:pPr>
                    <w:pStyle w:val="10"/>
                    <w:bidi w:val="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3</w:t>
                  </w:r>
                </w:p>
              </w:tc>
              <w:tc>
                <w:tcPr>
                  <w:tcW w:w="552" w:type="pct"/>
                  <w:tcBorders>
                    <w:top w:val="nil"/>
                    <w:left w:val="nil"/>
                    <w:bottom w:val="single" w:color="auto" w:sz="4" w:space="0"/>
                    <w:right w:val="single" w:color="auto" w:sz="4" w:space="0"/>
                  </w:tcBorders>
                  <w:noWrap w:val="0"/>
                  <w:vAlign w:val="center"/>
                </w:tcPr>
                <w:p w14:paraId="5506D908">
                  <w:pPr>
                    <w:pStyle w:val="10"/>
                    <w:bidi w:val="0"/>
                    <w:ind w:right="0" w:rightChars="0" w:firstLine="0" w:firstLineChars="0"/>
                    <w:rPr>
                      <w:rFonts w:hint="default"/>
                      <w:color w:val="auto"/>
                      <w:sz w:val="21"/>
                      <w:szCs w:val="21"/>
                      <w:highlight w:val="none"/>
                      <w:lang w:val="en-US" w:eastAsia="zh-CN"/>
                    </w:rPr>
                  </w:pPr>
                  <w:r>
                    <w:rPr>
                      <w:rFonts w:hint="eastAsia"/>
                      <w:color w:val="auto"/>
                      <w:sz w:val="21"/>
                      <w:szCs w:val="21"/>
                      <w:highlight w:val="none"/>
                      <w:lang w:val="en-US" w:eastAsia="zh-CN"/>
                    </w:rPr>
                    <w:t>8.18</w:t>
                  </w:r>
                </w:p>
              </w:tc>
            </w:tr>
            <w:tr w14:paraId="53957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2" w:type="pct"/>
                  <w:tcBorders>
                    <w:top w:val="single" w:color="auto" w:sz="4" w:space="0"/>
                    <w:left w:val="single" w:color="auto" w:sz="4" w:space="0"/>
                    <w:bottom w:val="single" w:color="auto" w:sz="4" w:space="0"/>
                    <w:right w:val="single" w:color="auto" w:sz="4" w:space="0"/>
                  </w:tcBorders>
                  <w:noWrap w:val="0"/>
                  <w:vAlign w:val="center"/>
                </w:tcPr>
                <w:p w14:paraId="1B8A0781">
                  <w:pPr>
                    <w:pStyle w:val="10"/>
                    <w:bidi w:val="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2</w:t>
                  </w:r>
                </w:p>
              </w:tc>
              <w:tc>
                <w:tcPr>
                  <w:tcW w:w="641" w:type="pct"/>
                  <w:tcBorders>
                    <w:top w:val="single" w:color="auto" w:sz="4" w:space="0"/>
                    <w:left w:val="nil"/>
                    <w:bottom w:val="single" w:color="auto" w:sz="4" w:space="0"/>
                    <w:right w:val="single" w:color="auto" w:sz="4" w:space="0"/>
                  </w:tcBorders>
                  <w:noWrap w:val="0"/>
                  <w:vAlign w:val="center"/>
                </w:tcPr>
                <w:p w14:paraId="547A9407">
                  <w:pPr>
                    <w:pStyle w:val="10"/>
                    <w:bidi w:val="0"/>
                    <w:ind w:right="0" w:rightChars="0" w:firstLine="0" w:firstLineChars="0"/>
                    <w:rPr>
                      <w:rFonts w:hint="default" w:ascii="Times New Roman" w:hAnsi="Times New Roman" w:eastAsia="宋体"/>
                      <w:color w:val="auto"/>
                      <w:kern w:val="0"/>
                      <w:sz w:val="21"/>
                      <w:szCs w:val="21"/>
                      <w:highlight w:val="none"/>
                      <w:lang w:val="en-US" w:eastAsia="zh-CN" w:bidi="ar-SA"/>
                    </w:rPr>
                  </w:pPr>
                  <w:r>
                    <w:rPr>
                      <w:rFonts w:hint="eastAsia"/>
                      <w:color w:val="auto"/>
                      <w:sz w:val="21"/>
                      <w:szCs w:val="21"/>
                      <w:highlight w:val="none"/>
                      <w:lang w:val="en-US" w:eastAsia="zh-CN"/>
                    </w:rPr>
                    <w:t>废机油</w:t>
                  </w:r>
                </w:p>
              </w:tc>
              <w:tc>
                <w:tcPr>
                  <w:tcW w:w="532" w:type="pct"/>
                  <w:tcBorders>
                    <w:top w:val="single" w:color="auto" w:sz="4" w:space="0"/>
                    <w:left w:val="nil"/>
                    <w:bottom w:val="single" w:color="auto" w:sz="4" w:space="0"/>
                    <w:right w:val="single" w:color="auto" w:sz="4" w:space="0"/>
                  </w:tcBorders>
                  <w:noWrap w:val="0"/>
                  <w:vAlign w:val="center"/>
                </w:tcPr>
                <w:p w14:paraId="572FAD27">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cs="Times New Roman"/>
                      <w:color w:val="auto"/>
                      <w:highlight w:val="none"/>
                    </w:rPr>
                    <w:t>HW08</w:t>
                  </w:r>
                </w:p>
              </w:tc>
              <w:tc>
                <w:tcPr>
                  <w:tcW w:w="750" w:type="pct"/>
                  <w:tcBorders>
                    <w:top w:val="single" w:color="auto" w:sz="4" w:space="0"/>
                    <w:left w:val="nil"/>
                    <w:bottom w:val="single" w:color="auto" w:sz="4" w:space="0"/>
                    <w:right w:val="single" w:color="auto" w:sz="4" w:space="0"/>
                  </w:tcBorders>
                  <w:noWrap w:val="0"/>
                  <w:vAlign w:val="center"/>
                </w:tcPr>
                <w:p w14:paraId="727ADA2D">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cs="Times New Roman"/>
                      <w:color w:val="auto"/>
                      <w:highlight w:val="none"/>
                    </w:rPr>
                    <w:t>900-249-08</w:t>
                  </w:r>
                </w:p>
              </w:tc>
              <w:tc>
                <w:tcPr>
                  <w:tcW w:w="509" w:type="pct"/>
                  <w:tcBorders>
                    <w:top w:val="single" w:color="auto" w:sz="4" w:space="0"/>
                    <w:left w:val="nil"/>
                    <w:bottom w:val="single" w:color="auto" w:sz="4" w:space="0"/>
                    <w:right w:val="single" w:color="auto" w:sz="4" w:space="0"/>
                  </w:tcBorders>
                  <w:noWrap w:val="0"/>
                  <w:vAlign w:val="center"/>
                </w:tcPr>
                <w:p w14:paraId="6F84AF1A">
                  <w:pPr>
                    <w:pStyle w:val="10"/>
                    <w:bidi w:val="0"/>
                    <w:ind w:right="0" w:rightChars="0" w:firstLine="0" w:firstLineChars="0"/>
                    <w:rPr>
                      <w:rFonts w:hint="default" w:ascii="Times New Roman" w:hAnsi="Times New Roman" w:eastAsia="宋体"/>
                      <w:color w:val="auto"/>
                      <w:kern w:val="0"/>
                      <w:sz w:val="21"/>
                      <w:szCs w:val="21"/>
                      <w:highlight w:val="none"/>
                      <w:lang w:val="en-US" w:eastAsia="zh-CN" w:bidi="ar-SA"/>
                    </w:rPr>
                  </w:pPr>
                  <w:r>
                    <w:rPr>
                      <w:rFonts w:hint="eastAsia"/>
                      <w:color w:val="auto"/>
                      <w:sz w:val="21"/>
                      <w:szCs w:val="21"/>
                      <w:highlight w:val="none"/>
                      <w:lang w:val="en-US" w:eastAsia="zh-CN"/>
                    </w:rPr>
                    <w:t>0.16</w:t>
                  </w:r>
                </w:p>
              </w:tc>
              <w:tc>
                <w:tcPr>
                  <w:tcW w:w="409" w:type="pct"/>
                  <w:tcBorders>
                    <w:top w:val="single" w:color="auto" w:sz="4" w:space="0"/>
                    <w:left w:val="nil"/>
                    <w:bottom w:val="single" w:color="auto" w:sz="4" w:space="0"/>
                    <w:right w:val="single" w:color="auto" w:sz="4" w:space="0"/>
                  </w:tcBorders>
                  <w:noWrap w:val="0"/>
                  <w:vAlign w:val="center"/>
                </w:tcPr>
                <w:p w14:paraId="7495C76B">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cs="Times New Roman"/>
                      <w:color w:val="auto"/>
                      <w:highlight w:val="none"/>
                    </w:rPr>
                    <w:t>T</w:t>
                  </w:r>
                  <w:r>
                    <w:rPr>
                      <w:rFonts w:hint="eastAsia" w:cs="Times New Roman"/>
                      <w:color w:val="auto"/>
                      <w:highlight w:val="none"/>
                      <w:lang w:val="en-US" w:eastAsia="zh-CN"/>
                    </w:rPr>
                    <w:t>/</w:t>
                  </w:r>
                  <w:r>
                    <w:rPr>
                      <w:rFonts w:hint="default" w:ascii="Times New Roman" w:hAnsi="Times New Roman" w:cs="Times New Roman"/>
                      <w:color w:val="auto"/>
                      <w:highlight w:val="none"/>
                    </w:rPr>
                    <w:t>1</w:t>
                  </w:r>
                </w:p>
              </w:tc>
              <w:tc>
                <w:tcPr>
                  <w:tcW w:w="773" w:type="pct"/>
                  <w:vMerge w:val="continue"/>
                  <w:tcBorders>
                    <w:left w:val="nil"/>
                    <w:right w:val="single" w:color="auto" w:sz="4" w:space="0"/>
                  </w:tcBorders>
                  <w:noWrap w:val="0"/>
                  <w:vAlign w:val="center"/>
                </w:tcPr>
                <w:p w14:paraId="1CBFD8CF">
                  <w:pPr>
                    <w:pStyle w:val="10"/>
                    <w:bidi w:val="0"/>
                    <w:ind w:right="0" w:rightChars="0" w:firstLine="0" w:firstLineChars="0"/>
                    <w:rPr>
                      <w:rFonts w:hint="default" w:ascii="Times New Roman" w:hAnsi="Times New Roman" w:cs="Times New Roman"/>
                      <w:color w:val="auto"/>
                      <w:highlight w:val="none"/>
                    </w:rPr>
                  </w:pPr>
                </w:p>
              </w:tc>
              <w:tc>
                <w:tcPr>
                  <w:tcW w:w="539" w:type="pct"/>
                  <w:tcBorders>
                    <w:top w:val="nil"/>
                    <w:left w:val="nil"/>
                    <w:bottom w:val="single" w:color="auto" w:sz="4" w:space="0"/>
                    <w:right w:val="single" w:color="auto" w:sz="4" w:space="0"/>
                  </w:tcBorders>
                  <w:noWrap w:val="0"/>
                  <w:vAlign w:val="center"/>
                </w:tcPr>
                <w:p w14:paraId="0744089C">
                  <w:pPr>
                    <w:pStyle w:val="10"/>
                    <w:bidi w:val="0"/>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12</w:t>
                  </w:r>
                </w:p>
              </w:tc>
              <w:tc>
                <w:tcPr>
                  <w:tcW w:w="552" w:type="pct"/>
                  <w:tcBorders>
                    <w:top w:val="nil"/>
                    <w:left w:val="nil"/>
                    <w:bottom w:val="single" w:color="auto" w:sz="4" w:space="0"/>
                    <w:right w:val="single" w:color="auto" w:sz="4" w:space="0"/>
                  </w:tcBorders>
                  <w:noWrap w:val="0"/>
                  <w:vAlign w:val="center"/>
                </w:tcPr>
                <w:p w14:paraId="391DF0AE">
                  <w:pPr>
                    <w:pStyle w:val="10"/>
                    <w:bidi w:val="0"/>
                    <w:ind w:right="0" w:rightChars="0" w:firstLine="0" w:firstLineChars="0"/>
                    <w:rPr>
                      <w:rFonts w:hint="default" w:ascii="Times New Roman" w:hAnsi="Times New Roman" w:eastAsia="宋体" w:cs="Times New Roman"/>
                      <w:color w:val="auto"/>
                      <w:highlight w:val="none"/>
                      <w:lang w:val="en-US" w:eastAsia="zh-CN"/>
                    </w:rPr>
                  </w:pPr>
                  <w:r>
                    <w:rPr>
                      <w:rFonts w:hint="eastAsia"/>
                      <w:color w:val="auto"/>
                      <w:sz w:val="21"/>
                      <w:szCs w:val="21"/>
                      <w:highlight w:val="none"/>
                      <w:lang w:val="en-US" w:eastAsia="zh-CN"/>
                    </w:rPr>
                    <w:t>0.16</w:t>
                  </w:r>
                </w:p>
              </w:tc>
            </w:tr>
            <w:tr w14:paraId="5D7FE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2" w:type="pct"/>
                  <w:tcBorders>
                    <w:top w:val="single" w:color="auto" w:sz="4" w:space="0"/>
                    <w:left w:val="single" w:color="auto" w:sz="4" w:space="0"/>
                    <w:bottom w:val="single" w:color="auto" w:sz="4" w:space="0"/>
                    <w:right w:val="single" w:color="auto" w:sz="4" w:space="0"/>
                  </w:tcBorders>
                  <w:noWrap w:val="0"/>
                  <w:vAlign w:val="center"/>
                </w:tcPr>
                <w:p w14:paraId="07AC1822">
                  <w:pPr>
                    <w:pStyle w:val="10"/>
                    <w:bidi w:val="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3</w:t>
                  </w:r>
                </w:p>
              </w:tc>
              <w:tc>
                <w:tcPr>
                  <w:tcW w:w="641" w:type="pct"/>
                  <w:tcBorders>
                    <w:top w:val="single" w:color="auto" w:sz="4" w:space="0"/>
                    <w:left w:val="nil"/>
                    <w:bottom w:val="single" w:color="auto" w:sz="4" w:space="0"/>
                    <w:right w:val="single" w:color="auto" w:sz="4" w:space="0"/>
                  </w:tcBorders>
                  <w:noWrap w:val="0"/>
                  <w:vAlign w:val="center"/>
                </w:tcPr>
                <w:p w14:paraId="6D920D53">
                  <w:pPr>
                    <w:pStyle w:val="10"/>
                    <w:bidi w:val="0"/>
                    <w:ind w:right="0" w:rightChars="0" w:firstLine="0" w:firstLineChars="0"/>
                    <w:rPr>
                      <w:rFonts w:hint="eastAsia" w:ascii="Times New Roman" w:hAnsi="Times New Roman" w:eastAsia="宋体"/>
                      <w:color w:val="auto"/>
                      <w:kern w:val="0"/>
                      <w:sz w:val="21"/>
                      <w:szCs w:val="21"/>
                      <w:highlight w:val="none"/>
                      <w:lang w:val="en-US" w:eastAsia="zh-CN" w:bidi="ar-SA"/>
                    </w:rPr>
                  </w:pPr>
                  <w:r>
                    <w:rPr>
                      <w:rFonts w:hint="eastAsia"/>
                      <w:color w:val="auto"/>
                      <w:sz w:val="21"/>
                      <w:szCs w:val="21"/>
                      <w:highlight w:val="none"/>
                      <w:lang w:val="en-US" w:eastAsia="zh-CN"/>
                    </w:rPr>
                    <w:t>废机油桶</w:t>
                  </w:r>
                </w:p>
              </w:tc>
              <w:tc>
                <w:tcPr>
                  <w:tcW w:w="532" w:type="pct"/>
                  <w:tcBorders>
                    <w:top w:val="single" w:color="auto" w:sz="4" w:space="0"/>
                    <w:left w:val="nil"/>
                    <w:bottom w:val="single" w:color="auto" w:sz="4" w:space="0"/>
                    <w:right w:val="single" w:color="auto" w:sz="4" w:space="0"/>
                  </w:tcBorders>
                  <w:noWrap w:val="0"/>
                  <w:vAlign w:val="center"/>
                </w:tcPr>
                <w:p w14:paraId="409151BC">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cs="Times New Roman"/>
                      <w:color w:val="auto"/>
                      <w:highlight w:val="none"/>
                    </w:rPr>
                    <w:t>HW49</w:t>
                  </w:r>
                </w:p>
              </w:tc>
              <w:tc>
                <w:tcPr>
                  <w:tcW w:w="750" w:type="pct"/>
                  <w:tcBorders>
                    <w:top w:val="single" w:color="auto" w:sz="4" w:space="0"/>
                    <w:left w:val="nil"/>
                    <w:bottom w:val="single" w:color="auto" w:sz="4" w:space="0"/>
                    <w:right w:val="single" w:color="auto" w:sz="4" w:space="0"/>
                  </w:tcBorders>
                  <w:noWrap w:val="0"/>
                  <w:vAlign w:val="center"/>
                </w:tcPr>
                <w:p w14:paraId="75804A7B">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cs="Times New Roman"/>
                      <w:color w:val="auto"/>
                      <w:highlight w:val="none"/>
                    </w:rPr>
                    <w:t>900-041-49</w:t>
                  </w:r>
                </w:p>
              </w:tc>
              <w:tc>
                <w:tcPr>
                  <w:tcW w:w="509" w:type="pct"/>
                  <w:tcBorders>
                    <w:top w:val="single" w:color="auto" w:sz="4" w:space="0"/>
                    <w:left w:val="nil"/>
                    <w:bottom w:val="single" w:color="auto" w:sz="4" w:space="0"/>
                    <w:right w:val="single" w:color="auto" w:sz="4" w:space="0"/>
                  </w:tcBorders>
                  <w:noWrap w:val="0"/>
                  <w:vAlign w:val="center"/>
                </w:tcPr>
                <w:p w14:paraId="6AAC3488">
                  <w:pPr>
                    <w:pStyle w:val="10"/>
                    <w:bidi w:val="0"/>
                    <w:ind w:right="0" w:rightChars="0" w:firstLine="0" w:firstLineChars="0"/>
                    <w:rPr>
                      <w:rFonts w:hint="default" w:ascii="Times New Roman" w:hAnsi="Times New Roman" w:eastAsia="宋体"/>
                      <w:color w:val="auto"/>
                      <w:kern w:val="0"/>
                      <w:sz w:val="21"/>
                      <w:szCs w:val="21"/>
                      <w:highlight w:val="none"/>
                      <w:lang w:val="en-US" w:eastAsia="zh-CN" w:bidi="ar-SA"/>
                    </w:rPr>
                  </w:pPr>
                  <w:r>
                    <w:rPr>
                      <w:rFonts w:hint="eastAsia"/>
                      <w:color w:val="auto"/>
                      <w:sz w:val="21"/>
                      <w:szCs w:val="21"/>
                      <w:highlight w:val="none"/>
                      <w:lang w:val="en-US" w:eastAsia="zh-CN"/>
                    </w:rPr>
                    <w:t>0.04</w:t>
                  </w:r>
                </w:p>
              </w:tc>
              <w:tc>
                <w:tcPr>
                  <w:tcW w:w="409" w:type="pct"/>
                  <w:tcBorders>
                    <w:top w:val="single" w:color="auto" w:sz="4" w:space="0"/>
                    <w:left w:val="nil"/>
                    <w:bottom w:val="single" w:color="auto" w:sz="4" w:space="0"/>
                    <w:right w:val="single" w:color="auto" w:sz="4" w:space="0"/>
                  </w:tcBorders>
                  <w:noWrap w:val="0"/>
                  <w:vAlign w:val="center"/>
                </w:tcPr>
                <w:p w14:paraId="742F4E10">
                  <w:pPr>
                    <w:widowControl/>
                    <w:bidi w:val="0"/>
                    <w:snapToGrid w:val="0"/>
                    <w:spacing w:line="240" w:lineRule="auto"/>
                    <w:ind w:right="0" w:rightChars="0" w:firstLine="0" w:firstLineChars="0"/>
                    <w:jc w:val="center"/>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eastAsia="宋体" w:cs="Times New Roman"/>
                      <w:color w:val="auto"/>
                      <w:kern w:val="0"/>
                      <w:sz w:val="21"/>
                      <w:szCs w:val="20"/>
                      <w:highlight w:val="none"/>
                      <w:lang w:val="en-US" w:eastAsia="zh-CN" w:bidi="ar-SA"/>
                    </w:rPr>
                    <w:t>T/In</w:t>
                  </w:r>
                </w:p>
              </w:tc>
              <w:tc>
                <w:tcPr>
                  <w:tcW w:w="773" w:type="pct"/>
                  <w:vMerge w:val="continue"/>
                  <w:tcBorders>
                    <w:left w:val="nil"/>
                    <w:right w:val="single" w:color="auto" w:sz="4" w:space="0"/>
                  </w:tcBorders>
                  <w:noWrap w:val="0"/>
                  <w:vAlign w:val="center"/>
                </w:tcPr>
                <w:p w14:paraId="2F76411D">
                  <w:pPr>
                    <w:pStyle w:val="10"/>
                    <w:bidi w:val="0"/>
                    <w:rPr>
                      <w:rFonts w:hint="default" w:ascii="Times New Roman" w:hAnsi="Times New Roman" w:cs="Times New Roman"/>
                      <w:color w:val="auto"/>
                      <w:highlight w:val="none"/>
                    </w:rPr>
                  </w:pPr>
                </w:p>
              </w:tc>
              <w:tc>
                <w:tcPr>
                  <w:tcW w:w="539" w:type="pct"/>
                  <w:tcBorders>
                    <w:top w:val="nil"/>
                    <w:left w:val="nil"/>
                    <w:bottom w:val="single" w:color="auto" w:sz="4" w:space="0"/>
                    <w:right w:val="single" w:color="auto" w:sz="4" w:space="0"/>
                  </w:tcBorders>
                  <w:noWrap w:val="0"/>
                  <w:vAlign w:val="center"/>
                </w:tcPr>
                <w:p w14:paraId="67C20832">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eastAsia" w:cs="Times New Roman"/>
                      <w:color w:val="auto"/>
                      <w:highlight w:val="none"/>
                      <w:lang w:val="en-US" w:eastAsia="zh-CN"/>
                    </w:rPr>
                    <w:t>12</w:t>
                  </w:r>
                </w:p>
              </w:tc>
              <w:tc>
                <w:tcPr>
                  <w:tcW w:w="552" w:type="pct"/>
                  <w:tcBorders>
                    <w:top w:val="nil"/>
                    <w:left w:val="nil"/>
                    <w:bottom w:val="single" w:color="auto" w:sz="4" w:space="0"/>
                    <w:right w:val="single" w:color="auto" w:sz="4" w:space="0"/>
                  </w:tcBorders>
                  <w:noWrap w:val="0"/>
                  <w:vAlign w:val="center"/>
                </w:tcPr>
                <w:p w14:paraId="509BA240">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eastAsia"/>
                      <w:color w:val="auto"/>
                      <w:sz w:val="21"/>
                      <w:szCs w:val="21"/>
                      <w:highlight w:val="none"/>
                      <w:lang w:val="en-US" w:eastAsia="zh-CN"/>
                    </w:rPr>
                    <w:t>0.04</w:t>
                  </w:r>
                </w:p>
              </w:tc>
            </w:tr>
            <w:tr w14:paraId="1C271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2" w:type="pct"/>
                  <w:tcBorders>
                    <w:top w:val="single" w:color="auto" w:sz="4" w:space="0"/>
                    <w:left w:val="single" w:color="auto" w:sz="4" w:space="0"/>
                    <w:bottom w:val="single" w:color="auto" w:sz="4" w:space="0"/>
                    <w:right w:val="single" w:color="auto" w:sz="4" w:space="0"/>
                  </w:tcBorders>
                  <w:noWrap w:val="0"/>
                  <w:vAlign w:val="center"/>
                </w:tcPr>
                <w:p w14:paraId="63BF5EEF">
                  <w:pPr>
                    <w:pStyle w:val="10"/>
                    <w:bidi w:val="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4</w:t>
                  </w:r>
                </w:p>
              </w:tc>
              <w:tc>
                <w:tcPr>
                  <w:tcW w:w="641" w:type="pct"/>
                  <w:tcBorders>
                    <w:top w:val="single" w:color="auto" w:sz="4" w:space="0"/>
                    <w:left w:val="nil"/>
                    <w:bottom w:val="single" w:color="auto" w:sz="4" w:space="0"/>
                    <w:right w:val="single" w:color="auto" w:sz="4" w:space="0"/>
                  </w:tcBorders>
                  <w:noWrap w:val="0"/>
                  <w:vAlign w:val="center"/>
                </w:tcPr>
                <w:p w14:paraId="502DDBB7">
                  <w:pPr>
                    <w:pStyle w:val="10"/>
                    <w:bidi w:val="0"/>
                    <w:ind w:right="0" w:rightChars="0" w:firstLine="0" w:firstLineChars="0"/>
                    <w:rPr>
                      <w:rFonts w:hint="default"/>
                      <w:color w:val="auto"/>
                      <w:sz w:val="21"/>
                      <w:szCs w:val="21"/>
                      <w:highlight w:val="none"/>
                      <w:lang w:val="en-US" w:eastAsia="zh-CN"/>
                    </w:rPr>
                  </w:pPr>
                  <w:r>
                    <w:rPr>
                      <w:rFonts w:hint="eastAsia"/>
                      <w:color w:val="auto"/>
                      <w:sz w:val="21"/>
                      <w:szCs w:val="21"/>
                      <w:highlight w:val="none"/>
                      <w:lang w:val="en-US" w:eastAsia="zh-CN"/>
                    </w:rPr>
                    <w:t>废油墨包装桶</w:t>
                  </w:r>
                </w:p>
              </w:tc>
              <w:tc>
                <w:tcPr>
                  <w:tcW w:w="532" w:type="pct"/>
                  <w:tcBorders>
                    <w:top w:val="single" w:color="auto" w:sz="4" w:space="0"/>
                    <w:left w:val="nil"/>
                    <w:bottom w:val="single" w:color="auto" w:sz="4" w:space="0"/>
                    <w:right w:val="single" w:color="auto" w:sz="4" w:space="0"/>
                  </w:tcBorders>
                  <w:noWrap w:val="0"/>
                  <w:vAlign w:val="center"/>
                </w:tcPr>
                <w:p w14:paraId="4CDEF4A8">
                  <w:pPr>
                    <w:pStyle w:val="10"/>
                    <w:bidi w:val="0"/>
                    <w:ind w:right="0" w:rightChars="0" w:firstLine="0" w:firstLineChars="0"/>
                    <w:rPr>
                      <w:rFonts w:hint="default" w:ascii="Times New Roman" w:hAnsi="Times New Roman" w:cs="Times New Roman"/>
                      <w:color w:val="auto"/>
                      <w:highlight w:val="none"/>
                    </w:rPr>
                  </w:pPr>
                  <w:r>
                    <w:rPr>
                      <w:rFonts w:hint="default" w:ascii="Times New Roman" w:hAnsi="Times New Roman" w:cs="Times New Roman"/>
                      <w:color w:val="auto"/>
                      <w:highlight w:val="none"/>
                    </w:rPr>
                    <w:t>HW49</w:t>
                  </w:r>
                </w:p>
              </w:tc>
              <w:tc>
                <w:tcPr>
                  <w:tcW w:w="750" w:type="pct"/>
                  <w:tcBorders>
                    <w:top w:val="single" w:color="auto" w:sz="4" w:space="0"/>
                    <w:left w:val="nil"/>
                    <w:bottom w:val="single" w:color="auto" w:sz="4" w:space="0"/>
                    <w:right w:val="single" w:color="auto" w:sz="4" w:space="0"/>
                  </w:tcBorders>
                  <w:noWrap w:val="0"/>
                  <w:vAlign w:val="center"/>
                </w:tcPr>
                <w:p w14:paraId="39A4712C">
                  <w:pPr>
                    <w:pStyle w:val="10"/>
                    <w:bidi w:val="0"/>
                    <w:ind w:right="0" w:rightChars="0" w:firstLine="0" w:firstLineChars="0"/>
                    <w:rPr>
                      <w:rFonts w:hint="default" w:ascii="Times New Roman" w:hAnsi="Times New Roman" w:cs="Times New Roman"/>
                      <w:color w:val="auto"/>
                      <w:highlight w:val="none"/>
                    </w:rPr>
                  </w:pPr>
                  <w:r>
                    <w:rPr>
                      <w:rFonts w:hint="default" w:ascii="Times New Roman" w:hAnsi="Times New Roman" w:cs="Times New Roman"/>
                      <w:color w:val="auto"/>
                      <w:highlight w:val="none"/>
                    </w:rPr>
                    <w:t>900-041-49</w:t>
                  </w:r>
                </w:p>
              </w:tc>
              <w:tc>
                <w:tcPr>
                  <w:tcW w:w="509" w:type="pct"/>
                  <w:tcBorders>
                    <w:top w:val="single" w:color="auto" w:sz="4" w:space="0"/>
                    <w:left w:val="nil"/>
                    <w:bottom w:val="single" w:color="auto" w:sz="4" w:space="0"/>
                    <w:right w:val="single" w:color="auto" w:sz="4" w:space="0"/>
                  </w:tcBorders>
                  <w:noWrap w:val="0"/>
                  <w:vAlign w:val="center"/>
                </w:tcPr>
                <w:p w14:paraId="2BDEDF98">
                  <w:pPr>
                    <w:pStyle w:val="10"/>
                    <w:bidi w:val="0"/>
                    <w:ind w:right="0" w:rightChars="0" w:firstLine="0" w:firstLineChars="0"/>
                    <w:rPr>
                      <w:rFonts w:hint="default"/>
                      <w:color w:val="auto"/>
                      <w:sz w:val="21"/>
                      <w:szCs w:val="21"/>
                      <w:highlight w:val="none"/>
                      <w:lang w:val="en-US" w:eastAsia="zh-CN"/>
                    </w:rPr>
                  </w:pPr>
                  <w:r>
                    <w:rPr>
                      <w:rFonts w:hint="eastAsia"/>
                      <w:color w:val="auto"/>
                      <w:sz w:val="21"/>
                      <w:szCs w:val="21"/>
                      <w:highlight w:val="none"/>
                      <w:lang w:val="en-US" w:eastAsia="zh-CN"/>
                    </w:rPr>
                    <w:t>0.1</w:t>
                  </w:r>
                </w:p>
              </w:tc>
              <w:tc>
                <w:tcPr>
                  <w:tcW w:w="409" w:type="pct"/>
                  <w:tcBorders>
                    <w:top w:val="single" w:color="auto" w:sz="4" w:space="0"/>
                    <w:left w:val="nil"/>
                    <w:bottom w:val="single" w:color="auto" w:sz="4" w:space="0"/>
                    <w:right w:val="single" w:color="auto" w:sz="4" w:space="0"/>
                  </w:tcBorders>
                  <w:noWrap w:val="0"/>
                  <w:vAlign w:val="center"/>
                </w:tcPr>
                <w:p w14:paraId="713E429A">
                  <w:pPr>
                    <w:widowControl/>
                    <w:bidi w:val="0"/>
                    <w:snapToGrid w:val="0"/>
                    <w:spacing w:line="240" w:lineRule="auto"/>
                    <w:ind w:right="0" w:rightChars="0" w:firstLine="0" w:firstLineChars="0"/>
                    <w:jc w:val="center"/>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eastAsia="宋体" w:cs="Times New Roman"/>
                      <w:color w:val="auto"/>
                      <w:kern w:val="0"/>
                      <w:sz w:val="21"/>
                      <w:szCs w:val="20"/>
                      <w:highlight w:val="none"/>
                      <w:lang w:val="en-US" w:eastAsia="zh-CN" w:bidi="ar-SA"/>
                    </w:rPr>
                    <w:t>T/In</w:t>
                  </w:r>
                </w:p>
              </w:tc>
              <w:tc>
                <w:tcPr>
                  <w:tcW w:w="773" w:type="pct"/>
                  <w:vMerge w:val="continue"/>
                  <w:tcBorders>
                    <w:left w:val="nil"/>
                    <w:right w:val="single" w:color="auto" w:sz="4" w:space="0"/>
                  </w:tcBorders>
                  <w:noWrap w:val="0"/>
                  <w:vAlign w:val="center"/>
                </w:tcPr>
                <w:p w14:paraId="057EBB3E">
                  <w:pPr>
                    <w:pStyle w:val="10"/>
                    <w:bidi w:val="0"/>
                    <w:rPr>
                      <w:rFonts w:hint="default" w:ascii="Times New Roman" w:hAnsi="Times New Roman" w:cs="Times New Roman"/>
                      <w:color w:val="auto"/>
                      <w:highlight w:val="none"/>
                    </w:rPr>
                  </w:pPr>
                </w:p>
              </w:tc>
              <w:tc>
                <w:tcPr>
                  <w:tcW w:w="539" w:type="pct"/>
                  <w:tcBorders>
                    <w:top w:val="nil"/>
                    <w:left w:val="nil"/>
                    <w:bottom w:val="single" w:color="auto" w:sz="4" w:space="0"/>
                    <w:right w:val="single" w:color="auto" w:sz="4" w:space="0"/>
                  </w:tcBorders>
                  <w:noWrap w:val="0"/>
                  <w:vAlign w:val="center"/>
                </w:tcPr>
                <w:p w14:paraId="64B6FCE5">
                  <w:pPr>
                    <w:pStyle w:val="10"/>
                    <w:bidi w:val="0"/>
                    <w:ind w:right="0" w:rightChars="0" w:firstLine="0" w:firstLineChars="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12</w:t>
                  </w:r>
                </w:p>
              </w:tc>
              <w:tc>
                <w:tcPr>
                  <w:tcW w:w="552" w:type="pct"/>
                  <w:tcBorders>
                    <w:top w:val="nil"/>
                    <w:left w:val="nil"/>
                    <w:bottom w:val="single" w:color="auto" w:sz="4" w:space="0"/>
                    <w:right w:val="single" w:color="auto" w:sz="4" w:space="0"/>
                  </w:tcBorders>
                  <w:noWrap w:val="0"/>
                  <w:vAlign w:val="center"/>
                </w:tcPr>
                <w:p w14:paraId="4ABA2F2C">
                  <w:pPr>
                    <w:pStyle w:val="10"/>
                    <w:bidi w:val="0"/>
                    <w:ind w:right="0" w:rightChars="0" w:firstLine="0" w:firstLineChars="0"/>
                    <w:rPr>
                      <w:rFonts w:hint="default"/>
                      <w:color w:val="auto"/>
                      <w:sz w:val="21"/>
                      <w:szCs w:val="21"/>
                      <w:highlight w:val="none"/>
                      <w:lang w:val="en-US" w:eastAsia="zh-CN"/>
                    </w:rPr>
                  </w:pPr>
                  <w:r>
                    <w:rPr>
                      <w:rFonts w:hint="eastAsia"/>
                      <w:color w:val="auto"/>
                      <w:sz w:val="21"/>
                      <w:szCs w:val="21"/>
                      <w:highlight w:val="none"/>
                      <w:lang w:val="en-US" w:eastAsia="zh-CN"/>
                    </w:rPr>
                    <w:t>0.1</w:t>
                  </w:r>
                </w:p>
              </w:tc>
            </w:tr>
            <w:tr w14:paraId="10769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2" w:type="pct"/>
                  <w:tcBorders>
                    <w:top w:val="single" w:color="auto" w:sz="4" w:space="0"/>
                    <w:left w:val="single" w:color="auto" w:sz="4" w:space="0"/>
                    <w:bottom w:val="single" w:color="auto" w:sz="4" w:space="0"/>
                    <w:right w:val="single" w:color="auto" w:sz="4" w:space="0"/>
                  </w:tcBorders>
                  <w:noWrap w:val="0"/>
                  <w:vAlign w:val="center"/>
                </w:tcPr>
                <w:p w14:paraId="0316AC60">
                  <w:pPr>
                    <w:pStyle w:val="10"/>
                    <w:bidi w:val="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5</w:t>
                  </w:r>
                </w:p>
              </w:tc>
              <w:tc>
                <w:tcPr>
                  <w:tcW w:w="641" w:type="pct"/>
                  <w:tcBorders>
                    <w:top w:val="single" w:color="auto" w:sz="4" w:space="0"/>
                    <w:left w:val="nil"/>
                    <w:bottom w:val="single" w:color="auto" w:sz="4" w:space="0"/>
                    <w:right w:val="single" w:color="auto" w:sz="4" w:space="0"/>
                  </w:tcBorders>
                  <w:noWrap w:val="0"/>
                  <w:vAlign w:val="center"/>
                </w:tcPr>
                <w:p w14:paraId="1BC5F37C">
                  <w:pPr>
                    <w:pStyle w:val="10"/>
                    <w:bidi w:val="0"/>
                    <w:ind w:right="0" w:rightChars="0" w:firstLine="0" w:firstLineChars="0"/>
                    <w:rPr>
                      <w:rFonts w:hint="eastAsia" w:ascii="Times New Roman" w:hAnsi="Times New Roman" w:eastAsia="宋体"/>
                      <w:color w:val="auto"/>
                      <w:kern w:val="0"/>
                      <w:sz w:val="21"/>
                      <w:szCs w:val="21"/>
                      <w:highlight w:val="none"/>
                      <w:lang w:val="en-US" w:eastAsia="zh-CN" w:bidi="ar-SA"/>
                    </w:rPr>
                  </w:pPr>
                  <w:r>
                    <w:rPr>
                      <w:rFonts w:hint="eastAsia"/>
                      <w:color w:val="auto"/>
                      <w:highlight w:val="none"/>
                      <w:lang w:eastAsia="zh-CN"/>
                    </w:rPr>
                    <w:t>废含油抹布手套</w:t>
                  </w:r>
                </w:p>
              </w:tc>
              <w:tc>
                <w:tcPr>
                  <w:tcW w:w="532" w:type="pct"/>
                  <w:tcBorders>
                    <w:top w:val="single" w:color="auto" w:sz="4" w:space="0"/>
                    <w:left w:val="nil"/>
                    <w:bottom w:val="single" w:color="auto" w:sz="4" w:space="0"/>
                    <w:right w:val="single" w:color="auto" w:sz="4" w:space="0"/>
                  </w:tcBorders>
                  <w:noWrap w:val="0"/>
                  <w:vAlign w:val="center"/>
                </w:tcPr>
                <w:p w14:paraId="5784C312">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cs="Times New Roman"/>
                      <w:color w:val="auto"/>
                      <w:highlight w:val="none"/>
                    </w:rPr>
                    <w:t>HW49</w:t>
                  </w:r>
                </w:p>
              </w:tc>
              <w:tc>
                <w:tcPr>
                  <w:tcW w:w="750" w:type="pct"/>
                  <w:tcBorders>
                    <w:top w:val="single" w:color="auto" w:sz="4" w:space="0"/>
                    <w:left w:val="nil"/>
                    <w:bottom w:val="single" w:color="auto" w:sz="4" w:space="0"/>
                    <w:right w:val="single" w:color="auto" w:sz="4" w:space="0"/>
                  </w:tcBorders>
                  <w:noWrap w:val="0"/>
                  <w:vAlign w:val="center"/>
                </w:tcPr>
                <w:p w14:paraId="50C3CBF2">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cs="Times New Roman"/>
                      <w:color w:val="auto"/>
                      <w:highlight w:val="none"/>
                    </w:rPr>
                    <w:t>900-041-49</w:t>
                  </w:r>
                </w:p>
              </w:tc>
              <w:tc>
                <w:tcPr>
                  <w:tcW w:w="509" w:type="pct"/>
                  <w:tcBorders>
                    <w:top w:val="single" w:color="auto" w:sz="4" w:space="0"/>
                    <w:left w:val="nil"/>
                    <w:bottom w:val="single" w:color="auto" w:sz="4" w:space="0"/>
                    <w:right w:val="single" w:color="auto" w:sz="4" w:space="0"/>
                  </w:tcBorders>
                  <w:noWrap w:val="0"/>
                  <w:vAlign w:val="center"/>
                </w:tcPr>
                <w:p w14:paraId="6AD2703A">
                  <w:pPr>
                    <w:pStyle w:val="10"/>
                    <w:bidi w:val="0"/>
                    <w:ind w:right="0" w:rightChars="0" w:firstLine="0" w:firstLineChars="0"/>
                    <w:rPr>
                      <w:rFonts w:hint="default" w:ascii="Times New Roman" w:hAnsi="Times New Roman" w:eastAsia="宋体"/>
                      <w:color w:val="auto"/>
                      <w:kern w:val="0"/>
                      <w:sz w:val="21"/>
                      <w:szCs w:val="21"/>
                      <w:highlight w:val="none"/>
                      <w:lang w:val="en-US" w:eastAsia="zh-CN" w:bidi="ar-SA"/>
                    </w:rPr>
                  </w:pPr>
                  <w:r>
                    <w:rPr>
                      <w:rFonts w:hint="eastAsia"/>
                      <w:color w:val="auto"/>
                      <w:sz w:val="21"/>
                      <w:szCs w:val="21"/>
                      <w:highlight w:val="none"/>
                      <w:lang w:val="en-US" w:eastAsia="zh-CN"/>
                    </w:rPr>
                    <w:t>0.01</w:t>
                  </w:r>
                </w:p>
              </w:tc>
              <w:tc>
                <w:tcPr>
                  <w:tcW w:w="409" w:type="pct"/>
                  <w:tcBorders>
                    <w:top w:val="single" w:color="auto" w:sz="4" w:space="0"/>
                    <w:left w:val="nil"/>
                    <w:bottom w:val="single" w:color="auto" w:sz="4" w:space="0"/>
                    <w:right w:val="single" w:color="auto" w:sz="4" w:space="0"/>
                  </w:tcBorders>
                  <w:noWrap w:val="0"/>
                  <w:vAlign w:val="center"/>
                </w:tcPr>
                <w:p w14:paraId="19968851">
                  <w:pPr>
                    <w:widowControl/>
                    <w:bidi w:val="0"/>
                    <w:snapToGrid w:val="0"/>
                    <w:spacing w:line="240" w:lineRule="auto"/>
                    <w:ind w:right="0" w:rightChars="0" w:firstLine="0" w:firstLineChars="0"/>
                    <w:jc w:val="center"/>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eastAsia="宋体" w:cs="Times New Roman"/>
                      <w:color w:val="auto"/>
                      <w:kern w:val="0"/>
                      <w:sz w:val="21"/>
                      <w:szCs w:val="20"/>
                      <w:highlight w:val="none"/>
                      <w:lang w:val="en-US" w:eastAsia="zh-CN" w:bidi="ar-SA"/>
                    </w:rPr>
                    <w:t>T/In</w:t>
                  </w:r>
                </w:p>
              </w:tc>
              <w:tc>
                <w:tcPr>
                  <w:tcW w:w="773" w:type="pct"/>
                  <w:vMerge w:val="continue"/>
                  <w:tcBorders>
                    <w:left w:val="nil"/>
                    <w:right w:val="single" w:color="auto" w:sz="4" w:space="0"/>
                  </w:tcBorders>
                  <w:noWrap w:val="0"/>
                  <w:vAlign w:val="center"/>
                </w:tcPr>
                <w:p w14:paraId="63CC81D6">
                  <w:pPr>
                    <w:pStyle w:val="10"/>
                    <w:bidi w:val="0"/>
                    <w:rPr>
                      <w:rFonts w:hint="default" w:ascii="Times New Roman" w:hAnsi="Times New Roman" w:cs="Times New Roman"/>
                      <w:color w:val="auto"/>
                      <w:highlight w:val="none"/>
                    </w:rPr>
                  </w:pPr>
                </w:p>
              </w:tc>
              <w:tc>
                <w:tcPr>
                  <w:tcW w:w="539" w:type="pct"/>
                  <w:tcBorders>
                    <w:top w:val="nil"/>
                    <w:left w:val="nil"/>
                    <w:bottom w:val="single" w:color="auto" w:sz="4" w:space="0"/>
                    <w:right w:val="single" w:color="auto" w:sz="4" w:space="0"/>
                  </w:tcBorders>
                  <w:noWrap w:val="0"/>
                  <w:vAlign w:val="center"/>
                </w:tcPr>
                <w:p w14:paraId="53B4BEEC">
                  <w:pPr>
                    <w:pStyle w:val="10"/>
                    <w:bidi w:val="0"/>
                    <w:ind w:right="0" w:rightChars="0" w:firstLine="0" w:firstLineChars="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12</w:t>
                  </w:r>
                </w:p>
              </w:tc>
              <w:tc>
                <w:tcPr>
                  <w:tcW w:w="552" w:type="pct"/>
                  <w:tcBorders>
                    <w:top w:val="nil"/>
                    <w:left w:val="nil"/>
                    <w:bottom w:val="single" w:color="auto" w:sz="4" w:space="0"/>
                    <w:right w:val="single" w:color="auto" w:sz="4" w:space="0"/>
                  </w:tcBorders>
                  <w:noWrap w:val="0"/>
                  <w:vAlign w:val="center"/>
                </w:tcPr>
                <w:p w14:paraId="197AD739">
                  <w:pPr>
                    <w:pStyle w:val="10"/>
                    <w:bidi w:val="0"/>
                    <w:ind w:right="0" w:rightChars="0" w:firstLine="0" w:firstLineChars="0"/>
                    <w:rPr>
                      <w:rFonts w:hint="default" w:ascii="Times New Roman" w:hAnsi="Times New Roman" w:cs="Times New Roman"/>
                      <w:color w:val="auto"/>
                      <w:highlight w:val="none"/>
                      <w:lang w:val="en-US" w:eastAsia="zh-CN"/>
                    </w:rPr>
                  </w:pPr>
                  <w:r>
                    <w:rPr>
                      <w:rFonts w:hint="eastAsia"/>
                      <w:color w:val="auto"/>
                      <w:sz w:val="21"/>
                      <w:szCs w:val="21"/>
                      <w:highlight w:val="none"/>
                      <w:lang w:val="en-US" w:eastAsia="zh-CN"/>
                    </w:rPr>
                    <w:t>0.01</w:t>
                  </w:r>
                </w:p>
              </w:tc>
            </w:tr>
            <w:tr w14:paraId="6236A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2" w:type="pct"/>
                  <w:tcBorders>
                    <w:top w:val="single" w:color="auto" w:sz="4" w:space="0"/>
                    <w:left w:val="single" w:color="auto" w:sz="4" w:space="0"/>
                    <w:bottom w:val="single" w:color="auto" w:sz="4" w:space="0"/>
                    <w:right w:val="single" w:color="auto" w:sz="4" w:space="0"/>
                  </w:tcBorders>
                  <w:noWrap w:val="0"/>
                  <w:vAlign w:val="center"/>
                </w:tcPr>
                <w:p w14:paraId="48B3ABF0">
                  <w:pPr>
                    <w:pStyle w:val="10"/>
                    <w:bidi w:val="0"/>
                    <w:rPr>
                      <w:rFonts w:hint="default" w:cs="Times New Roman"/>
                      <w:color w:val="auto"/>
                      <w:highlight w:val="none"/>
                      <w:lang w:val="en-US" w:eastAsia="zh-CN"/>
                    </w:rPr>
                  </w:pPr>
                  <w:r>
                    <w:rPr>
                      <w:rFonts w:hint="eastAsia" w:cs="Times New Roman"/>
                      <w:color w:val="auto"/>
                      <w:highlight w:val="none"/>
                      <w:lang w:val="en-US" w:eastAsia="zh-CN"/>
                    </w:rPr>
                    <w:t>6</w:t>
                  </w:r>
                </w:p>
              </w:tc>
              <w:tc>
                <w:tcPr>
                  <w:tcW w:w="641" w:type="pct"/>
                  <w:tcBorders>
                    <w:top w:val="single" w:color="auto" w:sz="4" w:space="0"/>
                    <w:left w:val="nil"/>
                    <w:bottom w:val="single" w:color="auto" w:sz="4" w:space="0"/>
                    <w:right w:val="single" w:color="auto" w:sz="4" w:space="0"/>
                  </w:tcBorders>
                  <w:noWrap w:val="0"/>
                  <w:vAlign w:val="center"/>
                </w:tcPr>
                <w:p w14:paraId="380E683B">
                  <w:pPr>
                    <w:pStyle w:val="10"/>
                    <w:bidi w:val="0"/>
                    <w:ind w:right="0" w:rightChars="0" w:firstLine="0" w:firstLineChars="0"/>
                    <w:rPr>
                      <w:rFonts w:hint="eastAsia"/>
                      <w:color w:val="auto"/>
                      <w:highlight w:val="none"/>
                      <w:lang w:eastAsia="zh-CN"/>
                    </w:rPr>
                  </w:pPr>
                  <w:r>
                    <w:rPr>
                      <w:rFonts w:hint="eastAsia" w:ascii="宋体" w:hAnsi="宋体" w:cs="宋体"/>
                      <w:b w:val="0"/>
                      <w:bCs w:val="0"/>
                      <w:color w:val="000000"/>
                      <w:sz w:val="21"/>
                      <w:szCs w:val="21"/>
                      <w:highlight w:val="none"/>
                      <w:vertAlign w:val="baseline"/>
                      <w:lang w:val="en-US" w:eastAsia="zh-CN"/>
                    </w:rPr>
                    <w:t>油雾净化器收集废油</w:t>
                  </w:r>
                </w:p>
              </w:tc>
              <w:tc>
                <w:tcPr>
                  <w:tcW w:w="532" w:type="pct"/>
                  <w:tcBorders>
                    <w:top w:val="single" w:color="auto" w:sz="4" w:space="0"/>
                    <w:left w:val="nil"/>
                    <w:bottom w:val="single" w:color="auto" w:sz="4" w:space="0"/>
                    <w:right w:val="single" w:color="auto" w:sz="4" w:space="0"/>
                  </w:tcBorders>
                  <w:noWrap w:val="0"/>
                  <w:vAlign w:val="center"/>
                </w:tcPr>
                <w:p w14:paraId="0AACDD8E">
                  <w:pPr>
                    <w:pStyle w:val="10"/>
                    <w:bidi w:val="0"/>
                    <w:ind w:right="0" w:rightChars="0" w:firstLine="0" w:firstLineChars="0"/>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t>HW</w:t>
                  </w:r>
                  <w:r>
                    <w:rPr>
                      <w:rFonts w:hint="eastAsia" w:ascii="Times New Roman" w:hAnsi="Times New Roman" w:cs="Times New Roman"/>
                      <w:color w:val="auto"/>
                      <w:highlight w:val="none"/>
                      <w:lang w:val="en-US" w:eastAsia="zh-CN"/>
                    </w:rPr>
                    <w:t>08</w:t>
                  </w:r>
                </w:p>
              </w:tc>
              <w:tc>
                <w:tcPr>
                  <w:tcW w:w="750" w:type="pct"/>
                  <w:tcBorders>
                    <w:top w:val="single" w:color="auto" w:sz="4" w:space="0"/>
                    <w:left w:val="nil"/>
                    <w:bottom w:val="single" w:color="auto" w:sz="4" w:space="0"/>
                    <w:right w:val="single" w:color="auto" w:sz="4" w:space="0"/>
                  </w:tcBorders>
                  <w:noWrap w:val="0"/>
                  <w:vAlign w:val="center"/>
                </w:tcPr>
                <w:p w14:paraId="0D12BDF4">
                  <w:pPr>
                    <w:pStyle w:val="10"/>
                    <w:bidi w:val="0"/>
                    <w:ind w:right="0" w:rightChars="0" w:firstLine="0" w:firstLineChars="0"/>
                    <w:rPr>
                      <w:rFonts w:hint="default" w:ascii="Times New Roman" w:hAnsi="Times New Roman" w:cs="Times New Roman"/>
                      <w:color w:val="auto"/>
                      <w:highlight w:val="none"/>
                    </w:rPr>
                  </w:pPr>
                  <w:r>
                    <w:rPr>
                      <w:rFonts w:hint="default" w:ascii="Times New Roman" w:hAnsi="Times New Roman" w:cs="Times New Roman"/>
                      <w:color w:val="auto"/>
                      <w:highlight w:val="none"/>
                    </w:rPr>
                    <w:t>900-249-08</w:t>
                  </w:r>
                </w:p>
              </w:tc>
              <w:tc>
                <w:tcPr>
                  <w:tcW w:w="509" w:type="pct"/>
                  <w:tcBorders>
                    <w:top w:val="single" w:color="auto" w:sz="4" w:space="0"/>
                    <w:left w:val="nil"/>
                    <w:bottom w:val="single" w:color="auto" w:sz="4" w:space="0"/>
                    <w:right w:val="single" w:color="auto" w:sz="4" w:space="0"/>
                  </w:tcBorders>
                  <w:noWrap w:val="0"/>
                  <w:vAlign w:val="center"/>
                </w:tcPr>
                <w:p w14:paraId="18BBDA6F">
                  <w:pPr>
                    <w:pStyle w:val="10"/>
                    <w:bidi w:val="0"/>
                    <w:ind w:right="0" w:rightChars="0" w:firstLine="0" w:firstLineChars="0"/>
                    <w:rPr>
                      <w:rFonts w:hint="default"/>
                      <w:color w:val="auto"/>
                      <w:sz w:val="21"/>
                      <w:szCs w:val="21"/>
                      <w:highlight w:val="none"/>
                      <w:lang w:val="en-US" w:eastAsia="zh-CN"/>
                    </w:rPr>
                  </w:pPr>
                  <w:r>
                    <w:rPr>
                      <w:rFonts w:hint="eastAsia"/>
                      <w:color w:val="auto"/>
                      <w:sz w:val="21"/>
                      <w:szCs w:val="21"/>
                      <w:highlight w:val="none"/>
                      <w:lang w:val="en-US" w:eastAsia="zh-CN"/>
                    </w:rPr>
                    <w:t>1.68</w:t>
                  </w:r>
                </w:p>
              </w:tc>
              <w:tc>
                <w:tcPr>
                  <w:tcW w:w="409" w:type="pct"/>
                  <w:tcBorders>
                    <w:top w:val="single" w:color="auto" w:sz="4" w:space="0"/>
                    <w:left w:val="nil"/>
                    <w:bottom w:val="single" w:color="auto" w:sz="4" w:space="0"/>
                    <w:right w:val="single" w:color="auto" w:sz="4" w:space="0"/>
                  </w:tcBorders>
                  <w:noWrap w:val="0"/>
                  <w:vAlign w:val="center"/>
                </w:tcPr>
                <w:p w14:paraId="1ACA25A4">
                  <w:pPr>
                    <w:widowControl/>
                    <w:bidi w:val="0"/>
                    <w:snapToGrid w:val="0"/>
                    <w:spacing w:line="240" w:lineRule="auto"/>
                    <w:ind w:right="0" w:rightChars="0" w:firstLine="0" w:firstLineChars="0"/>
                    <w:jc w:val="center"/>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eastAsia="宋体" w:cs="Times New Roman"/>
                      <w:color w:val="auto"/>
                      <w:kern w:val="0"/>
                      <w:sz w:val="21"/>
                      <w:szCs w:val="20"/>
                      <w:highlight w:val="none"/>
                      <w:lang w:val="en-US" w:eastAsia="zh-CN" w:bidi="ar-SA"/>
                    </w:rPr>
                    <w:t>T/In</w:t>
                  </w:r>
                </w:p>
              </w:tc>
              <w:tc>
                <w:tcPr>
                  <w:tcW w:w="773" w:type="pct"/>
                  <w:vMerge w:val="continue"/>
                  <w:tcBorders>
                    <w:left w:val="nil"/>
                    <w:right w:val="single" w:color="auto" w:sz="4" w:space="0"/>
                  </w:tcBorders>
                  <w:noWrap w:val="0"/>
                  <w:vAlign w:val="center"/>
                </w:tcPr>
                <w:p w14:paraId="31181E3C">
                  <w:pPr>
                    <w:pStyle w:val="10"/>
                    <w:bidi w:val="0"/>
                    <w:rPr>
                      <w:rFonts w:hint="default" w:ascii="Times New Roman" w:hAnsi="Times New Roman" w:cs="Times New Roman"/>
                      <w:color w:val="auto"/>
                      <w:highlight w:val="none"/>
                    </w:rPr>
                  </w:pPr>
                </w:p>
              </w:tc>
              <w:tc>
                <w:tcPr>
                  <w:tcW w:w="539" w:type="pct"/>
                  <w:tcBorders>
                    <w:top w:val="nil"/>
                    <w:left w:val="nil"/>
                    <w:bottom w:val="single" w:color="auto" w:sz="4" w:space="0"/>
                    <w:right w:val="single" w:color="auto" w:sz="4" w:space="0"/>
                  </w:tcBorders>
                  <w:noWrap w:val="0"/>
                  <w:vAlign w:val="center"/>
                </w:tcPr>
                <w:p w14:paraId="0BD36FBE">
                  <w:pPr>
                    <w:pStyle w:val="10"/>
                    <w:bidi w:val="0"/>
                    <w:ind w:right="0" w:rightChars="0" w:firstLine="0" w:firstLineChars="0"/>
                    <w:rPr>
                      <w:rFonts w:hint="default" w:cs="Times New Roman"/>
                      <w:color w:val="auto"/>
                      <w:highlight w:val="none"/>
                      <w:lang w:val="en-US" w:eastAsia="zh-CN"/>
                    </w:rPr>
                  </w:pPr>
                  <w:r>
                    <w:rPr>
                      <w:rFonts w:hint="eastAsia" w:cs="Times New Roman"/>
                      <w:color w:val="auto"/>
                      <w:highlight w:val="none"/>
                      <w:lang w:val="en-US" w:eastAsia="zh-CN"/>
                    </w:rPr>
                    <w:t>12</w:t>
                  </w:r>
                </w:p>
              </w:tc>
              <w:tc>
                <w:tcPr>
                  <w:tcW w:w="552" w:type="pct"/>
                  <w:tcBorders>
                    <w:top w:val="nil"/>
                    <w:left w:val="nil"/>
                    <w:bottom w:val="single" w:color="auto" w:sz="4" w:space="0"/>
                    <w:right w:val="single" w:color="auto" w:sz="4" w:space="0"/>
                  </w:tcBorders>
                  <w:noWrap w:val="0"/>
                  <w:vAlign w:val="center"/>
                </w:tcPr>
                <w:p w14:paraId="3CCF09EA">
                  <w:pPr>
                    <w:pStyle w:val="10"/>
                    <w:bidi w:val="0"/>
                    <w:ind w:right="0" w:rightChars="0" w:firstLine="0" w:firstLineChars="0"/>
                    <w:rPr>
                      <w:rFonts w:hint="default"/>
                      <w:color w:val="auto"/>
                      <w:sz w:val="21"/>
                      <w:szCs w:val="21"/>
                      <w:highlight w:val="none"/>
                      <w:lang w:val="en-US" w:eastAsia="zh-CN"/>
                    </w:rPr>
                  </w:pPr>
                  <w:r>
                    <w:rPr>
                      <w:rFonts w:hint="eastAsia"/>
                      <w:color w:val="auto"/>
                      <w:sz w:val="21"/>
                      <w:szCs w:val="21"/>
                      <w:highlight w:val="none"/>
                      <w:lang w:val="en-US" w:eastAsia="zh-CN"/>
                    </w:rPr>
                    <w:t>1.68</w:t>
                  </w:r>
                </w:p>
              </w:tc>
            </w:tr>
            <w:tr w14:paraId="2C211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933" w:type="pct"/>
                  <w:gridSpan w:val="2"/>
                  <w:tcBorders>
                    <w:top w:val="single" w:color="auto" w:sz="4" w:space="0"/>
                    <w:left w:val="single" w:color="auto" w:sz="4" w:space="0"/>
                    <w:bottom w:val="single" w:color="auto" w:sz="4" w:space="0"/>
                    <w:right w:val="single" w:color="auto" w:sz="4" w:space="0"/>
                  </w:tcBorders>
                  <w:noWrap w:val="0"/>
                  <w:vAlign w:val="center"/>
                </w:tcPr>
                <w:p w14:paraId="555DCE4D">
                  <w:pPr>
                    <w:pStyle w:val="10"/>
                    <w:bidi w:val="0"/>
                    <w:ind w:right="0" w:rightChars="0" w:firstLine="0" w:firstLineChars="0"/>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合计</w:t>
                  </w:r>
                </w:p>
              </w:tc>
              <w:tc>
                <w:tcPr>
                  <w:tcW w:w="532" w:type="pct"/>
                  <w:tcBorders>
                    <w:top w:val="single" w:color="auto" w:sz="4" w:space="0"/>
                    <w:left w:val="nil"/>
                    <w:bottom w:val="single" w:color="auto" w:sz="4" w:space="0"/>
                    <w:right w:val="single" w:color="auto" w:sz="4" w:space="0"/>
                  </w:tcBorders>
                  <w:noWrap w:val="0"/>
                  <w:vAlign w:val="center"/>
                </w:tcPr>
                <w:p w14:paraId="2802F019">
                  <w:pPr>
                    <w:pStyle w:val="10"/>
                    <w:bidi w:val="0"/>
                    <w:ind w:right="0" w:rightChars="0" w:firstLine="0" w:firstLineChars="0"/>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w:t>
                  </w:r>
                </w:p>
              </w:tc>
              <w:tc>
                <w:tcPr>
                  <w:tcW w:w="750" w:type="pct"/>
                  <w:tcBorders>
                    <w:top w:val="single" w:color="auto" w:sz="4" w:space="0"/>
                    <w:left w:val="nil"/>
                    <w:bottom w:val="single" w:color="auto" w:sz="4" w:space="0"/>
                    <w:right w:val="single" w:color="auto" w:sz="4" w:space="0"/>
                  </w:tcBorders>
                  <w:noWrap w:val="0"/>
                  <w:vAlign w:val="center"/>
                </w:tcPr>
                <w:p w14:paraId="4DA7E64E">
                  <w:pPr>
                    <w:pStyle w:val="10"/>
                    <w:bidi w:val="0"/>
                    <w:ind w:right="0" w:rightChars="0" w:firstLine="0" w:firstLineChars="0"/>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w:t>
                  </w:r>
                </w:p>
              </w:tc>
              <w:tc>
                <w:tcPr>
                  <w:tcW w:w="509" w:type="pct"/>
                  <w:tcBorders>
                    <w:top w:val="single" w:color="auto" w:sz="4" w:space="0"/>
                    <w:left w:val="nil"/>
                    <w:bottom w:val="single" w:color="auto" w:sz="4" w:space="0"/>
                    <w:right w:val="single" w:color="auto" w:sz="4" w:space="0"/>
                  </w:tcBorders>
                  <w:noWrap w:val="0"/>
                  <w:vAlign w:val="center"/>
                </w:tcPr>
                <w:p w14:paraId="17BD60E5">
                  <w:pPr>
                    <w:pStyle w:val="10"/>
                    <w:bidi w:val="0"/>
                    <w:ind w:right="0" w:rightChars="0" w:firstLine="0" w:firstLineChars="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26.54</w:t>
                  </w:r>
                </w:p>
              </w:tc>
              <w:tc>
                <w:tcPr>
                  <w:tcW w:w="409" w:type="pct"/>
                  <w:tcBorders>
                    <w:top w:val="single" w:color="auto" w:sz="4" w:space="0"/>
                    <w:left w:val="nil"/>
                    <w:bottom w:val="single" w:color="auto" w:sz="4" w:space="0"/>
                    <w:right w:val="single" w:color="auto" w:sz="4" w:space="0"/>
                  </w:tcBorders>
                  <w:noWrap w:val="0"/>
                  <w:vAlign w:val="center"/>
                </w:tcPr>
                <w:p w14:paraId="13C34842">
                  <w:pPr>
                    <w:pStyle w:val="10"/>
                    <w:bidi w:val="0"/>
                    <w:ind w:right="0" w:rightChars="0" w:firstLine="0" w:firstLineChars="0"/>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w:t>
                  </w:r>
                </w:p>
              </w:tc>
              <w:tc>
                <w:tcPr>
                  <w:tcW w:w="773" w:type="pct"/>
                  <w:tcBorders>
                    <w:left w:val="nil"/>
                    <w:right w:val="single" w:color="auto" w:sz="4" w:space="0"/>
                  </w:tcBorders>
                  <w:noWrap w:val="0"/>
                  <w:vAlign w:val="center"/>
                </w:tcPr>
                <w:p w14:paraId="52F29393">
                  <w:pPr>
                    <w:pStyle w:val="10"/>
                    <w:bidi w:val="0"/>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w:t>
                  </w:r>
                </w:p>
              </w:tc>
              <w:tc>
                <w:tcPr>
                  <w:tcW w:w="539" w:type="pct"/>
                  <w:tcBorders>
                    <w:top w:val="single" w:color="auto" w:sz="4" w:space="0"/>
                    <w:left w:val="nil"/>
                    <w:bottom w:val="single" w:color="auto" w:sz="4" w:space="0"/>
                    <w:right w:val="single" w:color="auto" w:sz="4" w:space="0"/>
                  </w:tcBorders>
                  <w:noWrap w:val="0"/>
                  <w:vAlign w:val="center"/>
                </w:tcPr>
                <w:p w14:paraId="71C91AEA">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w:t>
                  </w:r>
                </w:p>
              </w:tc>
              <w:tc>
                <w:tcPr>
                  <w:tcW w:w="552" w:type="pct"/>
                  <w:tcBorders>
                    <w:top w:val="single" w:color="auto" w:sz="4" w:space="0"/>
                    <w:left w:val="nil"/>
                    <w:bottom w:val="single" w:color="auto" w:sz="4" w:space="0"/>
                    <w:right w:val="single" w:color="auto" w:sz="4" w:space="0"/>
                  </w:tcBorders>
                  <w:noWrap w:val="0"/>
                  <w:vAlign w:val="center"/>
                </w:tcPr>
                <w:p w14:paraId="75BF6BC3">
                  <w:pPr>
                    <w:pStyle w:val="10"/>
                    <w:bidi w:val="0"/>
                    <w:ind w:right="0" w:rightChars="0" w:firstLine="0" w:firstLineChars="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10.17</w:t>
                  </w:r>
                </w:p>
              </w:tc>
            </w:tr>
          </w:tbl>
          <w:p w14:paraId="4F2A341E">
            <w:pPr>
              <w:bidi w:val="0"/>
              <w:rPr>
                <w:rFonts w:hint="default" w:ascii="Times New Roman" w:hAnsi="Times New Roman" w:cs="Times New Roman"/>
                <w:b/>
                <w:bCs/>
                <w:color w:val="auto"/>
                <w:highlight w:val="none"/>
                <w:lang w:eastAsia="zh-CN"/>
              </w:rPr>
            </w:pPr>
            <w:r>
              <w:rPr>
                <w:rFonts w:hint="default" w:ascii="Times New Roman" w:hAnsi="Times New Roman" w:cs="Times New Roman"/>
                <w:b/>
                <w:bCs/>
                <w:color w:val="auto"/>
                <w:highlight w:val="none"/>
                <w:lang w:eastAsia="zh-CN"/>
              </w:rPr>
              <w:t>2、固体废物处理处置措施</w:t>
            </w:r>
          </w:p>
          <w:p w14:paraId="76A19131">
            <w:pPr>
              <w:bidi w:val="0"/>
              <w:rPr>
                <w:rFonts w:hint="default" w:ascii="Times New Roman" w:hAnsi="Times New Roman" w:cs="Times New Roman"/>
                <w:color w:val="auto"/>
                <w:highlight w:val="none"/>
                <w:lang w:val="en-US" w:eastAsia="zh-CN"/>
              </w:rPr>
            </w:pPr>
            <w:r>
              <w:rPr>
                <w:rFonts w:hint="eastAsia" w:cs="Times New Roman"/>
                <w:color w:val="auto"/>
                <w:sz w:val="24"/>
                <w:szCs w:val="24"/>
                <w:highlight w:val="none"/>
                <w:lang w:val="en-US" w:eastAsia="zh-CN"/>
              </w:rPr>
              <w:t>本项目一般固废为不合格品机器人电缆、不合格塑料电缆颗粒、布袋除尘收尘和废布袋</w:t>
            </w:r>
            <w:r>
              <w:rPr>
                <w:rFonts w:hint="eastAsia" w:ascii="Times New Roman" w:hAnsi="Times New Roman" w:cs="Times New Roman"/>
                <w:color w:val="auto"/>
                <w:highlight w:val="none"/>
                <w:lang w:eastAsia="zh-CN"/>
              </w:rPr>
              <w:t>；</w:t>
            </w:r>
            <w:r>
              <w:rPr>
                <w:rFonts w:hint="default" w:ascii="Times New Roman" w:hAnsi="Times New Roman" w:eastAsia="宋体" w:cs="Times New Roman"/>
                <w:color w:val="auto"/>
                <w:sz w:val="24"/>
                <w:szCs w:val="24"/>
                <w:highlight w:val="none"/>
              </w:rPr>
              <w:t>危险</w:t>
            </w:r>
            <w:r>
              <w:rPr>
                <w:rFonts w:hint="eastAsia" w:ascii="Times New Roman" w:hAnsi="Times New Roman" w:eastAsia="宋体" w:cs="Times New Roman"/>
                <w:color w:val="auto"/>
                <w:sz w:val="24"/>
                <w:szCs w:val="24"/>
                <w:highlight w:val="none"/>
                <w:lang w:val="en-US" w:eastAsia="zh-CN"/>
              </w:rPr>
              <w:t>废物</w:t>
            </w:r>
            <w:r>
              <w:rPr>
                <w:rFonts w:hint="default" w:ascii="Times New Roman" w:hAnsi="Times New Roman" w:eastAsia="宋体" w:cs="Times New Roman"/>
                <w:color w:val="auto"/>
                <w:sz w:val="24"/>
                <w:szCs w:val="24"/>
                <w:highlight w:val="none"/>
              </w:rPr>
              <w:t>为</w:t>
            </w:r>
            <w:r>
              <w:rPr>
                <w:rFonts w:hint="eastAsia" w:cs="Times New Roman"/>
                <w:color w:val="auto"/>
                <w:sz w:val="24"/>
                <w:szCs w:val="24"/>
                <w:highlight w:val="none"/>
                <w:lang w:val="en-US" w:eastAsia="zh-CN"/>
              </w:rPr>
              <w:t>废活性炭、废油墨包装桶、</w:t>
            </w:r>
            <w:r>
              <w:rPr>
                <w:rFonts w:hint="default" w:ascii="Times New Roman" w:hAnsi="Times New Roman" w:eastAsia="宋体" w:cs="Times New Roman"/>
                <w:color w:val="auto"/>
                <w:sz w:val="24"/>
                <w:szCs w:val="24"/>
                <w:highlight w:val="none"/>
              </w:rPr>
              <w:t>废</w:t>
            </w:r>
            <w:r>
              <w:rPr>
                <w:rFonts w:hint="eastAsia" w:cs="Times New Roman"/>
                <w:color w:val="auto"/>
                <w:sz w:val="24"/>
                <w:szCs w:val="24"/>
                <w:highlight w:val="none"/>
                <w:lang w:val="en-US" w:eastAsia="zh-CN"/>
              </w:rPr>
              <w:t>机</w:t>
            </w:r>
            <w:r>
              <w:rPr>
                <w:rFonts w:hint="eastAsia" w:ascii="Times New Roman" w:hAnsi="Times New Roman" w:eastAsia="宋体" w:cs="Times New Roman"/>
                <w:color w:val="auto"/>
                <w:sz w:val="24"/>
                <w:szCs w:val="24"/>
                <w:highlight w:val="none"/>
                <w:lang w:val="en-US" w:eastAsia="zh-CN"/>
              </w:rPr>
              <w:t>油、废</w:t>
            </w:r>
            <w:r>
              <w:rPr>
                <w:rFonts w:hint="eastAsia" w:cs="Times New Roman"/>
                <w:color w:val="auto"/>
                <w:sz w:val="24"/>
                <w:szCs w:val="24"/>
                <w:highlight w:val="none"/>
                <w:lang w:val="en-US" w:eastAsia="zh-CN"/>
              </w:rPr>
              <w:t>机油</w:t>
            </w:r>
            <w:r>
              <w:rPr>
                <w:rFonts w:hint="eastAsia" w:ascii="Times New Roman" w:hAnsi="Times New Roman" w:eastAsia="宋体" w:cs="Times New Roman"/>
                <w:color w:val="auto"/>
                <w:sz w:val="24"/>
                <w:szCs w:val="24"/>
                <w:highlight w:val="none"/>
                <w:lang w:val="en-US" w:eastAsia="zh-CN"/>
              </w:rPr>
              <w:t>桶</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含油抹布</w:t>
            </w:r>
            <w:r>
              <w:rPr>
                <w:rFonts w:hint="eastAsia" w:cs="Times New Roman"/>
                <w:color w:val="auto"/>
                <w:sz w:val="24"/>
                <w:szCs w:val="24"/>
                <w:highlight w:val="none"/>
                <w:lang w:val="en-US" w:eastAsia="zh-CN"/>
              </w:rPr>
              <w:t>和</w:t>
            </w:r>
            <w:r>
              <w:rPr>
                <w:rFonts w:hint="eastAsia" w:ascii="Times New Roman" w:hAnsi="Times New Roman" w:eastAsia="宋体" w:cs="Times New Roman"/>
                <w:color w:val="auto"/>
                <w:sz w:val="24"/>
                <w:szCs w:val="24"/>
                <w:highlight w:val="none"/>
                <w:lang w:val="en-US" w:eastAsia="zh-CN"/>
              </w:rPr>
              <w:t>手套</w:t>
            </w:r>
            <w:r>
              <w:rPr>
                <w:rFonts w:hint="eastAsia" w:cs="Times New Roman"/>
                <w:color w:val="auto"/>
                <w:sz w:val="24"/>
                <w:szCs w:val="24"/>
                <w:highlight w:val="none"/>
                <w:lang w:val="en-US" w:eastAsia="zh-CN"/>
              </w:rPr>
              <w:t>和</w:t>
            </w:r>
            <w:r>
              <w:rPr>
                <w:rFonts w:hint="eastAsia" w:ascii="Times New Roman" w:hAnsi="Times New Roman" w:eastAsia="宋体" w:cs="Times New Roman"/>
                <w:color w:val="auto"/>
                <w:sz w:val="24"/>
                <w:szCs w:val="24"/>
                <w:highlight w:val="none"/>
                <w:lang w:val="en-US" w:eastAsia="zh-CN"/>
              </w:rPr>
              <w:t>油雾净化器收集废油</w:t>
            </w:r>
            <w:r>
              <w:rPr>
                <w:rFonts w:hint="default" w:ascii="Times New Roman" w:hAnsi="Times New Roman" w:eastAsia="宋体" w:cs="Times New Roman"/>
                <w:color w:val="auto"/>
                <w:sz w:val="24"/>
                <w:szCs w:val="24"/>
                <w:highlight w:val="none"/>
              </w:rPr>
              <w:t>。</w:t>
            </w:r>
          </w:p>
          <w:p w14:paraId="7C718805">
            <w:pPr>
              <w:bidi w:val="0"/>
              <w:rPr>
                <w:rFonts w:hint="default" w:ascii="Times New Roman" w:hAnsi="Times New Roman" w:cs="Times New Roman"/>
                <w:b/>
                <w:bCs/>
                <w:color w:val="auto"/>
                <w:highlight w:val="none"/>
                <w:lang w:eastAsia="zh-CN"/>
              </w:rPr>
            </w:pPr>
            <w:r>
              <w:rPr>
                <w:rFonts w:hint="default" w:ascii="Times New Roman" w:hAnsi="Times New Roman" w:cs="Times New Roman"/>
                <w:b/>
                <w:bCs/>
                <w:color w:val="auto"/>
                <w:highlight w:val="none"/>
                <w:lang w:eastAsia="zh-CN"/>
              </w:rPr>
              <w:t>（1）一般工业固体废物</w:t>
            </w:r>
          </w:p>
          <w:p w14:paraId="13876FDF">
            <w:pPr>
              <w:bidi w:val="0"/>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eastAsia="zh-CN"/>
              </w:rPr>
              <w:t>本项目</w:t>
            </w:r>
            <w:r>
              <w:rPr>
                <w:rFonts w:hint="default" w:ascii="Times New Roman" w:hAnsi="Times New Roman" w:cs="Times New Roman"/>
                <w:color w:val="auto"/>
                <w:highlight w:val="none"/>
                <w:lang w:eastAsia="zh-CN"/>
              </w:rPr>
              <w:t>一般工业固废主要是</w:t>
            </w:r>
            <w:r>
              <w:rPr>
                <w:rFonts w:hint="eastAsia" w:cs="Times New Roman"/>
                <w:color w:val="auto"/>
                <w:sz w:val="24"/>
                <w:szCs w:val="24"/>
                <w:highlight w:val="none"/>
                <w:lang w:val="en-US" w:eastAsia="zh-CN"/>
              </w:rPr>
              <w:t>不合格品机器人电缆、不合格塑料电缆颗粒、布袋除尘收尘和废布袋</w:t>
            </w:r>
            <w:r>
              <w:rPr>
                <w:rFonts w:hint="default" w:ascii="Times New Roman" w:hAnsi="Times New Roman" w:cs="Times New Roman"/>
                <w:color w:val="auto"/>
                <w:highlight w:val="none"/>
                <w:lang w:eastAsia="zh-CN"/>
              </w:rPr>
              <w:t>。</w:t>
            </w:r>
            <w:r>
              <w:rPr>
                <w:rFonts w:hint="eastAsia" w:cs="Times New Roman"/>
                <w:color w:val="auto"/>
                <w:sz w:val="24"/>
                <w:szCs w:val="24"/>
                <w:highlight w:val="none"/>
                <w:lang w:val="en-US" w:eastAsia="zh-CN"/>
              </w:rPr>
              <w:t>不合格品机器人电缆、布袋除尘收尘和废布袋收集后暂存于固废库，后外售综合利用；不合格塑料电缆颗粒回收利用进行重新造粒</w:t>
            </w:r>
            <w:r>
              <w:rPr>
                <w:rFonts w:hint="eastAsia" w:ascii="Times New Roman" w:hAnsi="Times New Roman" w:cs="Times New Roman"/>
                <w:color w:val="auto"/>
                <w:highlight w:val="none"/>
                <w:lang w:val="en-US" w:eastAsia="zh-CN"/>
              </w:rPr>
              <w:t>。</w:t>
            </w:r>
          </w:p>
          <w:p w14:paraId="3E1C4813">
            <w:pPr>
              <w:bidi w:val="0"/>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eastAsia="zh-CN"/>
              </w:rPr>
              <w:t>根据《</w:t>
            </w:r>
            <w:r>
              <w:rPr>
                <w:rFonts w:hint="eastAsia" w:cs="Times New Roman"/>
                <w:color w:val="auto"/>
                <w:highlight w:val="none"/>
                <w:lang w:eastAsia="zh-CN"/>
              </w:rPr>
              <w:t>中华人民共和国固体废物污染环境防治法</w:t>
            </w:r>
            <w:r>
              <w:rPr>
                <w:rFonts w:hint="default" w:ascii="Times New Roman" w:hAnsi="Times New Roman" w:cs="Times New Roman"/>
                <w:color w:val="auto"/>
                <w:highlight w:val="none"/>
                <w:lang w:eastAsia="zh-CN"/>
              </w:rPr>
              <w:t>》及《一般工业固体废物贮存和填埋污染控制标准》（GB18599-2020）标准要求，在项目区设置</w:t>
            </w:r>
            <w:r>
              <w:rPr>
                <w:rFonts w:hint="default" w:ascii="Times New Roman" w:hAnsi="Times New Roman" w:cs="Times New Roman"/>
                <w:color w:val="auto"/>
                <w:highlight w:val="none"/>
                <w:lang w:val="en-US" w:eastAsia="zh-CN"/>
              </w:rPr>
              <w:t>一</w:t>
            </w:r>
            <w:r>
              <w:rPr>
                <w:rFonts w:hint="eastAsia" w:ascii="Times New Roman" w:hAnsi="Times New Roman" w:cs="Times New Roman"/>
                <w:color w:val="auto"/>
                <w:highlight w:val="none"/>
                <w:lang w:val="en-US" w:eastAsia="zh-CN"/>
              </w:rPr>
              <w:t>间10</w:t>
            </w:r>
            <w:r>
              <w:rPr>
                <w:rFonts w:hint="default" w:ascii="Times New Roman" w:hAnsi="Times New Roman" w:cs="Times New Roman"/>
                <w:color w:val="auto"/>
                <w:highlight w:val="none"/>
                <w:lang w:eastAsia="zh-CN"/>
              </w:rPr>
              <w:t>m</w:t>
            </w:r>
            <w:r>
              <w:rPr>
                <w:rFonts w:hint="default" w:ascii="Times New Roman" w:hAnsi="Times New Roman" w:cs="Times New Roman"/>
                <w:color w:val="auto"/>
                <w:highlight w:val="none"/>
                <w:vertAlign w:val="superscript"/>
                <w:lang w:eastAsia="zh-CN"/>
              </w:rPr>
              <w:t>2</w:t>
            </w:r>
            <w:r>
              <w:rPr>
                <w:rFonts w:hint="default" w:ascii="Times New Roman" w:hAnsi="Times New Roman" w:cs="Times New Roman"/>
                <w:color w:val="auto"/>
                <w:highlight w:val="none"/>
                <w:lang w:eastAsia="zh-CN"/>
              </w:rPr>
              <w:t>一般固废暂存间，对固废按规定标记、分区贮存。建立健全一般固体废物产生、收集、贮存、运输、利用、处置全过程的污染环境防治责任制度，建立工业固体废物管理台账；一般固废贮存过程中应满足相应防渗漏、防雨淋、防扬尘等环保要求。</w:t>
            </w:r>
          </w:p>
          <w:p w14:paraId="11106049">
            <w:pPr>
              <w:bidi w:val="0"/>
              <w:rPr>
                <w:rFonts w:hint="default" w:ascii="Times New Roman" w:hAnsi="Times New Roman" w:cs="Times New Roman"/>
                <w:b/>
                <w:bCs/>
                <w:color w:val="auto"/>
                <w:highlight w:val="none"/>
                <w:lang w:eastAsia="zh-CN"/>
              </w:rPr>
            </w:pPr>
            <w:r>
              <w:rPr>
                <w:rFonts w:hint="default" w:ascii="Times New Roman" w:hAnsi="Times New Roman" w:cs="Times New Roman"/>
                <w:b/>
                <w:bCs/>
                <w:color w:val="auto"/>
                <w:highlight w:val="none"/>
                <w:lang w:eastAsia="zh-CN"/>
              </w:rPr>
              <w:t>（2）生活垃圾</w:t>
            </w:r>
          </w:p>
          <w:p w14:paraId="3282C1BC">
            <w:pPr>
              <w:bidi w:val="0"/>
              <w:rPr>
                <w:rFonts w:hint="default"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本项目</w:t>
            </w:r>
            <w:r>
              <w:rPr>
                <w:rFonts w:hint="default" w:ascii="Times New Roman" w:hAnsi="Times New Roman" w:cs="Times New Roman"/>
                <w:color w:val="auto"/>
                <w:highlight w:val="none"/>
                <w:lang w:eastAsia="zh-CN"/>
              </w:rPr>
              <w:t>产生的生活垃圾经垃圾桶收集后由环卫部门定期清运处置。</w:t>
            </w:r>
          </w:p>
          <w:p w14:paraId="4EF0EF60">
            <w:pPr>
              <w:bidi w:val="0"/>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eastAsia="zh-CN"/>
              </w:rPr>
              <w:t>综上所述，</w:t>
            </w:r>
            <w:r>
              <w:rPr>
                <w:rFonts w:hint="eastAsia" w:ascii="Times New Roman" w:hAnsi="Times New Roman" w:cs="Times New Roman"/>
                <w:color w:val="auto"/>
                <w:highlight w:val="none"/>
                <w:lang w:eastAsia="zh-CN"/>
              </w:rPr>
              <w:t>本项目</w:t>
            </w:r>
            <w:r>
              <w:rPr>
                <w:rFonts w:hint="default" w:ascii="Times New Roman" w:hAnsi="Times New Roman" w:cs="Times New Roman"/>
                <w:color w:val="auto"/>
                <w:highlight w:val="none"/>
                <w:lang w:eastAsia="zh-CN"/>
              </w:rPr>
              <w:t>一般固体废物和生活垃圾经过合理的处理处置后不外排，对外环境影响较小，不会对周围环境产生二次污染。</w:t>
            </w:r>
          </w:p>
          <w:p w14:paraId="717F9392">
            <w:pPr>
              <w:bidi w:val="0"/>
              <w:rPr>
                <w:rFonts w:hint="default" w:ascii="Times New Roman" w:hAnsi="Times New Roman" w:cs="Times New Roman"/>
                <w:b/>
                <w:bCs/>
                <w:color w:val="auto"/>
                <w:highlight w:val="none"/>
                <w:lang w:eastAsia="zh-CN"/>
              </w:rPr>
            </w:pPr>
            <w:r>
              <w:rPr>
                <w:rFonts w:hint="default" w:ascii="Times New Roman" w:hAnsi="Times New Roman" w:cs="Times New Roman"/>
                <w:b/>
                <w:bCs/>
                <w:color w:val="auto"/>
                <w:highlight w:val="none"/>
                <w:lang w:eastAsia="zh-CN"/>
              </w:rPr>
              <w:t>（3）危险废物环境影响分析</w:t>
            </w:r>
          </w:p>
          <w:p w14:paraId="1993EA16">
            <w:pPr>
              <w:bidi w:val="0"/>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eastAsia="zh-CN"/>
              </w:rPr>
              <w:t>①危险废物处置方式</w:t>
            </w:r>
          </w:p>
          <w:p w14:paraId="14F9D8BD">
            <w:pPr>
              <w:bidi w:val="0"/>
              <w:rPr>
                <w:rFonts w:hint="default"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本项目</w:t>
            </w:r>
            <w:r>
              <w:rPr>
                <w:rFonts w:hint="default" w:ascii="Times New Roman" w:hAnsi="Times New Roman" w:cs="Times New Roman"/>
                <w:color w:val="auto"/>
                <w:highlight w:val="none"/>
                <w:lang w:val="en-US" w:eastAsia="zh-CN"/>
              </w:rPr>
              <w:t>危险废物主要为</w:t>
            </w:r>
            <w:r>
              <w:rPr>
                <w:rFonts w:hint="default" w:ascii="Times New Roman" w:hAnsi="Times New Roman" w:eastAsia="宋体" w:cs="Times New Roman"/>
                <w:color w:val="auto"/>
                <w:sz w:val="24"/>
                <w:szCs w:val="24"/>
                <w:highlight w:val="none"/>
              </w:rPr>
              <w:t>废</w:t>
            </w:r>
            <w:r>
              <w:rPr>
                <w:rFonts w:hint="eastAsia" w:cs="Times New Roman"/>
                <w:color w:val="auto"/>
                <w:sz w:val="24"/>
                <w:szCs w:val="24"/>
                <w:highlight w:val="none"/>
                <w:lang w:val="en-US" w:eastAsia="zh-CN"/>
              </w:rPr>
              <w:t>机油</w:t>
            </w:r>
            <w:r>
              <w:rPr>
                <w:rFonts w:hint="eastAsia" w:ascii="Times New Roman" w:hAnsi="Times New Roman" w:eastAsia="宋体" w:cs="Times New Roman"/>
                <w:color w:val="auto"/>
                <w:sz w:val="24"/>
                <w:szCs w:val="24"/>
                <w:highlight w:val="none"/>
                <w:lang w:val="en-US" w:eastAsia="zh-CN"/>
              </w:rPr>
              <w:t>、废</w:t>
            </w:r>
            <w:r>
              <w:rPr>
                <w:rFonts w:hint="eastAsia" w:cs="Times New Roman"/>
                <w:color w:val="auto"/>
                <w:sz w:val="24"/>
                <w:szCs w:val="24"/>
                <w:highlight w:val="none"/>
                <w:lang w:val="en-US" w:eastAsia="zh-CN"/>
              </w:rPr>
              <w:t>机油</w:t>
            </w:r>
            <w:r>
              <w:rPr>
                <w:rFonts w:hint="eastAsia" w:ascii="Times New Roman" w:hAnsi="Times New Roman" w:eastAsia="宋体" w:cs="Times New Roman"/>
                <w:color w:val="auto"/>
                <w:sz w:val="24"/>
                <w:szCs w:val="24"/>
                <w:highlight w:val="none"/>
                <w:lang w:val="en-US" w:eastAsia="zh-CN"/>
              </w:rPr>
              <w:t>桶</w:t>
            </w:r>
            <w:r>
              <w:rPr>
                <w:rFonts w:hint="eastAsia" w:cs="Times New Roman"/>
                <w:color w:val="auto"/>
                <w:sz w:val="24"/>
                <w:szCs w:val="24"/>
                <w:highlight w:val="none"/>
                <w:lang w:val="en-US" w:eastAsia="zh-CN"/>
              </w:rPr>
              <w:t>、废活性炭、废油墨包装桶、</w:t>
            </w:r>
            <w:r>
              <w:rPr>
                <w:rFonts w:hint="eastAsia" w:ascii="Times New Roman" w:hAnsi="Times New Roman" w:eastAsia="宋体" w:cs="Times New Roman"/>
                <w:color w:val="auto"/>
                <w:sz w:val="24"/>
                <w:szCs w:val="24"/>
                <w:highlight w:val="none"/>
                <w:lang w:val="en-US" w:eastAsia="zh-CN"/>
              </w:rPr>
              <w:t>废含油抹布手套</w:t>
            </w:r>
            <w:r>
              <w:rPr>
                <w:rFonts w:hint="eastAsia" w:cs="Times New Roman"/>
                <w:color w:val="auto"/>
                <w:sz w:val="24"/>
                <w:szCs w:val="24"/>
                <w:highlight w:val="none"/>
                <w:lang w:val="en-US" w:eastAsia="zh-CN"/>
              </w:rPr>
              <w:t>和油雾净化器收集废油</w:t>
            </w:r>
            <w:r>
              <w:rPr>
                <w:rFonts w:hint="default" w:ascii="Times New Roman" w:hAnsi="Times New Roman" w:cs="Times New Roman"/>
                <w:color w:val="auto"/>
                <w:highlight w:val="none"/>
                <w:lang w:eastAsia="zh-CN"/>
              </w:rPr>
              <w:t>。</w:t>
            </w:r>
          </w:p>
          <w:p w14:paraId="2DC620A5">
            <w:pPr>
              <w:bidi w:val="0"/>
              <w:rPr>
                <w:rFonts w:hint="default" w:ascii="Times New Roman" w:hAnsi="Times New Roman" w:cs="Times New Roman"/>
                <w:color w:val="auto"/>
                <w:highlight w:val="none"/>
                <w:lang w:eastAsia="zh-CN"/>
              </w:rPr>
            </w:pPr>
            <w:r>
              <w:rPr>
                <w:rFonts w:hint="eastAsia" w:ascii="Times New Roman" w:hAnsi="Times New Roman" w:cs="Times New Roman"/>
                <w:color w:val="auto"/>
                <w:highlight w:val="none"/>
                <w:lang w:val="en-US" w:eastAsia="zh-CN"/>
              </w:rPr>
              <w:t>本项目建设</w:t>
            </w:r>
            <w:r>
              <w:rPr>
                <w:rFonts w:hint="default" w:ascii="Times New Roman" w:hAnsi="Times New Roman" w:cs="Times New Roman"/>
                <w:color w:val="auto"/>
                <w:highlight w:val="none"/>
                <w:lang w:eastAsia="zh-CN"/>
              </w:rPr>
              <w:t>1间</w:t>
            </w:r>
            <w:r>
              <w:rPr>
                <w:rFonts w:hint="eastAsia" w:cs="Times New Roman"/>
                <w:color w:val="auto"/>
                <w:highlight w:val="none"/>
                <w:lang w:val="en-US" w:eastAsia="zh-CN"/>
              </w:rPr>
              <w:t>5</w:t>
            </w:r>
            <w:r>
              <w:rPr>
                <w:rFonts w:hint="default" w:ascii="Times New Roman" w:hAnsi="Times New Roman" w:cs="Times New Roman"/>
                <w:color w:val="auto"/>
                <w:highlight w:val="none"/>
                <w:lang w:eastAsia="zh-CN"/>
              </w:rPr>
              <w:t>m</w:t>
            </w:r>
            <w:r>
              <w:rPr>
                <w:rFonts w:hint="default" w:ascii="Times New Roman" w:hAnsi="Times New Roman" w:cs="Times New Roman"/>
                <w:color w:val="auto"/>
                <w:highlight w:val="none"/>
                <w:vertAlign w:val="superscript"/>
                <w:lang w:eastAsia="zh-CN"/>
              </w:rPr>
              <w:t>2</w:t>
            </w:r>
            <w:r>
              <w:rPr>
                <w:rFonts w:hint="default" w:ascii="Times New Roman" w:hAnsi="Times New Roman" w:cs="Times New Roman"/>
                <w:color w:val="auto"/>
                <w:highlight w:val="none"/>
                <w:lang w:eastAsia="zh-CN"/>
              </w:rPr>
              <w:t>危废暂存间，危废在厂区暂存后交由有资质单位处置。危废暂存</w:t>
            </w:r>
            <w:r>
              <w:rPr>
                <w:rFonts w:hint="eastAsia" w:cs="Times New Roman"/>
                <w:color w:val="auto"/>
                <w:highlight w:val="none"/>
                <w:lang w:eastAsia="zh-CN"/>
              </w:rPr>
              <w:t>间</w:t>
            </w:r>
            <w:r>
              <w:rPr>
                <w:rFonts w:hint="default" w:ascii="Times New Roman" w:hAnsi="Times New Roman" w:cs="Times New Roman"/>
                <w:color w:val="auto"/>
                <w:highlight w:val="none"/>
                <w:lang w:eastAsia="zh-CN"/>
              </w:rPr>
              <w:t>按照《危险废物贮存污染控制标准》（GB18597-20</w:t>
            </w:r>
            <w:r>
              <w:rPr>
                <w:rFonts w:hint="default" w:ascii="Times New Roman" w:hAnsi="Times New Roman" w:cs="Times New Roman"/>
                <w:color w:val="auto"/>
                <w:highlight w:val="none"/>
                <w:lang w:val="en-US" w:eastAsia="zh-CN"/>
              </w:rPr>
              <w:t>23</w:t>
            </w:r>
            <w:r>
              <w:rPr>
                <w:rFonts w:hint="default" w:ascii="Times New Roman" w:hAnsi="Times New Roman" w:cs="Times New Roman"/>
                <w:color w:val="auto"/>
                <w:highlight w:val="none"/>
                <w:lang w:eastAsia="zh-CN"/>
              </w:rPr>
              <w:t>）要求建设。</w:t>
            </w:r>
          </w:p>
          <w:p w14:paraId="56DCE982">
            <w:pPr>
              <w:bidi w:val="0"/>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eastAsia="zh-CN"/>
              </w:rPr>
              <w:t>根据上述分析可知，</w:t>
            </w:r>
            <w:r>
              <w:rPr>
                <w:rFonts w:hint="eastAsia" w:ascii="Times New Roman" w:hAnsi="Times New Roman" w:cs="Times New Roman"/>
                <w:color w:val="auto"/>
                <w:highlight w:val="none"/>
                <w:lang w:eastAsia="zh-CN"/>
              </w:rPr>
              <w:t>本项目</w:t>
            </w:r>
            <w:r>
              <w:rPr>
                <w:rFonts w:hint="default" w:ascii="Times New Roman" w:hAnsi="Times New Roman" w:cs="Times New Roman"/>
                <w:color w:val="auto"/>
                <w:highlight w:val="none"/>
                <w:lang w:eastAsia="zh-CN"/>
              </w:rPr>
              <w:t>产生的危险固废经过合理的处置后，处置率100%，对外环境影响较小，不会对周围环境产生二次污染。</w:t>
            </w:r>
          </w:p>
          <w:p w14:paraId="3C2871D9">
            <w:pPr>
              <w:bidi w:val="0"/>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eastAsia="zh-CN"/>
              </w:rPr>
              <w:t>②危废暂存间的设置情况</w:t>
            </w:r>
          </w:p>
          <w:p w14:paraId="4B36564A">
            <w:pPr>
              <w:bidi w:val="0"/>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eastAsia="zh-CN"/>
              </w:rPr>
              <w:t>本环评要求危废暂存间的设置应严格按照《危险废物贮存污染控制标准》（GB18597-20</w:t>
            </w:r>
            <w:r>
              <w:rPr>
                <w:rFonts w:hint="default" w:ascii="Times New Roman" w:hAnsi="Times New Roman" w:cs="Times New Roman"/>
                <w:color w:val="auto"/>
                <w:highlight w:val="none"/>
                <w:lang w:val="en-US" w:eastAsia="zh-CN"/>
              </w:rPr>
              <w:t>23</w:t>
            </w:r>
            <w:r>
              <w:rPr>
                <w:rFonts w:hint="default" w:ascii="Times New Roman" w:hAnsi="Times New Roman" w:cs="Times New Roman"/>
                <w:color w:val="auto"/>
                <w:highlight w:val="none"/>
                <w:lang w:eastAsia="zh-CN"/>
              </w:rPr>
              <w:t>）的相关要求进行设计：1）地面与裙脚要用坚固、防渗的材料建造，建筑材料必须与危险废物相容；2）必须有泄漏液体收集装置；3）设施内要有安全照明设施和观察窗口；4）用以存放装载液体、半固体危险废物容器的地方，必须有耐腐蚀的硬化地面，且表面无裂隙；5）应设计堵截泄漏的裙脚，地面与裙脚所围建的容积不低于堵截最大容器的最大储量或总储量的五分之一；6）不相容的危险废物必须分开存放，并设有隔离间隔断；7）危废收集间内用于堆放危险废物的基础应做防渗处理；</w:t>
            </w:r>
          </w:p>
          <w:p w14:paraId="0AE9CACC">
            <w:pPr>
              <w:bidi w:val="0"/>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eastAsia="zh-CN"/>
              </w:rPr>
              <w:t>③危废收集间外应张贴危险废物识别标志等。</w:t>
            </w:r>
          </w:p>
          <w:p w14:paraId="4838B8EE">
            <w:pPr>
              <w:bidi w:val="0"/>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eastAsia="zh-CN"/>
              </w:rPr>
              <w:t>项目危废暂存间应按照</w:t>
            </w:r>
            <w:r>
              <w:rPr>
                <w:rFonts w:hint="default" w:ascii="Times New Roman" w:hAnsi="Times New Roman" w:eastAsia="宋体" w:cs="Times New Roman"/>
                <w:color w:val="auto"/>
                <w:sz w:val="24"/>
                <w:szCs w:val="24"/>
                <w:highlight w:val="none"/>
              </w:rPr>
              <w:t>《危险废物贮存污染控制标准》（GB18597</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2023）</w:t>
            </w:r>
            <w:r>
              <w:rPr>
                <w:rFonts w:hint="default" w:ascii="Times New Roman" w:hAnsi="Times New Roman" w:cs="Times New Roman"/>
                <w:color w:val="auto"/>
                <w:highlight w:val="none"/>
                <w:lang w:eastAsia="zh-CN"/>
              </w:rPr>
              <w:t>的要求，基础必须防渗，防渗层为至少1m厚粘土层（渗透系数≤10</w:t>
            </w:r>
            <w:r>
              <w:rPr>
                <w:rFonts w:hint="default" w:ascii="Times New Roman" w:hAnsi="Times New Roman" w:cs="Times New Roman"/>
                <w:color w:val="auto"/>
                <w:highlight w:val="none"/>
                <w:vertAlign w:val="superscript"/>
                <w:lang w:eastAsia="zh-CN"/>
              </w:rPr>
              <w:t>-7</w:t>
            </w:r>
            <w:r>
              <w:rPr>
                <w:rFonts w:hint="default" w:ascii="Times New Roman" w:hAnsi="Times New Roman" w:cs="Times New Roman"/>
                <w:color w:val="auto"/>
                <w:highlight w:val="none"/>
                <w:lang w:eastAsia="zh-CN"/>
              </w:rPr>
              <w:t>cm/s），或2mm厚高密度聚乙烯，或至少2mm厚的其他人工材料，渗透系数≤10</w:t>
            </w:r>
            <w:r>
              <w:rPr>
                <w:rFonts w:hint="default" w:ascii="Times New Roman" w:hAnsi="Times New Roman" w:cs="Times New Roman"/>
                <w:color w:val="auto"/>
                <w:highlight w:val="none"/>
                <w:vertAlign w:val="superscript"/>
                <w:lang w:eastAsia="zh-CN"/>
              </w:rPr>
              <w:t>-10</w:t>
            </w:r>
            <w:r>
              <w:rPr>
                <w:rFonts w:hint="default" w:ascii="Times New Roman" w:hAnsi="Times New Roman" w:cs="Times New Roman"/>
                <w:color w:val="auto"/>
                <w:highlight w:val="none"/>
                <w:lang w:eastAsia="zh-CN"/>
              </w:rPr>
              <w:t>cm/s。危险废物堆要做好防风、防雨、防晒措施。各类危险废物应分开堆放贮存，贮存容器应满足危险废物贮存的要求，与所贮存的危险废物具有相容性。不相容的危险废物不能存放在同一个容器内；盛装危险废物的容器上应张贴危险废物识别标志等；应按照国家有关规定进行登记，建立危废收集清运台账；项目区内统一将危废收集至危废收集间后定期交由有资质的单位处理。</w:t>
            </w:r>
          </w:p>
          <w:p w14:paraId="4381F649">
            <w:pPr>
              <w:bidi w:val="0"/>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eastAsia="zh-CN"/>
              </w:rPr>
              <w:t>③危险废物的管理</w:t>
            </w:r>
          </w:p>
          <w:p w14:paraId="5C5B0A8B">
            <w:pPr>
              <w:bidi w:val="0"/>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eastAsia="zh-CN"/>
              </w:rPr>
              <w:t>本评价对危险废物的收集、贮存和运输作以下要求：</w:t>
            </w:r>
          </w:p>
          <w:p w14:paraId="45520D95">
            <w:pPr>
              <w:bidi w:val="0"/>
              <w:rPr>
                <w:rFonts w:hint="default" w:ascii="Times New Roman" w:hAnsi="Times New Roman" w:cs="Times New Roman"/>
                <w:b w:val="0"/>
                <w:bCs w:val="0"/>
                <w:color w:val="auto"/>
                <w:highlight w:val="none"/>
                <w:lang w:eastAsia="zh-CN"/>
              </w:rPr>
            </w:pPr>
            <w:r>
              <w:rPr>
                <w:rFonts w:hint="default" w:ascii="Times New Roman" w:hAnsi="Times New Roman" w:cs="Times New Roman"/>
                <w:b w:val="0"/>
                <w:bCs w:val="0"/>
                <w:color w:val="auto"/>
                <w:highlight w:val="none"/>
                <w:lang w:eastAsia="zh-CN"/>
              </w:rPr>
              <w:t>1）危险废物的收集要求</w:t>
            </w:r>
          </w:p>
          <w:p w14:paraId="6BA58496">
            <w:pPr>
              <w:bidi w:val="0"/>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eastAsia="zh-CN"/>
              </w:rPr>
              <w:t>①性质类似的废物可收集到同一容器中、性质不相容的危险废物不应混合包装；</w:t>
            </w:r>
          </w:p>
          <w:p w14:paraId="5E77B709">
            <w:pPr>
              <w:bidi w:val="0"/>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eastAsia="zh-CN"/>
              </w:rPr>
              <w:t>②危险废物包装应能有效隔断危险废物迁移扩散途径，并达到防渗、防漏要求；</w:t>
            </w:r>
          </w:p>
          <w:p w14:paraId="4CA255EE">
            <w:pPr>
              <w:bidi w:val="0"/>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eastAsia="zh-CN"/>
              </w:rPr>
              <w:t>③在危险废物的收集和转运过程中，应采取相应的安全防护和污染防治措施，包括防爆、防火、防泄漏、防风、防雨或其他防止污染环境的措施；</w:t>
            </w:r>
          </w:p>
          <w:p w14:paraId="45868F30">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④危险废物内部转运应综合考虑厂区的实际情况确定转运路线，尽量避开办公区和生活区；</w:t>
            </w:r>
          </w:p>
          <w:p w14:paraId="0D75D8FF">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⑤危险废物内部转运结束后，应对转运路线进行检查和清理，确保无危险废物遗失在转运路线上，并对转运工具进行清洗；</w:t>
            </w:r>
          </w:p>
          <w:p w14:paraId="444ABD98">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⑥收集过危险废物的容器、设备、设施、场所及其他物品转作他用时，应消除污染，确保其使用安全。</w:t>
            </w:r>
          </w:p>
          <w:p w14:paraId="508C4042">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2）危废贮存场所的要求</w:t>
            </w:r>
          </w:p>
          <w:p w14:paraId="3E677ED1">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项目运营期间产生的危险废物在贮存过程中不会产生浸出液，因此</w:t>
            </w:r>
            <w:r>
              <w:rPr>
                <w:rFonts w:hint="eastAsia" w:cs="Times New Roman"/>
                <w:color w:val="auto"/>
                <w:highlight w:val="none"/>
                <w:lang w:eastAsia="zh-CN"/>
              </w:rPr>
              <w:t>无须设置</w:t>
            </w:r>
            <w:r>
              <w:rPr>
                <w:rFonts w:hint="default" w:ascii="Times New Roman" w:hAnsi="Times New Roman" w:cs="Times New Roman"/>
                <w:color w:val="auto"/>
                <w:highlight w:val="none"/>
              </w:rPr>
              <w:t>浸出液收集系统。贮存危险废物的容器上必须粘贴标签，标签内容应包括废物类别、行业来源、废物代码、危险废物名称和危险特性。为降低危废渗漏的影响，建设单位拟在危废暂存间设置防水、防渗特殊保护层，危险废物在厂内收集后，暂存于防风、防雨、防晒、防渗的危废暂存场所。</w:t>
            </w:r>
          </w:p>
          <w:p w14:paraId="0676683D">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危险废物在堆放时若管理不当容易发生扩散和</w:t>
            </w:r>
            <w:r>
              <w:rPr>
                <w:rFonts w:hint="eastAsia" w:cs="Times New Roman"/>
                <w:color w:val="auto"/>
                <w:highlight w:val="none"/>
                <w:lang w:eastAsia="zh-CN"/>
              </w:rPr>
              <w:t>泄漏</w:t>
            </w:r>
            <w:r>
              <w:rPr>
                <w:rFonts w:hint="default" w:ascii="Times New Roman" w:hAnsi="Times New Roman" w:cs="Times New Roman"/>
                <w:color w:val="auto"/>
                <w:highlight w:val="none"/>
              </w:rPr>
              <w:t>，进而对环境造成污染，甚至损害人们的健康。因此，根据</w:t>
            </w:r>
            <w:r>
              <w:rPr>
                <w:rFonts w:hint="default" w:ascii="Times New Roman" w:hAnsi="Times New Roman" w:eastAsia="宋体" w:cs="Times New Roman"/>
                <w:color w:val="auto"/>
                <w:sz w:val="24"/>
                <w:szCs w:val="24"/>
                <w:highlight w:val="none"/>
              </w:rPr>
              <w:t>《危险废物贮存污染控制标准》（GB18597</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2023）</w:t>
            </w:r>
            <w:r>
              <w:rPr>
                <w:rFonts w:hint="default" w:ascii="Times New Roman" w:hAnsi="Times New Roman" w:cs="Times New Roman"/>
                <w:color w:val="auto"/>
                <w:highlight w:val="none"/>
              </w:rPr>
              <w:t>的相关要求，本评价建议项目落实以下措施：</w:t>
            </w:r>
          </w:p>
          <w:p w14:paraId="6B3CBF59">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①危险废物集中贮存场所的选址位于</w:t>
            </w:r>
            <w:r>
              <w:rPr>
                <w:rFonts w:hint="eastAsia" w:ascii="Times New Roman" w:hAnsi="Times New Roman" w:cs="Times New Roman"/>
                <w:color w:val="auto"/>
                <w:highlight w:val="none"/>
                <w:lang w:val="en-US" w:eastAsia="zh-CN"/>
              </w:rPr>
              <w:t>厂区南侧</w:t>
            </w:r>
            <w:r>
              <w:rPr>
                <w:rFonts w:hint="default" w:ascii="Times New Roman" w:hAnsi="Times New Roman" w:cs="Times New Roman"/>
                <w:color w:val="auto"/>
                <w:highlight w:val="none"/>
              </w:rPr>
              <w:t>，贮存设施底部高于地下水最高水位。</w:t>
            </w:r>
          </w:p>
          <w:p w14:paraId="6772E2FB">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②危险废物贮存设施要用坚固、防渗的材料建造，建筑材料必须与危险废物相容。</w:t>
            </w:r>
          </w:p>
          <w:p w14:paraId="04ECEB21">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③堆放地点基础必须防渗，防渗层为至少1m厚黏土层（渗透系数≤10</w:t>
            </w:r>
            <w:r>
              <w:rPr>
                <w:rFonts w:hint="default" w:ascii="Times New Roman" w:hAnsi="Times New Roman" w:cs="Times New Roman"/>
                <w:color w:val="auto"/>
                <w:highlight w:val="none"/>
                <w:vertAlign w:val="superscript"/>
              </w:rPr>
              <w:t>-7</w:t>
            </w:r>
            <w:r>
              <w:rPr>
                <w:rFonts w:hint="default" w:ascii="Times New Roman" w:hAnsi="Times New Roman" w:cs="Times New Roman"/>
                <w:color w:val="auto"/>
                <w:highlight w:val="none"/>
              </w:rPr>
              <w:t>cm/s），或2mm厚高密度聚乙烯，或至少2mm厚的其他人工材料（渗透系数≤10</w:t>
            </w:r>
            <w:r>
              <w:rPr>
                <w:rFonts w:hint="default" w:ascii="Times New Roman" w:hAnsi="Times New Roman" w:cs="Times New Roman"/>
                <w:color w:val="auto"/>
                <w:highlight w:val="none"/>
                <w:vertAlign w:val="superscript"/>
              </w:rPr>
              <w:t>-10</w:t>
            </w:r>
            <w:r>
              <w:rPr>
                <w:rFonts w:hint="default" w:ascii="Times New Roman" w:hAnsi="Times New Roman" w:cs="Times New Roman"/>
                <w:color w:val="auto"/>
                <w:highlight w:val="none"/>
              </w:rPr>
              <w:t>cm/s）。</w:t>
            </w:r>
          </w:p>
          <w:p w14:paraId="46782E67">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④危险废物堆放要防风、防雨、防晒。</w:t>
            </w:r>
          </w:p>
          <w:p w14:paraId="704DAEF6">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综上所述，项目危险废物贮存场所选址可行，场所贮存能力满足要求。项目危险废物通过采取各污染防治措施，贮存符合相关要求，不会对周围环境空气、地表水、地下水、土壤及环境敏感目标造成影响。</w:t>
            </w:r>
          </w:p>
          <w:p w14:paraId="21897BB2">
            <w:pPr>
              <w:bidi w:val="0"/>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3）危险废物的运输要求</w:t>
            </w:r>
          </w:p>
          <w:p w14:paraId="126E0DF8">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按照《危险废物收集、贮存、运输技术规范》（HJ2025），</w:t>
            </w:r>
            <w:r>
              <w:rPr>
                <w:rFonts w:hint="eastAsia" w:ascii="Times New Roman" w:hAnsi="Times New Roman" w:cs="Times New Roman"/>
                <w:color w:val="auto"/>
                <w:highlight w:val="none"/>
                <w:lang w:eastAsia="zh-CN"/>
              </w:rPr>
              <w:t>本项目</w:t>
            </w:r>
            <w:r>
              <w:rPr>
                <w:rFonts w:hint="default" w:ascii="Times New Roman" w:hAnsi="Times New Roman" w:cs="Times New Roman"/>
                <w:color w:val="auto"/>
                <w:highlight w:val="none"/>
              </w:rPr>
              <w:t>危险废物的运输由持有危险废物经营许可证的单位按照其许可证的经营范围组织，并由获得交通运输部门颁发的危险货物运输资质的单位承担运输。</w:t>
            </w:r>
          </w:p>
          <w:p w14:paraId="1196F5C9">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危险废物运输时的中转、装卸过程应遵守规范技术要求：</w:t>
            </w:r>
          </w:p>
          <w:p w14:paraId="33292E7E">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①装卸区的工作人员应熟悉废物的危险特性，并配备适当的个人防护装备；</w:t>
            </w:r>
          </w:p>
          <w:p w14:paraId="7353FD3C">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②装卸区应配备必要的消防设备和设施，并设置明显的指示标志；</w:t>
            </w:r>
          </w:p>
          <w:p w14:paraId="7FD879F9">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③危险废物装卸区应设置隔离设施。</w:t>
            </w:r>
          </w:p>
          <w:p w14:paraId="0E710630">
            <w:pPr>
              <w:bidi w:val="0"/>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本项目</w:t>
            </w:r>
            <w:r>
              <w:rPr>
                <w:rFonts w:hint="default" w:ascii="Times New Roman" w:hAnsi="Times New Roman" w:cs="Times New Roman"/>
                <w:color w:val="auto"/>
                <w:highlight w:val="none"/>
              </w:rPr>
              <w:t>产生的危险废物严格按照危险废物运输的管理规定进行运输，减少运输过程中的二次污染和可能造成的环境风险，因此采取的污染防治措施是可行的。</w:t>
            </w:r>
          </w:p>
          <w:p w14:paraId="7D4FE16D">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4）管理要求</w:t>
            </w:r>
          </w:p>
          <w:p w14:paraId="057522DE">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企业须根据管理台账和近年生产计划，制订危险废物管理计划，并报当地生态环境主管部门备案。台账应如实记载产生危险废物的种类、数量、利用、贮存、处置、流向等信息，以此作为向当地生态环境主管部门申报危险废物管理计划的编制依据。产生的危险废物实行分类收集后置于贮存设施内，贮存时限一般不得超过一年，并设专人管理。盛装危险废物的容器和包装物以及产生、收集、贮存、运输、处置危险废物的场所，必须依法设置相应标识、警示标志和标签，标签上应注明贮存的废物类别、危害性以及开始贮存时间等内容。企业必须严格执行危险废物转移计划报批和依法运行危险废物转移联单，并通过信息系统登记转移计划和电子转移联单。企业还需健全</w:t>
            </w:r>
            <w:r>
              <w:rPr>
                <w:rFonts w:hint="default" w:ascii="Times New Roman" w:hAnsi="Times New Roman" w:cs="Times New Roman"/>
                <w:color w:val="auto"/>
                <w:highlight w:val="none"/>
                <w:lang w:eastAsia="zh-CN"/>
              </w:rPr>
              <w:t>生产</w:t>
            </w:r>
            <w:r>
              <w:rPr>
                <w:rFonts w:hint="default" w:ascii="Times New Roman" w:hAnsi="Times New Roman" w:cs="Times New Roman"/>
                <w:color w:val="auto"/>
                <w:highlight w:val="none"/>
              </w:rPr>
              <w:t>单位内部管理制度，包括落实危险废物产生信息公开制度，建立员工培训和固体废物管理员制度，完善危险废物相关档案管理制度；建立和完善突发危险废物环境应急预案，并报当地生态环境主管部门备案。</w:t>
            </w:r>
          </w:p>
          <w:p w14:paraId="44B7A6B9">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经上述措施处理后，项目产生的固体废物不会对周围环境造成不良影响。</w:t>
            </w:r>
          </w:p>
          <w:p w14:paraId="0BDB597D">
            <w:pPr>
              <w:bidi w:val="0"/>
              <w:rPr>
                <w:rFonts w:hint="default"/>
                <w:b/>
                <w:bCs/>
                <w:color w:val="auto"/>
                <w:highlight w:val="none"/>
                <w:lang w:val="en-US" w:eastAsia="zh-CN"/>
              </w:rPr>
            </w:pPr>
            <w:r>
              <w:rPr>
                <w:rFonts w:hint="eastAsia"/>
                <w:b/>
                <w:bCs/>
                <w:color w:val="auto"/>
                <w:highlight w:val="none"/>
                <w:lang w:val="en-US" w:eastAsia="zh-CN"/>
              </w:rPr>
              <w:t>五</w:t>
            </w:r>
            <w:r>
              <w:rPr>
                <w:rFonts w:hint="default"/>
                <w:b/>
                <w:bCs/>
                <w:color w:val="auto"/>
                <w:highlight w:val="none"/>
                <w:lang w:val="en-US" w:eastAsia="zh-CN"/>
              </w:rPr>
              <w:t>、土壤和地下水</w:t>
            </w:r>
          </w:p>
          <w:p w14:paraId="3D9A7452">
            <w:pPr>
              <w:widowControl w:val="0"/>
              <w:spacing w:after="0" w:line="360" w:lineRule="auto"/>
              <w:ind w:left="0" w:leftChars="0" w:firstLine="482" w:firstLineChars="200"/>
              <w:rPr>
                <w:rFonts w:hint="default" w:ascii="Times New Roman" w:hAnsi="Times New Roman" w:eastAsia="宋体" w:cs="Times New Roman"/>
                <w:b/>
                <w:color w:val="auto"/>
                <w:kern w:val="0"/>
                <w:sz w:val="24"/>
                <w:szCs w:val="24"/>
                <w:highlight w:val="none"/>
                <w:lang w:val="en-US" w:eastAsia="zh-CN" w:bidi="ar-SA"/>
              </w:rPr>
            </w:pPr>
            <w:r>
              <w:rPr>
                <w:rFonts w:hint="default" w:ascii="Times New Roman" w:hAnsi="Times New Roman" w:eastAsia="宋体" w:cs="Times New Roman"/>
                <w:b/>
                <w:color w:val="auto"/>
                <w:kern w:val="0"/>
                <w:sz w:val="24"/>
                <w:szCs w:val="24"/>
                <w:highlight w:val="none"/>
                <w:lang w:val="en-US" w:eastAsia="zh-CN" w:bidi="ar-SA"/>
              </w:rPr>
              <w:t>1、污染途径</w:t>
            </w:r>
          </w:p>
          <w:p w14:paraId="0A6AC6B9">
            <w:pPr>
              <w:widowControl w:val="0"/>
              <w:spacing w:after="0" w:line="360" w:lineRule="auto"/>
              <w:ind w:left="0" w:leftChars="0" w:firstLine="480" w:firstLineChars="200"/>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本项目排放的废气污染物主要为颗粒物</w:t>
            </w:r>
            <w:r>
              <w:rPr>
                <w:rFonts w:hint="eastAsia" w:cs="Times New Roman"/>
                <w:color w:val="auto"/>
                <w:kern w:val="0"/>
                <w:sz w:val="24"/>
                <w:szCs w:val="24"/>
                <w:highlight w:val="none"/>
                <w:lang w:val="en-US" w:eastAsia="zh-CN" w:bidi="ar-SA"/>
              </w:rPr>
              <w:t>和非甲烷总烃</w:t>
            </w:r>
            <w:r>
              <w:rPr>
                <w:rFonts w:hint="default" w:ascii="Times New Roman" w:hAnsi="Times New Roman" w:eastAsia="宋体" w:cs="Times New Roman"/>
                <w:color w:val="auto"/>
                <w:kern w:val="0"/>
                <w:sz w:val="24"/>
                <w:szCs w:val="24"/>
                <w:highlight w:val="none"/>
                <w:lang w:val="en-US" w:eastAsia="zh-CN" w:bidi="ar-SA"/>
              </w:rPr>
              <w:t>等，可能通过大气沉降的方式污染所在区域的地下水及土壤；</w:t>
            </w:r>
            <w:r>
              <w:rPr>
                <w:rFonts w:hint="eastAsia" w:ascii="Times New Roman" w:hAnsi="Times New Roman" w:eastAsia="宋体" w:cs="Times New Roman"/>
                <w:color w:val="auto"/>
                <w:kern w:val="0"/>
                <w:sz w:val="24"/>
                <w:szCs w:val="24"/>
                <w:highlight w:val="none"/>
                <w:lang w:val="en-US" w:eastAsia="zh-CN" w:bidi="ar-SA"/>
              </w:rPr>
              <w:t>厂区</w:t>
            </w:r>
            <w:r>
              <w:rPr>
                <w:rFonts w:hint="default" w:ascii="Times New Roman" w:hAnsi="Times New Roman" w:eastAsia="宋体" w:cs="Times New Roman"/>
                <w:color w:val="auto"/>
                <w:kern w:val="0"/>
                <w:sz w:val="24"/>
                <w:szCs w:val="24"/>
                <w:highlight w:val="none"/>
                <w:lang w:val="en-US" w:eastAsia="zh-CN" w:bidi="ar-SA"/>
              </w:rPr>
              <w:t>化粪池</w:t>
            </w:r>
            <w:r>
              <w:rPr>
                <w:rFonts w:hint="eastAsia" w:cs="Times New Roman"/>
                <w:color w:val="auto"/>
                <w:kern w:val="0"/>
                <w:sz w:val="24"/>
                <w:szCs w:val="24"/>
                <w:highlight w:val="none"/>
                <w:lang w:val="en-US" w:eastAsia="zh-CN" w:bidi="ar-SA"/>
              </w:rPr>
              <w:t>、隔油池等</w:t>
            </w:r>
            <w:r>
              <w:rPr>
                <w:rFonts w:hint="default" w:ascii="Times New Roman" w:hAnsi="Times New Roman" w:eastAsia="宋体" w:cs="Times New Roman"/>
                <w:color w:val="auto"/>
                <w:kern w:val="0"/>
                <w:sz w:val="24"/>
                <w:szCs w:val="24"/>
                <w:highlight w:val="none"/>
                <w:lang w:val="en-US" w:eastAsia="zh-CN" w:bidi="ar-SA"/>
              </w:rPr>
              <w:t>发生破损可能导致废水进入地表，进而影响地下水及土壤；本项目生产中会产生</w:t>
            </w:r>
            <w:r>
              <w:rPr>
                <w:rFonts w:hint="eastAsia" w:ascii="Times New Roman" w:hAnsi="Times New Roman" w:cs="Times New Roman"/>
                <w:color w:val="auto"/>
                <w:highlight w:val="none"/>
                <w:lang w:eastAsia="zh-CN"/>
              </w:rPr>
              <w:t>废</w:t>
            </w:r>
            <w:r>
              <w:rPr>
                <w:rFonts w:hint="eastAsia" w:cs="Times New Roman"/>
                <w:color w:val="auto"/>
                <w:highlight w:val="none"/>
                <w:lang w:eastAsia="zh-CN"/>
              </w:rPr>
              <w:t>机油</w:t>
            </w:r>
            <w:r>
              <w:rPr>
                <w:rFonts w:hint="eastAsia" w:ascii="Times New Roman" w:hAnsi="Times New Roman" w:cs="Times New Roman"/>
                <w:color w:val="auto"/>
                <w:highlight w:val="none"/>
                <w:lang w:eastAsia="zh-CN"/>
              </w:rPr>
              <w:t>、废</w:t>
            </w:r>
            <w:r>
              <w:rPr>
                <w:rFonts w:hint="eastAsia" w:cs="Times New Roman"/>
                <w:color w:val="auto"/>
                <w:highlight w:val="none"/>
                <w:lang w:eastAsia="zh-CN"/>
              </w:rPr>
              <w:t>机油</w:t>
            </w:r>
            <w:r>
              <w:rPr>
                <w:rFonts w:hint="eastAsia" w:ascii="Times New Roman" w:hAnsi="Times New Roman" w:cs="Times New Roman"/>
                <w:color w:val="auto"/>
                <w:highlight w:val="none"/>
                <w:lang w:eastAsia="zh-CN"/>
              </w:rPr>
              <w:t>桶</w:t>
            </w:r>
            <w:r>
              <w:rPr>
                <w:rFonts w:hint="eastAsia" w:cs="Times New Roman"/>
                <w:color w:val="auto"/>
                <w:highlight w:val="none"/>
                <w:lang w:eastAsia="zh-CN"/>
              </w:rPr>
              <w:t>、</w:t>
            </w:r>
            <w:r>
              <w:rPr>
                <w:rFonts w:hint="eastAsia" w:cs="Times New Roman"/>
                <w:color w:val="auto"/>
                <w:highlight w:val="none"/>
                <w:lang w:val="en-US" w:eastAsia="zh-CN"/>
              </w:rPr>
              <w:t>废活性炭、废油墨包装桶</w:t>
            </w:r>
            <w:r>
              <w:rPr>
                <w:rFonts w:hint="eastAsia" w:ascii="Times New Roman" w:hAnsi="Times New Roman" w:cs="Times New Roman"/>
                <w:color w:val="auto"/>
                <w:highlight w:val="none"/>
                <w:lang w:eastAsia="zh-CN"/>
              </w:rPr>
              <w:t>和废含油抹布手套</w:t>
            </w:r>
            <w:r>
              <w:rPr>
                <w:rFonts w:hint="default" w:ascii="Times New Roman" w:hAnsi="Times New Roman" w:eastAsia="宋体" w:cs="Times New Roman"/>
                <w:color w:val="auto"/>
                <w:kern w:val="0"/>
                <w:sz w:val="24"/>
                <w:szCs w:val="21"/>
                <w:highlight w:val="none"/>
                <w:lang w:val="en-US" w:eastAsia="zh-CN" w:bidi="ar-SA"/>
              </w:rPr>
              <w:t>等</w:t>
            </w:r>
            <w:r>
              <w:rPr>
                <w:rFonts w:hint="default" w:ascii="Times New Roman" w:hAnsi="Times New Roman" w:eastAsia="宋体" w:cs="Times New Roman"/>
                <w:color w:val="auto"/>
                <w:kern w:val="0"/>
                <w:sz w:val="24"/>
                <w:szCs w:val="24"/>
                <w:highlight w:val="none"/>
                <w:lang w:val="en-US" w:eastAsia="zh-CN" w:bidi="ar-SA"/>
              </w:rPr>
              <w:t>危险废物，集中收集暂存在危废暂存间，危废暂存间可能发生</w:t>
            </w:r>
            <w:r>
              <w:rPr>
                <w:rFonts w:hint="eastAsia" w:ascii="Times New Roman" w:hAnsi="Times New Roman" w:eastAsia="宋体" w:cs="Times New Roman"/>
                <w:color w:val="auto"/>
                <w:kern w:val="0"/>
                <w:sz w:val="24"/>
                <w:szCs w:val="24"/>
                <w:highlight w:val="none"/>
                <w:lang w:val="en-US" w:eastAsia="zh-CN" w:bidi="ar-SA"/>
              </w:rPr>
              <w:t>泄漏</w:t>
            </w:r>
            <w:r>
              <w:rPr>
                <w:rFonts w:hint="default" w:ascii="Times New Roman" w:hAnsi="Times New Roman" w:eastAsia="宋体" w:cs="Times New Roman"/>
                <w:color w:val="auto"/>
                <w:kern w:val="0"/>
                <w:sz w:val="24"/>
                <w:szCs w:val="24"/>
                <w:highlight w:val="none"/>
                <w:lang w:val="en-US" w:eastAsia="zh-CN" w:bidi="ar-SA"/>
              </w:rPr>
              <w:t>污染地下水及土壤；本项目</w:t>
            </w:r>
            <w:r>
              <w:rPr>
                <w:rFonts w:hint="eastAsia" w:ascii="Times New Roman" w:hAnsi="Times New Roman" w:cs="Times New Roman"/>
                <w:color w:val="auto"/>
                <w:kern w:val="0"/>
                <w:sz w:val="24"/>
                <w:szCs w:val="24"/>
                <w:highlight w:val="none"/>
                <w:lang w:val="en-US" w:eastAsia="zh-CN" w:bidi="ar-SA"/>
              </w:rPr>
              <w:t>机油等</w:t>
            </w:r>
            <w:r>
              <w:rPr>
                <w:rFonts w:hint="default" w:ascii="Times New Roman" w:hAnsi="Times New Roman" w:cs="Times New Roman"/>
                <w:color w:val="auto"/>
                <w:kern w:val="0"/>
                <w:sz w:val="24"/>
                <w:szCs w:val="24"/>
                <w:highlight w:val="none"/>
                <w:lang w:val="en-US" w:eastAsia="zh-CN" w:bidi="ar-SA"/>
              </w:rPr>
              <w:t>物料</w:t>
            </w:r>
            <w:r>
              <w:rPr>
                <w:rFonts w:hint="default" w:ascii="Times New Roman" w:hAnsi="Times New Roman" w:eastAsia="宋体" w:cs="Times New Roman"/>
                <w:color w:val="auto"/>
                <w:kern w:val="0"/>
                <w:sz w:val="24"/>
                <w:szCs w:val="24"/>
                <w:highlight w:val="none"/>
                <w:lang w:val="en-US" w:eastAsia="zh-CN" w:bidi="ar-SA"/>
              </w:rPr>
              <w:t>可能发生泄漏进而对地下水及土壤产生影响。</w:t>
            </w:r>
          </w:p>
          <w:p w14:paraId="2F4CFA28">
            <w:pPr>
              <w:widowControl w:val="0"/>
              <w:spacing w:after="0" w:line="360" w:lineRule="auto"/>
              <w:ind w:left="0" w:leftChars="0" w:firstLine="482" w:firstLineChars="200"/>
              <w:rPr>
                <w:rFonts w:hint="default" w:ascii="Times New Roman" w:hAnsi="Times New Roman" w:eastAsia="宋体" w:cs="Times New Roman"/>
                <w:b/>
                <w:color w:val="auto"/>
                <w:kern w:val="0"/>
                <w:sz w:val="24"/>
                <w:szCs w:val="24"/>
                <w:highlight w:val="none"/>
                <w:lang w:val="en-US" w:eastAsia="zh-CN" w:bidi="ar-SA"/>
              </w:rPr>
            </w:pPr>
            <w:r>
              <w:rPr>
                <w:rFonts w:hint="default" w:ascii="Times New Roman" w:hAnsi="Times New Roman" w:eastAsia="宋体" w:cs="Times New Roman"/>
                <w:b/>
                <w:color w:val="auto"/>
                <w:kern w:val="0"/>
                <w:sz w:val="24"/>
                <w:szCs w:val="24"/>
                <w:highlight w:val="none"/>
                <w:lang w:val="en-US" w:eastAsia="zh-CN" w:bidi="ar-SA"/>
              </w:rPr>
              <w:t>2、污染防治措施</w:t>
            </w:r>
          </w:p>
          <w:p w14:paraId="1DFA434D">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（1）源头控制措施</w:t>
            </w:r>
          </w:p>
          <w:p w14:paraId="55B73A0F">
            <w:pPr>
              <w:adjustRightInd w:val="0"/>
              <w:snapToGrid w:val="0"/>
              <w:spacing w:line="360" w:lineRule="auto"/>
              <w:ind w:firstLine="480" w:firstLineChars="200"/>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①</w:t>
            </w:r>
            <w:r>
              <w:rPr>
                <w:rFonts w:hint="default" w:ascii="Times New Roman" w:hAnsi="Times New Roman" w:eastAsia="宋体" w:cs="Times New Roman"/>
                <w:bCs/>
                <w:color w:val="auto"/>
                <w:kern w:val="28"/>
                <w:sz w:val="24"/>
                <w:highlight w:val="none"/>
              </w:rPr>
              <w:t>对车间产生的各污染物进行集中收集处理，达标后通过排气筒排放。</w:t>
            </w:r>
            <w:r>
              <w:rPr>
                <w:rFonts w:hint="default" w:ascii="Times New Roman" w:hAnsi="Times New Roman" w:eastAsia="宋体" w:cs="Times New Roman"/>
                <w:color w:val="auto"/>
                <w:sz w:val="24"/>
                <w:highlight w:val="none"/>
                <w:lang w:val="en-US" w:eastAsia="zh-CN"/>
              </w:rPr>
              <w:t>本项目</w:t>
            </w:r>
            <w:r>
              <w:rPr>
                <w:rFonts w:hint="default" w:ascii="Times New Roman" w:hAnsi="Times New Roman" w:eastAsia="宋体" w:cs="Times New Roman"/>
                <w:color w:val="auto"/>
                <w:kern w:val="0"/>
                <w:sz w:val="24"/>
                <w:highlight w:val="none"/>
              </w:rPr>
              <w:t>粉尘</w:t>
            </w:r>
            <w:r>
              <w:rPr>
                <w:rFonts w:hint="eastAsia" w:cs="Times New Roman"/>
                <w:color w:val="auto"/>
                <w:kern w:val="0"/>
                <w:sz w:val="24"/>
                <w:highlight w:val="none"/>
                <w:lang w:val="en-US" w:eastAsia="zh-CN"/>
              </w:rPr>
              <w:t>经收集</w:t>
            </w:r>
            <w:r>
              <w:rPr>
                <w:rFonts w:hint="default" w:ascii="Times New Roman" w:hAnsi="Times New Roman" w:eastAsia="宋体" w:cs="Times New Roman"/>
                <w:color w:val="auto"/>
                <w:kern w:val="0"/>
                <w:sz w:val="24"/>
                <w:highlight w:val="none"/>
              </w:rPr>
              <w:t>处理后有组织排放</w:t>
            </w:r>
            <w:r>
              <w:rPr>
                <w:rFonts w:hint="default" w:ascii="Times New Roman" w:hAnsi="Times New Roman" w:eastAsia="宋体" w:cs="Times New Roman"/>
                <w:bCs/>
                <w:color w:val="auto"/>
                <w:sz w:val="24"/>
                <w:highlight w:val="none"/>
              </w:rPr>
              <w:t>。</w:t>
            </w:r>
          </w:p>
          <w:p w14:paraId="6B2C45F3">
            <w:pPr>
              <w:widowControl w:val="0"/>
              <w:adjustRightInd w:val="0"/>
              <w:snapToGrid w:val="0"/>
              <w:spacing w:line="360" w:lineRule="auto"/>
              <w:ind w:firstLine="480" w:firstLineChars="200"/>
              <w:jc w:val="left"/>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②严格按照国家相关规范要求，对</w:t>
            </w:r>
            <w:r>
              <w:rPr>
                <w:rFonts w:hint="default" w:ascii="Times New Roman" w:hAnsi="Times New Roman" w:cs="Times New Roman"/>
                <w:bCs/>
                <w:color w:val="auto"/>
                <w:kern w:val="2"/>
                <w:sz w:val="24"/>
                <w:szCs w:val="24"/>
                <w:highlight w:val="none"/>
                <w:lang w:val="en-US" w:eastAsia="zh-CN" w:bidi="ar-SA"/>
              </w:rPr>
              <w:t>厂区</w:t>
            </w:r>
            <w:r>
              <w:rPr>
                <w:rFonts w:hint="default" w:ascii="Times New Roman" w:hAnsi="Times New Roman" w:eastAsia="宋体" w:cs="Times New Roman"/>
                <w:bCs/>
                <w:color w:val="auto"/>
                <w:kern w:val="2"/>
                <w:sz w:val="24"/>
                <w:szCs w:val="24"/>
                <w:highlight w:val="none"/>
                <w:lang w:val="en-US" w:eastAsia="zh-CN" w:bidi="ar-SA"/>
              </w:rPr>
              <w:t>污水收集设施等采取相应措施，以防止和降低污染物的跑、冒、滴、漏，将污染物泄漏的环境风险事故降到最低程度。</w:t>
            </w:r>
          </w:p>
          <w:p w14:paraId="0D2E5731">
            <w:pPr>
              <w:widowControl w:val="0"/>
              <w:adjustRightInd w:val="0"/>
              <w:snapToGrid w:val="0"/>
              <w:spacing w:line="360" w:lineRule="auto"/>
              <w:ind w:firstLine="480" w:firstLineChars="200"/>
              <w:jc w:val="left"/>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③严格固体废物管理，不接触外界降水，使其不产生淋溶液，严防污染物泄漏到地下水及土壤中。</w:t>
            </w:r>
          </w:p>
          <w:p w14:paraId="38F3FE0F">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（2）分区防治措施</w:t>
            </w:r>
          </w:p>
          <w:p w14:paraId="6F768499">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根据厂区各生产功能单元是否可能对地下水造成污染及其风险程度，将厂区划分为重点污染防治区、一般污染防治区和非污染防治区。重点污染防治区是可能对地下水造成污染，风险程度较高，需要重点防治的区域，主要包括危险废物暂存库</w:t>
            </w:r>
            <w:r>
              <w:rPr>
                <w:rFonts w:hint="eastAsia" w:ascii="Times New Roman" w:hAnsi="Times New Roman" w:cs="Times New Roman"/>
                <w:color w:val="auto"/>
                <w:highlight w:val="none"/>
                <w:lang w:eastAsia="zh-CN"/>
              </w:rPr>
              <w:t>、</w:t>
            </w:r>
            <w:r>
              <w:rPr>
                <w:rFonts w:hint="eastAsia" w:cs="Times New Roman"/>
                <w:color w:val="auto"/>
                <w:highlight w:val="none"/>
                <w:lang w:val="en-US" w:eastAsia="zh-CN"/>
              </w:rPr>
              <w:t>辅料库</w:t>
            </w:r>
            <w:r>
              <w:rPr>
                <w:rFonts w:hint="default" w:ascii="Times New Roman" w:hAnsi="Times New Roman" w:cs="Times New Roman"/>
                <w:color w:val="auto"/>
                <w:highlight w:val="none"/>
              </w:rPr>
              <w:t>等区域。一般污染防治区是可能会对地下水造成污染，但危害性或风险程度相对较低的区域，</w:t>
            </w:r>
            <w:r>
              <w:rPr>
                <w:rFonts w:hint="eastAsia" w:ascii="Times New Roman" w:hAnsi="Times New Roman" w:cs="Times New Roman"/>
                <w:color w:val="auto"/>
                <w:highlight w:val="none"/>
                <w:lang w:val="en-US" w:eastAsia="zh-CN"/>
              </w:rPr>
              <w:t>主要包括一般固废间和化粪池</w:t>
            </w:r>
            <w:r>
              <w:rPr>
                <w:rFonts w:hint="default" w:ascii="Times New Roman" w:hAnsi="Times New Roman" w:cs="Times New Roman"/>
                <w:color w:val="auto"/>
                <w:highlight w:val="none"/>
              </w:rPr>
              <w:t>。非污染防治区为不会对地下水造成污染的区域，主要包括绿化区、办公区等。</w:t>
            </w:r>
          </w:p>
          <w:p w14:paraId="1A246028">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对厂区可能</w:t>
            </w:r>
            <w:r>
              <w:rPr>
                <w:rFonts w:hint="default" w:ascii="Times New Roman" w:hAnsi="Times New Roman" w:cs="Times New Roman"/>
                <w:color w:val="auto"/>
                <w:highlight w:val="none"/>
                <w:lang w:eastAsia="zh-CN"/>
              </w:rPr>
              <w:t>泄漏</w:t>
            </w:r>
            <w:r>
              <w:rPr>
                <w:rFonts w:hint="default" w:ascii="Times New Roman" w:hAnsi="Times New Roman" w:cs="Times New Roman"/>
                <w:color w:val="auto"/>
                <w:highlight w:val="none"/>
              </w:rPr>
              <w:t>污染物的污染区地面进行防渗处理，并及时地将泄漏、渗漏的污染物收集起来进行处理，可有效防止洒落地面的污染物渗入地下。根据国家相关标准和规范，结合目前施工过程中的可操作性和技术水平，针对不同的污染防治区域采用不同的防渗措施，在具体设计中应根据实际情况在满足</w:t>
            </w:r>
            <w:r>
              <w:rPr>
                <w:rFonts w:hint="default" w:ascii="Times New Roman" w:hAnsi="Times New Roman" w:cs="Times New Roman"/>
                <w:color w:val="auto"/>
                <w:highlight w:val="none"/>
                <w:lang w:eastAsia="zh-CN"/>
              </w:rPr>
              <w:t>防渗</w:t>
            </w:r>
            <w:r>
              <w:rPr>
                <w:rFonts w:hint="default" w:ascii="Times New Roman" w:hAnsi="Times New Roman" w:cs="Times New Roman"/>
                <w:color w:val="auto"/>
                <w:highlight w:val="none"/>
              </w:rPr>
              <w:t>标准的前提下</w:t>
            </w:r>
            <w:r>
              <w:rPr>
                <w:rFonts w:hint="default" w:ascii="Times New Roman" w:hAnsi="Times New Roman" w:cs="Times New Roman"/>
                <w:color w:val="auto"/>
                <w:highlight w:val="none"/>
                <w:lang w:eastAsia="zh-CN"/>
              </w:rPr>
              <w:t>做必要</w:t>
            </w:r>
            <w:r>
              <w:rPr>
                <w:rFonts w:hint="default" w:ascii="Times New Roman" w:hAnsi="Times New Roman" w:cs="Times New Roman"/>
                <w:color w:val="auto"/>
                <w:highlight w:val="none"/>
              </w:rPr>
              <w:t>调整。</w:t>
            </w:r>
          </w:p>
          <w:p w14:paraId="50DA8D0B">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①重点防渗区</w:t>
            </w:r>
          </w:p>
          <w:p w14:paraId="3B76009C">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包括</w:t>
            </w:r>
            <w:r>
              <w:rPr>
                <w:rFonts w:hint="eastAsia"/>
                <w:color w:val="auto"/>
                <w:highlight w:val="none"/>
                <w:lang w:val="en-US" w:eastAsia="zh-CN"/>
              </w:rPr>
              <w:t>危废库、辅料库</w:t>
            </w:r>
            <w:r>
              <w:rPr>
                <w:rFonts w:hint="default" w:ascii="Times New Roman" w:hAnsi="Times New Roman" w:cs="Times New Roman"/>
                <w:color w:val="auto"/>
                <w:highlight w:val="none"/>
              </w:rPr>
              <w:t>。</w:t>
            </w:r>
          </w:p>
          <w:p w14:paraId="5413C5A0">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重点防渗措施要求：采用人工材料构筑防渗层，达到等效黏土防渗层Mb≥6.0m（渗透系数≤1*10</w:t>
            </w:r>
            <w:r>
              <w:rPr>
                <w:rFonts w:hint="default" w:ascii="Times New Roman" w:hAnsi="Times New Roman" w:cs="Times New Roman"/>
                <w:color w:val="auto"/>
                <w:highlight w:val="none"/>
                <w:vertAlign w:val="superscript"/>
              </w:rPr>
              <w:t>-7</w:t>
            </w:r>
            <w:r>
              <w:rPr>
                <w:rFonts w:hint="default" w:ascii="Times New Roman" w:hAnsi="Times New Roman" w:cs="Times New Roman"/>
                <w:color w:val="auto"/>
                <w:highlight w:val="none"/>
              </w:rPr>
              <w:t>cm/s）；或2mm厚高密度聚乙烯，或至少2mm厚的其他人工材料，渗透系数K≤1*10</w:t>
            </w:r>
            <w:r>
              <w:rPr>
                <w:rFonts w:hint="default" w:ascii="Times New Roman" w:hAnsi="Times New Roman" w:cs="Times New Roman"/>
                <w:color w:val="auto"/>
                <w:highlight w:val="none"/>
                <w:vertAlign w:val="superscript"/>
              </w:rPr>
              <w:t>-7</w:t>
            </w:r>
            <w:r>
              <w:rPr>
                <w:rFonts w:hint="default" w:ascii="Times New Roman" w:hAnsi="Times New Roman" w:cs="Times New Roman"/>
                <w:color w:val="auto"/>
                <w:highlight w:val="none"/>
              </w:rPr>
              <w:t>cm/s防渗技术要求；或参照《危险废物污染控制标准》（GB18697-2023）执行。</w:t>
            </w:r>
          </w:p>
          <w:p w14:paraId="1515CCDC">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②一般污染防渗区</w:t>
            </w:r>
          </w:p>
          <w:p w14:paraId="2022D726">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包括</w:t>
            </w:r>
            <w:r>
              <w:rPr>
                <w:rFonts w:hint="eastAsia"/>
                <w:color w:val="auto"/>
                <w:highlight w:val="none"/>
                <w:lang w:val="en-US" w:eastAsia="zh-CN"/>
              </w:rPr>
              <w:t>化粪池、一般固废间、成品库、隔油池、原料库、生产车间等</w:t>
            </w:r>
            <w:r>
              <w:rPr>
                <w:rFonts w:hint="default" w:ascii="Times New Roman" w:hAnsi="Times New Roman" w:cs="Times New Roman"/>
                <w:color w:val="auto"/>
                <w:highlight w:val="none"/>
              </w:rPr>
              <w:t>。</w:t>
            </w:r>
          </w:p>
          <w:p w14:paraId="18B5946E">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一般污染防渗措施要求：等效黏土防渗层Mb≥1.5m，K≤1*10</w:t>
            </w:r>
            <w:r>
              <w:rPr>
                <w:rFonts w:hint="default" w:ascii="Times New Roman" w:hAnsi="Times New Roman" w:cs="Times New Roman"/>
                <w:color w:val="auto"/>
                <w:highlight w:val="none"/>
                <w:vertAlign w:val="superscript"/>
              </w:rPr>
              <w:t>-7</w:t>
            </w:r>
            <w:r>
              <w:rPr>
                <w:rFonts w:hint="default" w:ascii="Times New Roman" w:hAnsi="Times New Roman" w:cs="Times New Roman"/>
                <w:color w:val="auto"/>
                <w:highlight w:val="none"/>
              </w:rPr>
              <w:t>cm/s或参照《生活垃圾填埋场污染控制标准》（GB16889-20</w:t>
            </w:r>
            <w:r>
              <w:rPr>
                <w:rFonts w:hint="eastAsia" w:ascii="Times New Roman" w:hAnsi="Times New Roman" w:cs="Times New Roman"/>
                <w:color w:val="auto"/>
                <w:highlight w:val="none"/>
                <w:lang w:val="en-US" w:eastAsia="zh-CN"/>
              </w:rPr>
              <w:t>24</w:t>
            </w:r>
            <w:r>
              <w:rPr>
                <w:rFonts w:hint="default" w:ascii="Times New Roman" w:hAnsi="Times New Roman" w:cs="Times New Roman"/>
                <w:color w:val="auto"/>
                <w:highlight w:val="none"/>
              </w:rPr>
              <w:t>）中相关标准要求执行。</w:t>
            </w:r>
          </w:p>
          <w:p w14:paraId="6562D215">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③简单污染防渗区</w:t>
            </w:r>
          </w:p>
          <w:p w14:paraId="030B96E5">
            <w:pPr>
              <w:bidi w:val="0"/>
              <w:rPr>
                <w:rFonts w:hint="default" w:ascii="Times New Roman" w:hAnsi="Times New Roman" w:cs="Times New Roman"/>
                <w:color w:val="auto"/>
                <w:highlight w:val="none"/>
              </w:rPr>
            </w:pPr>
            <w:r>
              <w:rPr>
                <w:rFonts w:hint="eastAsia"/>
                <w:color w:val="auto"/>
                <w:highlight w:val="none"/>
                <w:lang w:val="en-US" w:eastAsia="zh-CN"/>
              </w:rPr>
              <w:t>包括办公区等</w:t>
            </w:r>
            <w:r>
              <w:rPr>
                <w:rFonts w:hint="default" w:ascii="Times New Roman" w:hAnsi="Times New Roman" w:cs="Times New Roman"/>
                <w:color w:val="auto"/>
                <w:highlight w:val="none"/>
              </w:rPr>
              <w:t>。</w:t>
            </w:r>
          </w:p>
          <w:p w14:paraId="0E9DE88D">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简单污染防渗要求：水泥硬化地面。</w:t>
            </w:r>
          </w:p>
          <w:p w14:paraId="0F378525">
            <w:pPr>
              <w:pStyle w:val="5"/>
              <w:tabs>
                <w:tab w:val="left" w:pos="1284"/>
              </w:tabs>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表4-</w:t>
            </w:r>
            <w:r>
              <w:rPr>
                <w:rFonts w:hint="eastAsia" w:cs="Times New Roman"/>
                <w:color w:val="auto"/>
                <w:highlight w:val="none"/>
                <w:lang w:val="en-US" w:eastAsia="zh-CN"/>
              </w:rPr>
              <w:t>18</w:t>
            </w:r>
            <w:r>
              <w:rPr>
                <w:rFonts w:hint="default" w:ascii="Times New Roman" w:hAnsi="Times New Roman" w:cs="Times New Roman"/>
                <w:color w:val="auto"/>
                <w:highlight w:val="none"/>
                <w:lang w:val="en-US" w:eastAsia="zh-CN"/>
              </w:rPr>
              <w:t xml:space="preserve"> 项目污染区划分及防渗等级一览表</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2451"/>
              <w:gridCol w:w="1258"/>
              <w:gridCol w:w="1322"/>
              <w:gridCol w:w="2716"/>
            </w:tblGrid>
            <w:tr w14:paraId="3AC28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3" w:type="pct"/>
                  <w:noWrap w:val="0"/>
                  <w:vAlign w:val="center"/>
                </w:tcPr>
                <w:p w14:paraId="3FD648A4">
                  <w:pPr>
                    <w:pStyle w:val="10"/>
                    <w:bidi w:val="0"/>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序号</w:t>
                  </w:r>
                </w:p>
              </w:tc>
              <w:tc>
                <w:tcPr>
                  <w:tcW w:w="2191" w:type="pct"/>
                  <w:gridSpan w:val="2"/>
                  <w:noWrap w:val="0"/>
                  <w:vAlign w:val="center"/>
                </w:tcPr>
                <w:p w14:paraId="0E5C0571">
                  <w:pPr>
                    <w:pStyle w:val="10"/>
                    <w:bidi w:val="0"/>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防渗区域或部位</w:t>
                  </w:r>
                </w:p>
              </w:tc>
              <w:tc>
                <w:tcPr>
                  <w:tcW w:w="781" w:type="pct"/>
                  <w:noWrap w:val="0"/>
                  <w:vAlign w:val="center"/>
                </w:tcPr>
                <w:p w14:paraId="3B74ACAE">
                  <w:pPr>
                    <w:pStyle w:val="10"/>
                    <w:bidi w:val="0"/>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防渗等级</w:t>
                  </w:r>
                </w:p>
              </w:tc>
              <w:tc>
                <w:tcPr>
                  <w:tcW w:w="1604" w:type="pct"/>
                  <w:noWrap w:val="0"/>
                  <w:vAlign w:val="center"/>
                </w:tcPr>
                <w:p w14:paraId="1471C54D">
                  <w:pPr>
                    <w:pStyle w:val="10"/>
                    <w:bidi w:val="0"/>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防渗要求</w:t>
                  </w:r>
                </w:p>
              </w:tc>
            </w:tr>
            <w:tr w14:paraId="7D3B5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3" w:type="pct"/>
                  <w:vMerge w:val="restart"/>
                  <w:noWrap w:val="0"/>
                  <w:vAlign w:val="center"/>
                </w:tcPr>
                <w:p w14:paraId="63CA5225">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1</w:t>
                  </w:r>
                </w:p>
              </w:tc>
              <w:tc>
                <w:tcPr>
                  <w:tcW w:w="1448" w:type="pct"/>
                  <w:noWrap w:val="0"/>
                  <w:vAlign w:val="center"/>
                </w:tcPr>
                <w:p w14:paraId="1E088511">
                  <w:pPr>
                    <w:pStyle w:val="10"/>
                    <w:bidi w:val="0"/>
                    <w:ind w:right="0" w:rightChars="0" w:firstLine="0" w:firstLineChars="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辅料库</w:t>
                  </w:r>
                </w:p>
              </w:tc>
              <w:tc>
                <w:tcPr>
                  <w:tcW w:w="743" w:type="pct"/>
                  <w:noWrap w:val="0"/>
                  <w:vAlign w:val="center"/>
                </w:tcPr>
                <w:p w14:paraId="4CE57152">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地面</w:t>
                  </w:r>
                </w:p>
              </w:tc>
              <w:tc>
                <w:tcPr>
                  <w:tcW w:w="781" w:type="pct"/>
                  <w:vMerge w:val="restart"/>
                  <w:noWrap w:val="0"/>
                  <w:vAlign w:val="center"/>
                </w:tcPr>
                <w:p w14:paraId="2C82900C">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重点防渗区</w:t>
                  </w:r>
                </w:p>
              </w:tc>
              <w:tc>
                <w:tcPr>
                  <w:tcW w:w="1604" w:type="pct"/>
                  <w:noWrap w:val="0"/>
                  <w:vAlign w:val="center"/>
                </w:tcPr>
                <w:p w14:paraId="1A89AEC6">
                  <w:pPr>
                    <w:pStyle w:val="10"/>
                    <w:bidi w:val="0"/>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kern w:val="0"/>
                      <w:sz w:val="21"/>
                      <w:szCs w:val="20"/>
                      <w:highlight w:val="none"/>
                      <w:lang w:val="en-US" w:eastAsia="zh-CN" w:bidi="ar-SA"/>
                    </w:rPr>
                    <w:t>等效黏土防渗层Mb≥6.0m，K≤10</w:t>
                  </w:r>
                  <w:r>
                    <w:rPr>
                      <w:rFonts w:hint="default" w:ascii="Times New Roman" w:hAnsi="Times New Roman" w:eastAsia="宋体" w:cs="Times New Roman"/>
                      <w:color w:val="auto"/>
                      <w:kern w:val="0"/>
                      <w:sz w:val="21"/>
                      <w:szCs w:val="20"/>
                      <w:highlight w:val="none"/>
                      <w:vertAlign w:val="superscript"/>
                      <w:lang w:val="en-US" w:eastAsia="zh-CN" w:bidi="ar-SA"/>
                    </w:rPr>
                    <w:t>-7</w:t>
                  </w:r>
                  <w:r>
                    <w:rPr>
                      <w:rFonts w:hint="default" w:ascii="Times New Roman" w:hAnsi="Times New Roman" w:eastAsia="宋体" w:cs="Times New Roman"/>
                      <w:color w:val="auto"/>
                      <w:kern w:val="0"/>
                      <w:sz w:val="21"/>
                      <w:szCs w:val="20"/>
                      <w:highlight w:val="none"/>
                      <w:lang w:val="en-US" w:eastAsia="zh-CN" w:bidi="ar-SA"/>
                    </w:rPr>
                    <w:t>cm/s；或参照GB18598执行</w:t>
                  </w:r>
                </w:p>
              </w:tc>
            </w:tr>
            <w:tr w14:paraId="76EED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3" w:type="pct"/>
                  <w:vMerge w:val="continue"/>
                  <w:noWrap w:val="0"/>
                  <w:vAlign w:val="center"/>
                </w:tcPr>
                <w:p w14:paraId="55BAE524">
                  <w:pPr>
                    <w:pStyle w:val="10"/>
                    <w:bidi w:val="0"/>
                    <w:rPr>
                      <w:rFonts w:hint="default" w:ascii="Times New Roman" w:hAnsi="Times New Roman" w:cs="Times New Roman"/>
                      <w:color w:val="auto"/>
                      <w:highlight w:val="none"/>
                      <w:lang w:val="en-US" w:eastAsia="zh-CN"/>
                    </w:rPr>
                  </w:pPr>
                </w:p>
              </w:tc>
              <w:tc>
                <w:tcPr>
                  <w:tcW w:w="1448" w:type="pct"/>
                  <w:noWrap w:val="0"/>
                  <w:vAlign w:val="center"/>
                </w:tcPr>
                <w:p w14:paraId="4C557DB7">
                  <w:pPr>
                    <w:pStyle w:val="10"/>
                    <w:bidi w:val="0"/>
                    <w:ind w:right="0" w:rightChars="0" w:firstLine="0" w:firstLineChars="0"/>
                    <w:rPr>
                      <w:rFonts w:hint="eastAsia"/>
                      <w:color w:val="auto"/>
                      <w:highlight w:val="none"/>
                      <w:lang w:val="en-US" w:eastAsia="zh-CN"/>
                    </w:rPr>
                  </w:pPr>
                  <w:r>
                    <w:rPr>
                      <w:rFonts w:hint="eastAsia"/>
                      <w:color w:val="auto"/>
                      <w:highlight w:val="none"/>
                      <w:lang w:val="en-US" w:eastAsia="zh-CN"/>
                    </w:rPr>
                    <w:t>危废库</w:t>
                  </w:r>
                </w:p>
              </w:tc>
              <w:tc>
                <w:tcPr>
                  <w:tcW w:w="743" w:type="pct"/>
                  <w:noWrap w:val="0"/>
                  <w:vAlign w:val="center"/>
                </w:tcPr>
                <w:p w14:paraId="53CCA9CB">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地面</w:t>
                  </w:r>
                </w:p>
              </w:tc>
              <w:tc>
                <w:tcPr>
                  <w:tcW w:w="781" w:type="pct"/>
                  <w:vMerge w:val="continue"/>
                  <w:noWrap w:val="0"/>
                  <w:vAlign w:val="center"/>
                </w:tcPr>
                <w:p w14:paraId="0BC3F9DB">
                  <w:pPr>
                    <w:pStyle w:val="10"/>
                    <w:bidi w:val="0"/>
                    <w:rPr>
                      <w:rFonts w:hint="default" w:ascii="Times New Roman" w:hAnsi="Times New Roman" w:cs="Times New Roman"/>
                      <w:color w:val="auto"/>
                      <w:highlight w:val="none"/>
                      <w:lang w:val="en-US" w:eastAsia="zh-CN"/>
                    </w:rPr>
                  </w:pPr>
                </w:p>
              </w:tc>
              <w:tc>
                <w:tcPr>
                  <w:tcW w:w="1604" w:type="pct"/>
                  <w:noWrap w:val="0"/>
                  <w:vAlign w:val="center"/>
                </w:tcPr>
                <w:p w14:paraId="76F4FA11">
                  <w:pPr>
                    <w:pStyle w:val="10"/>
                    <w:bidi w:val="0"/>
                    <w:rPr>
                      <w:rFonts w:hint="eastAsia" w:cs="Times New Roman"/>
                      <w:color w:val="auto"/>
                      <w:highlight w:val="none"/>
                      <w:lang w:val="en-US" w:eastAsia="zh-CN"/>
                    </w:rPr>
                  </w:pPr>
                  <w:r>
                    <w:rPr>
                      <w:rFonts w:hint="default" w:ascii="Times New Roman" w:hAnsi="Times New Roman" w:eastAsia="宋体" w:cs="Times New Roman"/>
                      <w:color w:val="auto"/>
                      <w:kern w:val="0"/>
                      <w:sz w:val="21"/>
                      <w:szCs w:val="20"/>
                      <w:highlight w:val="none"/>
                      <w:lang w:val="en-US" w:eastAsia="zh-CN" w:bidi="ar-SA"/>
                    </w:rPr>
                    <w:t>按照《危险废物贮存污染控制标准》（GB18597-2023）中要求</w:t>
                  </w:r>
                </w:p>
              </w:tc>
            </w:tr>
            <w:tr w14:paraId="6DE29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3" w:type="pct"/>
                  <w:noWrap w:val="0"/>
                  <w:vAlign w:val="center"/>
                </w:tcPr>
                <w:p w14:paraId="0652DE9E">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2</w:t>
                  </w:r>
                </w:p>
              </w:tc>
              <w:tc>
                <w:tcPr>
                  <w:tcW w:w="1448" w:type="pct"/>
                  <w:noWrap w:val="0"/>
                  <w:vAlign w:val="center"/>
                </w:tcPr>
                <w:p w14:paraId="035575F4">
                  <w:pPr>
                    <w:pStyle w:val="10"/>
                    <w:bidi w:val="0"/>
                    <w:ind w:right="0" w:rightChars="0" w:firstLine="0" w:firstLineChars="0"/>
                    <w:rPr>
                      <w:rFonts w:hint="default" w:ascii="Times New Roman" w:hAnsi="Times New Roman" w:cs="Times New Roman"/>
                      <w:color w:val="auto"/>
                      <w:highlight w:val="none"/>
                      <w:lang w:val="en-US" w:eastAsia="zh-CN"/>
                    </w:rPr>
                  </w:pPr>
                  <w:r>
                    <w:rPr>
                      <w:rFonts w:hint="eastAsia"/>
                      <w:color w:val="auto"/>
                      <w:highlight w:val="none"/>
                      <w:lang w:val="en-US" w:eastAsia="zh-CN"/>
                    </w:rPr>
                    <w:t>化粪池、一般固废间、成品库、隔油池、原料库、生产车间等</w:t>
                  </w:r>
                </w:p>
              </w:tc>
              <w:tc>
                <w:tcPr>
                  <w:tcW w:w="743" w:type="pct"/>
                  <w:noWrap w:val="0"/>
                  <w:vAlign w:val="center"/>
                </w:tcPr>
                <w:p w14:paraId="7036876D">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地面、池体</w:t>
                  </w:r>
                </w:p>
              </w:tc>
              <w:tc>
                <w:tcPr>
                  <w:tcW w:w="781" w:type="pct"/>
                  <w:noWrap w:val="0"/>
                  <w:vAlign w:val="center"/>
                </w:tcPr>
                <w:p w14:paraId="1DBF8BDD">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一般防渗区</w:t>
                  </w:r>
                </w:p>
              </w:tc>
              <w:tc>
                <w:tcPr>
                  <w:tcW w:w="1604" w:type="pct"/>
                  <w:noWrap w:val="0"/>
                  <w:vAlign w:val="center"/>
                </w:tcPr>
                <w:p w14:paraId="198DA56D">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等效黏土防渗层Mb≧1.5m，渗透系数≤10</w:t>
                  </w:r>
                  <w:r>
                    <w:rPr>
                      <w:rFonts w:hint="default" w:ascii="Times New Roman" w:hAnsi="Times New Roman" w:cs="Times New Roman"/>
                      <w:color w:val="auto"/>
                      <w:highlight w:val="none"/>
                      <w:vertAlign w:val="superscript"/>
                      <w:lang w:val="en-US" w:eastAsia="zh-CN"/>
                    </w:rPr>
                    <w:t>-7</w:t>
                  </w:r>
                  <w:r>
                    <w:rPr>
                      <w:rFonts w:hint="default" w:ascii="Times New Roman" w:hAnsi="Times New Roman" w:cs="Times New Roman"/>
                      <w:color w:val="auto"/>
                      <w:highlight w:val="none"/>
                      <w:lang w:val="en-US" w:eastAsia="zh-CN"/>
                    </w:rPr>
                    <w:t>cm/s</w:t>
                  </w:r>
                </w:p>
              </w:tc>
            </w:tr>
            <w:tr w14:paraId="7CBFD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3" w:type="pct"/>
                  <w:noWrap w:val="0"/>
                  <w:vAlign w:val="center"/>
                </w:tcPr>
                <w:p w14:paraId="76227189">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3</w:t>
                  </w:r>
                </w:p>
              </w:tc>
              <w:tc>
                <w:tcPr>
                  <w:tcW w:w="1448" w:type="pct"/>
                  <w:noWrap w:val="0"/>
                  <w:vAlign w:val="center"/>
                </w:tcPr>
                <w:p w14:paraId="46DC7B14">
                  <w:pPr>
                    <w:pStyle w:val="10"/>
                    <w:bidi w:val="0"/>
                    <w:ind w:right="0" w:rightChars="0" w:firstLine="0" w:firstLineChars="0"/>
                    <w:rPr>
                      <w:rFonts w:hint="default"/>
                      <w:lang w:val="en-US" w:eastAsia="zh-CN"/>
                    </w:rPr>
                  </w:pPr>
                  <w:r>
                    <w:rPr>
                      <w:rFonts w:hint="eastAsia"/>
                      <w:color w:val="auto"/>
                      <w:highlight w:val="none"/>
                      <w:lang w:val="en-US" w:eastAsia="zh-CN"/>
                    </w:rPr>
                    <w:t>办公区等</w:t>
                  </w:r>
                </w:p>
              </w:tc>
              <w:tc>
                <w:tcPr>
                  <w:tcW w:w="743" w:type="pct"/>
                  <w:noWrap w:val="0"/>
                  <w:vAlign w:val="center"/>
                </w:tcPr>
                <w:p w14:paraId="490122A1">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地面</w:t>
                  </w:r>
                </w:p>
              </w:tc>
              <w:tc>
                <w:tcPr>
                  <w:tcW w:w="781" w:type="pct"/>
                  <w:noWrap w:val="0"/>
                  <w:vAlign w:val="center"/>
                </w:tcPr>
                <w:p w14:paraId="677852F2">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简单防渗区</w:t>
                  </w:r>
                </w:p>
              </w:tc>
              <w:tc>
                <w:tcPr>
                  <w:tcW w:w="1604" w:type="pct"/>
                  <w:noWrap w:val="0"/>
                  <w:vAlign w:val="center"/>
                </w:tcPr>
                <w:p w14:paraId="44135974">
                  <w:pPr>
                    <w:pStyle w:val="10"/>
                    <w:bidi w:val="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地面硬化处理</w:t>
                  </w:r>
                </w:p>
              </w:tc>
            </w:tr>
          </w:tbl>
          <w:p w14:paraId="76BFD896">
            <w:pPr>
              <w:widowControl w:val="0"/>
              <w:adjustRightInd w:val="0"/>
              <w:snapToGrid w:val="0"/>
              <w:spacing w:line="360" w:lineRule="auto"/>
              <w:ind w:firstLine="480" w:firstLineChars="200"/>
              <w:jc w:val="left"/>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在采取以上分区防渗措施后，可有效预防项目对地下水和土壤污染的发生。</w:t>
            </w:r>
          </w:p>
          <w:p w14:paraId="32389B02">
            <w:pPr>
              <w:spacing w:line="360" w:lineRule="auto"/>
              <w:ind w:firstLine="480" w:firstLineChars="200"/>
              <w:jc w:val="left"/>
              <w:rPr>
                <w:rFonts w:hint="default" w:ascii="Times New Roman" w:hAnsi="Times New Roman" w:eastAsia="宋体" w:cs="Times New Roman"/>
                <w:bCs/>
                <w:color w:val="auto"/>
                <w:kern w:val="28"/>
                <w:sz w:val="24"/>
                <w:highlight w:val="none"/>
              </w:rPr>
            </w:pPr>
            <w:r>
              <w:rPr>
                <w:rFonts w:hint="default" w:ascii="Times New Roman" w:hAnsi="Times New Roman" w:eastAsia="宋体" w:cs="Times New Roman"/>
                <w:bCs/>
                <w:color w:val="auto"/>
                <w:kern w:val="28"/>
                <w:sz w:val="24"/>
                <w:highlight w:val="none"/>
              </w:rPr>
              <w:t>加强地下水及</w:t>
            </w:r>
            <w:r>
              <w:rPr>
                <w:rFonts w:hint="default" w:ascii="Times New Roman" w:hAnsi="Times New Roman" w:eastAsia="宋体" w:cs="Times New Roman"/>
                <w:bCs/>
                <w:color w:val="auto"/>
                <w:sz w:val="24"/>
                <w:highlight w:val="none"/>
              </w:rPr>
              <w:t>土壤</w:t>
            </w:r>
            <w:r>
              <w:rPr>
                <w:rFonts w:hint="default" w:ascii="Times New Roman" w:hAnsi="Times New Roman" w:eastAsia="宋体" w:cs="Times New Roman"/>
                <w:bCs/>
                <w:color w:val="auto"/>
                <w:kern w:val="28"/>
                <w:sz w:val="24"/>
                <w:highlight w:val="none"/>
              </w:rPr>
              <w:t>环境保护队伍建设，由专人负责地下水及</w:t>
            </w:r>
            <w:r>
              <w:rPr>
                <w:rFonts w:hint="default" w:ascii="Times New Roman" w:hAnsi="Times New Roman" w:eastAsia="宋体" w:cs="Times New Roman"/>
                <w:bCs/>
                <w:color w:val="auto"/>
                <w:sz w:val="24"/>
                <w:highlight w:val="none"/>
              </w:rPr>
              <w:t>土壤</w:t>
            </w:r>
            <w:r>
              <w:rPr>
                <w:rFonts w:hint="default" w:ascii="Times New Roman" w:hAnsi="Times New Roman" w:eastAsia="宋体" w:cs="Times New Roman"/>
                <w:bCs/>
                <w:color w:val="auto"/>
                <w:kern w:val="28"/>
                <w:sz w:val="24"/>
                <w:highlight w:val="none"/>
              </w:rPr>
              <w:t>污染防治的管理工作。</w:t>
            </w:r>
          </w:p>
          <w:p w14:paraId="38ECDCC6">
            <w:pPr>
              <w:adjustRightInd w:val="0"/>
              <w:snapToGrid w:val="0"/>
              <w:spacing w:line="360" w:lineRule="auto"/>
              <w:ind w:firstLine="480" w:firstLineChars="200"/>
              <w:jc w:val="left"/>
              <w:rPr>
                <w:rFonts w:hint="default" w:ascii="Times New Roman" w:hAnsi="Times New Roman" w:eastAsia="宋体" w:cs="Times New Roman"/>
                <w:bCs/>
                <w:color w:val="auto"/>
                <w:kern w:val="28"/>
                <w:sz w:val="24"/>
                <w:highlight w:val="none"/>
              </w:rPr>
            </w:pPr>
            <w:r>
              <w:rPr>
                <w:rFonts w:hint="default" w:ascii="Times New Roman" w:hAnsi="Times New Roman" w:eastAsia="宋体" w:cs="Times New Roman"/>
                <w:color w:val="auto"/>
                <w:sz w:val="24"/>
                <w:highlight w:val="none"/>
              </w:rPr>
              <w:t>综上所述，</w:t>
            </w:r>
            <w:r>
              <w:rPr>
                <w:rFonts w:hint="default" w:ascii="Times New Roman" w:hAnsi="Times New Roman" w:eastAsia="宋体" w:cs="Times New Roman"/>
                <w:bCs/>
                <w:color w:val="auto"/>
                <w:kern w:val="28"/>
                <w:sz w:val="24"/>
                <w:highlight w:val="none"/>
              </w:rPr>
              <w:t>对厂房内产生的各污染物进行集中收集处理，达标后通过排气筒排放，基本不会影响地下水及土壤；</w:t>
            </w:r>
            <w:r>
              <w:rPr>
                <w:rFonts w:hint="default" w:ascii="Times New Roman" w:hAnsi="Times New Roman" w:eastAsia="宋体" w:cs="Times New Roman"/>
                <w:bCs/>
                <w:color w:val="auto"/>
                <w:sz w:val="24"/>
                <w:highlight w:val="none"/>
              </w:rPr>
              <w:t>项目各区域做好分区防渗措施，基本不会发生</w:t>
            </w:r>
            <w:r>
              <w:rPr>
                <w:rFonts w:hint="eastAsia" w:ascii="Times New Roman" w:hAnsi="Times New Roman" w:eastAsia="宋体" w:cs="Times New Roman"/>
                <w:bCs/>
                <w:color w:val="auto"/>
                <w:sz w:val="24"/>
                <w:highlight w:val="none"/>
                <w:lang w:eastAsia="zh-CN"/>
              </w:rPr>
              <w:t>泄漏</w:t>
            </w:r>
            <w:r>
              <w:rPr>
                <w:rFonts w:hint="default" w:ascii="Times New Roman" w:hAnsi="Times New Roman" w:eastAsia="宋体" w:cs="Times New Roman"/>
                <w:bCs/>
                <w:color w:val="auto"/>
                <w:sz w:val="24"/>
                <w:highlight w:val="none"/>
              </w:rPr>
              <w:t>导致</w:t>
            </w:r>
            <w:r>
              <w:rPr>
                <w:rFonts w:hint="default" w:ascii="Times New Roman" w:hAnsi="Times New Roman" w:eastAsia="宋体" w:cs="Times New Roman"/>
                <w:bCs/>
                <w:color w:val="auto"/>
                <w:kern w:val="28"/>
                <w:sz w:val="24"/>
                <w:highlight w:val="none"/>
              </w:rPr>
              <w:t>地下水及</w:t>
            </w:r>
            <w:r>
              <w:rPr>
                <w:rFonts w:hint="default" w:ascii="Times New Roman" w:hAnsi="Times New Roman" w:eastAsia="宋体" w:cs="Times New Roman"/>
                <w:bCs/>
                <w:color w:val="auto"/>
                <w:sz w:val="24"/>
                <w:highlight w:val="none"/>
              </w:rPr>
              <w:t>土壤污染。</w:t>
            </w:r>
            <w:r>
              <w:rPr>
                <w:rFonts w:hint="default" w:ascii="Times New Roman" w:hAnsi="Times New Roman" w:eastAsia="宋体" w:cs="Times New Roman"/>
                <w:bCs/>
                <w:color w:val="auto"/>
                <w:kern w:val="28"/>
                <w:sz w:val="24"/>
                <w:highlight w:val="none"/>
              </w:rPr>
              <w:t>项目污染物</w:t>
            </w:r>
            <w:r>
              <w:rPr>
                <w:rFonts w:hint="default" w:ascii="Times New Roman" w:hAnsi="Times New Roman" w:eastAsia="宋体" w:cs="Times New Roman"/>
                <w:bCs/>
                <w:color w:val="auto"/>
                <w:sz w:val="24"/>
                <w:highlight w:val="none"/>
              </w:rPr>
              <w:t>对</w:t>
            </w:r>
            <w:r>
              <w:rPr>
                <w:rFonts w:hint="default" w:ascii="Times New Roman" w:hAnsi="Times New Roman" w:eastAsia="宋体" w:cs="Times New Roman"/>
                <w:bCs/>
                <w:color w:val="auto"/>
                <w:kern w:val="28"/>
                <w:sz w:val="24"/>
                <w:highlight w:val="none"/>
              </w:rPr>
              <w:t>地下水及</w:t>
            </w:r>
            <w:r>
              <w:rPr>
                <w:rFonts w:hint="default" w:ascii="Times New Roman" w:hAnsi="Times New Roman" w:eastAsia="宋体" w:cs="Times New Roman"/>
                <w:bCs/>
                <w:color w:val="auto"/>
                <w:sz w:val="24"/>
                <w:highlight w:val="none"/>
              </w:rPr>
              <w:t>土壤</w:t>
            </w:r>
            <w:r>
              <w:rPr>
                <w:rFonts w:hint="default" w:ascii="Times New Roman" w:hAnsi="Times New Roman" w:eastAsia="宋体" w:cs="Times New Roman"/>
                <w:bCs/>
                <w:color w:val="auto"/>
                <w:kern w:val="28"/>
                <w:sz w:val="24"/>
                <w:highlight w:val="none"/>
              </w:rPr>
              <w:t>影响较小。</w:t>
            </w:r>
          </w:p>
          <w:p w14:paraId="4A809D04">
            <w:pPr>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lang w:val="en-US" w:eastAsia="zh-CN"/>
              </w:rPr>
              <w:t>六</w:t>
            </w:r>
            <w:r>
              <w:rPr>
                <w:rFonts w:hint="default" w:ascii="Times New Roman" w:hAnsi="Times New Roman" w:cs="Times New Roman"/>
                <w:b/>
                <w:bCs/>
                <w:color w:val="auto"/>
                <w:highlight w:val="none"/>
              </w:rPr>
              <w:t>、环境风险评价</w:t>
            </w:r>
          </w:p>
          <w:p w14:paraId="06B26AA3">
            <w:pPr>
              <w:spacing w:after="0"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建设项目环境风险评价技术导则》（HJ169-2018）可知：环境风险评价应以突发性事故的危险物质环境急性损害防控为目标，对建设项目的环境风险进行分析、预测和评估，提出环境风险预防、控制、减缓措施，明确环境风险监控及应急建议要求，为建设项目环境风险防控提供科学依据。</w:t>
            </w:r>
          </w:p>
          <w:p w14:paraId="5F5F0DA4">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b/>
                <w:bCs/>
                <w:color w:val="auto"/>
                <w:kern w:val="0"/>
                <w:sz w:val="24"/>
                <w:szCs w:val="24"/>
                <w:highlight w:val="none"/>
                <w:lang w:val="en-US" w:eastAsia="zh-CN" w:bidi="ar"/>
              </w:rPr>
              <w:t>1、环境风险源分布</w:t>
            </w:r>
          </w:p>
          <w:p w14:paraId="21B6EA0A">
            <w:pPr>
              <w:spacing w:after="0" w:line="360" w:lineRule="auto"/>
              <w:ind w:firstLine="482"/>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项目的风险物质为</w:t>
            </w:r>
            <w:r>
              <w:rPr>
                <w:rFonts w:hint="eastAsia" w:ascii="Times New Roman" w:hAnsi="Times New Roman" w:cs="Times New Roman"/>
                <w:color w:val="auto"/>
                <w:sz w:val="24"/>
                <w:szCs w:val="24"/>
                <w:highlight w:val="none"/>
                <w:lang w:val="en-US" w:eastAsia="zh-CN"/>
              </w:rPr>
              <w:t>机油</w:t>
            </w:r>
            <w:r>
              <w:rPr>
                <w:rFonts w:hint="eastAsia" w:cs="Times New Roman"/>
                <w:color w:val="auto"/>
                <w:sz w:val="24"/>
                <w:szCs w:val="24"/>
                <w:highlight w:val="none"/>
                <w:lang w:val="en-US" w:eastAsia="zh-CN"/>
              </w:rPr>
              <w:t>、油墨和危废</w:t>
            </w:r>
            <w:r>
              <w:rPr>
                <w:rFonts w:hint="default" w:ascii="Times New Roman" w:hAnsi="Times New Roman" w:cs="Times New Roman"/>
                <w:color w:val="auto"/>
                <w:spacing w:val="-2"/>
                <w:highlight w:val="none"/>
              </w:rPr>
              <w:t>，</w:t>
            </w:r>
            <w:r>
              <w:rPr>
                <w:rFonts w:hint="eastAsia" w:ascii="Times New Roman" w:hAnsi="Times New Roman" w:cs="Times New Roman"/>
                <w:color w:val="auto"/>
                <w:spacing w:val="-2"/>
                <w:highlight w:val="none"/>
                <w:lang w:val="en-US" w:eastAsia="zh-CN"/>
              </w:rPr>
              <w:t>机油</w:t>
            </w:r>
            <w:r>
              <w:rPr>
                <w:rFonts w:hint="eastAsia" w:cs="Times New Roman"/>
                <w:color w:val="auto"/>
                <w:spacing w:val="-2"/>
                <w:highlight w:val="none"/>
                <w:lang w:val="en-US" w:eastAsia="zh-CN"/>
              </w:rPr>
              <w:t>和油墨</w:t>
            </w:r>
            <w:r>
              <w:rPr>
                <w:rFonts w:hint="default" w:ascii="Times New Roman" w:hAnsi="Times New Roman" w:cs="Times New Roman"/>
                <w:color w:val="auto"/>
                <w:spacing w:val="-2"/>
                <w:highlight w:val="none"/>
              </w:rPr>
              <w:t>存储于</w:t>
            </w:r>
            <w:r>
              <w:rPr>
                <w:rFonts w:hint="eastAsia" w:cs="Times New Roman"/>
                <w:color w:val="auto"/>
                <w:spacing w:val="-2"/>
                <w:highlight w:val="none"/>
                <w:lang w:val="en-US" w:eastAsia="zh-CN"/>
              </w:rPr>
              <w:t>辅料库</w:t>
            </w:r>
            <w:r>
              <w:rPr>
                <w:rFonts w:hint="eastAsia" w:ascii="Times New Roman" w:hAnsi="Times New Roman" w:cs="Times New Roman"/>
                <w:color w:val="auto"/>
                <w:spacing w:val="-2"/>
                <w:highlight w:val="none"/>
                <w:lang w:val="en-US" w:eastAsia="zh-CN"/>
              </w:rPr>
              <w:t>、</w:t>
            </w:r>
            <w:r>
              <w:rPr>
                <w:rFonts w:hint="eastAsia" w:cs="Times New Roman"/>
                <w:color w:val="auto"/>
                <w:spacing w:val="-2"/>
                <w:highlight w:val="none"/>
                <w:lang w:val="en-US" w:eastAsia="zh-CN"/>
              </w:rPr>
              <w:t>危废</w:t>
            </w:r>
            <w:r>
              <w:rPr>
                <w:rFonts w:hint="default" w:ascii="Times New Roman" w:hAnsi="Times New Roman" w:cs="Times New Roman"/>
                <w:color w:val="auto"/>
                <w:spacing w:val="-2"/>
                <w:highlight w:val="none"/>
              </w:rPr>
              <w:t>存储于危废</w:t>
            </w:r>
            <w:r>
              <w:rPr>
                <w:rFonts w:hint="eastAsia" w:cs="Times New Roman"/>
                <w:color w:val="auto"/>
                <w:spacing w:val="-2"/>
                <w:highlight w:val="none"/>
                <w:lang w:val="en-US" w:eastAsia="zh-CN"/>
              </w:rPr>
              <w:t>库</w:t>
            </w:r>
            <w:r>
              <w:rPr>
                <w:rFonts w:hint="default" w:ascii="Times New Roman" w:hAnsi="Times New Roman" w:cs="Times New Roman"/>
                <w:color w:val="auto"/>
                <w:sz w:val="24"/>
                <w:szCs w:val="24"/>
                <w:highlight w:val="none"/>
              </w:rPr>
              <w:t>。根据《建设项目环境风险评价技术导则》（HJ169-2018），建设项目环境风险潜势划分当Q＜1时，该项目环境风险潜势为I。当Q≥1时，建设项目环境风险潜势由危险物质及工艺系统危险性</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P</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以及环境敏感程度（E）的分级进行判断。其中危险物质及工艺系统危害性（P）应根据危险物质数量与临界量的比值（Q）和行业及生产工艺（M）共同确定。</w:t>
            </w:r>
          </w:p>
          <w:p w14:paraId="79805B21">
            <w:pPr>
              <w:spacing w:after="0"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根据《建设项目环境风险评价技术导则》（HJ169-2018）附录C，危险物质数量及临界量比值（Q）按下式进行计算：</w:t>
            </w:r>
          </w:p>
          <w:p w14:paraId="1565702A">
            <w:pPr>
              <w:keepNext w:val="0"/>
              <w:keepLines w:val="0"/>
              <w:pageBreakBefore w:val="0"/>
              <w:widowControl w:val="0"/>
              <w:kinsoku/>
              <w:wordWrap/>
              <w:overflowPunct/>
              <w:topLinePunct w:val="0"/>
              <w:autoSpaceDE/>
              <w:autoSpaceDN/>
              <w:bidi w:val="0"/>
              <w:adjustRightInd/>
              <w:snapToGrid/>
              <w:spacing w:after="0" w:line="360" w:lineRule="auto"/>
              <w:ind w:firstLine="0" w:firstLineChars="0"/>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Q=q</w:t>
            </w:r>
            <w:r>
              <w:rPr>
                <w:rFonts w:hint="default" w:ascii="Times New Roman" w:hAnsi="Times New Roman" w:cs="Times New Roman"/>
                <w:color w:val="auto"/>
                <w:sz w:val="24"/>
                <w:szCs w:val="24"/>
                <w:highlight w:val="none"/>
                <w:vertAlign w:val="subscript"/>
              </w:rPr>
              <w:t>1</w:t>
            </w:r>
            <w:r>
              <w:rPr>
                <w:rFonts w:hint="default" w:ascii="Times New Roman" w:hAnsi="Times New Roman" w:cs="Times New Roman"/>
                <w:color w:val="auto"/>
                <w:sz w:val="24"/>
                <w:szCs w:val="24"/>
                <w:highlight w:val="none"/>
              </w:rPr>
              <w:t>/Q</w:t>
            </w:r>
            <w:r>
              <w:rPr>
                <w:rFonts w:hint="default" w:ascii="Times New Roman" w:hAnsi="Times New Roman" w:cs="Times New Roman"/>
                <w:color w:val="auto"/>
                <w:sz w:val="24"/>
                <w:szCs w:val="24"/>
                <w:highlight w:val="none"/>
                <w:vertAlign w:val="subscript"/>
              </w:rPr>
              <w:t>1</w:t>
            </w:r>
            <w:r>
              <w:rPr>
                <w:rFonts w:hint="default" w:ascii="Times New Roman" w:hAnsi="Times New Roman" w:cs="Times New Roman"/>
                <w:color w:val="auto"/>
                <w:sz w:val="24"/>
                <w:szCs w:val="24"/>
                <w:highlight w:val="none"/>
              </w:rPr>
              <w:t>+q</w:t>
            </w:r>
            <w:r>
              <w:rPr>
                <w:rFonts w:hint="default" w:ascii="Times New Roman" w:hAnsi="Times New Roman" w:cs="Times New Roman"/>
                <w:color w:val="auto"/>
                <w:sz w:val="24"/>
                <w:szCs w:val="24"/>
                <w:highlight w:val="none"/>
                <w:vertAlign w:val="subscript"/>
              </w:rPr>
              <w:t>2</w:t>
            </w:r>
            <w:r>
              <w:rPr>
                <w:rFonts w:hint="default" w:ascii="Times New Roman" w:hAnsi="Times New Roman" w:cs="Times New Roman"/>
                <w:color w:val="auto"/>
                <w:sz w:val="24"/>
                <w:szCs w:val="24"/>
                <w:highlight w:val="none"/>
              </w:rPr>
              <w:t>/Q</w:t>
            </w:r>
            <w:r>
              <w:rPr>
                <w:rFonts w:hint="default" w:ascii="Times New Roman" w:hAnsi="Times New Roman" w:cs="Times New Roman"/>
                <w:color w:val="auto"/>
                <w:sz w:val="24"/>
                <w:szCs w:val="24"/>
                <w:highlight w:val="none"/>
                <w:vertAlign w:val="subscript"/>
              </w:rPr>
              <w:t>2</w:t>
            </w:r>
            <w:r>
              <w:rPr>
                <w:rFonts w:hint="default" w:ascii="Times New Roman" w:hAnsi="Times New Roman" w:cs="Times New Roman"/>
                <w:color w:val="auto"/>
                <w:sz w:val="24"/>
                <w:szCs w:val="24"/>
                <w:highlight w:val="none"/>
              </w:rPr>
              <w:t>+…+qn/Qn</w:t>
            </w:r>
          </w:p>
          <w:p w14:paraId="5EC18BEE">
            <w:pPr>
              <w:spacing w:after="0" w:line="360" w:lineRule="auto"/>
              <w:ind w:left="0" w:leftChars="0" w:firstLine="0" w:firstLineChars="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式中：q</w:t>
            </w:r>
            <w:r>
              <w:rPr>
                <w:rFonts w:hint="default" w:ascii="Times New Roman" w:hAnsi="Times New Roman" w:cs="Times New Roman"/>
                <w:color w:val="auto"/>
                <w:sz w:val="24"/>
                <w:szCs w:val="24"/>
                <w:highlight w:val="none"/>
                <w:vertAlign w:val="subscript"/>
              </w:rPr>
              <w:t>1</w:t>
            </w:r>
            <w:r>
              <w:rPr>
                <w:rFonts w:hint="default" w:ascii="Times New Roman" w:hAnsi="Times New Roman" w:cs="Times New Roman"/>
                <w:color w:val="auto"/>
                <w:sz w:val="24"/>
                <w:szCs w:val="24"/>
                <w:highlight w:val="none"/>
              </w:rPr>
              <w:t>，q</w:t>
            </w:r>
            <w:r>
              <w:rPr>
                <w:rFonts w:hint="default" w:ascii="Times New Roman" w:hAnsi="Times New Roman" w:cs="Times New Roman"/>
                <w:color w:val="auto"/>
                <w:sz w:val="24"/>
                <w:szCs w:val="24"/>
                <w:highlight w:val="none"/>
                <w:vertAlign w:val="subscript"/>
              </w:rPr>
              <w:t>2</w:t>
            </w:r>
            <w:r>
              <w:rPr>
                <w:rFonts w:hint="default" w:ascii="Times New Roman" w:hAnsi="Times New Roman" w:cs="Times New Roman"/>
                <w:color w:val="auto"/>
                <w:sz w:val="24"/>
                <w:szCs w:val="24"/>
                <w:highlight w:val="none"/>
              </w:rPr>
              <w:t>……qn——每种危险物质的最大存在量，t；</w:t>
            </w:r>
          </w:p>
          <w:p w14:paraId="66C887C9">
            <w:pPr>
              <w:spacing w:after="0" w:line="360" w:lineRule="auto"/>
              <w:ind w:firstLine="720" w:firstLineChars="3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Q</w:t>
            </w:r>
            <w:r>
              <w:rPr>
                <w:rFonts w:hint="default" w:ascii="Times New Roman" w:hAnsi="Times New Roman" w:cs="Times New Roman"/>
                <w:color w:val="auto"/>
                <w:sz w:val="24"/>
                <w:szCs w:val="24"/>
                <w:highlight w:val="none"/>
                <w:vertAlign w:val="subscript"/>
              </w:rPr>
              <w:t>1</w:t>
            </w:r>
            <w:r>
              <w:rPr>
                <w:rFonts w:hint="default" w:ascii="Times New Roman" w:hAnsi="Times New Roman" w:cs="Times New Roman"/>
                <w:color w:val="auto"/>
                <w:sz w:val="24"/>
                <w:szCs w:val="24"/>
                <w:highlight w:val="none"/>
              </w:rPr>
              <w:t>，Q</w:t>
            </w:r>
            <w:r>
              <w:rPr>
                <w:rFonts w:hint="default" w:ascii="Times New Roman" w:hAnsi="Times New Roman" w:cs="Times New Roman"/>
                <w:color w:val="auto"/>
                <w:sz w:val="24"/>
                <w:szCs w:val="24"/>
                <w:highlight w:val="none"/>
                <w:vertAlign w:val="subscript"/>
              </w:rPr>
              <w:t>2</w:t>
            </w:r>
            <w:r>
              <w:rPr>
                <w:rFonts w:hint="default" w:ascii="Times New Roman" w:hAnsi="Times New Roman" w:cs="Times New Roman"/>
                <w:color w:val="auto"/>
                <w:sz w:val="24"/>
                <w:szCs w:val="24"/>
                <w:highlight w:val="none"/>
              </w:rPr>
              <w:t>…Qn—每种危险物质的临界量，t。当Q＜1时，该项目环境风险潜势为I。当Q≥1时，将Q值划分为：（1）1≤Q＜10；（2）10≤Q＜100；（3）Q≥100。</w:t>
            </w:r>
          </w:p>
          <w:p w14:paraId="03E370B2">
            <w:pPr>
              <w:spacing w:after="0"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对照附录B，</w:t>
            </w:r>
            <w:r>
              <w:rPr>
                <w:rFonts w:hint="eastAsia" w:ascii="Times New Roman" w:hAnsi="Times New Roman" w:cs="Times New Roman"/>
                <w:color w:val="auto"/>
                <w:sz w:val="24"/>
                <w:szCs w:val="24"/>
                <w:highlight w:val="none"/>
                <w:lang w:eastAsia="zh-CN"/>
              </w:rPr>
              <w:t>本项目</w:t>
            </w:r>
            <w:r>
              <w:rPr>
                <w:rFonts w:hint="default" w:ascii="Times New Roman" w:hAnsi="Times New Roman" w:cs="Times New Roman"/>
                <w:color w:val="auto"/>
                <w:sz w:val="24"/>
                <w:szCs w:val="24"/>
                <w:highlight w:val="none"/>
              </w:rPr>
              <w:t>涉及的主要危险物质包括</w:t>
            </w:r>
            <w:r>
              <w:rPr>
                <w:rFonts w:hint="default" w:ascii="Times New Roman" w:hAnsi="Times New Roman" w:cs="Times New Roman"/>
                <w:color w:val="auto"/>
                <w:sz w:val="24"/>
                <w:szCs w:val="24"/>
                <w:highlight w:val="none"/>
                <w:lang w:val="en-US" w:eastAsia="zh-CN"/>
              </w:rPr>
              <w:t>机油</w:t>
            </w:r>
            <w:r>
              <w:rPr>
                <w:rFonts w:hint="eastAsia" w:cs="Times New Roman"/>
                <w:color w:val="auto"/>
                <w:sz w:val="24"/>
                <w:szCs w:val="24"/>
                <w:highlight w:val="none"/>
                <w:lang w:val="en-US" w:eastAsia="zh-CN"/>
              </w:rPr>
              <w:t>、油墨和危废</w:t>
            </w:r>
            <w:r>
              <w:rPr>
                <w:rFonts w:hint="default" w:ascii="Times New Roman" w:hAnsi="Times New Roman" w:cs="Times New Roman"/>
                <w:color w:val="auto"/>
                <w:sz w:val="24"/>
                <w:szCs w:val="24"/>
                <w:highlight w:val="none"/>
              </w:rPr>
              <w:t>，结合风险识别结果，拟建项目危险物质数量与临界量比值Q值为Q＜1。具体判定结果见下表。</w:t>
            </w:r>
          </w:p>
          <w:p w14:paraId="3A1D5116">
            <w:pPr>
              <w:pStyle w:val="5"/>
              <w:tabs>
                <w:tab w:val="left" w:pos="1284"/>
              </w:tabs>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表4-</w:t>
            </w:r>
            <w:r>
              <w:rPr>
                <w:rFonts w:hint="eastAsia" w:cs="Times New Roman"/>
                <w:color w:val="auto"/>
                <w:highlight w:val="none"/>
                <w:lang w:val="en-US" w:eastAsia="zh-CN"/>
              </w:rPr>
              <w:t>19</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建设项目Q值确定表</w:t>
            </w:r>
          </w:p>
          <w:tbl>
            <w:tblPr>
              <w:tblStyle w:val="27"/>
              <w:tblW w:w="8476" w:type="dxa"/>
              <w:jc w:val="center"/>
              <w:tblLayout w:type="fixed"/>
              <w:tblCellMar>
                <w:top w:w="0" w:type="dxa"/>
                <w:left w:w="0" w:type="dxa"/>
                <w:bottom w:w="0" w:type="dxa"/>
                <w:right w:w="0" w:type="dxa"/>
              </w:tblCellMar>
            </w:tblPr>
            <w:tblGrid>
              <w:gridCol w:w="1066"/>
              <w:gridCol w:w="1737"/>
              <w:gridCol w:w="2277"/>
              <w:gridCol w:w="1699"/>
              <w:gridCol w:w="1697"/>
            </w:tblGrid>
            <w:tr w14:paraId="7ECCAEB9">
              <w:tblPrEx>
                <w:tblCellMar>
                  <w:top w:w="0" w:type="dxa"/>
                  <w:left w:w="0" w:type="dxa"/>
                  <w:bottom w:w="0" w:type="dxa"/>
                  <w:right w:w="0" w:type="dxa"/>
                </w:tblCellMar>
              </w:tblPrEx>
              <w:trPr>
                <w:trHeight w:val="90" w:hRule="atLeast"/>
                <w:jc w:val="center"/>
              </w:trPr>
              <w:tc>
                <w:tcPr>
                  <w:tcW w:w="10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BDEF07">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序号</w:t>
                  </w:r>
                </w:p>
              </w:tc>
              <w:tc>
                <w:tcPr>
                  <w:tcW w:w="17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687647">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化学品名称</w:t>
                  </w:r>
                </w:p>
              </w:tc>
              <w:tc>
                <w:tcPr>
                  <w:tcW w:w="22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AE2348">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最大存在总量qn/t</w:t>
                  </w:r>
                </w:p>
              </w:tc>
              <w:tc>
                <w:tcPr>
                  <w:tcW w:w="1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9FA47F">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临界量Qn/t</w:t>
                  </w:r>
                </w:p>
              </w:tc>
              <w:tc>
                <w:tcPr>
                  <w:tcW w:w="16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0A5EA9">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Q值</w:t>
                  </w:r>
                </w:p>
              </w:tc>
            </w:tr>
            <w:tr w14:paraId="51C78BB1">
              <w:tblPrEx>
                <w:tblCellMar>
                  <w:top w:w="0" w:type="dxa"/>
                  <w:left w:w="0" w:type="dxa"/>
                  <w:bottom w:w="0" w:type="dxa"/>
                  <w:right w:w="0" w:type="dxa"/>
                </w:tblCellMar>
              </w:tblPrEx>
              <w:trPr>
                <w:trHeight w:val="90" w:hRule="atLeast"/>
                <w:jc w:val="center"/>
              </w:trPr>
              <w:tc>
                <w:tcPr>
                  <w:tcW w:w="10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2BE584">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cs="Times New Roman"/>
                      <w:color w:val="auto"/>
                      <w:highlight w:val="none"/>
                    </w:rPr>
                    <w:t>1</w:t>
                  </w:r>
                </w:p>
              </w:tc>
              <w:tc>
                <w:tcPr>
                  <w:tcW w:w="17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83F6ABB">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eastAsia="宋体" w:cs="Times New Roman"/>
                      <w:color w:val="auto"/>
                      <w:kern w:val="0"/>
                      <w:sz w:val="21"/>
                      <w:szCs w:val="20"/>
                      <w:highlight w:val="none"/>
                      <w:lang w:val="en-US" w:eastAsia="zh-CN" w:bidi="ar-SA"/>
                    </w:rPr>
                    <w:t>机油</w:t>
                  </w:r>
                </w:p>
              </w:tc>
              <w:tc>
                <w:tcPr>
                  <w:tcW w:w="22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53901633">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eastAsia="宋体" w:cs="Times New Roman"/>
                      <w:color w:val="auto"/>
                      <w:kern w:val="0"/>
                      <w:sz w:val="21"/>
                      <w:szCs w:val="20"/>
                      <w:highlight w:val="none"/>
                      <w:lang w:val="en-US" w:eastAsia="zh-CN" w:bidi="ar-SA"/>
                    </w:rPr>
                    <w:t>0.</w:t>
                  </w:r>
                  <w:r>
                    <w:rPr>
                      <w:rFonts w:hint="eastAsia" w:cs="Times New Roman"/>
                      <w:color w:val="auto"/>
                      <w:kern w:val="0"/>
                      <w:sz w:val="21"/>
                      <w:szCs w:val="20"/>
                      <w:highlight w:val="none"/>
                      <w:lang w:val="en-US" w:eastAsia="zh-CN" w:bidi="ar-SA"/>
                    </w:rPr>
                    <w:t>02</w:t>
                  </w:r>
                </w:p>
              </w:tc>
              <w:tc>
                <w:tcPr>
                  <w:tcW w:w="1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68691F4B">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cs="Times New Roman"/>
                      <w:color w:val="auto"/>
                      <w:kern w:val="0"/>
                      <w:sz w:val="21"/>
                      <w:szCs w:val="20"/>
                      <w:highlight w:val="none"/>
                      <w:lang w:val="en-US" w:eastAsia="zh-CN" w:bidi="ar-SA"/>
                    </w:rPr>
                    <w:t>2500</w:t>
                  </w:r>
                </w:p>
              </w:tc>
              <w:tc>
                <w:tcPr>
                  <w:tcW w:w="16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CB09A04">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default" w:ascii="Times New Roman" w:hAnsi="Times New Roman" w:eastAsia="宋体" w:cs="Times New Roman"/>
                      <w:color w:val="auto"/>
                      <w:kern w:val="0"/>
                      <w:sz w:val="21"/>
                      <w:szCs w:val="20"/>
                      <w:highlight w:val="none"/>
                      <w:lang w:val="en-US" w:eastAsia="zh-CN" w:bidi="ar-SA"/>
                    </w:rPr>
                    <w:t>0.0000</w:t>
                  </w:r>
                  <w:r>
                    <w:rPr>
                      <w:rFonts w:hint="eastAsia" w:cs="Times New Roman"/>
                      <w:color w:val="auto"/>
                      <w:kern w:val="0"/>
                      <w:sz w:val="21"/>
                      <w:szCs w:val="20"/>
                      <w:highlight w:val="none"/>
                      <w:lang w:val="en-US" w:eastAsia="zh-CN" w:bidi="ar-SA"/>
                    </w:rPr>
                    <w:t>08</w:t>
                  </w:r>
                </w:p>
              </w:tc>
            </w:tr>
            <w:tr w14:paraId="57108C2D">
              <w:tblPrEx>
                <w:tblCellMar>
                  <w:top w:w="0" w:type="dxa"/>
                  <w:left w:w="0" w:type="dxa"/>
                  <w:bottom w:w="0" w:type="dxa"/>
                  <w:right w:w="0" w:type="dxa"/>
                </w:tblCellMar>
              </w:tblPrEx>
              <w:trPr>
                <w:trHeight w:val="90" w:hRule="atLeast"/>
                <w:jc w:val="center"/>
              </w:trPr>
              <w:tc>
                <w:tcPr>
                  <w:tcW w:w="10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85CDBF">
                  <w:pPr>
                    <w:pStyle w:val="10"/>
                    <w:bidi w:val="0"/>
                    <w:ind w:right="0" w:rightChars="0" w:firstLine="0" w:firstLineChars="0"/>
                    <w:rPr>
                      <w:rFonts w:hint="default" w:ascii="Times New Roman" w:hAnsi="Times New Roman" w:eastAsia="宋体" w:cs="Times New Roman"/>
                      <w:color w:val="auto"/>
                      <w:kern w:val="0"/>
                      <w:sz w:val="21"/>
                      <w:szCs w:val="20"/>
                      <w:highlight w:val="none"/>
                      <w:lang w:val="en-US" w:eastAsia="zh-CN" w:bidi="ar-SA"/>
                    </w:rPr>
                  </w:pPr>
                  <w:r>
                    <w:rPr>
                      <w:rFonts w:hint="eastAsia" w:cs="Times New Roman"/>
                      <w:color w:val="auto"/>
                      <w:kern w:val="0"/>
                      <w:sz w:val="21"/>
                      <w:szCs w:val="20"/>
                      <w:highlight w:val="none"/>
                      <w:lang w:val="en-US" w:eastAsia="zh-CN" w:bidi="ar-SA"/>
                    </w:rPr>
                    <w:t>2</w:t>
                  </w:r>
                </w:p>
              </w:tc>
              <w:tc>
                <w:tcPr>
                  <w:tcW w:w="17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2D6A117E">
                  <w:pPr>
                    <w:pStyle w:val="10"/>
                    <w:bidi w:val="0"/>
                    <w:ind w:right="0" w:rightChars="0" w:firstLine="0" w:firstLineChars="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油墨</w:t>
                  </w:r>
                </w:p>
              </w:tc>
              <w:tc>
                <w:tcPr>
                  <w:tcW w:w="22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7FE97F71">
                  <w:pPr>
                    <w:pStyle w:val="10"/>
                    <w:bidi w:val="0"/>
                    <w:ind w:right="0" w:rightChars="0" w:firstLine="0" w:firstLineChars="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0.0204</w:t>
                  </w:r>
                </w:p>
              </w:tc>
              <w:tc>
                <w:tcPr>
                  <w:tcW w:w="1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37A32ADD">
                  <w:pPr>
                    <w:pStyle w:val="10"/>
                    <w:bidi w:val="0"/>
                    <w:ind w:right="0" w:rightChars="0" w:firstLine="0" w:firstLineChars="0"/>
                    <w:rPr>
                      <w:rFonts w:hint="default" w:cs="Times New Roman"/>
                      <w:color w:val="auto"/>
                      <w:highlight w:val="none"/>
                      <w:lang w:val="en-US" w:eastAsia="zh-CN"/>
                    </w:rPr>
                  </w:pPr>
                  <w:r>
                    <w:rPr>
                      <w:rFonts w:hint="eastAsia" w:cs="Times New Roman"/>
                      <w:color w:val="auto"/>
                      <w:highlight w:val="none"/>
                      <w:lang w:val="en-US" w:eastAsia="zh-CN"/>
                    </w:rPr>
                    <w:t>50</w:t>
                  </w:r>
                </w:p>
              </w:tc>
              <w:tc>
                <w:tcPr>
                  <w:tcW w:w="16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6EAD335D">
                  <w:pPr>
                    <w:pStyle w:val="10"/>
                    <w:bidi w:val="0"/>
                    <w:ind w:right="0" w:rightChars="0" w:firstLine="0" w:firstLineChars="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0.000408</w:t>
                  </w:r>
                </w:p>
              </w:tc>
            </w:tr>
            <w:tr w14:paraId="760D11E4">
              <w:tblPrEx>
                <w:tblCellMar>
                  <w:top w:w="0" w:type="dxa"/>
                  <w:left w:w="0" w:type="dxa"/>
                  <w:bottom w:w="0" w:type="dxa"/>
                  <w:right w:w="0" w:type="dxa"/>
                </w:tblCellMar>
              </w:tblPrEx>
              <w:trPr>
                <w:trHeight w:val="90" w:hRule="atLeast"/>
                <w:jc w:val="center"/>
              </w:trPr>
              <w:tc>
                <w:tcPr>
                  <w:tcW w:w="10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C9FF08">
                  <w:pPr>
                    <w:pStyle w:val="10"/>
                    <w:bidi w:val="0"/>
                    <w:ind w:right="0" w:rightChars="0" w:firstLine="0" w:firstLineChars="0"/>
                    <w:rPr>
                      <w:rFonts w:hint="default" w:cs="Times New Roman"/>
                      <w:color w:val="auto"/>
                      <w:kern w:val="0"/>
                      <w:sz w:val="21"/>
                      <w:szCs w:val="20"/>
                      <w:highlight w:val="none"/>
                      <w:lang w:val="en-US" w:eastAsia="zh-CN" w:bidi="ar-SA"/>
                    </w:rPr>
                  </w:pPr>
                  <w:r>
                    <w:rPr>
                      <w:rFonts w:hint="eastAsia" w:cs="Times New Roman"/>
                      <w:color w:val="auto"/>
                      <w:kern w:val="0"/>
                      <w:sz w:val="21"/>
                      <w:szCs w:val="20"/>
                      <w:highlight w:val="none"/>
                      <w:lang w:val="en-US" w:eastAsia="zh-CN" w:bidi="ar-SA"/>
                    </w:rPr>
                    <w:t>3</w:t>
                  </w:r>
                </w:p>
              </w:tc>
              <w:tc>
                <w:tcPr>
                  <w:tcW w:w="17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3ED4CF81">
                  <w:pPr>
                    <w:pStyle w:val="10"/>
                    <w:bidi w:val="0"/>
                    <w:ind w:right="0" w:rightChars="0" w:firstLine="0" w:firstLineChars="0"/>
                    <w:rPr>
                      <w:rFonts w:hint="default" w:cs="Times New Roman"/>
                      <w:color w:val="auto"/>
                      <w:highlight w:val="none"/>
                      <w:lang w:val="en-US" w:eastAsia="zh-CN"/>
                    </w:rPr>
                  </w:pPr>
                  <w:r>
                    <w:rPr>
                      <w:rFonts w:hint="eastAsia" w:cs="Times New Roman"/>
                      <w:color w:val="auto"/>
                      <w:highlight w:val="none"/>
                      <w:lang w:val="en-US" w:eastAsia="zh-CN"/>
                    </w:rPr>
                    <w:t>危废</w:t>
                  </w:r>
                </w:p>
              </w:tc>
              <w:tc>
                <w:tcPr>
                  <w:tcW w:w="22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69ACB9D3">
                  <w:pPr>
                    <w:pStyle w:val="10"/>
                    <w:bidi w:val="0"/>
                    <w:ind w:right="0" w:rightChars="0" w:firstLine="0" w:firstLineChars="0"/>
                    <w:rPr>
                      <w:rFonts w:hint="default" w:cs="Times New Roman"/>
                      <w:color w:val="auto"/>
                      <w:highlight w:val="none"/>
                      <w:lang w:val="en-US" w:eastAsia="zh-CN"/>
                    </w:rPr>
                  </w:pPr>
                  <w:r>
                    <w:rPr>
                      <w:rFonts w:hint="eastAsia" w:cs="Times New Roman"/>
                      <w:color w:val="auto"/>
                      <w:highlight w:val="none"/>
                      <w:lang w:val="en-US" w:eastAsia="zh-CN"/>
                    </w:rPr>
                    <w:t>10.17</w:t>
                  </w:r>
                </w:p>
              </w:tc>
              <w:tc>
                <w:tcPr>
                  <w:tcW w:w="1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31FE3C8D">
                  <w:pPr>
                    <w:pStyle w:val="10"/>
                    <w:bidi w:val="0"/>
                    <w:ind w:right="0" w:rightChars="0" w:firstLine="0" w:firstLineChars="0"/>
                    <w:rPr>
                      <w:rFonts w:hint="default" w:cs="Times New Roman"/>
                      <w:color w:val="auto"/>
                      <w:highlight w:val="none"/>
                      <w:lang w:val="en-US" w:eastAsia="zh-CN"/>
                    </w:rPr>
                  </w:pPr>
                  <w:r>
                    <w:rPr>
                      <w:rFonts w:hint="eastAsia" w:cs="Times New Roman"/>
                      <w:color w:val="auto"/>
                      <w:highlight w:val="none"/>
                      <w:lang w:val="en-US" w:eastAsia="zh-CN"/>
                    </w:rPr>
                    <w:t>50</w:t>
                  </w:r>
                </w:p>
              </w:tc>
              <w:tc>
                <w:tcPr>
                  <w:tcW w:w="16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3BFA36C">
                  <w:pPr>
                    <w:pStyle w:val="10"/>
                    <w:bidi w:val="0"/>
                    <w:ind w:right="0" w:rightChars="0" w:firstLine="0" w:firstLineChars="0"/>
                    <w:rPr>
                      <w:rFonts w:hint="default" w:cs="Times New Roman"/>
                      <w:color w:val="auto"/>
                      <w:highlight w:val="none"/>
                      <w:lang w:val="en-US" w:eastAsia="zh-CN"/>
                    </w:rPr>
                  </w:pPr>
                  <w:r>
                    <w:rPr>
                      <w:rFonts w:hint="eastAsia" w:cs="Times New Roman"/>
                      <w:color w:val="auto"/>
                      <w:highlight w:val="none"/>
                      <w:lang w:val="en-US" w:eastAsia="zh-CN"/>
                    </w:rPr>
                    <w:t>0.2034</w:t>
                  </w:r>
                </w:p>
              </w:tc>
            </w:tr>
            <w:tr w14:paraId="78ADDADF">
              <w:tblPrEx>
                <w:tblCellMar>
                  <w:top w:w="0" w:type="dxa"/>
                  <w:left w:w="0" w:type="dxa"/>
                  <w:bottom w:w="0" w:type="dxa"/>
                  <w:right w:w="0" w:type="dxa"/>
                </w:tblCellMar>
              </w:tblPrEx>
              <w:trPr>
                <w:trHeight w:val="90" w:hRule="atLeast"/>
                <w:jc w:val="center"/>
              </w:trPr>
              <w:tc>
                <w:tcPr>
                  <w:tcW w:w="6779"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527FFE">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合计</w:t>
                  </w:r>
                </w:p>
              </w:tc>
              <w:tc>
                <w:tcPr>
                  <w:tcW w:w="169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6F67C2">
                  <w:pPr>
                    <w:pStyle w:val="10"/>
                    <w:bidi w:val="0"/>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0.</w:t>
                  </w:r>
                  <w:r>
                    <w:rPr>
                      <w:rFonts w:hint="eastAsia" w:cs="Times New Roman"/>
                      <w:color w:val="auto"/>
                      <w:highlight w:val="none"/>
                      <w:lang w:val="en-US" w:eastAsia="zh-CN"/>
                    </w:rPr>
                    <w:t>203816</w:t>
                  </w:r>
                </w:p>
              </w:tc>
            </w:tr>
          </w:tbl>
          <w:p w14:paraId="44ACFD77">
            <w:pPr>
              <w:spacing w:after="0" w:line="360" w:lineRule="auto"/>
              <w:ind w:firstLine="480" w:firstLineChars="200"/>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eastAsia="zh-CN"/>
              </w:rPr>
              <w:t>本项目</w:t>
            </w:r>
            <w:r>
              <w:rPr>
                <w:rFonts w:hint="default" w:ascii="Times New Roman" w:hAnsi="Times New Roman" w:cs="Times New Roman"/>
                <w:color w:val="auto"/>
                <w:sz w:val="24"/>
                <w:szCs w:val="24"/>
                <w:highlight w:val="none"/>
              </w:rPr>
              <w:t>Q值=</w:t>
            </w:r>
            <w:r>
              <w:rPr>
                <w:rFonts w:hint="default" w:ascii="Times New Roman" w:hAnsi="Times New Roman" w:cs="Times New Roman"/>
                <w:color w:val="auto"/>
                <w:highlight w:val="none"/>
                <w:lang w:val="en-US" w:eastAsia="zh-CN"/>
              </w:rPr>
              <w:t>0.</w:t>
            </w:r>
            <w:r>
              <w:rPr>
                <w:rFonts w:hint="eastAsia" w:cs="Times New Roman"/>
                <w:color w:val="auto"/>
                <w:highlight w:val="none"/>
                <w:lang w:val="en-US" w:eastAsia="zh-CN"/>
              </w:rPr>
              <w:t>203816</w:t>
            </w:r>
            <w:r>
              <w:rPr>
                <w:rFonts w:hint="default"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rPr>
              <w:t>1，无需进一步判断建设项目的危险物质及工艺系统危险性（P）以及环境敏感程度（E），项目环境风险潜势为I，确定</w:t>
            </w:r>
            <w:r>
              <w:rPr>
                <w:rFonts w:hint="eastAsia" w:ascii="Times New Roman" w:hAnsi="Times New Roman" w:cs="Times New Roman"/>
                <w:color w:val="auto"/>
                <w:sz w:val="24"/>
                <w:szCs w:val="24"/>
                <w:highlight w:val="none"/>
                <w:lang w:eastAsia="zh-CN"/>
              </w:rPr>
              <w:t>本项目</w:t>
            </w:r>
            <w:r>
              <w:rPr>
                <w:rFonts w:hint="default" w:ascii="Times New Roman" w:hAnsi="Times New Roman" w:cs="Times New Roman"/>
                <w:color w:val="auto"/>
                <w:sz w:val="24"/>
                <w:szCs w:val="24"/>
                <w:highlight w:val="none"/>
              </w:rPr>
              <w:t>风险评价等级为简单分析。</w:t>
            </w:r>
          </w:p>
          <w:p w14:paraId="1DDD865B">
            <w:pPr>
              <w:bidi w:val="0"/>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本项目</w:t>
            </w:r>
            <w:r>
              <w:rPr>
                <w:rFonts w:hint="default" w:ascii="Times New Roman" w:hAnsi="Times New Roman" w:cs="Times New Roman"/>
                <w:color w:val="auto"/>
                <w:highlight w:val="none"/>
                <w:lang w:val="en-US" w:eastAsia="zh-CN"/>
              </w:rPr>
              <w:t>涉及的</w:t>
            </w:r>
            <w:r>
              <w:rPr>
                <w:rFonts w:hint="eastAsia" w:ascii="Times New Roman" w:hAnsi="Times New Roman" w:cs="Times New Roman"/>
                <w:color w:val="auto"/>
                <w:highlight w:val="none"/>
                <w:lang w:val="en-US" w:eastAsia="zh-CN"/>
              </w:rPr>
              <w:t>风险物质</w:t>
            </w:r>
            <w:r>
              <w:rPr>
                <w:rFonts w:hint="default" w:ascii="Times New Roman" w:hAnsi="Times New Roman" w:cs="Times New Roman"/>
                <w:color w:val="auto"/>
                <w:highlight w:val="none"/>
                <w:lang w:val="en-US" w:eastAsia="zh-CN"/>
              </w:rPr>
              <w:t>主要物理化学性质如下表所示。</w:t>
            </w:r>
          </w:p>
          <w:p w14:paraId="57D975A2">
            <w:pPr>
              <w:pStyle w:val="5"/>
              <w:tabs>
                <w:tab w:val="left" w:pos="1284"/>
              </w:tabs>
              <w:bidi w:val="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表4-</w:t>
            </w:r>
            <w:r>
              <w:rPr>
                <w:rFonts w:hint="eastAsia" w:ascii="Times New Roman" w:hAnsi="Times New Roman" w:cs="Times New Roman"/>
                <w:color w:val="auto"/>
                <w:highlight w:val="none"/>
                <w:lang w:val="en-US" w:eastAsia="zh-CN"/>
              </w:rPr>
              <w:t>2</w:t>
            </w:r>
            <w:r>
              <w:rPr>
                <w:rFonts w:hint="eastAsia" w:cs="Times New Roman"/>
                <w:color w:val="auto"/>
                <w:highlight w:val="none"/>
                <w:lang w:val="en-US" w:eastAsia="zh-CN"/>
              </w:rPr>
              <w:t>0</w:t>
            </w:r>
            <w:r>
              <w:rPr>
                <w:rFonts w:hint="default" w:ascii="Times New Roman" w:hAnsi="Times New Roman" w:cs="Times New Roman"/>
                <w:color w:val="auto"/>
                <w:highlight w:val="none"/>
                <w:lang w:val="en-US" w:eastAsia="zh-CN"/>
              </w:rPr>
              <w:t xml:space="preserve"> 风险物质理化性质一览表</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83"/>
              <w:gridCol w:w="994"/>
              <w:gridCol w:w="1135"/>
              <w:gridCol w:w="1204"/>
              <w:gridCol w:w="1605"/>
              <w:gridCol w:w="1121"/>
              <w:gridCol w:w="1802"/>
              <w:gridCol w:w="20"/>
            </w:tblGrid>
            <w:tr w14:paraId="27928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0" w:hRule="atLeast"/>
                <w:jc w:val="center"/>
              </w:trPr>
              <w:tc>
                <w:tcPr>
                  <w:tcW w:w="344" w:type="pct"/>
                  <w:vMerge w:val="restart"/>
                  <w:tcBorders>
                    <w:tl2br w:val="nil"/>
                    <w:tr2bl w:val="nil"/>
                  </w:tcBorders>
                  <w:noWrap w:val="0"/>
                  <w:vAlign w:val="center"/>
                </w:tcPr>
                <w:p w14:paraId="4A422BF1">
                  <w:pPr>
                    <w:pStyle w:val="10"/>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序号</w:t>
                  </w:r>
                </w:p>
              </w:tc>
              <w:tc>
                <w:tcPr>
                  <w:tcW w:w="587" w:type="pct"/>
                  <w:vMerge w:val="restart"/>
                  <w:tcBorders>
                    <w:tl2br w:val="nil"/>
                    <w:tr2bl w:val="nil"/>
                  </w:tcBorders>
                  <w:noWrap w:val="0"/>
                  <w:tcMar>
                    <w:top w:w="0" w:type="dxa"/>
                    <w:left w:w="57" w:type="dxa"/>
                    <w:bottom w:w="0" w:type="dxa"/>
                    <w:right w:w="57" w:type="dxa"/>
                  </w:tcMar>
                  <w:vAlign w:val="center"/>
                </w:tcPr>
                <w:p w14:paraId="20E336CC">
                  <w:pPr>
                    <w:pStyle w:val="10"/>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物质名称</w:t>
                  </w:r>
                </w:p>
              </w:tc>
              <w:tc>
                <w:tcPr>
                  <w:tcW w:w="2992" w:type="pct"/>
                  <w:gridSpan w:val="4"/>
                  <w:tcBorders>
                    <w:tl2br w:val="nil"/>
                    <w:tr2bl w:val="nil"/>
                  </w:tcBorders>
                  <w:noWrap w:val="0"/>
                  <w:vAlign w:val="center"/>
                </w:tcPr>
                <w:p w14:paraId="643153D2">
                  <w:pPr>
                    <w:pStyle w:val="10"/>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危险性</w:t>
                  </w:r>
                </w:p>
              </w:tc>
              <w:tc>
                <w:tcPr>
                  <w:tcW w:w="1076" w:type="pct"/>
                  <w:gridSpan w:val="2"/>
                  <w:tcBorders>
                    <w:tl2br w:val="nil"/>
                    <w:tr2bl w:val="nil"/>
                  </w:tcBorders>
                  <w:noWrap w:val="0"/>
                  <w:tcMar>
                    <w:top w:w="0" w:type="dxa"/>
                    <w:left w:w="57" w:type="dxa"/>
                    <w:bottom w:w="0" w:type="dxa"/>
                    <w:right w:w="57" w:type="dxa"/>
                  </w:tcMar>
                  <w:vAlign w:val="center"/>
                </w:tcPr>
                <w:p w14:paraId="751282A7">
                  <w:pPr>
                    <w:pStyle w:val="10"/>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毒性</w:t>
                  </w:r>
                </w:p>
              </w:tc>
            </w:tr>
            <w:tr w14:paraId="39702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1" w:type="pct"/>
                <w:cantSplit/>
                <w:trHeight w:val="90" w:hRule="atLeast"/>
                <w:jc w:val="center"/>
              </w:trPr>
              <w:tc>
                <w:tcPr>
                  <w:tcW w:w="344" w:type="pct"/>
                  <w:vMerge w:val="continue"/>
                  <w:tcBorders>
                    <w:tl2br w:val="nil"/>
                    <w:tr2bl w:val="nil"/>
                  </w:tcBorders>
                  <w:noWrap w:val="0"/>
                  <w:vAlign w:val="center"/>
                </w:tcPr>
                <w:p w14:paraId="0042879B">
                  <w:pPr>
                    <w:pStyle w:val="10"/>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b/>
                      <w:bCs/>
                      <w:color w:val="auto"/>
                      <w:highlight w:val="none"/>
                    </w:rPr>
                  </w:pPr>
                </w:p>
              </w:tc>
              <w:tc>
                <w:tcPr>
                  <w:tcW w:w="587" w:type="pct"/>
                  <w:vMerge w:val="continue"/>
                  <w:tcBorders>
                    <w:tl2br w:val="nil"/>
                    <w:tr2bl w:val="nil"/>
                  </w:tcBorders>
                  <w:noWrap w:val="0"/>
                  <w:vAlign w:val="center"/>
                </w:tcPr>
                <w:p w14:paraId="34DF41C4">
                  <w:pPr>
                    <w:pStyle w:val="10"/>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b/>
                      <w:bCs/>
                      <w:color w:val="auto"/>
                      <w:highlight w:val="none"/>
                    </w:rPr>
                  </w:pPr>
                </w:p>
              </w:tc>
              <w:tc>
                <w:tcPr>
                  <w:tcW w:w="670" w:type="pct"/>
                  <w:tcBorders>
                    <w:tl2br w:val="nil"/>
                    <w:tr2bl w:val="nil"/>
                  </w:tcBorders>
                  <w:noWrap w:val="0"/>
                  <w:tcMar>
                    <w:top w:w="0" w:type="dxa"/>
                    <w:left w:w="57" w:type="dxa"/>
                    <w:bottom w:w="0" w:type="dxa"/>
                    <w:right w:w="57" w:type="dxa"/>
                  </w:tcMar>
                  <w:vAlign w:val="center"/>
                </w:tcPr>
                <w:p w14:paraId="2AE3D133">
                  <w:pPr>
                    <w:pStyle w:val="10"/>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闪点（℃）</w:t>
                  </w:r>
                </w:p>
              </w:tc>
              <w:tc>
                <w:tcPr>
                  <w:tcW w:w="711" w:type="pct"/>
                  <w:tcBorders>
                    <w:tl2br w:val="nil"/>
                    <w:tr2bl w:val="nil"/>
                  </w:tcBorders>
                  <w:noWrap w:val="0"/>
                  <w:vAlign w:val="center"/>
                </w:tcPr>
                <w:p w14:paraId="5BEA82F3">
                  <w:pPr>
                    <w:pStyle w:val="10"/>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沸点（℃）</w:t>
                  </w:r>
                </w:p>
              </w:tc>
              <w:tc>
                <w:tcPr>
                  <w:tcW w:w="948" w:type="pct"/>
                  <w:tcBorders>
                    <w:tl2br w:val="nil"/>
                    <w:tr2bl w:val="nil"/>
                  </w:tcBorders>
                  <w:noWrap w:val="0"/>
                  <w:tcMar>
                    <w:top w:w="0" w:type="dxa"/>
                    <w:left w:w="57" w:type="dxa"/>
                    <w:bottom w:w="0" w:type="dxa"/>
                    <w:right w:w="57" w:type="dxa"/>
                  </w:tcMar>
                  <w:vAlign w:val="center"/>
                </w:tcPr>
                <w:p w14:paraId="6BD644BC">
                  <w:pPr>
                    <w:pStyle w:val="10"/>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爆炸极限（％V）</w:t>
                  </w:r>
                </w:p>
              </w:tc>
              <w:tc>
                <w:tcPr>
                  <w:tcW w:w="662" w:type="pct"/>
                  <w:tcBorders>
                    <w:tl2br w:val="nil"/>
                    <w:tr2bl w:val="nil"/>
                  </w:tcBorders>
                  <w:noWrap w:val="0"/>
                  <w:vAlign w:val="center"/>
                </w:tcPr>
                <w:p w14:paraId="332789E8">
                  <w:pPr>
                    <w:pStyle w:val="10"/>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特性</w:t>
                  </w:r>
                </w:p>
              </w:tc>
              <w:tc>
                <w:tcPr>
                  <w:tcW w:w="1064" w:type="pct"/>
                  <w:tcBorders>
                    <w:tl2br w:val="nil"/>
                    <w:tr2bl w:val="nil"/>
                  </w:tcBorders>
                  <w:noWrap w:val="0"/>
                  <w:tcMar>
                    <w:top w:w="0" w:type="dxa"/>
                    <w:left w:w="57" w:type="dxa"/>
                    <w:bottom w:w="0" w:type="dxa"/>
                    <w:right w:w="57" w:type="dxa"/>
                  </w:tcMar>
                  <w:vAlign w:val="center"/>
                </w:tcPr>
                <w:p w14:paraId="6DFB3192">
                  <w:pPr>
                    <w:pStyle w:val="10"/>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LD50（mg/kg）或</w:t>
                  </w:r>
                </w:p>
                <w:p w14:paraId="47A0A484">
                  <w:pPr>
                    <w:pStyle w:val="10"/>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LC50</w:t>
                  </w:r>
                  <w:r>
                    <w:rPr>
                      <w:rFonts w:hint="eastAsia" w:cs="Times New Roman"/>
                      <w:b/>
                      <w:bCs/>
                      <w:color w:val="auto"/>
                      <w:highlight w:val="none"/>
                      <w:lang w:eastAsia="zh-CN"/>
                    </w:rPr>
                    <w:t>(</w:t>
                  </w:r>
                  <w:r>
                    <w:rPr>
                      <w:rFonts w:hint="default" w:ascii="Times New Roman" w:hAnsi="Times New Roman" w:cs="Times New Roman"/>
                      <w:b/>
                      <w:bCs/>
                      <w:color w:val="auto"/>
                      <w:highlight w:val="none"/>
                    </w:rPr>
                    <w:t>mg/m</w:t>
                  </w:r>
                  <w:r>
                    <w:rPr>
                      <w:rFonts w:hint="default" w:ascii="Times New Roman" w:hAnsi="Times New Roman" w:cs="Times New Roman"/>
                      <w:b/>
                      <w:bCs/>
                      <w:color w:val="auto"/>
                      <w:highlight w:val="none"/>
                      <w:vertAlign w:val="superscript"/>
                    </w:rPr>
                    <w:t>3</w:t>
                  </w:r>
                  <w:r>
                    <w:rPr>
                      <w:rFonts w:hint="eastAsia" w:cs="Times New Roman"/>
                      <w:b/>
                      <w:bCs/>
                      <w:color w:val="auto"/>
                      <w:highlight w:val="none"/>
                      <w:vertAlign w:val="superscript"/>
                      <w:lang w:eastAsia="zh-CN"/>
                    </w:rPr>
                    <w:t>)</w:t>
                  </w:r>
                </w:p>
              </w:tc>
            </w:tr>
            <w:tr w14:paraId="74127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1" w:type="pct"/>
                <w:cantSplit/>
                <w:trHeight w:val="90" w:hRule="atLeast"/>
                <w:jc w:val="center"/>
              </w:trPr>
              <w:tc>
                <w:tcPr>
                  <w:tcW w:w="344" w:type="pct"/>
                  <w:tcBorders>
                    <w:tl2br w:val="nil"/>
                    <w:tr2bl w:val="nil"/>
                  </w:tcBorders>
                  <w:noWrap w:val="0"/>
                  <w:vAlign w:val="center"/>
                </w:tcPr>
                <w:p w14:paraId="3737B7AE">
                  <w:pPr>
                    <w:pStyle w:val="10"/>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w:t>
                  </w:r>
                </w:p>
              </w:tc>
              <w:tc>
                <w:tcPr>
                  <w:tcW w:w="587" w:type="pct"/>
                  <w:tcBorders>
                    <w:tl2br w:val="nil"/>
                    <w:tr2bl w:val="nil"/>
                  </w:tcBorders>
                  <w:noWrap w:val="0"/>
                  <w:tcMar>
                    <w:top w:w="0" w:type="dxa"/>
                    <w:left w:w="57" w:type="dxa"/>
                    <w:bottom w:w="0" w:type="dxa"/>
                    <w:right w:w="57" w:type="dxa"/>
                  </w:tcMar>
                  <w:vAlign w:val="center"/>
                </w:tcPr>
                <w:p w14:paraId="03980ECE">
                  <w:pPr>
                    <w:pStyle w:val="10"/>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color w:val="auto"/>
                      <w:highlight w:val="none"/>
                      <w:lang w:val="zh-CN" w:eastAsia="zh-CN"/>
                    </w:rPr>
                  </w:pPr>
                  <w:r>
                    <w:rPr>
                      <w:rFonts w:hint="default" w:ascii="Times New Roman" w:hAnsi="Times New Roman" w:cs="Times New Roman"/>
                      <w:color w:val="auto"/>
                      <w:highlight w:val="none"/>
                    </w:rPr>
                    <w:t>机油</w:t>
                  </w:r>
                </w:p>
              </w:tc>
              <w:tc>
                <w:tcPr>
                  <w:tcW w:w="670" w:type="pct"/>
                  <w:tcBorders>
                    <w:tl2br w:val="nil"/>
                    <w:tr2bl w:val="nil"/>
                  </w:tcBorders>
                  <w:noWrap w:val="0"/>
                  <w:tcMar>
                    <w:top w:w="0" w:type="dxa"/>
                    <w:left w:w="57" w:type="dxa"/>
                    <w:bottom w:w="0" w:type="dxa"/>
                    <w:right w:w="57" w:type="dxa"/>
                  </w:tcMar>
                  <w:vAlign w:val="center"/>
                </w:tcPr>
                <w:p w14:paraId="34196F97">
                  <w:pPr>
                    <w:pStyle w:val="10"/>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264-284</w:t>
                  </w:r>
                </w:p>
              </w:tc>
              <w:tc>
                <w:tcPr>
                  <w:tcW w:w="711" w:type="pct"/>
                  <w:tcBorders>
                    <w:tl2br w:val="nil"/>
                    <w:tr2bl w:val="nil"/>
                  </w:tcBorders>
                  <w:noWrap w:val="0"/>
                  <w:vAlign w:val="center"/>
                </w:tcPr>
                <w:p w14:paraId="774F0315">
                  <w:pPr>
                    <w:pStyle w:val="10"/>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170-180</w:t>
                  </w:r>
                </w:p>
              </w:tc>
              <w:tc>
                <w:tcPr>
                  <w:tcW w:w="948" w:type="pct"/>
                  <w:tcBorders>
                    <w:tl2br w:val="nil"/>
                    <w:tr2bl w:val="nil"/>
                  </w:tcBorders>
                  <w:noWrap w:val="0"/>
                  <w:tcMar>
                    <w:top w:w="0" w:type="dxa"/>
                    <w:left w:w="57" w:type="dxa"/>
                    <w:bottom w:w="0" w:type="dxa"/>
                    <w:right w:w="57" w:type="dxa"/>
                  </w:tcMar>
                  <w:vAlign w:val="center"/>
                </w:tcPr>
                <w:p w14:paraId="5FE6582B">
                  <w:pPr>
                    <w:pStyle w:val="10"/>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0.9-7.0</w:t>
                  </w:r>
                </w:p>
              </w:tc>
              <w:tc>
                <w:tcPr>
                  <w:tcW w:w="662" w:type="pct"/>
                  <w:tcBorders>
                    <w:tl2br w:val="nil"/>
                    <w:tr2bl w:val="nil"/>
                  </w:tcBorders>
                  <w:noWrap w:val="0"/>
                  <w:vAlign w:val="center"/>
                </w:tcPr>
                <w:p w14:paraId="46AC9BEA">
                  <w:pPr>
                    <w:pStyle w:val="10"/>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易燃易爆</w:t>
                  </w:r>
                </w:p>
              </w:tc>
              <w:tc>
                <w:tcPr>
                  <w:tcW w:w="1064" w:type="pct"/>
                  <w:tcBorders>
                    <w:tl2br w:val="nil"/>
                    <w:tr2bl w:val="nil"/>
                  </w:tcBorders>
                  <w:noWrap w:val="0"/>
                  <w:tcMar>
                    <w:top w:w="0" w:type="dxa"/>
                    <w:left w:w="57" w:type="dxa"/>
                    <w:bottom w:w="0" w:type="dxa"/>
                    <w:right w:w="57" w:type="dxa"/>
                  </w:tcMar>
                  <w:vAlign w:val="center"/>
                </w:tcPr>
                <w:p w14:paraId="354E832A">
                  <w:pPr>
                    <w:pStyle w:val="10"/>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w:t>
                  </w:r>
                </w:p>
              </w:tc>
            </w:tr>
            <w:tr w14:paraId="39CA6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1" w:type="pct"/>
                <w:cantSplit/>
                <w:trHeight w:val="90" w:hRule="atLeast"/>
                <w:jc w:val="center"/>
              </w:trPr>
              <w:tc>
                <w:tcPr>
                  <w:tcW w:w="344" w:type="pct"/>
                  <w:tcBorders>
                    <w:tl2br w:val="nil"/>
                    <w:tr2bl w:val="nil"/>
                  </w:tcBorders>
                  <w:noWrap w:val="0"/>
                  <w:vAlign w:val="center"/>
                </w:tcPr>
                <w:p w14:paraId="201A74CF">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s="Times New Roman"/>
                      <w:color w:val="auto"/>
                      <w:highlight w:val="none"/>
                      <w:lang w:val="en-US" w:eastAsia="zh-CN"/>
                    </w:rPr>
                  </w:pPr>
                  <w:r>
                    <w:rPr>
                      <w:rFonts w:hint="eastAsia" w:cs="Times New Roman"/>
                      <w:color w:val="auto"/>
                      <w:highlight w:val="none"/>
                      <w:lang w:val="en-US" w:eastAsia="zh-CN"/>
                    </w:rPr>
                    <w:t>2</w:t>
                  </w:r>
                </w:p>
              </w:tc>
              <w:tc>
                <w:tcPr>
                  <w:tcW w:w="587" w:type="pct"/>
                  <w:tcBorders>
                    <w:tl2br w:val="nil"/>
                    <w:tr2bl w:val="nil"/>
                  </w:tcBorders>
                  <w:noWrap w:val="0"/>
                  <w:tcMar>
                    <w:top w:w="0" w:type="dxa"/>
                    <w:left w:w="57" w:type="dxa"/>
                    <w:bottom w:w="0" w:type="dxa"/>
                    <w:right w:w="57" w:type="dxa"/>
                  </w:tcMar>
                  <w:vAlign w:val="center"/>
                </w:tcPr>
                <w:p w14:paraId="20063245">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油墨</w:t>
                  </w:r>
                </w:p>
              </w:tc>
              <w:tc>
                <w:tcPr>
                  <w:tcW w:w="670" w:type="pct"/>
                  <w:tcBorders>
                    <w:tl2br w:val="nil"/>
                    <w:tr2bl w:val="nil"/>
                  </w:tcBorders>
                  <w:noWrap w:val="0"/>
                  <w:tcMar>
                    <w:top w:w="0" w:type="dxa"/>
                    <w:left w:w="57" w:type="dxa"/>
                    <w:bottom w:w="0" w:type="dxa"/>
                    <w:right w:w="57" w:type="dxa"/>
                  </w:tcMar>
                  <w:vAlign w:val="center"/>
                </w:tcPr>
                <w:p w14:paraId="180A2D13">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s="Times New Roman"/>
                      <w:color w:val="auto"/>
                      <w:highlight w:val="none"/>
                      <w:lang w:val="en-US" w:eastAsia="zh-CN"/>
                    </w:rPr>
                  </w:pPr>
                  <w:r>
                    <w:rPr>
                      <w:rFonts w:hint="eastAsia" w:cs="Times New Roman"/>
                      <w:color w:val="auto"/>
                      <w:highlight w:val="none"/>
                      <w:lang w:val="en-US" w:eastAsia="zh-CN"/>
                    </w:rPr>
                    <w:t>99</w:t>
                  </w:r>
                </w:p>
              </w:tc>
              <w:tc>
                <w:tcPr>
                  <w:tcW w:w="711" w:type="pct"/>
                  <w:tcBorders>
                    <w:tl2br w:val="nil"/>
                    <w:tr2bl w:val="nil"/>
                  </w:tcBorders>
                  <w:noWrap w:val="0"/>
                  <w:vAlign w:val="center"/>
                </w:tcPr>
                <w:p w14:paraId="630A2746">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95</w:t>
                  </w:r>
                </w:p>
              </w:tc>
              <w:tc>
                <w:tcPr>
                  <w:tcW w:w="948" w:type="pct"/>
                  <w:tcBorders>
                    <w:tl2br w:val="nil"/>
                    <w:tr2bl w:val="nil"/>
                  </w:tcBorders>
                  <w:noWrap w:val="0"/>
                  <w:tcMar>
                    <w:top w:w="0" w:type="dxa"/>
                    <w:left w:w="57" w:type="dxa"/>
                    <w:bottom w:w="0" w:type="dxa"/>
                    <w:right w:w="57" w:type="dxa"/>
                  </w:tcMar>
                  <w:vAlign w:val="center"/>
                </w:tcPr>
                <w:p w14:paraId="12B7517F">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s="Times New Roman"/>
                      <w:color w:val="auto"/>
                      <w:highlight w:val="none"/>
                      <w:lang w:val="en-US" w:eastAsia="zh-CN"/>
                    </w:rPr>
                  </w:pPr>
                  <w:r>
                    <w:rPr>
                      <w:rFonts w:hint="eastAsia" w:cs="Times New Roman"/>
                      <w:color w:val="auto"/>
                      <w:highlight w:val="none"/>
                      <w:lang w:val="en-US" w:eastAsia="zh-CN"/>
                    </w:rPr>
                    <w:t>/</w:t>
                  </w:r>
                </w:p>
              </w:tc>
              <w:tc>
                <w:tcPr>
                  <w:tcW w:w="662" w:type="pct"/>
                  <w:tcBorders>
                    <w:tl2br w:val="nil"/>
                    <w:tr2bl w:val="nil"/>
                  </w:tcBorders>
                  <w:noWrap w:val="0"/>
                  <w:vAlign w:val="center"/>
                </w:tcPr>
                <w:p w14:paraId="3C3D8602">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w:t>
                  </w:r>
                </w:p>
              </w:tc>
              <w:tc>
                <w:tcPr>
                  <w:tcW w:w="1064" w:type="pct"/>
                  <w:tcBorders>
                    <w:tl2br w:val="nil"/>
                    <w:tr2bl w:val="nil"/>
                  </w:tcBorders>
                  <w:noWrap w:val="0"/>
                  <w:tcMar>
                    <w:top w:w="0" w:type="dxa"/>
                    <w:left w:w="57" w:type="dxa"/>
                    <w:bottom w:w="0" w:type="dxa"/>
                    <w:right w:w="57" w:type="dxa"/>
                  </w:tcMar>
                  <w:vAlign w:val="center"/>
                </w:tcPr>
                <w:p w14:paraId="1FC3D686">
                  <w:pPr>
                    <w:pStyle w:val="10"/>
                    <w:keepNext w:val="0"/>
                    <w:keepLines w:val="0"/>
                    <w:pageBreakBefore w:val="0"/>
                    <w:widowControl/>
                    <w:kinsoku/>
                    <w:wordWrap/>
                    <w:overflowPunct/>
                    <w:topLinePunct w:val="0"/>
                    <w:autoSpaceDE/>
                    <w:autoSpaceDN/>
                    <w:bidi w:val="0"/>
                    <w:adjustRightInd w:val="0"/>
                    <w:snapToGrid w:val="0"/>
                    <w:ind w:right="0" w:rightChars="0" w:firstLine="0" w:firstLineChars="0"/>
                    <w:textAlignment w:val="auto"/>
                    <w:rPr>
                      <w:rFonts w:hint="default" w:cs="Times New Roman"/>
                      <w:color w:val="auto"/>
                      <w:highlight w:val="none"/>
                      <w:lang w:val="en-US" w:eastAsia="zh-CN"/>
                    </w:rPr>
                  </w:pPr>
                  <w:r>
                    <w:rPr>
                      <w:rFonts w:hint="eastAsia" w:cs="Times New Roman"/>
                      <w:color w:val="auto"/>
                      <w:highlight w:val="none"/>
                      <w:lang w:val="en-US" w:eastAsia="zh-CN"/>
                    </w:rPr>
                    <w:t>2000</w:t>
                  </w:r>
                </w:p>
              </w:tc>
            </w:tr>
          </w:tbl>
          <w:p w14:paraId="787387C1">
            <w:pPr>
              <w:spacing w:line="360" w:lineRule="auto"/>
              <w:ind w:firstLine="482" w:firstLineChars="200"/>
              <w:jc w:val="both"/>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lang w:val="en-US" w:eastAsia="zh-CN"/>
              </w:rPr>
              <w:t>2、</w:t>
            </w:r>
            <w:r>
              <w:rPr>
                <w:rFonts w:hint="default" w:ascii="Times New Roman" w:hAnsi="Times New Roman" w:eastAsia="宋体" w:cs="Times New Roman"/>
                <w:b/>
                <w:bCs/>
                <w:color w:val="auto"/>
                <w:sz w:val="24"/>
                <w:highlight w:val="none"/>
              </w:rPr>
              <w:t>风险源分布情况</w:t>
            </w:r>
          </w:p>
          <w:p w14:paraId="41AC5E61">
            <w:pPr>
              <w:spacing w:line="360" w:lineRule="auto"/>
              <w:ind w:firstLine="480" w:firstLineChars="200"/>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风险源包括生产系统、储运系统、环保设施系统，根据分析，全厂风险源包括生产系统、储运系统、环保设施系统，生产系统；储运系统包括</w:t>
            </w:r>
            <w:r>
              <w:rPr>
                <w:rFonts w:hint="eastAsia" w:cs="Times New Roman"/>
                <w:color w:val="auto"/>
                <w:sz w:val="24"/>
                <w:highlight w:val="none"/>
                <w:lang w:val="en-US" w:eastAsia="zh-CN"/>
              </w:rPr>
              <w:t>辅料</w:t>
            </w:r>
            <w:r>
              <w:rPr>
                <w:rFonts w:hint="default" w:ascii="Times New Roman" w:hAnsi="Times New Roman" w:eastAsia="宋体" w:cs="Times New Roman"/>
                <w:color w:val="auto"/>
                <w:sz w:val="24"/>
                <w:highlight w:val="none"/>
              </w:rPr>
              <w:t>；环保设施系统包括废气处理系统（布袋除尘器）及危废暂存间发生废机油等危废流失。</w:t>
            </w:r>
          </w:p>
          <w:p w14:paraId="6AA2F02B">
            <w:pPr>
              <w:spacing w:line="360" w:lineRule="auto"/>
              <w:ind w:firstLine="480" w:firstLineChars="200"/>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①贮运系统：贮运过程中主要为装卸、运输和仓储三个环节中均存在造成事故、对环境造成风险的概率，主要为在</w:t>
            </w:r>
            <w:r>
              <w:rPr>
                <w:rFonts w:hint="default" w:ascii="Times New Roman" w:hAnsi="Times New Roman" w:eastAsia="宋体" w:cs="Times New Roman"/>
                <w:color w:val="auto"/>
                <w:sz w:val="24"/>
                <w:highlight w:val="none"/>
                <w:lang w:val="en-US" w:eastAsia="zh-CN"/>
              </w:rPr>
              <w:t>机油</w:t>
            </w:r>
            <w:r>
              <w:rPr>
                <w:rFonts w:hint="eastAsia" w:ascii="Times New Roman" w:hAnsi="Times New Roman" w:eastAsia="宋体" w:cs="Times New Roman"/>
                <w:color w:val="auto"/>
                <w:sz w:val="24"/>
                <w:highlight w:val="none"/>
                <w:lang w:val="en-US" w:eastAsia="zh-CN"/>
              </w:rPr>
              <w:t>、</w:t>
            </w:r>
            <w:r>
              <w:rPr>
                <w:rFonts w:hint="eastAsia" w:cs="Times New Roman"/>
                <w:color w:val="auto"/>
                <w:sz w:val="24"/>
                <w:highlight w:val="none"/>
                <w:lang w:val="en-US" w:eastAsia="zh-CN"/>
              </w:rPr>
              <w:t>危废、油墨</w:t>
            </w:r>
            <w:r>
              <w:rPr>
                <w:rFonts w:hint="default" w:ascii="Times New Roman" w:hAnsi="Times New Roman" w:eastAsia="宋体" w:cs="Times New Roman"/>
                <w:color w:val="auto"/>
                <w:sz w:val="24"/>
                <w:highlight w:val="none"/>
              </w:rPr>
              <w:t>等储存过程中泄漏风险以及泄漏引起的燃爆风险、中毒事故。</w:t>
            </w:r>
          </w:p>
          <w:p w14:paraId="68E3F4C1">
            <w:pPr>
              <w:spacing w:line="360" w:lineRule="auto"/>
              <w:ind w:firstLine="480" w:firstLineChars="200"/>
              <w:jc w:val="both"/>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②</w:t>
            </w:r>
            <w:r>
              <w:rPr>
                <w:rFonts w:hint="default" w:ascii="Times New Roman" w:hAnsi="Times New Roman" w:eastAsia="宋体" w:cs="Times New Roman"/>
                <w:color w:val="auto"/>
                <w:sz w:val="24"/>
                <w:highlight w:val="none"/>
              </w:rPr>
              <w:t>环保设施系统：废气处理过程中由于污染治理设施故障导致废气事故性排放，对周围大气环境造成影响；危废暂存间防渗材料破损导致油类等危废流失，污染土壤、地下水环境。</w:t>
            </w:r>
          </w:p>
          <w:p w14:paraId="1C82AF4B">
            <w:pPr>
              <w:spacing w:line="360" w:lineRule="auto"/>
              <w:ind w:firstLine="482" w:firstLineChars="200"/>
              <w:jc w:val="left"/>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lang w:val="en-US" w:eastAsia="zh-CN"/>
              </w:rPr>
              <w:t>3、</w:t>
            </w:r>
            <w:r>
              <w:rPr>
                <w:rFonts w:hint="default" w:ascii="Times New Roman" w:hAnsi="Times New Roman" w:eastAsia="宋体" w:cs="Times New Roman"/>
                <w:b/>
                <w:bCs/>
                <w:color w:val="auto"/>
                <w:sz w:val="24"/>
                <w:highlight w:val="none"/>
              </w:rPr>
              <w:t>可能影响途径</w:t>
            </w:r>
          </w:p>
          <w:p w14:paraId="797E8C42">
            <w:pPr>
              <w:spacing w:line="360" w:lineRule="auto"/>
              <w:ind w:firstLine="480" w:firstLineChars="200"/>
              <w:jc w:val="left"/>
              <w:rPr>
                <w:rFonts w:hint="default" w:ascii="Times New Roman" w:hAnsi="Times New Roman" w:cs="Times New Roman"/>
                <w:color w:val="auto"/>
                <w:highlight w:val="none"/>
              </w:rPr>
            </w:pPr>
            <w:r>
              <w:rPr>
                <w:rFonts w:hint="default" w:ascii="Times New Roman" w:hAnsi="Times New Roman" w:eastAsia="宋体" w:cs="Times New Roman"/>
                <w:color w:val="auto"/>
                <w:sz w:val="24"/>
                <w:highlight w:val="none"/>
              </w:rPr>
              <w:t>根据有毒有害及易燃易爆物质放散起因，分为火灾、爆炸和泄漏三种类型。本项目风险类型主要为仓储、生产过程中出现的物料泄漏，因此而造成的燃爆环境风险，不考虑自然灾害如地震、洪水、台风等引起的事故风险。危废暂存间内防渗材料破损导致危废流失，污染地下水、土壤环境。可能影响途径详见下表。</w:t>
            </w:r>
          </w:p>
          <w:p w14:paraId="1EC31655">
            <w:pPr>
              <w:pStyle w:val="5"/>
              <w:tabs>
                <w:tab w:val="left" w:pos="1284"/>
              </w:tabs>
              <w:bidi w:val="0"/>
              <w:rPr>
                <w:rFonts w:hint="default" w:ascii="Times New Roman" w:hAnsi="Times New Roman" w:cs="Times New Roman"/>
                <w:color w:val="auto"/>
                <w:highlight w:val="none"/>
              </w:rPr>
            </w:pPr>
          </w:p>
          <w:p w14:paraId="10391A87">
            <w:pPr>
              <w:pStyle w:val="5"/>
              <w:tabs>
                <w:tab w:val="left" w:pos="1284"/>
              </w:tabs>
              <w:bidi w:val="0"/>
              <w:rPr>
                <w:rFonts w:hint="default" w:ascii="Times New Roman" w:hAnsi="Times New Roman" w:cs="Times New Roman"/>
                <w:color w:val="auto"/>
                <w:highlight w:val="none"/>
              </w:rPr>
            </w:pPr>
          </w:p>
          <w:p w14:paraId="730B7373">
            <w:pPr>
              <w:pStyle w:val="5"/>
              <w:tabs>
                <w:tab w:val="left" w:pos="1284"/>
              </w:tabs>
              <w:bidi w:val="0"/>
              <w:rPr>
                <w:rFonts w:hint="default" w:ascii="Times New Roman" w:hAnsi="Times New Roman" w:cs="Times New Roman"/>
                <w:color w:val="auto"/>
                <w:highlight w:val="none"/>
              </w:rPr>
            </w:pPr>
          </w:p>
          <w:p w14:paraId="0AFDC6EF">
            <w:pPr>
              <w:pStyle w:val="5"/>
              <w:tabs>
                <w:tab w:val="left" w:pos="1284"/>
              </w:tabs>
              <w:bidi w:val="0"/>
              <w:rPr>
                <w:rFonts w:hint="default" w:ascii="Times New Roman" w:hAnsi="Times New Roman" w:cs="Times New Roman"/>
                <w:color w:val="auto"/>
                <w:highlight w:val="none"/>
              </w:rPr>
            </w:pPr>
          </w:p>
          <w:p w14:paraId="0D683BD4">
            <w:pPr>
              <w:pStyle w:val="5"/>
              <w:tabs>
                <w:tab w:val="left" w:pos="1284"/>
              </w:tabs>
              <w:bidi w:val="0"/>
              <w:rPr>
                <w:rFonts w:hint="default" w:ascii="Times New Roman" w:hAnsi="Times New Roman" w:cs="Times New Roman"/>
                <w:color w:val="auto"/>
                <w:highlight w:val="none"/>
              </w:rPr>
            </w:pPr>
          </w:p>
          <w:p w14:paraId="2609E442">
            <w:pPr>
              <w:pStyle w:val="5"/>
              <w:tabs>
                <w:tab w:val="left" w:pos="1284"/>
              </w:tabs>
              <w:bidi w:val="0"/>
              <w:rPr>
                <w:rFonts w:hint="default" w:ascii="Times New Roman" w:hAnsi="Times New Roman" w:cs="Times New Roman"/>
                <w:color w:val="auto"/>
                <w:highlight w:val="none"/>
              </w:rPr>
            </w:pPr>
          </w:p>
          <w:p w14:paraId="0ACDF9AF">
            <w:pPr>
              <w:pStyle w:val="5"/>
              <w:tabs>
                <w:tab w:val="left" w:pos="1284"/>
              </w:tabs>
              <w:bidi w:val="0"/>
              <w:rPr>
                <w:rFonts w:hint="default" w:ascii="Times New Roman" w:hAnsi="Times New Roman" w:cs="Times New Roman"/>
                <w:color w:val="auto"/>
                <w:highlight w:val="none"/>
              </w:rPr>
            </w:pPr>
          </w:p>
          <w:p w14:paraId="72E3F440">
            <w:pPr>
              <w:pStyle w:val="5"/>
              <w:tabs>
                <w:tab w:val="left" w:pos="1284"/>
              </w:tabs>
              <w:bidi w:val="0"/>
              <w:rPr>
                <w:rFonts w:hint="default" w:ascii="Times New Roman" w:hAnsi="Times New Roman" w:cs="Times New Roman"/>
                <w:color w:val="auto"/>
                <w:highlight w:val="none"/>
              </w:rPr>
            </w:pPr>
          </w:p>
          <w:p w14:paraId="6FD372D0">
            <w:pPr>
              <w:pStyle w:val="5"/>
              <w:tabs>
                <w:tab w:val="left" w:pos="1284"/>
              </w:tabs>
              <w:bidi w:val="0"/>
              <w:rPr>
                <w:rFonts w:hint="default" w:ascii="Times New Roman" w:hAnsi="Times New Roman" w:cs="Times New Roman"/>
                <w:color w:val="auto"/>
                <w:highlight w:val="none"/>
              </w:rPr>
            </w:pPr>
          </w:p>
          <w:p w14:paraId="37CB3610">
            <w:pPr>
              <w:pStyle w:val="5"/>
              <w:tabs>
                <w:tab w:val="left" w:pos="1284"/>
              </w:tabs>
              <w:bidi w:val="0"/>
              <w:rPr>
                <w:rFonts w:hint="default" w:ascii="Times New Roman" w:hAnsi="Times New Roman" w:cs="Times New Roman"/>
                <w:color w:val="auto"/>
                <w:highlight w:val="none"/>
              </w:rPr>
            </w:pPr>
          </w:p>
          <w:p w14:paraId="5845993E">
            <w:pPr>
              <w:pStyle w:val="5"/>
              <w:tabs>
                <w:tab w:val="left" w:pos="1284"/>
              </w:tabs>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表4-</w:t>
            </w:r>
            <w:r>
              <w:rPr>
                <w:rFonts w:hint="eastAsia" w:ascii="Times New Roman" w:hAnsi="Times New Roman" w:cs="Times New Roman"/>
                <w:color w:val="auto"/>
                <w:highlight w:val="none"/>
                <w:lang w:val="en-US" w:eastAsia="zh-CN"/>
              </w:rPr>
              <w:t>2</w:t>
            </w:r>
            <w:r>
              <w:rPr>
                <w:rFonts w:hint="eastAsia" w:cs="Times New Roman"/>
                <w:color w:val="auto"/>
                <w:highlight w:val="none"/>
                <w:lang w:val="en-US" w:eastAsia="zh-CN"/>
              </w:rPr>
              <w:t>1</w:t>
            </w:r>
            <w:r>
              <w:rPr>
                <w:rFonts w:hint="default" w:ascii="Times New Roman" w:hAnsi="Times New Roman" w:cs="Times New Roman"/>
                <w:color w:val="auto"/>
                <w:highlight w:val="none"/>
              </w:rPr>
              <w:t xml:space="preserve"> 本项目环境风险识别表</w:t>
            </w:r>
          </w:p>
          <w:tbl>
            <w:tblPr>
              <w:tblStyle w:val="27"/>
              <w:tblW w:w="84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
              <w:gridCol w:w="855"/>
              <w:gridCol w:w="1619"/>
              <w:gridCol w:w="1363"/>
              <w:gridCol w:w="2668"/>
              <w:gridCol w:w="1504"/>
            </w:tblGrid>
            <w:tr w14:paraId="0FB89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458" w:type="dxa"/>
                  <w:noWrap w:val="0"/>
                  <w:vAlign w:val="center"/>
                </w:tcPr>
                <w:p w14:paraId="7AD1A161">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序号</w:t>
                  </w:r>
                </w:p>
              </w:tc>
              <w:tc>
                <w:tcPr>
                  <w:tcW w:w="855" w:type="dxa"/>
                  <w:noWrap w:val="0"/>
                  <w:vAlign w:val="center"/>
                </w:tcPr>
                <w:p w14:paraId="7CF42A8D">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危险单元</w:t>
                  </w:r>
                </w:p>
              </w:tc>
              <w:tc>
                <w:tcPr>
                  <w:tcW w:w="1619" w:type="dxa"/>
                  <w:noWrap w:val="0"/>
                  <w:vAlign w:val="center"/>
                </w:tcPr>
                <w:p w14:paraId="56AAF6B5">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风险源</w:t>
                  </w:r>
                </w:p>
              </w:tc>
              <w:tc>
                <w:tcPr>
                  <w:tcW w:w="1363" w:type="dxa"/>
                  <w:noWrap w:val="0"/>
                  <w:vAlign w:val="center"/>
                </w:tcPr>
                <w:p w14:paraId="72CB9B6A">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主要风险物质</w:t>
                  </w:r>
                </w:p>
              </w:tc>
              <w:tc>
                <w:tcPr>
                  <w:tcW w:w="2668" w:type="dxa"/>
                  <w:noWrap w:val="0"/>
                  <w:vAlign w:val="center"/>
                </w:tcPr>
                <w:p w14:paraId="1463BB9F">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环境风险类型</w:t>
                  </w:r>
                </w:p>
              </w:tc>
              <w:tc>
                <w:tcPr>
                  <w:tcW w:w="1504" w:type="dxa"/>
                  <w:noWrap w:val="0"/>
                  <w:vAlign w:val="center"/>
                </w:tcPr>
                <w:p w14:paraId="61B7281E">
                  <w:pPr>
                    <w:pStyle w:val="10"/>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环境影响途径</w:t>
                  </w:r>
                </w:p>
              </w:tc>
            </w:tr>
            <w:tr w14:paraId="7206F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58" w:type="dxa"/>
                  <w:noWrap w:val="0"/>
                  <w:vAlign w:val="center"/>
                </w:tcPr>
                <w:p w14:paraId="5CC232C1">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1</w:t>
                  </w:r>
                </w:p>
              </w:tc>
              <w:tc>
                <w:tcPr>
                  <w:tcW w:w="855" w:type="dxa"/>
                  <w:noWrap w:val="0"/>
                  <w:vAlign w:val="center"/>
                </w:tcPr>
                <w:p w14:paraId="47CBFA04">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贮运系统</w:t>
                  </w:r>
                </w:p>
              </w:tc>
              <w:tc>
                <w:tcPr>
                  <w:tcW w:w="1619" w:type="dxa"/>
                  <w:noWrap w:val="0"/>
                  <w:vAlign w:val="center"/>
                </w:tcPr>
                <w:p w14:paraId="4A5A421B">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仓库</w:t>
                  </w:r>
                </w:p>
              </w:tc>
              <w:tc>
                <w:tcPr>
                  <w:tcW w:w="1363" w:type="dxa"/>
                  <w:noWrap w:val="0"/>
                  <w:vAlign w:val="center"/>
                </w:tcPr>
                <w:p w14:paraId="67995A2F">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机油</w:t>
                  </w:r>
                  <w:r>
                    <w:rPr>
                      <w:rFonts w:hint="eastAsia" w:cs="Times New Roman"/>
                      <w:color w:val="auto"/>
                      <w:highlight w:val="none"/>
                      <w:lang w:eastAsia="zh-CN"/>
                    </w:rPr>
                    <w:t>、</w:t>
                  </w:r>
                  <w:r>
                    <w:rPr>
                      <w:rFonts w:hint="eastAsia" w:cs="Times New Roman"/>
                      <w:color w:val="auto"/>
                      <w:highlight w:val="none"/>
                      <w:lang w:val="en-US" w:eastAsia="zh-CN"/>
                    </w:rPr>
                    <w:t>油墨等</w:t>
                  </w:r>
                </w:p>
              </w:tc>
              <w:tc>
                <w:tcPr>
                  <w:tcW w:w="2668" w:type="dxa"/>
                  <w:noWrap w:val="0"/>
                  <w:vAlign w:val="center"/>
                </w:tcPr>
                <w:p w14:paraId="72987BD2">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①泄漏由此带来的燃爆，引发次生灾害（不完全燃烧产生的CO污染大气环境）②泄漏物料渗入地下污染地下水和土壤；③泄漏物料经雨水管道进入外环境，污染周边水体</w:t>
                  </w:r>
                </w:p>
              </w:tc>
              <w:tc>
                <w:tcPr>
                  <w:tcW w:w="1504" w:type="dxa"/>
                  <w:noWrap w:val="0"/>
                  <w:vAlign w:val="center"/>
                </w:tcPr>
                <w:p w14:paraId="644D3E6A">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大气、地下水、土壤</w:t>
                  </w:r>
                </w:p>
              </w:tc>
            </w:tr>
            <w:tr w14:paraId="23ACC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58" w:type="dxa"/>
                  <w:noWrap w:val="0"/>
                  <w:vAlign w:val="center"/>
                </w:tcPr>
                <w:p w14:paraId="4609A280">
                  <w:pPr>
                    <w:pStyle w:val="10"/>
                    <w:bidi w:val="0"/>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2</w:t>
                  </w:r>
                </w:p>
              </w:tc>
              <w:tc>
                <w:tcPr>
                  <w:tcW w:w="855" w:type="dxa"/>
                  <w:vMerge w:val="restart"/>
                  <w:noWrap w:val="0"/>
                  <w:vAlign w:val="center"/>
                </w:tcPr>
                <w:p w14:paraId="753122DF">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污染控制设施</w:t>
                  </w:r>
                </w:p>
              </w:tc>
              <w:tc>
                <w:tcPr>
                  <w:tcW w:w="1619" w:type="dxa"/>
                  <w:noWrap w:val="0"/>
                  <w:vAlign w:val="center"/>
                </w:tcPr>
                <w:p w14:paraId="6E4BECB3">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废气处理系统</w:t>
                  </w:r>
                </w:p>
              </w:tc>
              <w:tc>
                <w:tcPr>
                  <w:tcW w:w="1363" w:type="dxa"/>
                  <w:noWrap w:val="0"/>
                  <w:vAlign w:val="center"/>
                </w:tcPr>
                <w:p w14:paraId="0CB65FD8">
                  <w:pPr>
                    <w:pStyle w:val="10"/>
                    <w:bidi w:val="0"/>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t>颗粒物</w:t>
                  </w:r>
                  <w:r>
                    <w:rPr>
                      <w:rFonts w:hint="eastAsia" w:cs="Times New Roman"/>
                      <w:color w:val="auto"/>
                      <w:highlight w:val="none"/>
                      <w:lang w:eastAsia="zh-CN"/>
                    </w:rPr>
                    <w:t>、</w:t>
                  </w:r>
                  <w:r>
                    <w:rPr>
                      <w:rFonts w:hint="eastAsia" w:cs="Times New Roman"/>
                      <w:color w:val="auto"/>
                      <w:highlight w:val="none"/>
                      <w:lang w:val="en-US" w:eastAsia="zh-CN"/>
                    </w:rPr>
                    <w:t>非甲烷总烃</w:t>
                  </w:r>
                  <w:r>
                    <w:rPr>
                      <w:rFonts w:hint="eastAsia"/>
                      <w:lang w:eastAsia="zh-CN"/>
                    </w:rPr>
                    <w:t>、</w:t>
                  </w:r>
                  <w:r>
                    <w:rPr>
                      <w:rFonts w:hint="eastAsia"/>
                      <w:lang w:val="en-US" w:eastAsia="zh-CN"/>
                    </w:rPr>
                    <w:t>氯化氢、氯乙烯、臭气浓度</w:t>
                  </w:r>
                </w:p>
              </w:tc>
              <w:tc>
                <w:tcPr>
                  <w:tcW w:w="2668" w:type="dxa"/>
                  <w:noWrap w:val="0"/>
                  <w:vAlign w:val="center"/>
                </w:tcPr>
                <w:p w14:paraId="2D957607">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废气事故性排放</w:t>
                  </w:r>
                </w:p>
              </w:tc>
              <w:tc>
                <w:tcPr>
                  <w:tcW w:w="1504" w:type="dxa"/>
                  <w:noWrap w:val="0"/>
                  <w:vAlign w:val="center"/>
                </w:tcPr>
                <w:p w14:paraId="7DB93CA2">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大气</w:t>
                  </w:r>
                </w:p>
              </w:tc>
            </w:tr>
            <w:tr w14:paraId="3983E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58" w:type="dxa"/>
                  <w:noWrap w:val="0"/>
                  <w:vAlign w:val="center"/>
                </w:tcPr>
                <w:p w14:paraId="2B707EDC">
                  <w:pPr>
                    <w:pStyle w:val="10"/>
                    <w:bidi w:val="0"/>
                    <w:ind w:right="0" w:rightChars="0" w:firstLine="0" w:firstLineChars="0"/>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highlight w:val="none"/>
                      <w:lang w:val="en-US" w:eastAsia="zh-CN"/>
                    </w:rPr>
                    <w:t>3</w:t>
                  </w:r>
                </w:p>
              </w:tc>
              <w:tc>
                <w:tcPr>
                  <w:tcW w:w="855" w:type="dxa"/>
                  <w:vMerge w:val="continue"/>
                  <w:noWrap w:val="0"/>
                  <w:vAlign w:val="center"/>
                </w:tcPr>
                <w:p w14:paraId="60500A9A">
                  <w:pPr>
                    <w:pStyle w:val="10"/>
                    <w:bidi w:val="0"/>
                    <w:rPr>
                      <w:rFonts w:hint="default" w:ascii="Times New Roman" w:hAnsi="Times New Roman" w:cs="Times New Roman"/>
                      <w:color w:val="auto"/>
                      <w:highlight w:val="none"/>
                    </w:rPr>
                  </w:pPr>
                </w:p>
              </w:tc>
              <w:tc>
                <w:tcPr>
                  <w:tcW w:w="1619" w:type="dxa"/>
                  <w:noWrap w:val="0"/>
                  <w:vAlign w:val="center"/>
                </w:tcPr>
                <w:p w14:paraId="117EEB10">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污水处理系统</w:t>
                  </w:r>
                </w:p>
              </w:tc>
              <w:tc>
                <w:tcPr>
                  <w:tcW w:w="1363" w:type="dxa"/>
                  <w:noWrap w:val="0"/>
                  <w:vAlign w:val="center"/>
                </w:tcPr>
                <w:p w14:paraId="5088B9CD">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COD、SS等</w:t>
                  </w:r>
                </w:p>
              </w:tc>
              <w:tc>
                <w:tcPr>
                  <w:tcW w:w="2668" w:type="dxa"/>
                  <w:noWrap w:val="0"/>
                  <w:vAlign w:val="center"/>
                </w:tcPr>
                <w:p w14:paraId="7B3CC1EB">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化粪池</w:t>
                  </w:r>
                  <w:r>
                    <w:rPr>
                      <w:rFonts w:hint="eastAsia" w:ascii="Times New Roman" w:hAnsi="Times New Roman" w:cs="Times New Roman"/>
                      <w:color w:val="auto"/>
                      <w:highlight w:val="none"/>
                      <w:lang w:eastAsia="zh-CN"/>
                    </w:rPr>
                    <w:t>、</w:t>
                  </w:r>
                  <w:r>
                    <w:rPr>
                      <w:rFonts w:hint="eastAsia" w:cs="Times New Roman"/>
                      <w:color w:val="auto"/>
                      <w:highlight w:val="none"/>
                      <w:lang w:val="en-US" w:eastAsia="zh-CN"/>
                    </w:rPr>
                    <w:t>隔油池</w:t>
                  </w:r>
                  <w:r>
                    <w:rPr>
                      <w:rFonts w:hint="eastAsia" w:ascii="Times New Roman" w:hAnsi="Times New Roman" w:cs="Times New Roman"/>
                      <w:color w:val="auto"/>
                      <w:highlight w:val="none"/>
                      <w:lang w:val="en-US" w:eastAsia="zh-CN"/>
                    </w:rPr>
                    <w:t>等</w:t>
                  </w:r>
                  <w:r>
                    <w:rPr>
                      <w:rFonts w:hint="default" w:ascii="Times New Roman" w:hAnsi="Times New Roman" w:cs="Times New Roman"/>
                      <w:color w:val="auto"/>
                      <w:highlight w:val="none"/>
                    </w:rPr>
                    <w:t>破损造成</w:t>
                  </w:r>
                  <w:r>
                    <w:rPr>
                      <w:rFonts w:hint="default" w:ascii="Times New Roman" w:hAnsi="Times New Roman" w:cs="Times New Roman"/>
                      <w:color w:val="auto"/>
                      <w:highlight w:val="none"/>
                      <w:lang w:eastAsia="zh-CN"/>
                    </w:rPr>
                    <w:t>污水泄漏</w:t>
                  </w:r>
                </w:p>
              </w:tc>
              <w:tc>
                <w:tcPr>
                  <w:tcW w:w="1504" w:type="dxa"/>
                  <w:noWrap w:val="0"/>
                  <w:vAlign w:val="center"/>
                </w:tcPr>
                <w:p w14:paraId="2B82DAD0">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地表水</w:t>
                  </w:r>
                </w:p>
              </w:tc>
            </w:tr>
            <w:tr w14:paraId="32C2E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458" w:type="dxa"/>
                  <w:noWrap w:val="0"/>
                  <w:vAlign w:val="center"/>
                </w:tcPr>
                <w:p w14:paraId="3EA50580">
                  <w:pPr>
                    <w:pStyle w:val="10"/>
                    <w:bidi w:val="0"/>
                    <w:ind w:right="0" w:rightChars="0" w:firstLine="0" w:firstLineChars="0"/>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highlight w:val="none"/>
                      <w:lang w:val="en-US" w:eastAsia="zh-CN"/>
                    </w:rPr>
                    <w:t>4</w:t>
                  </w:r>
                </w:p>
              </w:tc>
              <w:tc>
                <w:tcPr>
                  <w:tcW w:w="855" w:type="dxa"/>
                  <w:vMerge w:val="continue"/>
                  <w:noWrap w:val="0"/>
                  <w:vAlign w:val="center"/>
                </w:tcPr>
                <w:p w14:paraId="0C174F97">
                  <w:pPr>
                    <w:pStyle w:val="10"/>
                    <w:bidi w:val="0"/>
                    <w:rPr>
                      <w:rFonts w:hint="default" w:ascii="Times New Roman" w:hAnsi="Times New Roman" w:cs="Times New Roman"/>
                      <w:color w:val="auto"/>
                      <w:highlight w:val="none"/>
                    </w:rPr>
                  </w:pPr>
                </w:p>
              </w:tc>
              <w:tc>
                <w:tcPr>
                  <w:tcW w:w="1619" w:type="dxa"/>
                  <w:noWrap w:val="0"/>
                  <w:vAlign w:val="center"/>
                </w:tcPr>
                <w:p w14:paraId="008888E4">
                  <w:pPr>
                    <w:pStyle w:val="10"/>
                    <w:bidi w:val="0"/>
                    <w:rPr>
                      <w:rFonts w:hint="eastAsia"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t>危废</w:t>
                  </w:r>
                  <w:r>
                    <w:rPr>
                      <w:rFonts w:hint="eastAsia" w:cs="Times New Roman"/>
                      <w:color w:val="auto"/>
                      <w:highlight w:val="none"/>
                      <w:lang w:val="en-US" w:eastAsia="zh-CN"/>
                    </w:rPr>
                    <w:t>库</w:t>
                  </w:r>
                </w:p>
              </w:tc>
              <w:tc>
                <w:tcPr>
                  <w:tcW w:w="1363" w:type="dxa"/>
                  <w:noWrap w:val="0"/>
                  <w:vAlign w:val="center"/>
                </w:tcPr>
                <w:p w14:paraId="68D4663B">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废机油</w:t>
                  </w:r>
                  <w:r>
                    <w:rPr>
                      <w:rFonts w:hint="eastAsia" w:cs="Times New Roman"/>
                      <w:color w:val="auto"/>
                      <w:highlight w:val="none"/>
                      <w:lang w:eastAsia="zh-CN"/>
                    </w:rPr>
                    <w:t>、</w:t>
                  </w:r>
                  <w:r>
                    <w:rPr>
                      <w:rFonts w:hint="eastAsia" w:cs="Times New Roman"/>
                      <w:color w:val="auto"/>
                      <w:highlight w:val="none"/>
                      <w:lang w:val="en-US" w:eastAsia="zh-CN"/>
                    </w:rPr>
                    <w:t>废活性炭</w:t>
                  </w:r>
                  <w:r>
                    <w:rPr>
                      <w:rFonts w:hint="default" w:ascii="Times New Roman" w:hAnsi="Times New Roman" w:cs="Times New Roman"/>
                      <w:color w:val="auto"/>
                      <w:highlight w:val="none"/>
                    </w:rPr>
                    <w:t>等</w:t>
                  </w:r>
                </w:p>
              </w:tc>
              <w:tc>
                <w:tcPr>
                  <w:tcW w:w="2668" w:type="dxa"/>
                  <w:noWrap w:val="0"/>
                  <w:vAlign w:val="center"/>
                </w:tcPr>
                <w:p w14:paraId="03CC37F8">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防渗材料破损</w:t>
                  </w:r>
                </w:p>
              </w:tc>
              <w:tc>
                <w:tcPr>
                  <w:tcW w:w="1504" w:type="dxa"/>
                  <w:noWrap w:val="0"/>
                  <w:vAlign w:val="center"/>
                </w:tcPr>
                <w:p w14:paraId="3B16FC16">
                  <w:pPr>
                    <w:pStyle w:val="10"/>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地下水、土壤、大气环境</w:t>
                  </w:r>
                </w:p>
              </w:tc>
            </w:tr>
          </w:tbl>
          <w:p w14:paraId="14F97607">
            <w:pPr>
              <w:bidi w:val="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lang w:val="en-US" w:eastAsia="zh-CN"/>
              </w:rPr>
              <w:t>4、</w:t>
            </w:r>
            <w:r>
              <w:rPr>
                <w:rFonts w:hint="default" w:ascii="Times New Roman" w:hAnsi="Times New Roman" w:cs="Times New Roman"/>
                <w:b/>
                <w:bCs/>
                <w:color w:val="auto"/>
                <w:highlight w:val="none"/>
              </w:rPr>
              <w:t>环境风险防范措施</w:t>
            </w:r>
          </w:p>
          <w:p w14:paraId="4208E96D">
            <w:pPr>
              <w:bidi w:val="0"/>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1）</w:t>
            </w:r>
            <w:r>
              <w:rPr>
                <w:rFonts w:hint="default" w:ascii="Times New Roman" w:hAnsi="Times New Roman" w:cs="Times New Roman"/>
                <w:color w:val="auto"/>
                <w:highlight w:val="none"/>
              </w:rPr>
              <w:t>泄漏事故的风险防范措施</w:t>
            </w:r>
          </w:p>
          <w:p w14:paraId="1E13884A">
            <w:pPr>
              <w:bidi w:val="0"/>
              <w:rPr>
                <w:rFonts w:hint="eastAsia"/>
                <w:bCs/>
                <w:kern w:val="0"/>
                <w:sz w:val="24"/>
              </w:rPr>
            </w:pPr>
            <w:r>
              <w:rPr>
                <w:rFonts w:hint="eastAsia"/>
                <w:bCs/>
                <w:kern w:val="0"/>
                <w:sz w:val="24"/>
              </w:rPr>
              <w:t>建设单位应在辅料库设置防泄漏托盘，辅料库暂存的液态危废均采用小包装密闭保存。机油</w:t>
            </w:r>
            <w:r>
              <w:rPr>
                <w:rFonts w:hint="eastAsia"/>
                <w:bCs/>
                <w:kern w:val="0"/>
                <w:sz w:val="24"/>
                <w:lang w:eastAsia="zh-CN"/>
              </w:rPr>
              <w:t>、</w:t>
            </w:r>
            <w:r>
              <w:rPr>
                <w:rFonts w:hint="eastAsia"/>
                <w:bCs/>
                <w:kern w:val="0"/>
                <w:sz w:val="24"/>
                <w:lang w:val="en-US" w:eastAsia="zh-CN"/>
              </w:rPr>
              <w:t>油墨</w:t>
            </w:r>
            <w:r>
              <w:rPr>
                <w:rFonts w:hint="eastAsia"/>
                <w:bCs/>
                <w:kern w:val="0"/>
                <w:sz w:val="24"/>
              </w:rPr>
              <w:t>等存储于辅料库内，设置防泄漏托盘。一旦液态物料</w:t>
            </w:r>
            <w:r>
              <w:rPr>
                <w:rFonts w:hint="eastAsia"/>
                <w:bCs/>
                <w:kern w:val="0"/>
                <w:sz w:val="24"/>
                <w:lang w:eastAsia="zh-CN"/>
              </w:rPr>
              <w:t>泄漏</w:t>
            </w:r>
            <w:r>
              <w:rPr>
                <w:rFonts w:hint="eastAsia"/>
                <w:bCs/>
                <w:kern w:val="0"/>
                <w:sz w:val="24"/>
              </w:rPr>
              <w:t>，可及时收集，泄漏收集的物料不可利用的全部交由有危险废物处理资质的单位统一清运处置。</w:t>
            </w:r>
          </w:p>
          <w:p w14:paraId="17859926">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危险废物主要包括</w:t>
            </w:r>
            <w:r>
              <w:rPr>
                <w:rFonts w:hint="default" w:ascii="Times New Roman" w:hAnsi="Times New Roman" w:eastAsia="宋体" w:cs="Times New Roman"/>
                <w:color w:val="auto"/>
                <w:sz w:val="24"/>
                <w:szCs w:val="24"/>
                <w:highlight w:val="none"/>
              </w:rPr>
              <w:t>废</w:t>
            </w:r>
            <w:r>
              <w:rPr>
                <w:rFonts w:hint="eastAsia" w:cs="Times New Roman"/>
                <w:color w:val="auto"/>
                <w:sz w:val="24"/>
                <w:szCs w:val="24"/>
                <w:highlight w:val="none"/>
                <w:lang w:val="en-US" w:eastAsia="zh-CN"/>
              </w:rPr>
              <w:t>机油</w:t>
            </w:r>
            <w:r>
              <w:rPr>
                <w:rFonts w:hint="eastAsia" w:ascii="Times New Roman" w:hAnsi="Times New Roman" w:eastAsia="宋体" w:cs="Times New Roman"/>
                <w:color w:val="auto"/>
                <w:sz w:val="24"/>
                <w:szCs w:val="24"/>
                <w:highlight w:val="none"/>
                <w:lang w:val="en-US" w:eastAsia="zh-CN"/>
              </w:rPr>
              <w:t>、废</w:t>
            </w:r>
            <w:r>
              <w:rPr>
                <w:rFonts w:hint="eastAsia" w:cs="Times New Roman"/>
                <w:color w:val="auto"/>
                <w:sz w:val="24"/>
                <w:szCs w:val="24"/>
                <w:highlight w:val="none"/>
                <w:lang w:val="en-US" w:eastAsia="zh-CN"/>
              </w:rPr>
              <w:t>机油</w:t>
            </w:r>
            <w:r>
              <w:rPr>
                <w:rFonts w:hint="eastAsia" w:ascii="Times New Roman" w:hAnsi="Times New Roman" w:eastAsia="宋体" w:cs="Times New Roman"/>
                <w:color w:val="auto"/>
                <w:sz w:val="24"/>
                <w:szCs w:val="24"/>
                <w:highlight w:val="none"/>
                <w:lang w:val="en-US" w:eastAsia="zh-CN"/>
              </w:rPr>
              <w:t>桶</w:t>
            </w:r>
            <w:r>
              <w:rPr>
                <w:rFonts w:hint="eastAsia" w:cs="Times New Roman"/>
                <w:color w:val="auto"/>
                <w:sz w:val="24"/>
                <w:szCs w:val="24"/>
                <w:highlight w:val="none"/>
                <w:lang w:val="en-US" w:eastAsia="zh-CN"/>
              </w:rPr>
              <w:t>、废油墨、废活性炭、</w:t>
            </w:r>
            <w:r>
              <w:rPr>
                <w:rFonts w:hint="eastAsia" w:ascii="Times New Roman" w:hAnsi="Times New Roman" w:eastAsia="宋体" w:cs="Times New Roman"/>
                <w:color w:val="auto"/>
                <w:sz w:val="24"/>
                <w:szCs w:val="24"/>
                <w:highlight w:val="none"/>
                <w:lang w:val="en-US" w:eastAsia="zh-CN"/>
              </w:rPr>
              <w:t>废含油抹布手套</w:t>
            </w:r>
            <w:r>
              <w:rPr>
                <w:rFonts w:hint="eastAsia" w:cs="Times New Roman"/>
                <w:color w:val="auto"/>
                <w:sz w:val="24"/>
                <w:szCs w:val="24"/>
                <w:highlight w:val="none"/>
                <w:lang w:val="en-US" w:eastAsia="zh-CN"/>
              </w:rPr>
              <w:t>、油雾净化器收集废油</w:t>
            </w:r>
            <w:r>
              <w:rPr>
                <w:rFonts w:hint="default" w:ascii="Times New Roman" w:hAnsi="Times New Roman" w:cs="Times New Roman"/>
                <w:color w:val="auto"/>
                <w:highlight w:val="none"/>
              </w:rPr>
              <w:t>，采用桶装分类收集储存各类危废，并设置防漏托盘。为了防止危废泄漏造成的环境影响，建设单位应做到如下要求：严格执行《危险化学品安全管理条例》及其实施细则以及危险化学品贮存、运输等</w:t>
            </w:r>
            <w:r>
              <w:rPr>
                <w:rFonts w:hint="default" w:ascii="Times New Roman" w:hAnsi="Times New Roman" w:cs="Times New Roman"/>
                <w:color w:val="auto"/>
                <w:highlight w:val="none"/>
                <w:lang w:eastAsia="zh-CN"/>
              </w:rPr>
              <w:t>法律法规</w:t>
            </w:r>
            <w:r>
              <w:rPr>
                <w:rFonts w:hint="default" w:ascii="Times New Roman" w:hAnsi="Times New Roman" w:cs="Times New Roman"/>
                <w:color w:val="auto"/>
                <w:highlight w:val="none"/>
              </w:rPr>
              <w:t>、规章和标准，并建立危险化学品管理制度；危废暂存间的建筑设计符合《建筑设计防火规范</w:t>
            </w:r>
            <w:r>
              <w:rPr>
                <w:rFonts w:hint="eastAsia" w:cs="Times New Roman"/>
                <w:color w:val="auto"/>
                <w:highlight w:val="none"/>
                <w:lang w:eastAsia="zh-CN"/>
              </w:rPr>
              <w:t>》《</w:t>
            </w:r>
            <w:r>
              <w:rPr>
                <w:rFonts w:hint="default" w:ascii="Times New Roman" w:hAnsi="Times New Roman" w:cs="Times New Roman"/>
                <w:color w:val="auto"/>
                <w:highlight w:val="none"/>
              </w:rPr>
              <w:t>仓库防火安全管理规则</w:t>
            </w:r>
            <w:r>
              <w:rPr>
                <w:rFonts w:hint="eastAsia" w:cs="Times New Roman"/>
                <w:color w:val="auto"/>
                <w:highlight w:val="none"/>
                <w:lang w:eastAsia="zh-CN"/>
              </w:rPr>
              <w:t>》《</w:t>
            </w:r>
            <w:r>
              <w:rPr>
                <w:rFonts w:hint="default" w:ascii="Times New Roman" w:hAnsi="Times New Roman" w:cs="Times New Roman"/>
                <w:color w:val="auto"/>
                <w:highlight w:val="none"/>
              </w:rPr>
              <w:t>危险</w:t>
            </w:r>
            <w:r>
              <w:rPr>
                <w:rFonts w:hint="default" w:ascii="Times New Roman" w:hAnsi="Times New Roman" w:cs="Times New Roman"/>
                <w:color w:val="auto"/>
                <w:highlight w:val="none"/>
                <w:lang w:eastAsia="zh-CN"/>
              </w:rPr>
              <w:t>化</w:t>
            </w:r>
            <w:r>
              <w:rPr>
                <w:rFonts w:hint="default" w:ascii="Times New Roman" w:hAnsi="Times New Roman" w:cs="Times New Roman"/>
                <w:color w:val="auto"/>
                <w:highlight w:val="none"/>
              </w:rPr>
              <w:t>学品安全管理条例》的要求；危险化学品库房应有明显的货物标记，场所应有警示标志和书写有危险特性、泄漏应急处理、储运注意事项和灭火方法等内容的标牌；运输危险化学品的单位，应有素质；车辆应有危运证；包装物和容器应是定点单位生产；组织义务消防队，并定期组织消防训练，使每位员工都会使用消防器材。应针对性</w:t>
            </w:r>
            <w:r>
              <w:rPr>
                <w:rFonts w:hint="eastAsia" w:cs="Times New Roman"/>
                <w:color w:val="auto"/>
                <w:highlight w:val="none"/>
                <w:lang w:eastAsia="zh-CN"/>
              </w:rPr>
              <w:t>地</w:t>
            </w:r>
            <w:r>
              <w:rPr>
                <w:rFonts w:hint="default" w:ascii="Times New Roman" w:hAnsi="Times New Roman" w:cs="Times New Roman"/>
                <w:color w:val="auto"/>
                <w:highlight w:val="none"/>
              </w:rPr>
              <w:t>制定化学伤害、中毒急救方案，并组织训练演习。</w:t>
            </w:r>
          </w:p>
          <w:p w14:paraId="61F396B1">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2</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工艺废气事故排放的风险防范措施</w:t>
            </w:r>
          </w:p>
          <w:p w14:paraId="6DCF4352">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①按照</w:t>
            </w:r>
            <w:r>
              <w:rPr>
                <w:rFonts w:hint="default" w:ascii="Times New Roman" w:hAnsi="Times New Roman" w:cs="Times New Roman"/>
                <w:color w:val="auto"/>
                <w:highlight w:val="none"/>
                <w:lang w:val="en-US" w:eastAsia="zh-CN"/>
              </w:rPr>
              <w:t>相关</w:t>
            </w:r>
            <w:r>
              <w:rPr>
                <w:rFonts w:hint="default" w:ascii="Times New Roman" w:hAnsi="Times New Roman" w:cs="Times New Roman"/>
                <w:color w:val="auto"/>
                <w:highlight w:val="none"/>
              </w:rPr>
              <w:t>规定，制定废气处理设施操作规程，责任到专人，负责该设施正常运转，并备用更换的设备零部件，以便设备出现功能性故障时及时更换，保证设备正常运行；</w:t>
            </w:r>
          </w:p>
          <w:p w14:paraId="2105B78A">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②废气治理设施应有标识，并注明注意事项，以防止误操作后</w:t>
            </w:r>
            <w:r>
              <w:rPr>
                <w:rFonts w:hint="default" w:ascii="Times New Roman" w:hAnsi="Times New Roman" w:cs="Times New Roman"/>
                <w:color w:val="auto"/>
                <w:highlight w:val="none"/>
                <w:lang w:eastAsia="zh-CN"/>
              </w:rPr>
              <w:t>意外</w:t>
            </w:r>
            <w:r>
              <w:rPr>
                <w:rFonts w:hint="default" w:ascii="Times New Roman" w:hAnsi="Times New Roman" w:cs="Times New Roman"/>
                <w:color w:val="auto"/>
                <w:highlight w:val="none"/>
              </w:rPr>
              <w:t>的事故排放；</w:t>
            </w:r>
          </w:p>
          <w:p w14:paraId="0A337E23">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③加强对操作工人的培训，根据相关规定，培养员工的安全和环境意识，提高操作工人的技术水平和责任感，降低操作失误而造成的事故；</w:t>
            </w:r>
          </w:p>
          <w:p w14:paraId="698619CD">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④定期检修设备，加强日常维护保养，避免或减少故障发生，确保设备处于正常的工作状态。</w:t>
            </w:r>
          </w:p>
          <w:p w14:paraId="4806A03F">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3</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燃爆风险防范措施</w:t>
            </w:r>
          </w:p>
          <w:p w14:paraId="5553D4CA">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①项目机油存在燃爆风险，因此，应采取相应的防燃爆措施，建议在厂区内聚集危险的关键地点安装检测器；在有可能着火的设施附近设置感温感烟火灾报警器；</w:t>
            </w:r>
          </w:p>
          <w:p w14:paraId="3BD60BF3">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②按相关规定划分危险区</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在危险区内的电器设备，按《爆炸和火灾危险环境电力装置设计规范》（GB50058-2014）的要求选用相应的防爆电器仪表，防爆等级不低于相应设计规范的要求；</w:t>
            </w:r>
          </w:p>
          <w:p w14:paraId="7104827B">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③厂区消防设计执行《建筑设计防火规范》（GB50016-2014）、《低倍数泡沫灭火系统设计规范》（GB50151-2010）和《建筑灭火器配置设计规范》（50016-2014）要求；</w:t>
            </w:r>
          </w:p>
          <w:p w14:paraId="48396BA3">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④建筑物之间保证足够的安全距离，防爆区内严禁有地下空间，以免造成易燃气体积聚；</w:t>
            </w:r>
          </w:p>
          <w:p w14:paraId="2BA644EB">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⑤对场所设置安全警示标志；工作人员严禁携带火柴、打火机等火种进入生产区内，生产区内严禁吸烟；不准穿有钉鞋和化纤衣服的人员进入生产区。</w:t>
            </w:r>
          </w:p>
          <w:p w14:paraId="2945479C">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⑥提高操作、管理人员的业务素质，加强其岗位培训；操作人员岗位培训合格者方可上岗；</w:t>
            </w:r>
          </w:p>
          <w:p w14:paraId="3FEFA16B">
            <w:pPr>
              <w:bidi w:val="0"/>
              <w:rPr>
                <w:rFonts w:ascii="Times New Roman" w:hAnsi="Times New Roman" w:eastAsia="宋体" w:cs="Times New Roman"/>
                <w:color w:val="auto"/>
                <w:spacing w:val="0"/>
                <w:highlight w:val="none"/>
              </w:rPr>
            </w:pPr>
            <w:r>
              <w:rPr>
                <w:rFonts w:hint="default" w:ascii="Times New Roman" w:hAnsi="Times New Roman" w:eastAsia="宋体" w:cs="Times New Roman"/>
                <w:color w:val="auto"/>
                <w:highlight w:val="none"/>
              </w:rPr>
              <w:t>⑦电气和仪表专业设计按照《爆炸和火灾危险环境电力装置设计规范》执行，将能产生电火花的设备放在远离现场的配电室内，并采用密闭电器。</w:t>
            </w:r>
          </w:p>
          <w:p w14:paraId="6455EB21">
            <w:pPr>
              <w:rPr>
                <w:rFonts w:hint="default" w:ascii="Times New Roman" w:hAnsi="Times New Roman" w:eastAsia="宋体" w:cs="Times New Roman"/>
                <w:color w:val="auto"/>
                <w:spacing w:val="0"/>
                <w:highlight w:val="none"/>
              </w:rPr>
            </w:pPr>
            <w:r>
              <w:rPr>
                <w:rFonts w:ascii="Times New Roman" w:hAnsi="Times New Roman" w:eastAsia="宋体" w:cs="Times New Roman"/>
                <w:color w:val="auto"/>
                <w:spacing w:val="0"/>
                <w:highlight w:val="none"/>
              </w:rPr>
              <w:t>根据项目风险物料量的分析，项目贮存量较少，项目加强厂区管理，严禁烟火，加强风险区专人管理，加强电气、电线保养与防爆措施，火灾的可能性较小。</w:t>
            </w:r>
          </w:p>
          <w:p w14:paraId="08D4EC51">
            <w:pPr>
              <w:rPr>
                <w:rFonts w:hint="default" w:ascii="Times New Roman" w:hAnsi="Times New Roman" w:cs="Times New Roman"/>
                <w:color w:val="auto"/>
                <w:highlight w:val="none"/>
              </w:rPr>
            </w:pPr>
            <w:r>
              <w:rPr>
                <w:rFonts w:hint="default" w:ascii="Times New Roman" w:hAnsi="Times New Roman" w:eastAsia="宋体" w:cs="Times New Roman"/>
                <w:color w:val="auto"/>
                <w:spacing w:val="0"/>
                <w:highlight w:val="none"/>
                <w:lang w:eastAsia="zh-CN"/>
              </w:rPr>
              <w:t>（</w:t>
            </w:r>
            <w:r>
              <w:rPr>
                <w:rFonts w:hint="eastAsia" w:ascii="Times New Roman" w:hAnsi="Times New Roman" w:eastAsia="宋体" w:cs="Times New Roman"/>
                <w:color w:val="auto"/>
                <w:spacing w:val="0"/>
                <w:highlight w:val="none"/>
                <w:lang w:val="en-US" w:eastAsia="zh-CN"/>
              </w:rPr>
              <w:t>4</w:t>
            </w:r>
            <w:r>
              <w:rPr>
                <w:rFonts w:hint="default" w:ascii="Times New Roman" w:hAnsi="Times New Roman" w:eastAsia="宋体" w:cs="Times New Roman"/>
                <w:color w:val="auto"/>
                <w:spacing w:val="0"/>
                <w:highlight w:val="none"/>
                <w:lang w:eastAsia="zh-CN"/>
              </w:rPr>
              <w:t>）</w:t>
            </w:r>
            <w:r>
              <w:rPr>
                <w:rFonts w:hint="default" w:ascii="Times New Roman" w:hAnsi="Times New Roman" w:eastAsia="宋体" w:cs="Times New Roman"/>
                <w:color w:val="auto"/>
                <w:spacing w:val="0"/>
                <w:highlight w:val="none"/>
              </w:rPr>
              <w:t>制定应急预案，落实环境风险应急预案要求，并定期开展应急预案修编；定期（至少每年一次）组织、安排开展环境应急演练，用以检验应急救援方案、</w:t>
            </w:r>
            <w:r>
              <w:rPr>
                <w:rFonts w:hint="default" w:ascii="Times New Roman" w:hAnsi="Times New Roman" w:cs="Times New Roman"/>
                <w:color w:val="auto"/>
                <w:highlight w:val="none"/>
              </w:rPr>
              <w:t>锻炼队伍。日常工作中，建立24小时值班制度，定期召开工作会议，及时掌握安全生产和应急救援情况，研究、布置下阶段任务。建立</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单元、厂区、开发区</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三级应急防控体系，当本厂区应急不能满足应急要求时，立即向上一级汇报，启动上一级应急预案，应急预案应与区域应急预案相衔接，可借助社会力量进行救援，使对环境的污染和人员的伤害程度</w:t>
            </w:r>
            <w:r>
              <w:rPr>
                <w:rFonts w:hint="default" w:ascii="Times New Roman" w:hAnsi="Times New Roman" w:cs="Times New Roman"/>
                <w:color w:val="auto"/>
                <w:highlight w:val="none"/>
                <w:lang w:eastAsia="zh-CN"/>
              </w:rPr>
              <w:t>降至最低</w:t>
            </w:r>
            <w:r>
              <w:rPr>
                <w:rFonts w:hint="default" w:ascii="Times New Roman" w:hAnsi="Times New Roman" w:cs="Times New Roman"/>
                <w:color w:val="auto"/>
                <w:highlight w:val="none"/>
              </w:rPr>
              <w:t>。</w:t>
            </w:r>
          </w:p>
          <w:p w14:paraId="6948C1BF">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w:t>
            </w:r>
            <w:r>
              <w:rPr>
                <w:rFonts w:hint="eastAsia" w:ascii="Times New Roman" w:hAnsi="Times New Roman" w:cs="Times New Roman"/>
                <w:color w:val="auto"/>
                <w:highlight w:val="none"/>
                <w:lang w:val="en-US" w:eastAsia="zh-CN"/>
              </w:rPr>
              <w:t>5</w:t>
            </w:r>
            <w:r>
              <w:rPr>
                <w:rFonts w:hint="default" w:ascii="Times New Roman" w:hAnsi="Times New Roman" w:cs="Times New Roman"/>
                <w:color w:val="auto"/>
                <w:highlight w:val="none"/>
              </w:rPr>
              <w:t>）总图布置严格执行国家有关部门现行的设计规范、规定及标准。各生产装置之间严格按防火防爆间距布置，厂房及建筑物按规定等级设计。根据车间（工序）生产过程中火灾危险等级及毒物危害程度分级进行分类、分区布置。合理划分管理区、工艺生产区、辅助生产区及储运设施区，各区按其危害程度采取相应的安全防范措施进行管理。合理组织人流和货流，结合交通、消防的需要，装置区周围设置环形消防道，以满足工艺流程、厂内外运输、检修及生产管理的要求。</w:t>
            </w:r>
          </w:p>
          <w:p w14:paraId="6AD14517">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w:t>
            </w:r>
            <w:r>
              <w:rPr>
                <w:rFonts w:hint="eastAsia" w:ascii="Times New Roman" w:hAnsi="Times New Roman" w:cs="Times New Roman"/>
                <w:color w:val="auto"/>
                <w:highlight w:val="none"/>
                <w:lang w:val="en-US" w:eastAsia="zh-CN"/>
              </w:rPr>
              <w:t>6</w:t>
            </w:r>
            <w:r>
              <w:rPr>
                <w:rFonts w:hint="default" w:ascii="Times New Roman" w:hAnsi="Times New Roman" w:cs="Times New Roman"/>
                <w:color w:val="auto"/>
                <w:highlight w:val="none"/>
              </w:rPr>
              <w:t>）在车间和生产岗位配备必要的消防器材及消防工具，如干粉灭火器等，对这些器材应配备专人保管，定期检查，以备事故时急用。</w:t>
            </w:r>
          </w:p>
          <w:p w14:paraId="0DF558B8">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w:t>
            </w:r>
            <w:r>
              <w:rPr>
                <w:rFonts w:hint="eastAsia" w:ascii="Times New Roman" w:hAnsi="Times New Roman" w:cs="Times New Roman"/>
                <w:color w:val="auto"/>
                <w:highlight w:val="none"/>
                <w:lang w:val="en-US" w:eastAsia="zh-CN"/>
              </w:rPr>
              <w:t>7</w:t>
            </w:r>
            <w:r>
              <w:rPr>
                <w:rFonts w:hint="default" w:ascii="Times New Roman" w:hAnsi="Times New Roman" w:cs="Times New Roman"/>
                <w:color w:val="auto"/>
                <w:highlight w:val="none"/>
              </w:rPr>
              <w:t>）加强安全管理。以班组管理为基础，充分发挥班组长在防火安全管理中的作用。班后清扫好工作岗位卫生，检查加工机械电源关闭情况等，并做好交接班记录。</w:t>
            </w:r>
          </w:p>
          <w:p w14:paraId="281FA39E">
            <w:pPr>
              <w:spacing w:line="360" w:lineRule="auto"/>
              <w:ind w:firstLine="482" w:firstLineChars="200"/>
              <w:jc w:val="left"/>
              <w:outlineLvl w:val="8"/>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val="en-US" w:eastAsia="zh-CN"/>
              </w:rPr>
              <w:t>5、</w:t>
            </w:r>
            <w:r>
              <w:rPr>
                <w:rFonts w:hint="default" w:ascii="Times New Roman" w:hAnsi="Times New Roman" w:cs="Times New Roman"/>
                <w:b/>
                <w:bCs/>
                <w:color w:val="auto"/>
                <w:sz w:val="24"/>
                <w:highlight w:val="none"/>
              </w:rPr>
              <w:t>环境风险分析结论</w:t>
            </w:r>
          </w:p>
          <w:p w14:paraId="2E0E7C01">
            <w:pPr>
              <w:bidi w:val="0"/>
              <w:rPr>
                <w:rFonts w:hint="default" w:ascii="Times New Roman" w:hAnsi="Times New Roman" w:cs="Times New Roman"/>
                <w:color w:val="auto"/>
                <w:highlight w:val="none"/>
              </w:rPr>
            </w:pPr>
            <w:r>
              <w:rPr>
                <w:rFonts w:hint="default" w:ascii="Times New Roman" w:hAnsi="Times New Roman" w:cs="Times New Roman"/>
                <w:color w:val="auto"/>
                <w:highlight w:val="none"/>
              </w:rPr>
              <w:t>针对项目可能存在的突发环境事故，为保证项目内部、社会及人民生命财产的安全，防止突发性环境事故发生，在事故发生后迅速有效控制处理，防止事故蔓延、扩大，积极组织抢救、抢险、抢修，发挥各职能部门、社会力量的作用，使事故发生的损失减少到最低限度，本次评价提出，项目建成投产前建设单位应根据相关要求进行突发环境事件应急预案的编制，在事故发生时依照应急预案及时处理，拟建项目造成的风险是可控制的。</w:t>
            </w:r>
          </w:p>
          <w:p w14:paraId="588FC28A">
            <w:pPr>
              <w:pStyle w:val="26"/>
              <w:rPr>
                <w:rFonts w:hint="eastAsia"/>
                <w:color w:val="auto"/>
                <w:highlight w:val="none"/>
                <w:vertAlign w:val="baseline"/>
              </w:rPr>
            </w:pPr>
          </w:p>
          <w:p w14:paraId="6B4FAD94">
            <w:pPr>
              <w:rPr>
                <w:rFonts w:hint="eastAsia"/>
                <w:color w:val="auto"/>
                <w:highlight w:val="none"/>
                <w:vertAlign w:val="baseline"/>
              </w:rPr>
            </w:pPr>
          </w:p>
          <w:p w14:paraId="459430F8">
            <w:pPr>
              <w:rPr>
                <w:rFonts w:hint="eastAsia"/>
                <w:color w:val="auto"/>
                <w:highlight w:val="none"/>
                <w:vertAlign w:val="baseline"/>
              </w:rPr>
            </w:pPr>
          </w:p>
          <w:p w14:paraId="372C047D">
            <w:pPr>
              <w:rPr>
                <w:rFonts w:hint="eastAsia"/>
                <w:color w:val="auto"/>
                <w:highlight w:val="none"/>
                <w:vertAlign w:val="baseline"/>
              </w:rPr>
            </w:pPr>
          </w:p>
          <w:p w14:paraId="30F47377">
            <w:pPr>
              <w:ind w:left="0" w:leftChars="0" w:firstLine="0" w:firstLineChars="0"/>
              <w:rPr>
                <w:rFonts w:hint="eastAsia"/>
                <w:color w:val="auto"/>
                <w:highlight w:val="none"/>
                <w:vertAlign w:val="baseline"/>
              </w:rPr>
            </w:pPr>
          </w:p>
        </w:tc>
      </w:tr>
    </w:tbl>
    <w:p w14:paraId="79A2FF76">
      <w:pPr>
        <w:pStyle w:val="26"/>
        <w:rPr>
          <w:rFonts w:hint="eastAsia"/>
          <w:color w:val="auto"/>
          <w:highlight w:val="none"/>
        </w:rPr>
        <w:sectPr>
          <w:pgSz w:w="11907" w:h="16840"/>
          <w:pgMar w:top="1701" w:right="1531" w:bottom="2126" w:left="1531" w:header="851" w:footer="850" w:gutter="0"/>
          <w:pgBorders>
            <w:top w:val="none" w:sz="0" w:space="0"/>
            <w:left w:val="none" w:sz="0" w:space="0"/>
            <w:bottom w:val="none" w:sz="0" w:space="0"/>
            <w:right w:val="none" w:sz="0" w:space="0"/>
          </w:pgBorders>
          <w:pgNumType w:fmt="decimal"/>
          <w:cols w:space="720" w:num="1"/>
          <w:rtlGutter w:val="0"/>
          <w:docGrid w:type="lines" w:linePitch="312" w:charSpace="0"/>
        </w:sectPr>
      </w:pPr>
    </w:p>
    <w:p w14:paraId="3FB907F0">
      <w:pPr>
        <w:pStyle w:val="24"/>
        <w:pageBreakBefore w:val="0"/>
        <w:kinsoku/>
        <w:wordWrap/>
        <w:topLinePunct w:val="0"/>
        <w:bidi w:val="0"/>
        <w:snapToGrid/>
        <w:ind w:left="0" w:leftChars="0" w:firstLine="0" w:firstLineChars="0"/>
        <w:jc w:val="center"/>
        <w:outlineLvl w:val="0"/>
        <w:rPr>
          <w:rFonts w:ascii="黑体" w:hAnsi="黑体" w:eastAsia="黑体"/>
          <w:snapToGrid w:val="0"/>
          <w:color w:val="auto"/>
          <w:sz w:val="30"/>
          <w:szCs w:val="30"/>
          <w:highlight w:val="none"/>
        </w:rPr>
      </w:pPr>
      <w:bookmarkStart w:id="14" w:name="_Toc23983"/>
      <w:r>
        <w:rPr>
          <w:rFonts w:hint="eastAsia" w:ascii="黑体" w:hAnsi="黑体" w:eastAsia="黑体"/>
          <w:snapToGrid w:val="0"/>
          <w:color w:val="auto"/>
          <w:sz w:val="30"/>
          <w:szCs w:val="30"/>
          <w:highlight w:val="none"/>
        </w:rPr>
        <w:t>五、</w:t>
      </w:r>
      <w:bookmarkStart w:id="15" w:name="_Hlk54167917"/>
      <w:r>
        <w:rPr>
          <w:rFonts w:hint="eastAsia" w:ascii="黑体" w:hAnsi="黑体" w:eastAsia="黑体"/>
          <w:snapToGrid w:val="0"/>
          <w:color w:val="auto"/>
          <w:sz w:val="30"/>
          <w:szCs w:val="30"/>
          <w:highlight w:val="none"/>
        </w:rPr>
        <w:t>环境保护措施监督检查清单</w:t>
      </w:r>
      <w:bookmarkEnd w:id="14"/>
      <w:bookmarkEnd w:id="15"/>
    </w:p>
    <w:tbl>
      <w:tblPr>
        <w:tblStyle w:val="27"/>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31"/>
        <w:gridCol w:w="1864"/>
        <w:gridCol w:w="1208"/>
        <w:gridCol w:w="2752"/>
        <w:gridCol w:w="2305"/>
      </w:tblGrid>
      <w:tr w14:paraId="5FDCBE9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1" w:type="dxa"/>
            <w:tcBorders>
              <w:tl2br w:val="single" w:color="auto" w:sz="4" w:space="0"/>
            </w:tcBorders>
            <w:noWrap w:val="0"/>
            <w:vAlign w:val="center"/>
          </w:tcPr>
          <w:p w14:paraId="688E5AC0">
            <w:pPr>
              <w:keepNext w:val="0"/>
              <w:keepLines w:val="0"/>
              <w:pageBreakBefore w:val="0"/>
              <w:kinsoku/>
              <w:wordWrap/>
              <w:overflowPunct/>
              <w:topLinePunct w:val="0"/>
              <w:autoSpaceDE/>
              <w:autoSpaceDN/>
              <w:bidi w:val="0"/>
              <w:adjustRightInd w:val="0"/>
              <w:snapToGrid/>
              <w:spacing w:line="240" w:lineRule="auto"/>
              <w:ind w:left="0" w:right="0" w:firstLine="0" w:firstLineChars="0"/>
              <w:jc w:val="right"/>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内容</w:t>
            </w:r>
          </w:p>
          <w:p w14:paraId="10D2956D">
            <w:pPr>
              <w:keepNext w:val="0"/>
              <w:keepLines w:val="0"/>
              <w:pageBreakBefore w:val="0"/>
              <w:kinsoku/>
              <w:wordWrap/>
              <w:overflowPunct/>
              <w:topLinePunct w:val="0"/>
              <w:autoSpaceDE/>
              <w:autoSpaceDN/>
              <w:bidi w:val="0"/>
              <w:adjustRightInd w:val="0"/>
              <w:snapToGrid/>
              <w:spacing w:line="240" w:lineRule="auto"/>
              <w:ind w:left="0" w:right="0" w:firstLine="0" w:firstLineChars="0"/>
              <w:jc w:val="both"/>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要素</w:t>
            </w:r>
          </w:p>
        </w:tc>
        <w:tc>
          <w:tcPr>
            <w:tcW w:w="1864" w:type="dxa"/>
            <w:noWrap w:val="0"/>
            <w:vAlign w:val="center"/>
          </w:tcPr>
          <w:p w14:paraId="2C99EE2C">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排放口</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rPr>
              <w:t>编号、名称</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rPr>
              <w:t>/污染源</w:t>
            </w:r>
          </w:p>
        </w:tc>
        <w:tc>
          <w:tcPr>
            <w:tcW w:w="1208" w:type="dxa"/>
            <w:noWrap w:val="0"/>
            <w:vAlign w:val="center"/>
          </w:tcPr>
          <w:p w14:paraId="4A7EF222">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污染物项目</w:t>
            </w:r>
          </w:p>
        </w:tc>
        <w:tc>
          <w:tcPr>
            <w:tcW w:w="2752" w:type="dxa"/>
            <w:noWrap w:val="0"/>
            <w:vAlign w:val="center"/>
          </w:tcPr>
          <w:p w14:paraId="37948F75">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环境保护措施</w:t>
            </w:r>
          </w:p>
        </w:tc>
        <w:tc>
          <w:tcPr>
            <w:tcW w:w="2305" w:type="dxa"/>
            <w:noWrap w:val="0"/>
            <w:vAlign w:val="center"/>
          </w:tcPr>
          <w:p w14:paraId="36E3090B">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执行标准</w:t>
            </w:r>
          </w:p>
        </w:tc>
      </w:tr>
      <w:tr w14:paraId="50DE9D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36" w:hRule="atLeast"/>
          <w:jc w:val="center"/>
        </w:trPr>
        <w:tc>
          <w:tcPr>
            <w:tcW w:w="931" w:type="dxa"/>
            <w:vMerge w:val="restart"/>
            <w:noWrap w:val="0"/>
            <w:vAlign w:val="center"/>
          </w:tcPr>
          <w:p w14:paraId="39C4BFB1">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eastAsia" w:ascii="宋体" w:hAnsi="宋体" w:cs="宋体"/>
                <w:color w:val="auto"/>
                <w:sz w:val="21"/>
                <w:szCs w:val="21"/>
                <w:highlight w:val="none"/>
              </w:rPr>
            </w:pPr>
            <w:r>
              <w:rPr>
                <w:rFonts w:hint="eastAsia" w:ascii="宋体" w:hAnsi="宋体" w:eastAsia="宋体" w:cs="宋体"/>
                <w:b w:val="0"/>
                <w:bCs w:val="0"/>
                <w:color w:val="auto"/>
                <w:sz w:val="21"/>
                <w:szCs w:val="21"/>
                <w:highlight w:val="none"/>
              </w:rPr>
              <w:t>大气环境</w:t>
            </w:r>
          </w:p>
        </w:tc>
        <w:tc>
          <w:tcPr>
            <w:tcW w:w="1864" w:type="dxa"/>
            <w:noWrap w:val="0"/>
            <w:vAlign w:val="center"/>
          </w:tcPr>
          <w:p w14:paraId="528A2493">
            <w:pPr>
              <w:keepNext w:val="0"/>
              <w:keepLines w:val="0"/>
              <w:pageBreakBefore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kern w:val="0"/>
                <w:sz w:val="21"/>
                <w:szCs w:val="24"/>
                <w:highlight w:val="none"/>
                <w:lang w:val="en-US" w:eastAsia="zh-CN" w:bidi="ar-SA"/>
              </w:rPr>
              <w:t>挤出、喷码、注塑废气排放口</w:t>
            </w:r>
            <w:r>
              <w:rPr>
                <w:rFonts w:hint="eastAsia" w:ascii="Times New Roman" w:hAnsi="Times New Roman" w:eastAsia="宋体" w:cs="Times New Roman"/>
                <w:color w:val="auto"/>
                <w:sz w:val="21"/>
                <w:szCs w:val="21"/>
                <w:highlight w:val="none"/>
                <w:lang w:val="en-US" w:eastAsia="zh-CN"/>
              </w:rPr>
              <w:t>DA001</w:t>
            </w:r>
          </w:p>
        </w:tc>
        <w:tc>
          <w:tcPr>
            <w:tcW w:w="1208" w:type="dxa"/>
            <w:noWrap w:val="0"/>
            <w:vAlign w:val="center"/>
          </w:tcPr>
          <w:p w14:paraId="4732869D">
            <w:pPr>
              <w:pStyle w:val="10"/>
              <w:bidi w:val="0"/>
              <w:ind w:right="0" w:rightChars="0" w:firstLine="0" w:firstLineChars="0"/>
              <w:rPr>
                <w:rFonts w:hint="default" w:ascii="Times New Roman" w:hAnsi="Times New Roman" w:eastAsia="宋体"/>
                <w:color w:val="auto"/>
                <w:kern w:val="0"/>
                <w:sz w:val="21"/>
                <w:szCs w:val="21"/>
                <w:highlight w:val="none"/>
                <w:lang w:val="en-US" w:eastAsia="zh-CN" w:bidi="ar-SA"/>
              </w:rPr>
            </w:pPr>
            <w:r>
              <w:rPr>
                <w:rFonts w:hint="eastAsia"/>
                <w:color w:val="auto"/>
                <w:sz w:val="21"/>
                <w:szCs w:val="21"/>
                <w:highlight w:val="none"/>
                <w:lang w:val="en-US" w:eastAsia="zh-CN"/>
              </w:rPr>
              <w:t>非甲烷总烃、氯乙烯、氯化氢、臭气浓度</w:t>
            </w:r>
          </w:p>
        </w:tc>
        <w:tc>
          <w:tcPr>
            <w:tcW w:w="2752" w:type="dxa"/>
            <w:noWrap w:val="0"/>
            <w:vAlign w:val="center"/>
          </w:tcPr>
          <w:p w14:paraId="624D4698">
            <w:pPr>
              <w:pStyle w:val="10"/>
              <w:bidi w:val="0"/>
              <w:ind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密闭收集后经静电式油雾净化器+两级活性炭吸附处理装置处理后通过1根15m高的排气筒排放</w:t>
            </w:r>
          </w:p>
        </w:tc>
        <w:tc>
          <w:tcPr>
            <w:tcW w:w="2305" w:type="dxa"/>
            <w:vMerge w:val="restart"/>
            <w:noWrap w:val="0"/>
            <w:vAlign w:val="center"/>
          </w:tcPr>
          <w:p w14:paraId="39EC5F0D">
            <w:pPr>
              <w:pStyle w:val="10"/>
              <w:bidi w:val="0"/>
              <w:rPr>
                <w:rFonts w:hint="default" w:eastAsia="宋体"/>
                <w:color w:val="auto"/>
                <w:sz w:val="21"/>
                <w:szCs w:val="21"/>
                <w:highlight w:val="none"/>
                <w:lang w:val="en-US" w:eastAsia="zh-CN"/>
              </w:rPr>
            </w:pPr>
            <w:r>
              <w:rPr>
                <w:rFonts w:hint="default"/>
                <w:color w:val="auto"/>
                <w:highlight w:val="none"/>
                <w:lang w:eastAsia="zh-CN"/>
              </w:rPr>
              <w:t>本项目非甲烷总烃</w:t>
            </w:r>
            <w:r>
              <w:rPr>
                <w:rFonts w:hint="eastAsia"/>
                <w:color w:val="auto"/>
                <w:highlight w:val="none"/>
                <w:lang w:val="en-US" w:eastAsia="zh-CN"/>
              </w:rPr>
              <w:t>和氯乙烯有组织</w:t>
            </w:r>
            <w:r>
              <w:rPr>
                <w:rFonts w:hint="default"/>
                <w:color w:val="auto"/>
                <w:highlight w:val="none"/>
                <w:lang w:eastAsia="zh-CN"/>
              </w:rPr>
              <w:t>排放执行</w:t>
            </w:r>
            <w:r>
              <w:rPr>
                <w:rFonts w:hint="eastAsia"/>
                <w:color w:val="auto"/>
                <w:highlight w:val="none"/>
                <w:lang w:val="en-US" w:eastAsia="zh-CN"/>
              </w:rPr>
              <w:t>安徽省地方标准《固定源挥发性有机物综合排放标准 第6部分：其他行业》（DB 34/4812.6-2024）中限值要求；氯化氢有组织排放执行《大气污染物综合排放标准》（GB16297—1996）表2中排放限值要求；颗粒物有组织排放执行《大气污染物综合排放标准》（GB16297—1996）表2中排放限值要求；臭气浓度排放执行《恶臭污染物排放标准》（GB 14554-93）中限值要求。</w:t>
            </w:r>
          </w:p>
        </w:tc>
      </w:tr>
      <w:tr w14:paraId="5861F9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61" w:hRule="atLeast"/>
          <w:jc w:val="center"/>
        </w:trPr>
        <w:tc>
          <w:tcPr>
            <w:tcW w:w="931" w:type="dxa"/>
            <w:vMerge w:val="continue"/>
            <w:noWrap w:val="0"/>
            <w:vAlign w:val="center"/>
          </w:tcPr>
          <w:p w14:paraId="243F6501">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eastAsia" w:ascii="宋体" w:hAnsi="宋体" w:eastAsia="宋体" w:cs="宋体"/>
                <w:b w:val="0"/>
                <w:bCs w:val="0"/>
                <w:color w:val="auto"/>
                <w:sz w:val="21"/>
                <w:szCs w:val="21"/>
                <w:highlight w:val="none"/>
              </w:rPr>
            </w:pPr>
          </w:p>
        </w:tc>
        <w:tc>
          <w:tcPr>
            <w:tcW w:w="1864" w:type="dxa"/>
            <w:noWrap w:val="0"/>
            <w:vAlign w:val="center"/>
          </w:tcPr>
          <w:p w14:paraId="6BA6B1B1">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投料、旋风分离废气排放口</w:t>
            </w:r>
          </w:p>
          <w:p w14:paraId="4400F5B4">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DA00</w:t>
            </w:r>
            <w:r>
              <w:rPr>
                <w:rFonts w:hint="eastAsia" w:cs="Times New Roman"/>
                <w:color w:val="auto"/>
                <w:sz w:val="21"/>
                <w:szCs w:val="21"/>
                <w:highlight w:val="none"/>
                <w:lang w:val="en-US" w:eastAsia="zh-CN"/>
              </w:rPr>
              <w:t>2</w:t>
            </w:r>
          </w:p>
        </w:tc>
        <w:tc>
          <w:tcPr>
            <w:tcW w:w="1208" w:type="dxa"/>
            <w:noWrap w:val="0"/>
            <w:vAlign w:val="center"/>
          </w:tcPr>
          <w:p w14:paraId="5646E119">
            <w:pPr>
              <w:pStyle w:val="10"/>
              <w:bidi w:val="0"/>
              <w:ind w:right="0" w:rightChars="0" w:firstLine="0" w:firstLineChars="0"/>
              <w:rPr>
                <w:rFonts w:hint="default"/>
                <w:color w:val="auto"/>
                <w:sz w:val="21"/>
                <w:szCs w:val="21"/>
                <w:highlight w:val="none"/>
                <w:lang w:val="en-US" w:eastAsia="zh-CN"/>
              </w:rPr>
            </w:pPr>
            <w:r>
              <w:rPr>
                <w:rFonts w:hint="eastAsia"/>
                <w:color w:val="auto"/>
                <w:sz w:val="21"/>
                <w:szCs w:val="21"/>
                <w:highlight w:val="none"/>
                <w:lang w:val="en-US" w:eastAsia="zh-CN"/>
              </w:rPr>
              <w:t>颗粒物</w:t>
            </w:r>
          </w:p>
        </w:tc>
        <w:tc>
          <w:tcPr>
            <w:tcW w:w="2752" w:type="dxa"/>
            <w:noWrap w:val="0"/>
            <w:vAlign w:val="center"/>
          </w:tcPr>
          <w:p w14:paraId="6DF5C450">
            <w:pPr>
              <w:pStyle w:val="10"/>
              <w:bidi w:val="0"/>
              <w:ind w:right="0" w:rightChars="0" w:firstLine="0" w:firstLineChars="0"/>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投料废气经集气罩收集、旋风分离废气经管道密闭收集后经合并通过布袋除尘器处理后通过1根15m高的排气筒排放</w:t>
            </w:r>
          </w:p>
        </w:tc>
        <w:tc>
          <w:tcPr>
            <w:tcW w:w="2305" w:type="dxa"/>
            <w:vMerge w:val="continue"/>
            <w:noWrap w:val="0"/>
            <w:vAlign w:val="center"/>
          </w:tcPr>
          <w:p w14:paraId="4718A89B">
            <w:pPr>
              <w:pStyle w:val="10"/>
              <w:bidi w:val="0"/>
              <w:rPr>
                <w:rFonts w:hint="default"/>
                <w:color w:val="auto"/>
                <w:highlight w:val="none"/>
              </w:rPr>
            </w:pPr>
          </w:p>
        </w:tc>
      </w:tr>
      <w:tr w14:paraId="56BEB1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89" w:hRule="atLeast"/>
          <w:jc w:val="center"/>
        </w:trPr>
        <w:tc>
          <w:tcPr>
            <w:tcW w:w="931" w:type="dxa"/>
            <w:vMerge w:val="continue"/>
            <w:noWrap w:val="0"/>
            <w:vAlign w:val="center"/>
          </w:tcPr>
          <w:p w14:paraId="6509D5F5">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eastAsia" w:ascii="宋体" w:hAnsi="宋体" w:eastAsia="宋体" w:cs="宋体"/>
                <w:b w:val="0"/>
                <w:bCs w:val="0"/>
                <w:color w:val="auto"/>
                <w:sz w:val="21"/>
                <w:szCs w:val="21"/>
                <w:highlight w:val="none"/>
              </w:rPr>
            </w:pPr>
          </w:p>
        </w:tc>
        <w:tc>
          <w:tcPr>
            <w:tcW w:w="1864" w:type="dxa"/>
            <w:noWrap w:val="0"/>
            <w:vAlign w:val="center"/>
          </w:tcPr>
          <w:p w14:paraId="6B98656A">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cs="Times New Roman"/>
                <w:color w:val="auto"/>
                <w:kern w:val="0"/>
                <w:sz w:val="21"/>
                <w:szCs w:val="24"/>
                <w:highlight w:val="none"/>
                <w:lang w:val="en-US" w:eastAsia="zh-CN" w:bidi="ar-SA"/>
              </w:rPr>
            </w:pPr>
            <w:r>
              <w:rPr>
                <w:rFonts w:hint="eastAsia" w:cs="Times New Roman"/>
                <w:color w:val="auto"/>
                <w:kern w:val="0"/>
                <w:sz w:val="21"/>
                <w:szCs w:val="24"/>
                <w:highlight w:val="none"/>
                <w:lang w:val="en-US" w:eastAsia="zh-CN" w:bidi="ar-SA"/>
              </w:rPr>
              <w:t>熔融造粒废气排放口</w:t>
            </w:r>
          </w:p>
          <w:p w14:paraId="248AC2E0">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DA00</w:t>
            </w:r>
            <w:r>
              <w:rPr>
                <w:rFonts w:hint="eastAsia" w:cs="Times New Roman"/>
                <w:color w:val="auto"/>
                <w:sz w:val="21"/>
                <w:szCs w:val="21"/>
                <w:highlight w:val="none"/>
                <w:lang w:val="en-US" w:eastAsia="zh-CN"/>
              </w:rPr>
              <w:t>3</w:t>
            </w:r>
          </w:p>
        </w:tc>
        <w:tc>
          <w:tcPr>
            <w:tcW w:w="1208" w:type="dxa"/>
            <w:noWrap w:val="0"/>
            <w:vAlign w:val="center"/>
          </w:tcPr>
          <w:p w14:paraId="4C52CEC8">
            <w:pPr>
              <w:pStyle w:val="10"/>
              <w:bidi w:val="0"/>
              <w:ind w:right="0" w:rightChars="0" w:firstLine="0" w:firstLineChars="0"/>
              <w:rPr>
                <w:rFonts w:hint="default"/>
                <w:color w:val="auto"/>
                <w:sz w:val="21"/>
                <w:szCs w:val="21"/>
                <w:highlight w:val="none"/>
                <w:lang w:val="en-US" w:eastAsia="zh-CN"/>
              </w:rPr>
            </w:pPr>
            <w:r>
              <w:rPr>
                <w:rFonts w:hint="eastAsia"/>
                <w:color w:val="auto"/>
                <w:sz w:val="21"/>
                <w:szCs w:val="21"/>
                <w:highlight w:val="none"/>
                <w:lang w:val="en-US" w:eastAsia="zh-CN"/>
              </w:rPr>
              <w:t>非甲烷总烃、颗粒物、氯化氢、氯乙烯、臭气浓度</w:t>
            </w:r>
          </w:p>
        </w:tc>
        <w:tc>
          <w:tcPr>
            <w:tcW w:w="2752" w:type="dxa"/>
            <w:noWrap w:val="0"/>
            <w:vAlign w:val="center"/>
          </w:tcPr>
          <w:p w14:paraId="60BDBB82">
            <w:pPr>
              <w:pStyle w:val="10"/>
              <w:bidi w:val="0"/>
              <w:ind w:right="0" w:rightChars="0" w:firstLine="0" w:firstLineChars="0"/>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管道密闭收集后经静电式油雾净化器+布袋除尘器+二级活性炭吸附处理装置处理后通过1根15m高的排气筒排放</w:t>
            </w:r>
          </w:p>
        </w:tc>
        <w:tc>
          <w:tcPr>
            <w:tcW w:w="2305" w:type="dxa"/>
            <w:vMerge w:val="continue"/>
            <w:noWrap w:val="0"/>
            <w:vAlign w:val="center"/>
          </w:tcPr>
          <w:p w14:paraId="2349D171">
            <w:pPr>
              <w:pStyle w:val="10"/>
              <w:bidi w:val="0"/>
              <w:rPr>
                <w:rFonts w:hint="default"/>
                <w:color w:val="auto"/>
                <w:highlight w:val="none"/>
              </w:rPr>
            </w:pPr>
          </w:p>
        </w:tc>
      </w:tr>
      <w:tr w14:paraId="0CA660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931" w:type="dxa"/>
            <w:vMerge w:val="continue"/>
            <w:noWrap w:val="0"/>
            <w:vAlign w:val="center"/>
          </w:tcPr>
          <w:p w14:paraId="57FE5A85">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eastAsia" w:ascii="宋体" w:hAnsi="宋体" w:eastAsia="宋体" w:cs="宋体"/>
                <w:b w:val="0"/>
                <w:bCs w:val="0"/>
                <w:color w:val="auto"/>
                <w:sz w:val="21"/>
                <w:szCs w:val="21"/>
                <w:highlight w:val="none"/>
              </w:rPr>
            </w:pPr>
          </w:p>
        </w:tc>
        <w:tc>
          <w:tcPr>
            <w:tcW w:w="1864" w:type="dxa"/>
            <w:noWrap w:val="0"/>
            <w:vAlign w:val="center"/>
          </w:tcPr>
          <w:p w14:paraId="470BDD8D">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1208" w:type="dxa"/>
            <w:noWrap w:val="0"/>
            <w:vAlign w:val="center"/>
          </w:tcPr>
          <w:p w14:paraId="55BF3991">
            <w:pPr>
              <w:pStyle w:val="10"/>
              <w:bidi w:val="0"/>
              <w:ind w:right="0" w:rightChars="0" w:firstLine="0" w:firstLineChars="0"/>
              <w:rPr>
                <w:rFonts w:hint="default"/>
                <w:color w:val="auto"/>
                <w:sz w:val="21"/>
                <w:szCs w:val="21"/>
                <w:highlight w:val="none"/>
                <w:lang w:val="en-US" w:eastAsia="zh-CN"/>
              </w:rPr>
            </w:pPr>
            <w:r>
              <w:rPr>
                <w:rFonts w:hint="eastAsia"/>
                <w:color w:val="auto"/>
                <w:sz w:val="21"/>
                <w:szCs w:val="21"/>
                <w:highlight w:val="none"/>
                <w:lang w:val="en-US" w:eastAsia="zh-CN"/>
              </w:rPr>
              <w:t>食堂油烟</w:t>
            </w:r>
          </w:p>
        </w:tc>
        <w:tc>
          <w:tcPr>
            <w:tcW w:w="2752" w:type="dxa"/>
            <w:noWrap w:val="0"/>
            <w:vAlign w:val="center"/>
          </w:tcPr>
          <w:p w14:paraId="76E23B80">
            <w:pPr>
              <w:pStyle w:val="10"/>
              <w:bidi w:val="0"/>
              <w:ind w:right="0" w:rightChars="0" w:firstLine="0" w:firstLineChars="0"/>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经油烟净化器处理后引至楼顶排放</w:t>
            </w:r>
          </w:p>
        </w:tc>
        <w:tc>
          <w:tcPr>
            <w:tcW w:w="2305" w:type="dxa"/>
            <w:vMerge w:val="continue"/>
            <w:noWrap w:val="0"/>
            <w:vAlign w:val="center"/>
          </w:tcPr>
          <w:p w14:paraId="0E2D0A54">
            <w:pPr>
              <w:pStyle w:val="10"/>
              <w:bidi w:val="0"/>
              <w:rPr>
                <w:rFonts w:hint="default"/>
                <w:color w:val="auto"/>
                <w:highlight w:val="none"/>
              </w:rPr>
            </w:pPr>
          </w:p>
        </w:tc>
      </w:tr>
      <w:tr w14:paraId="5087F8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931" w:type="dxa"/>
            <w:vMerge w:val="continue"/>
            <w:noWrap w:val="0"/>
            <w:vAlign w:val="center"/>
          </w:tcPr>
          <w:p w14:paraId="4BD234E8">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eastAsia" w:ascii="宋体" w:hAnsi="宋体" w:cs="宋体"/>
                <w:color w:val="auto"/>
                <w:sz w:val="21"/>
                <w:szCs w:val="21"/>
                <w:highlight w:val="none"/>
              </w:rPr>
            </w:pPr>
          </w:p>
        </w:tc>
        <w:tc>
          <w:tcPr>
            <w:tcW w:w="1864" w:type="dxa"/>
            <w:noWrap w:val="0"/>
            <w:vAlign w:val="center"/>
          </w:tcPr>
          <w:p w14:paraId="3CBC5F3F">
            <w:pPr>
              <w:keepNext w:val="0"/>
              <w:keepLines w:val="0"/>
              <w:pageBreakBefore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厂区</w:t>
            </w:r>
          </w:p>
        </w:tc>
        <w:tc>
          <w:tcPr>
            <w:tcW w:w="1208" w:type="dxa"/>
            <w:noWrap w:val="0"/>
            <w:vAlign w:val="center"/>
          </w:tcPr>
          <w:p w14:paraId="00C037C3">
            <w:pPr>
              <w:pStyle w:val="10"/>
              <w:bidi w:val="0"/>
              <w:ind w:right="0" w:rightChars="0" w:firstLine="0" w:firstLineChars="0"/>
              <w:jc w:val="center"/>
              <w:rPr>
                <w:rFonts w:hint="default" w:ascii="Times New Roman" w:hAnsi="Times New Roman" w:eastAsia="宋体"/>
                <w:color w:val="auto"/>
                <w:kern w:val="0"/>
                <w:sz w:val="21"/>
                <w:szCs w:val="21"/>
                <w:highlight w:val="none"/>
                <w:lang w:val="en-US" w:eastAsia="zh-CN" w:bidi="ar-SA"/>
              </w:rPr>
            </w:pPr>
            <w:r>
              <w:rPr>
                <w:rFonts w:hint="eastAsia"/>
                <w:color w:val="auto"/>
                <w:sz w:val="21"/>
                <w:szCs w:val="21"/>
                <w:highlight w:val="none"/>
                <w:lang w:val="en-US" w:eastAsia="zh-CN"/>
              </w:rPr>
              <w:t>非甲烷总烃</w:t>
            </w:r>
          </w:p>
        </w:tc>
        <w:tc>
          <w:tcPr>
            <w:tcW w:w="2752" w:type="dxa"/>
            <w:vMerge w:val="restart"/>
            <w:noWrap w:val="0"/>
            <w:vAlign w:val="center"/>
          </w:tcPr>
          <w:p w14:paraId="6B4357BC">
            <w:pPr>
              <w:keepNext w:val="0"/>
              <w:keepLines w:val="0"/>
              <w:pageBreakBefore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加强废气的收集和处理</w:t>
            </w:r>
          </w:p>
        </w:tc>
        <w:tc>
          <w:tcPr>
            <w:tcW w:w="2305" w:type="dxa"/>
            <w:vMerge w:val="restart"/>
            <w:noWrap w:val="0"/>
            <w:vAlign w:val="center"/>
          </w:tcPr>
          <w:p w14:paraId="5976CF70">
            <w:pPr>
              <w:keepNext w:val="0"/>
              <w:keepLines w:val="0"/>
              <w:pageBreakBefore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非甲烷总烃厂区内无组织排放</w:t>
            </w:r>
            <w:r>
              <w:rPr>
                <w:rFonts w:hint="eastAsia" w:cs="Times New Roman"/>
                <w:color w:val="auto"/>
                <w:kern w:val="2"/>
                <w:sz w:val="21"/>
                <w:szCs w:val="21"/>
                <w:highlight w:val="none"/>
                <w:lang w:val="en-US" w:eastAsia="zh-CN" w:bidi="ar-SA"/>
              </w:rPr>
              <w:t>和氯乙烯厂界无组织</w:t>
            </w:r>
            <w:r>
              <w:rPr>
                <w:rFonts w:hint="default" w:ascii="Times New Roman" w:hAnsi="Times New Roman" w:eastAsia="宋体" w:cs="Times New Roman"/>
                <w:color w:val="auto"/>
                <w:kern w:val="2"/>
                <w:sz w:val="21"/>
                <w:szCs w:val="21"/>
                <w:highlight w:val="none"/>
                <w:lang w:val="en-US" w:eastAsia="zh-CN" w:bidi="ar-SA"/>
              </w:rPr>
              <w:t>执行安徽省地方标准《固定源挥发性有机物综合排放标准 第6部分：其他行业》（DB 34/4812.6-2024）中限值要求</w:t>
            </w:r>
            <w:r>
              <w:rPr>
                <w:rFonts w:hint="eastAsia" w:cs="Times New Roman"/>
                <w:color w:val="auto"/>
                <w:kern w:val="2"/>
                <w:sz w:val="21"/>
                <w:szCs w:val="21"/>
                <w:highlight w:val="none"/>
                <w:lang w:val="en-US" w:eastAsia="zh-CN" w:bidi="ar-SA"/>
              </w:rPr>
              <w:t>；非甲烷总烃、颗粒物、氯化氢厂界无组织排放执行《大气污染物综合排放标准》（GB16297—1996）表2中排放限值要求；臭气浓度厂界无组织排放执行《恶臭污染物排放标准》（GB 14554-93）中限值要求。</w:t>
            </w:r>
          </w:p>
        </w:tc>
      </w:tr>
      <w:tr w14:paraId="5A7FB0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931" w:type="dxa"/>
            <w:vMerge w:val="continue"/>
            <w:noWrap w:val="0"/>
            <w:vAlign w:val="center"/>
          </w:tcPr>
          <w:p w14:paraId="4A98A68E">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eastAsia" w:ascii="宋体" w:hAnsi="宋体" w:cs="宋体"/>
                <w:color w:val="auto"/>
                <w:sz w:val="21"/>
                <w:szCs w:val="21"/>
                <w:highlight w:val="none"/>
              </w:rPr>
            </w:pPr>
          </w:p>
        </w:tc>
        <w:tc>
          <w:tcPr>
            <w:tcW w:w="1864" w:type="dxa"/>
            <w:vMerge w:val="restart"/>
            <w:noWrap w:val="0"/>
            <w:vAlign w:val="center"/>
          </w:tcPr>
          <w:p w14:paraId="1C561570">
            <w:pPr>
              <w:keepNext w:val="0"/>
              <w:keepLines w:val="0"/>
              <w:pageBreakBefore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厂界</w:t>
            </w:r>
          </w:p>
        </w:tc>
        <w:tc>
          <w:tcPr>
            <w:tcW w:w="1208" w:type="dxa"/>
            <w:noWrap w:val="0"/>
            <w:vAlign w:val="center"/>
          </w:tcPr>
          <w:p w14:paraId="2A6C5029">
            <w:pPr>
              <w:pStyle w:val="10"/>
              <w:bidi w:val="0"/>
              <w:ind w:right="0" w:rightChars="0"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非甲烷总烃</w:t>
            </w:r>
          </w:p>
        </w:tc>
        <w:tc>
          <w:tcPr>
            <w:tcW w:w="2752" w:type="dxa"/>
            <w:vMerge w:val="continue"/>
            <w:noWrap w:val="0"/>
            <w:vAlign w:val="center"/>
          </w:tcPr>
          <w:p w14:paraId="20EB391F">
            <w:pPr>
              <w:keepNext w:val="0"/>
              <w:keepLines w:val="0"/>
              <w:pageBreakBefore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p>
        </w:tc>
        <w:tc>
          <w:tcPr>
            <w:tcW w:w="2305" w:type="dxa"/>
            <w:vMerge w:val="continue"/>
            <w:noWrap w:val="0"/>
            <w:vAlign w:val="center"/>
          </w:tcPr>
          <w:p w14:paraId="5C10BD18">
            <w:pPr>
              <w:keepNext w:val="0"/>
              <w:keepLines w:val="0"/>
              <w:pageBreakBefore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宋体" w:cs="Times New Roman"/>
                <w:color w:val="0000FF"/>
                <w:kern w:val="2"/>
                <w:sz w:val="21"/>
                <w:szCs w:val="21"/>
                <w:highlight w:val="none"/>
                <w:lang w:val="en-US" w:eastAsia="zh-CN" w:bidi="ar-SA"/>
              </w:rPr>
            </w:pPr>
          </w:p>
        </w:tc>
      </w:tr>
      <w:tr w14:paraId="087FC5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931" w:type="dxa"/>
            <w:vMerge w:val="continue"/>
            <w:noWrap w:val="0"/>
            <w:vAlign w:val="center"/>
          </w:tcPr>
          <w:p w14:paraId="49133C12">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eastAsia" w:ascii="宋体" w:hAnsi="宋体" w:cs="宋体"/>
                <w:color w:val="auto"/>
                <w:sz w:val="21"/>
                <w:szCs w:val="21"/>
                <w:highlight w:val="none"/>
              </w:rPr>
            </w:pPr>
          </w:p>
        </w:tc>
        <w:tc>
          <w:tcPr>
            <w:tcW w:w="1864" w:type="dxa"/>
            <w:vMerge w:val="continue"/>
            <w:noWrap w:val="0"/>
            <w:vAlign w:val="center"/>
          </w:tcPr>
          <w:p w14:paraId="249DF3A4">
            <w:pPr>
              <w:keepNext w:val="0"/>
              <w:keepLines w:val="0"/>
              <w:pageBreakBefore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1208" w:type="dxa"/>
            <w:noWrap w:val="0"/>
            <w:vAlign w:val="center"/>
          </w:tcPr>
          <w:p w14:paraId="5597018D">
            <w:pPr>
              <w:pStyle w:val="10"/>
              <w:bidi w:val="0"/>
              <w:ind w:right="0" w:rightChars="0" w:firstLine="0" w:firstLineChars="0"/>
              <w:jc w:val="center"/>
              <w:rPr>
                <w:rFonts w:hint="default" w:ascii="Times New Roman" w:hAnsi="Times New Roman" w:eastAsia="宋体"/>
                <w:color w:val="auto"/>
                <w:kern w:val="0"/>
                <w:sz w:val="21"/>
                <w:szCs w:val="21"/>
                <w:highlight w:val="none"/>
                <w:lang w:val="en-US" w:eastAsia="zh-CN" w:bidi="ar-SA"/>
              </w:rPr>
            </w:pPr>
            <w:r>
              <w:rPr>
                <w:rFonts w:hint="eastAsia"/>
                <w:color w:val="auto"/>
                <w:sz w:val="21"/>
                <w:szCs w:val="21"/>
                <w:highlight w:val="none"/>
                <w:lang w:val="en-US" w:eastAsia="zh-CN"/>
              </w:rPr>
              <w:t>颗粒物</w:t>
            </w:r>
          </w:p>
        </w:tc>
        <w:tc>
          <w:tcPr>
            <w:tcW w:w="2752" w:type="dxa"/>
            <w:vMerge w:val="continue"/>
            <w:noWrap w:val="0"/>
            <w:vAlign w:val="center"/>
          </w:tcPr>
          <w:p w14:paraId="0B0485DE">
            <w:pPr>
              <w:keepNext w:val="0"/>
              <w:keepLines w:val="0"/>
              <w:pageBreakBefore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305" w:type="dxa"/>
            <w:vMerge w:val="continue"/>
            <w:noWrap w:val="0"/>
            <w:vAlign w:val="center"/>
          </w:tcPr>
          <w:p w14:paraId="464A2787">
            <w:pPr>
              <w:keepNext w:val="0"/>
              <w:keepLines w:val="0"/>
              <w:pageBreakBefore w:val="0"/>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r>
      <w:tr w14:paraId="4B4557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931" w:type="dxa"/>
            <w:vMerge w:val="continue"/>
            <w:noWrap w:val="0"/>
            <w:vAlign w:val="center"/>
          </w:tcPr>
          <w:p w14:paraId="2B94F32E">
            <w:pPr>
              <w:pStyle w:val="10"/>
              <w:bidi w:val="0"/>
              <w:ind w:right="0" w:rightChars="0" w:firstLine="0" w:firstLineChars="0"/>
              <w:jc w:val="center"/>
            </w:pPr>
          </w:p>
        </w:tc>
        <w:tc>
          <w:tcPr>
            <w:tcW w:w="1864" w:type="dxa"/>
            <w:vMerge w:val="continue"/>
            <w:noWrap w:val="0"/>
            <w:vAlign w:val="center"/>
          </w:tcPr>
          <w:p w14:paraId="5F22ED3A">
            <w:pPr>
              <w:pStyle w:val="10"/>
              <w:bidi w:val="0"/>
              <w:ind w:right="0" w:rightChars="0" w:firstLine="0" w:firstLineChars="0"/>
              <w:jc w:val="center"/>
            </w:pPr>
          </w:p>
        </w:tc>
        <w:tc>
          <w:tcPr>
            <w:tcW w:w="1208" w:type="dxa"/>
            <w:noWrap w:val="0"/>
            <w:vAlign w:val="center"/>
          </w:tcPr>
          <w:p w14:paraId="1CA6A847">
            <w:pPr>
              <w:pStyle w:val="10"/>
              <w:bidi w:val="0"/>
              <w:ind w:right="0" w:rightChars="0"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氯化氢</w:t>
            </w:r>
          </w:p>
        </w:tc>
        <w:tc>
          <w:tcPr>
            <w:tcW w:w="2752" w:type="dxa"/>
            <w:vMerge w:val="continue"/>
            <w:noWrap w:val="0"/>
            <w:vAlign w:val="center"/>
          </w:tcPr>
          <w:p w14:paraId="6804D9B4">
            <w:pPr>
              <w:pStyle w:val="10"/>
              <w:bidi w:val="0"/>
              <w:ind w:right="0" w:rightChars="0" w:firstLine="0" w:firstLineChars="0"/>
              <w:jc w:val="center"/>
              <w:rPr>
                <w:rFonts w:hint="eastAsia"/>
                <w:color w:val="auto"/>
                <w:sz w:val="21"/>
                <w:szCs w:val="21"/>
                <w:highlight w:val="none"/>
                <w:lang w:val="en-US" w:eastAsia="zh-CN"/>
              </w:rPr>
            </w:pPr>
          </w:p>
        </w:tc>
        <w:tc>
          <w:tcPr>
            <w:tcW w:w="2305" w:type="dxa"/>
            <w:vMerge w:val="continue"/>
            <w:noWrap w:val="0"/>
            <w:vAlign w:val="center"/>
          </w:tcPr>
          <w:p w14:paraId="34EEC94F">
            <w:pPr>
              <w:pStyle w:val="10"/>
              <w:bidi w:val="0"/>
              <w:ind w:right="0" w:rightChars="0" w:firstLine="0" w:firstLineChars="0"/>
              <w:jc w:val="center"/>
              <w:rPr>
                <w:rFonts w:hint="eastAsia"/>
                <w:color w:val="auto"/>
                <w:sz w:val="21"/>
                <w:szCs w:val="21"/>
                <w:highlight w:val="none"/>
                <w:lang w:val="en-US" w:eastAsia="zh-CN"/>
              </w:rPr>
            </w:pPr>
          </w:p>
        </w:tc>
      </w:tr>
      <w:tr w14:paraId="3E7E3C5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931" w:type="dxa"/>
            <w:vMerge w:val="continue"/>
            <w:noWrap w:val="0"/>
            <w:vAlign w:val="center"/>
          </w:tcPr>
          <w:p w14:paraId="6DFE9F6E">
            <w:pPr>
              <w:pStyle w:val="10"/>
              <w:bidi w:val="0"/>
              <w:ind w:right="0" w:rightChars="0" w:firstLine="0" w:firstLineChars="0"/>
              <w:jc w:val="center"/>
              <w:rPr>
                <w:rFonts w:hint="eastAsia"/>
                <w:color w:val="auto"/>
                <w:sz w:val="21"/>
                <w:szCs w:val="21"/>
                <w:highlight w:val="none"/>
                <w:lang w:val="en-US" w:eastAsia="zh-CN"/>
              </w:rPr>
            </w:pPr>
          </w:p>
        </w:tc>
        <w:tc>
          <w:tcPr>
            <w:tcW w:w="1864" w:type="dxa"/>
            <w:vMerge w:val="continue"/>
            <w:noWrap w:val="0"/>
            <w:vAlign w:val="center"/>
          </w:tcPr>
          <w:p w14:paraId="5F2BFDCD">
            <w:pPr>
              <w:pStyle w:val="10"/>
              <w:bidi w:val="0"/>
              <w:ind w:right="0" w:rightChars="0" w:firstLine="0" w:firstLineChars="0"/>
              <w:jc w:val="center"/>
              <w:rPr>
                <w:rFonts w:hint="eastAsia"/>
                <w:color w:val="auto"/>
                <w:sz w:val="21"/>
                <w:szCs w:val="21"/>
                <w:highlight w:val="none"/>
                <w:lang w:val="en-US" w:eastAsia="zh-CN"/>
              </w:rPr>
            </w:pPr>
          </w:p>
        </w:tc>
        <w:tc>
          <w:tcPr>
            <w:tcW w:w="1208" w:type="dxa"/>
            <w:noWrap w:val="0"/>
            <w:vAlign w:val="center"/>
          </w:tcPr>
          <w:p w14:paraId="1BD5CD34">
            <w:pPr>
              <w:pStyle w:val="10"/>
              <w:bidi w:val="0"/>
              <w:ind w:right="0" w:rightChars="0"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氯乙烯</w:t>
            </w:r>
          </w:p>
        </w:tc>
        <w:tc>
          <w:tcPr>
            <w:tcW w:w="2752" w:type="dxa"/>
            <w:vMerge w:val="continue"/>
            <w:noWrap w:val="0"/>
            <w:vAlign w:val="center"/>
          </w:tcPr>
          <w:p w14:paraId="6E767414">
            <w:pPr>
              <w:pStyle w:val="10"/>
              <w:bidi w:val="0"/>
              <w:ind w:right="0" w:rightChars="0" w:firstLine="0" w:firstLineChars="0"/>
              <w:jc w:val="center"/>
              <w:rPr>
                <w:rFonts w:hint="eastAsia"/>
                <w:color w:val="auto"/>
                <w:sz w:val="21"/>
                <w:szCs w:val="21"/>
                <w:highlight w:val="none"/>
                <w:lang w:val="en-US" w:eastAsia="zh-CN"/>
              </w:rPr>
            </w:pPr>
          </w:p>
        </w:tc>
        <w:tc>
          <w:tcPr>
            <w:tcW w:w="2305" w:type="dxa"/>
            <w:vMerge w:val="continue"/>
            <w:noWrap w:val="0"/>
            <w:vAlign w:val="center"/>
          </w:tcPr>
          <w:p w14:paraId="4A069D75">
            <w:pPr>
              <w:pStyle w:val="10"/>
              <w:bidi w:val="0"/>
              <w:ind w:right="0" w:rightChars="0" w:firstLine="0" w:firstLineChars="0"/>
              <w:jc w:val="center"/>
              <w:rPr>
                <w:rFonts w:hint="eastAsia"/>
                <w:color w:val="auto"/>
                <w:sz w:val="21"/>
                <w:szCs w:val="21"/>
                <w:highlight w:val="none"/>
                <w:lang w:val="en-US" w:eastAsia="zh-CN"/>
              </w:rPr>
            </w:pPr>
          </w:p>
        </w:tc>
      </w:tr>
      <w:tr w14:paraId="6AB28DB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31" w:type="dxa"/>
            <w:vMerge w:val="continue"/>
            <w:noWrap w:val="0"/>
            <w:vAlign w:val="center"/>
          </w:tcPr>
          <w:p w14:paraId="582FC6BC">
            <w:pPr>
              <w:pStyle w:val="10"/>
              <w:bidi w:val="0"/>
              <w:ind w:right="0" w:rightChars="0" w:firstLine="0" w:firstLineChars="0"/>
              <w:jc w:val="center"/>
              <w:rPr>
                <w:rFonts w:hint="eastAsia"/>
                <w:color w:val="auto"/>
                <w:sz w:val="21"/>
                <w:szCs w:val="21"/>
                <w:highlight w:val="none"/>
                <w:lang w:val="en-US" w:eastAsia="zh-CN"/>
              </w:rPr>
            </w:pPr>
          </w:p>
        </w:tc>
        <w:tc>
          <w:tcPr>
            <w:tcW w:w="1864" w:type="dxa"/>
            <w:vMerge w:val="continue"/>
            <w:noWrap w:val="0"/>
            <w:vAlign w:val="center"/>
          </w:tcPr>
          <w:p w14:paraId="6025DCA5">
            <w:pPr>
              <w:pStyle w:val="10"/>
              <w:bidi w:val="0"/>
              <w:ind w:right="0" w:rightChars="0" w:firstLine="0" w:firstLineChars="0"/>
              <w:jc w:val="center"/>
              <w:rPr>
                <w:rFonts w:hint="eastAsia"/>
                <w:color w:val="auto"/>
                <w:sz w:val="21"/>
                <w:szCs w:val="21"/>
                <w:highlight w:val="none"/>
                <w:lang w:val="en-US" w:eastAsia="zh-CN"/>
              </w:rPr>
            </w:pPr>
          </w:p>
        </w:tc>
        <w:tc>
          <w:tcPr>
            <w:tcW w:w="1208" w:type="dxa"/>
            <w:noWrap w:val="0"/>
            <w:vAlign w:val="center"/>
          </w:tcPr>
          <w:p w14:paraId="771BB39E">
            <w:pPr>
              <w:pStyle w:val="10"/>
              <w:bidi w:val="0"/>
              <w:ind w:right="0" w:rightChars="0"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臭气浓度</w:t>
            </w:r>
          </w:p>
        </w:tc>
        <w:tc>
          <w:tcPr>
            <w:tcW w:w="2752" w:type="dxa"/>
            <w:vMerge w:val="continue"/>
            <w:noWrap w:val="0"/>
            <w:vAlign w:val="center"/>
          </w:tcPr>
          <w:p w14:paraId="6A24F335">
            <w:pPr>
              <w:pStyle w:val="10"/>
              <w:bidi w:val="0"/>
              <w:ind w:right="0" w:rightChars="0" w:firstLine="0" w:firstLineChars="0"/>
              <w:jc w:val="center"/>
              <w:rPr>
                <w:rFonts w:hint="eastAsia"/>
                <w:color w:val="auto"/>
                <w:sz w:val="21"/>
                <w:szCs w:val="21"/>
                <w:highlight w:val="none"/>
                <w:lang w:val="en-US" w:eastAsia="zh-CN"/>
              </w:rPr>
            </w:pPr>
          </w:p>
        </w:tc>
        <w:tc>
          <w:tcPr>
            <w:tcW w:w="2305" w:type="dxa"/>
            <w:vMerge w:val="continue"/>
            <w:noWrap w:val="0"/>
            <w:vAlign w:val="center"/>
          </w:tcPr>
          <w:p w14:paraId="02C2C915">
            <w:pPr>
              <w:pStyle w:val="10"/>
              <w:bidi w:val="0"/>
              <w:ind w:right="0" w:rightChars="0" w:firstLine="0" w:firstLineChars="0"/>
              <w:jc w:val="center"/>
              <w:rPr>
                <w:rFonts w:hint="eastAsia"/>
                <w:color w:val="auto"/>
                <w:sz w:val="21"/>
                <w:szCs w:val="21"/>
                <w:highlight w:val="none"/>
                <w:lang w:val="en-US" w:eastAsia="zh-CN"/>
              </w:rPr>
            </w:pPr>
          </w:p>
        </w:tc>
      </w:tr>
      <w:tr w14:paraId="71E022B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31" w:type="dxa"/>
            <w:vMerge w:val="restart"/>
            <w:noWrap w:val="0"/>
            <w:vAlign w:val="center"/>
          </w:tcPr>
          <w:p w14:paraId="108EFA42">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地表水环境</w:t>
            </w:r>
          </w:p>
        </w:tc>
        <w:tc>
          <w:tcPr>
            <w:tcW w:w="1864" w:type="dxa"/>
            <w:noWrap w:val="0"/>
            <w:vAlign w:val="center"/>
          </w:tcPr>
          <w:p w14:paraId="1BE247E9">
            <w:pPr>
              <w:pStyle w:val="63"/>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pacing w:val="3"/>
                <w:position w:val="4"/>
                <w:sz w:val="21"/>
                <w:szCs w:val="21"/>
                <w:highlight w:val="none"/>
                <w:lang w:val="en-US" w:eastAsia="zh-CN"/>
              </w:rPr>
              <w:t>生活污水</w:t>
            </w:r>
          </w:p>
        </w:tc>
        <w:tc>
          <w:tcPr>
            <w:tcW w:w="1208" w:type="dxa"/>
            <w:vMerge w:val="restart"/>
            <w:noWrap w:val="0"/>
            <w:vAlign w:val="center"/>
          </w:tcPr>
          <w:p w14:paraId="3AFDC20B">
            <w:pPr>
              <w:pStyle w:val="63"/>
              <w:keepNext w:val="0"/>
              <w:keepLines w:val="0"/>
              <w:pageBreakBefore w:val="0"/>
              <w:kinsoku/>
              <w:wordWrap/>
              <w:overflowPunct/>
              <w:topLinePunct w:val="0"/>
              <w:autoSpaceDE/>
              <w:autoSpaceDN/>
              <w:bidi w:val="0"/>
              <w:snapToGrid/>
              <w:spacing w:line="240" w:lineRule="auto"/>
              <w:ind w:left="0" w:right="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pH、COD、BOD、SS、NH</w:t>
            </w:r>
            <w:r>
              <w:rPr>
                <w:rFonts w:hint="default" w:ascii="Times New Roman" w:hAnsi="Times New Roman" w:eastAsia="宋体" w:cs="Times New Roman"/>
                <w:color w:val="auto"/>
                <w:sz w:val="21"/>
                <w:szCs w:val="21"/>
                <w:highlight w:val="none"/>
                <w:vertAlign w:val="subscript"/>
                <w:lang w:val="en-US" w:eastAsia="zh-CN"/>
              </w:rPr>
              <w:t>3</w:t>
            </w:r>
            <w:r>
              <w:rPr>
                <w:rFonts w:hint="default" w:ascii="Times New Roman" w:hAnsi="Times New Roman" w:eastAsia="宋体" w:cs="Times New Roman"/>
                <w:color w:val="auto"/>
                <w:sz w:val="21"/>
                <w:szCs w:val="21"/>
                <w:highlight w:val="none"/>
                <w:lang w:val="en-US" w:eastAsia="zh-CN"/>
              </w:rPr>
              <w:t>-N、TP、TN、</w:t>
            </w:r>
            <w:r>
              <w:rPr>
                <w:rFonts w:hint="eastAsia" w:ascii="Times New Roman" w:hAnsi="Times New Roman" w:cs="Times New Roman"/>
                <w:color w:val="auto"/>
                <w:sz w:val="21"/>
                <w:szCs w:val="21"/>
                <w:highlight w:val="none"/>
                <w:lang w:val="en-US" w:eastAsia="zh-CN"/>
              </w:rPr>
              <w:t>动植物油</w:t>
            </w:r>
          </w:p>
        </w:tc>
        <w:tc>
          <w:tcPr>
            <w:tcW w:w="2752" w:type="dxa"/>
            <w:noWrap w:val="0"/>
            <w:vAlign w:val="center"/>
          </w:tcPr>
          <w:p w14:paraId="45B28C27">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lang w:val="en-US" w:eastAsia="zh-CN"/>
              </w:rPr>
              <w:t>经化粪池预处理</w:t>
            </w:r>
            <w:r>
              <w:rPr>
                <w:rFonts w:hint="eastAsia" w:ascii="Times New Roman" w:hAnsi="Times New Roman" w:eastAsia="宋体" w:cs="Times New Roman"/>
                <w:b w:val="0"/>
                <w:bCs w:val="0"/>
                <w:color w:val="auto"/>
                <w:sz w:val="21"/>
                <w:szCs w:val="21"/>
                <w:highlight w:val="none"/>
                <w:lang w:val="en-US" w:eastAsia="zh-CN"/>
              </w:rPr>
              <w:t>达标</w:t>
            </w:r>
            <w:r>
              <w:rPr>
                <w:rFonts w:hint="default" w:ascii="Times New Roman" w:hAnsi="Times New Roman" w:eastAsia="宋体" w:cs="Times New Roman"/>
                <w:b w:val="0"/>
                <w:bCs w:val="0"/>
                <w:color w:val="auto"/>
                <w:sz w:val="21"/>
                <w:szCs w:val="21"/>
                <w:highlight w:val="none"/>
                <w:lang w:val="en-US" w:eastAsia="zh-CN"/>
              </w:rPr>
              <w:t>后</w:t>
            </w:r>
            <w:r>
              <w:rPr>
                <w:rFonts w:hint="eastAsia" w:eastAsia="宋体" w:cs="Times New Roman"/>
                <w:b w:val="0"/>
                <w:bCs w:val="0"/>
                <w:color w:val="auto"/>
                <w:sz w:val="21"/>
                <w:szCs w:val="21"/>
                <w:highlight w:val="none"/>
                <w:lang w:val="en-US" w:eastAsia="zh-CN"/>
              </w:rPr>
              <w:t>纳管进入青阳县污水处理厂</w:t>
            </w:r>
          </w:p>
        </w:tc>
        <w:tc>
          <w:tcPr>
            <w:tcW w:w="2305" w:type="dxa"/>
            <w:vMerge w:val="restart"/>
            <w:noWrap w:val="0"/>
            <w:vAlign w:val="center"/>
          </w:tcPr>
          <w:p w14:paraId="171CA16F">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color w:val="auto"/>
                <w:sz w:val="21"/>
                <w:szCs w:val="21"/>
                <w:highlight w:val="none"/>
                <w:lang w:val="en-US" w:eastAsia="zh-CN"/>
              </w:rPr>
              <w:t>《污水综合排放标准》（GB8978-1996）表4三级标准</w:t>
            </w:r>
            <w:r>
              <w:rPr>
                <w:rFonts w:hint="eastAsia"/>
                <w:color w:val="auto"/>
                <w:sz w:val="21"/>
                <w:szCs w:val="21"/>
                <w:highlight w:val="none"/>
                <w:lang w:val="en-US" w:eastAsia="zh-CN"/>
              </w:rPr>
              <w:t>、</w:t>
            </w:r>
            <w:r>
              <w:rPr>
                <w:rFonts w:hint="eastAsia" w:eastAsia="宋体" w:cs="Times New Roman"/>
                <w:b w:val="0"/>
                <w:bCs w:val="0"/>
                <w:color w:val="auto"/>
                <w:sz w:val="21"/>
                <w:szCs w:val="21"/>
                <w:highlight w:val="none"/>
                <w:lang w:val="en-US" w:eastAsia="zh-CN"/>
              </w:rPr>
              <w:t>青阳县污水处理厂接管标准</w:t>
            </w:r>
          </w:p>
        </w:tc>
      </w:tr>
      <w:tr w14:paraId="472D8D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31" w:type="dxa"/>
            <w:vMerge w:val="continue"/>
            <w:noWrap w:val="0"/>
            <w:vAlign w:val="center"/>
          </w:tcPr>
          <w:p w14:paraId="4781D21F">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eastAsia" w:ascii="宋体" w:hAnsi="宋体" w:cs="宋体"/>
                <w:color w:val="auto"/>
                <w:sz w:val="21"/>
                <w:szCs w:val="21"/>
                <w:highlight w:val="none"/>
              </w:rPr>
            </w:pPr>
          </w:p>
        </w:tc>
        <w:tc>
          <w:tcPr>
            <w:tcW w:w="1864" w:type="dxa"/>
            <w:noWrap w:val="0"/>
            <w:vAlign w:val="center"/>
          </w:tcPr>
          <w:p w14:paraId="7772D85C">
            <w:pPr>
              <w:pStyle w:val="63"/>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auto"/>
                <w:spacing w:val="3"/>
                <w:position w:val="4"/>
                <w:sz w:val="21"/>
                <w:szCs w:val="21"/>
                <w:highlight w:val="none"/>
                <w:lang w:val="en-US" w:eastAsia="zh-CN"/>
              </w:rPr>
            </w:pPr>
            <w:r>
              <w:rPr>
                <w:rFonts w:hint="eastAsia" w:ascii="Times New Roman" w:hAnsi="Times New Roman" w:cs="Times New Roman"/>
                <w:color w:val="auto"/>
                <w:spacing w:val="3"/>
                <w:position w:val="4"/>
                <w:sz w:val="21"/>
                <w:szCs w:val="21"/>
                <w:highlight w:val="none"/>
                <w:lang w:val="en-US" w:eastAsia="zh-CN"/>
              </w:rPr>
              <w:t>餐饮废水</w:t>
            </w:r>
          </w:p>
        </w:tc>
        <w:tc>
          <w:tcPr>
            <w:tcW w:w="1208" w:type="dxa"/>
            <w:vMerge w:val="continue"/>
            <w:noWrap w:val="0"/>
            <w:vAlign w:val="center"/>
          </w:tcPr>
          <w:p w14:paraId="6E7122DA">
            <w:pPr>
              <w:pStyle w:val="63"/>
              <w:keepNext w:val="0"/>
              <w:keepLines w:val="0"/>
              <w:pageBreakBefore w:val="0"/>
              <w:kinsoku/>
              <w:wordWrap/>
              <w:overflowPunct/>
              <w:topLinePunct w:val="0"/>
              <w:autoSpaceDE/>
              <w:autoSpaceDN/>
              <w:bidi w:val="0"/>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highlight w:val="none"/>
                <w:lang w:val="en-US" w:eastAsia="zh-CN"/>
              </w:rPr>
            </w:pPr>
          </w:p>
        </w:tc>
        <w:tc>
          <w:tcPr>
            <w:tcW w:w="2752" w:type="dxa"/>
            <w:noWrap w:val="0"/>
            <w:vAlign w:val="center"/>
          </w:tcPr>
          <w:p w14:paraId="6FBB9C09">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经</w:t>
            </w:r>
            <w:r>
              <w:rPr>
                <w:rFonts w:hint="eastAsia" w:ascii="Times New Roman" w:hAnsi="Times New Roman" w:eastAsia="宋体" w:cs="Times New Roman"/>
                <w:b w:val="0"/>
                <w:bCs w:val="0"/>
                <w:color w:val="auto"/>
                <w:sz w:val="21"/>
                <w:szCs w:val="21"/>
                <w:highlight w:val="none"/>
                <w:lang w:val="en-US" w:eastAsia="zh-CN"/>
              </w:rPr>
              <w:t>隔油池</w:t>
            </w:r>
            <w:r>
              <w:rPr>
                <w:rFonts w:hint="default" w:ascii="Times New Roman" w:hAnsi="Times New Roman" w:eastAsia="宋体" w:cs="Times New Roman"/>
                <w:b w:val="0"/>
                <w:bCs w:val="0"/>
                <w:color w:val="auto"/>
                <w:sz w:val="21"/>
                <w:szCs w:val="21"/>
                <w:highlight w:val="none"/>
                <w:lang w:val="en-US" w:eastAsia="zh-CN"/>
              </w:rPr>
              <w:t>预处理</w:t>
            </w:r>
            <w:r>
              <w:rPr>
                <w:rFonts w:hint="eastAsia" w:ascii="Times New Roman" w:hAnsi="Times New Roman" w:eastAsia="宋体" w:cs="Times New Roman"/>
                <w:b w:val="0"/>
                <w:bCs w:val="0"/>
                <w:color w:val="auto"/>
                <w:sz w:val="21"/>
                <w:szCs w:val="21"/>
                <w:highlight w:val="none"/>
                <w:lang w:val="en-US" w:eastAsia="zh-CN"/>
              </w:rPr>
              <w:t>达标</w:t>
            </w:r>
            <w:r>
              <w:rPr>
                <w:rFonts w:hint="default" w:ascii="Times New Roman" w:hAnsi="Times New Roman" w:eastAsia="宋体" w:cs="Times New Roman"/>
                <w:b w:val="0"/>
                <w:bCs w:val="0"/>
                <w:color w:val="auto"/>
                <w:sz w:val="21"/>
                <w:szCs w:val="21"/>
                <w:highlight w:val="none"/>
                <w:lang w:val="en-US" w:eastAsia="zh-CN"/>
              </w:rPr>
              <w:t>后</w:t>
            </w:r>
            <w:r>
              <w:rPr>
                <w:rFonts w:hint="eastAsia" w:eastAsia="宋体" w:cs="Times New Roman"/>
                <w:b w:val="0"/>
                <w:bCs w:val="0"/>
                <w:color w:val="auto"/>
                <w:sz w:val="21"/>
                <w:szCs w:val="21"/>
                <w:highlight w:val="none"/>
                <w:lang w:val="en-US" w:eastAsia="zh-CN"/>
              </w:rPr>
              <w:t>纳管进入青阳县污水处理厂</w:t>
            </w:r>
          </w:p>
        </w:tc>
        <w:tc>
          <w:tcPr>
            <w:tcW w:w="2305" w:type="dxa"/>
            <w:vMerge w:val="continue"/>
            <w:noWrap w:val="0"/>
            <w:vAlign w:val="center"/>
          </w:tcPr>
          <w:p w14:paraId="41084099">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default"/>
                <w:color w:val="auto"/>
                <w:sz w:val="21"/>
                <w:szCs w:val="21"/>
                <w:highlight w:val="none"/>
                <w:lang w:val="en-US" w:eastAsia="zh-CN"/>
              </w:rPr>
            </w:pPr>
          </w:p>
        </w:tc>
      </w:tr>
      <w:tr w14:paraId="51E4F1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931" w:type="dxa"/>
            <w:vMerge w:val="continue"/>
            <w:noWrap w:val="0"/>
            <w:vAlign w:val="center"/>
          </w:tcPr>
          <w:p w14:paraId="2D832683">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eastAsia" w:ascii="宋体" w:hAnsi="宋体" w:cs="宋体"/>
                <w:color w:val="auto"/>
                <w:sz w:val="21"/>
                <w:szCs w:val="21"/>
                <w:highlight w:val="none"/>
              </w:rPr>
            </w:pPr>
          </w:p>
        </w:tc>
        <w:tc>
          <w:tcPr>
            <w:tcW w:w="1864" w:type="dxa"/>
            <w:noWrap w:val="0"/>
            <w:vAlign w:val="center"/>
          </w:tcPr>
          <w:p w14:paraId="0ED6941A">
            <w:pPr>
              <w:pStyle w:val="63"/>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auto"/>
                <w:spacing w:val="3"/>
                <w:position w:val="4"/>
                <w:sz w:val="21"/>
                <w:szCs w:val="21"/>
                <w:highlight w:val="none"/>
                <w:lang w:val="en-US" w:eastAsia="zh-CN"/>
              </w:rPr>
            </w:pPr>
            <w:r>
              <w:rPr>
                <w:rFonts w:hint="eastAsia" w:ascii="Times New Roman" w:hAnsi="Times New Roman" w:cs="Times New Roman"/>
                <w:color w:val="auto"/>
                <w:spacing w:val="3"/>
                <w:position w:val="4"/>
                <w:sz w:val="21"/>
                <w:szCs w:val="21"/>
                <w:highlight w:val="none"/>
                <w:lang w:val="en-US" w:eastAsia="zh-CN"/>
              </w:rPr>
              <w:t>冷却水定期排水</w:t>
            </w:r>
          </w:p>
        </w:tc>
        <w:tc>
          <w:tcPr>
            <w:tcW w:w="1208" w:type="dxa"/>
            <w:vMerge w:val="continue"/>
            <w:noWrap w:val="0"/>
            <w:vAlign w:val="center"/>
          </w:tcPr>
          <w:p w14:paraId="26E1CA6A">
            <w:pPr>
              <w:pStyle w:val="63"/>
              <w:keepNext w:val="0"/>
              <w:keepLines w:val="0"/>
              <w:pageBreakBefore w:val="0"/>
              <w:kinsoku/>
              <w:wordWrap/>
              <w:overflowPunct/>
              <w:topLinePunct w:val="0"/>
              <w:autoSpaceDE/>
              <w:autoSpaceDN/>
              <w:bidi w:val="0"/>
              <w:snapToGrid/>
              <w:spacing w:line="240" w:lineRule="auto"/>
              <w:ind w:left="0" w:right="0" w:firstLine="0" w:firstLineChars="0"/>
              <w:jc w:val="center"/>
              <w:textAlignment w:val="auto"/>
              <w:rPr>
                <w:rFonts w:hint="eastAsia" w:ascii="Times New Roman" w:hAnsi="Times New Roman" w:eastAsia="宋体" w:cs="Times New Roman"/>
                <w:color w:val="auto"/>
                <w:sz w:val="21"/>
                <w:szCs w:val="21"/>
                <w:highlight w:val="none"/>
                <w:lang w:eastAsia="zh-CN"/>
              </w:rPr>
            </w:pPr>
          </w:p>
        </w:tc>
        <w:tc>
          <w:tcPr>
            <w:tcW w:w="2752" w:type="dxa"/>
            <w:noWrap w:val="0"/>
            <w:vAlign w:val="center"/>
          </w:tcPr>
          <w:p w14:paraId="0386700E">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default" w:ascii="Times New Roman" w:hAnsi="Times New Roman" w:eastAsia="宋体" w:cs="Times New Roman"/>
                <w:color w:val="auto"/>
                <w:sz w:val="21"/>
                <w:szCs w:val="21"/>
                <w:highlight w:val="none"/>
              </w:rPr>
            </w:pPr>
            <w:r>
              <w:rPr>
                <w:rFonts w:hint="eastAsia" w:eastAsia="宋体" w:cs="Times New Roman"/>
                <w:b w:val="0"/>
                <w:bCs w:val="0"/>
                <w:color w:val="auto"/>
                <w:sz w:val="21"/>
                <w:szCs w:val="21"/>
                <w:highlight w:val="none"/>
                <w:lang w:val="en-US" w:eastAsia="zh-CN"/>
              </w:rPr>
              <w:t>纳管进入青阳县污水处理厂</w:t>
            </w:r>
          </w:p>
        </w:tc>
        <w:tc>
          <w:tcPr>
            <w:tcW w:w="2305" w:type="dxa"/>
            <w:vMerge w:val="continue"/>
            <w:noWrap w:val="0"/>
            <w:vAlign w:val="center"/>
          </w:tcPr>
          <w:p w14:paraId="50DD7300">
            <w:pPr>
              <w:pStyle w:val="63"/>
              <w:keepNext w:val="0"/>
              <w:keepLines w:val="0"/>
              <w:pageBreakBefore w:val="0"/>
              <w:widowControl w:val="0"/>
              <w:kinsoku/>
              <w:wordWrap/>
              <w:overflowPunct/>
              <w:topLinePunct w:val="0"/>
              <w:autoSpaceDE/>
              <w:autoSpaceDN/>
              <w:bidi w:val="0"/>
              <w:snapToGrid/>
              <w:spacing w:line="240" w:lineRule="auto"/>
              <w:ind w:left="0" w:right="0" w:firstLine="0" w:firstLineChars="0"/>
              <w:jc w:val="center"/>
              <w:textAlignment w:val="auto"/>
              <w:rPr>
                <w:rFonts w:hint="default" w:ascii="Times New Roman" w:hAnsi="Times New Roman" w:eastAsia="宋体" w:cs="Times New Roman"/>
                <w:color w:val="auto"/>
                <w:sz w:val="21"/>
                <w:szCs w:val="21"/>
                <w:highlight w:val="none"/>
              </w:rPr>
            </w:pPr>
          </w:p>
        </w:tc>
      </w:tr>
      <w:tr w14:paraId="12801C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31" w:type="dxa"/>
            <w:noWrap w:val="0"/>
            <w:vAlign w:val="center"/>
          </w:tcPr>
          <w:p w14:paraId="111E7610">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声环境</w:t>
            </w:r>
          </w:p>
        </w:tc>
        <w:tc>
          <w:tcPr>
            <w:tcW w:w="1864" w:type="dxa"/>
            <w:noWrap w:val="0"/>
            <w:vAlign w:val="center"/>
          </w:tcPr>
          <w:p w14:paraId="666BB280">
            <w:pPr>
              <w:pStyle w:val="63"/>
              <w:keepNext w:val="0"/>
              <w:keepLines w:val="0"/>
              <w:pageBreakBefore w:val="0"/>
              <w:kinsoku/>
              <w:wordWrap/>
              <w:overflowPunct/>
              <w:topLinePunct w:val="0"/>
              <w:autoSpaceDE/>
              <w:autoSpaceDN/>
              <w:bidi w:val="0"/>
              <w:snapToGrid/>
              <w:spacing w:line="240" w:lineRule="auto"/>
              <w:ind w:left="0" w:right="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7"/>
                <w:sz w:val="21"/>
                <w:szCs w:val="21"/>
                <w:highlight w:val="none"/>
              </w:rPr>
              <w:t>各产噪设备</w:t>
            </w:r>
          </w:p>
        </w:tc>
        <w:tc>
          <w:tcPr>
            <w:tcW w:w="1208" w:type="dxa"/>
            <w:noWrap w:val="0"/>
            <w:vAlign w:val="center"/>
          </w:tcPr>
          <w:p w14:paraId="053FEC4C">
            <w:pPr>
              <w:pStyle w:val="63"/>
              <w:keepNext w:val="0"/>
              <w:keepLines w:val="0"/>
              <w:pageBreakBefore w:val="0"/>
              <w:kinsoku/>
              <w:wordWrap/>
              <w:overflowPunct/>
              <w:topLinePunct w:val="0"/>
              <w:autoSpaceDE/>
              <w:autoSpaceDN/>
              <w:bidi w:val="0"/>
              <w:snapToGrid/>
              <w:spacing w:line="240" w:lineRule="auto"/>
              <w:ind w:left="0" w:right="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position w:val="1"/>
                <w:sz w:val="21"/>
                <w:szCs w:val="21"/>
                <w:highlight w:val="none"/>
              </w:rPr>
              <w:t>L</w:t>
            </w:r>
            <w:r>
              <w:rPr>
                <w:rFonts w:hint="default" w:ascii="Times New Roman" w:hAnsi="Times New Roman" w:eastAsia="宋体" w:cs="Times New Roman"/>
                <w:color w:val="auto"/>
                <w:spacing w:val="-2"/>
                <w:position w:val="-1"/>
                <w:sz w:val="21"/>
                <w:szCs w:val="21"/>
                <w:highlight w:val="none"/>
              </w:rPr>
              <w:t>Aeq</w:t>
            </w:r>
          </w:p>
        </w:tc>
        <w:tc>
          <w:tcPr>
            <w:tcW w:w="2752" w:type="dxa"/>
            <w:noWrap w:val="0"/>
            <w:vAlign w:val="center"/>
          </w:tcPr>
          <w:p w14:paraId="55DA35A8">
            <w:pPr>
              <w:pStyle w:val="10"/>
              <w:bidi w:val="0"/>
              <w:ind w:right="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隔声、减震、消声</w:t>
            </w:r>
          </w:p>
        </w:tc>
        <w:tc>
          <w:tcPr>
            <w:tcW w:w="2305" w:type="dxa"/>
            <w:noWrap w:val="0"/>
            <w:vAlign w:val="center"/>
          </w:tcPr>
          <w:p w14:paraId="7DC42128">
            <w:pPr>
              <w:pStyle w:val="10"/>
              <w:bidi w:val="0"/>
              <w:ind w:right="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厂界四周</w:t>
            </w:r>
            <w:r>
              <w:rPr>
                <w:rFonts w:hint="default" w:ascii="Times New Roman" w:hAnsi="Times New Roman" w:cs="Times New Roman"/>
                <w:color w:val="auto"/>
                <w:sz w:val="21"/>
                <w:szCs w:val="21"/>
                <w:highlight w:val="none"/>
              </w:rPr>
              <w:t>噪声执行</w:t>
            </w:r>
            <w:r>
              <w:rPr>
                <w:rFonts w:hint="default" w:ascii="Times New Roman" w:hAnsi="Times New Roman" w:cs="Times New Roman"/>
                <w:snapToGrid w:val="0"/>
                <w:color w:val="auto"/>
                <w:sz w:val="21"/>
                <w:szCs w:val="21"/>
                <w:highlight w:val="none"/>
              </w:rPr>
              <w:t>《工业企业厂界环境噪声排放标准》（GB12348-2008）中的</w:t>
            </w:r>
            <w:r>
              <w:rPr>
                <w:rFonts w:hint="eastAsia" w:cs="Times New Roman"/>
                <w:snapToGrid w:val="0"/>
                <w:color w:val="auto"/>
                <w:sz w:val="21"/>
                <w:szCs w:val="21"/>
                <w:highlight w:val="none"/>
                <w:lang w:val="en-US" w:eastAsia="zh-CN"/>
              </w:rPr>
              <w:t>3</w:t>
            </w:r>
            <w:r>
              <w:rPr>
                <w:rFonts w:hint="default" w:ascii="Times New Roman" w:hAnsi="Times New Roman" w:cs="Times New Roman"/>
                <w:snapToGrid w:val="0"/>
                <w:color w:val="auto"/>
                <w:sz w:val="21"/>
                <w:szCs w:val="21"/>
                <w:highlight w:val="none"/>
                <w:lang w:val="en-US" w:eastAsia="zh-CN"/>
              </w:rPr>
              <w:t>类标准</w:t>
            </w:r>
          </w:p>
        </w:tc>
      </w:tr>
      <w:tr w14:paraId="526D7BA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31" w:type="dxa"/>
            <w:noWrap w:val="0"/>
            <w:vAlign w:val="center"/>
          </w:tcPr>
          <w:p w14:paraId="29E9237C">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电磁辐射</w:t>
            </w:r>
          </w:p>
        </w:tc>
        <w:tc>
          <w:tcPr>
            <w:tcW w:w="1864" w:type="dxa"/>
            <w:noWrap w:val="0"/>
            <w:vAlign w:val="center"/>
          </w:tcPr>
          <w:p w14:paraId="67799177">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1208" w:type="dxa"/>
            <w:noWrap w:val="0"/>
            <w:vAlign w:val="center"/>
          </w:tcPr>
          <w:p w14:paraId="53419C39">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2752" w:type="dxa"/>
            <w:noWrap w:val="0"/>
            <w:vAlign w:val="center"/>
          </w:tcPr>
          <w:p w14:paraId="2B20544A">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2305" w:type="dxa"/>
            <w:noWrap w:val="0"/>
            <w:vAlign w:val="center"/>
          </w:tcPr>
          <w:p w14:paraId="1F481E05">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14:paraId="617A5C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1" w:type="dxa"/>
            <w:noWrap w:val="0"/>
            <w:vAlign w:val="center"/>
          </w:tcPr>
          <w:p w14:paraId="79FEADF1">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固体废物</w:t>
            </w:r>
          </w:p>
        </w:tc>
        <w:tc>
          <w:tcPr>
            <w:tcW w:w="8129" w:type="dxa"/>
            <w:gridSpan w:val="4"/>
            <w:noWrap w:val="0"/>
            <w:vAlign w:val="center"/>
          </w:tcPr>
          <w:p w14:paraId="22A092CC">
            <w:pPr>
              <w:keepNext w:val="0"/>
              <w:keepLines w:val="0"/>
              <w:pageBreakBefore w:val="0"/>
              <w:widowControl w:val="0"/>
              <w:kinsoku/>
              <w:wordWrap/>
              <w:overflowPunct/>
              <w:topLinePunct w:val="0"/>
              <w:autoSpaceDE/>
              <w:autoSpaceDN/>
              <w:bidi w:val="0"/>
              <w:adjustRightInd w:val="0"/>
              <w:snapToGrid/>
              <w:spacing w:line="240" w:lineRule="auto"/>
              <w:ind w:left="0" w:right="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设置一个</w:t>
            </w:r>
            <w:r>
              <w:rPr>
                <w:rFonts w:hint="eastAsia" w:ascii="Times New Roman" w:hAnsi="Times New Roman" w:eastAsia="宋体" w:cs="Times New Roman"/>
                <w:color w:val="auto"/>
                <w:sz w:val="21"/>
                <w:szCs w:val="21"/>
                <w:highlight w:val="none"/>
                <w:lang w:val="en-US" w:eastAsia="zh-CN"/>
              </w:rPr>
              <w:t>10</w:t>
            </w:r>
            <w:r>
              <w:rPr>
                <w:rFonts w:hint="eastAsia" w:cs="Times New Roman"/>
                <w:color w:val="auto"/>
                <w:sz w:val="21"/>
                <w:szCs w:val="21"/>
                <w:highlight w:val="none"/>
                <w:lang w:val="en-US" w:eastAsia="zh-CN"/>
              </w:rPr>
              <w:t>m</w:t>
            </w:r>
            <w:r>
              <w:rPr>
                <w:rFonts w:hint="eastAsia" w:cs="Times New Roman"/>
                <w:color w:val="auto"/>
                <w:sz w:val="21"/>
                <w:szCs w:val="21"/>
                <w:highlight w:val="none"/>
                <w:vertAlign w:val="superscript"/>
                <w:lang w:val="en-US" w:eastAsia="zh-CN"/>
              </w:rPr>
              <w:t>2</w:t>
            </w:r>
            <w:r>
              <w:rPr>
                <w:rFonts w:hint="eastAsia" w:ascii="Times New Roman" w:hAnsi="Times New Roman" w:eastAsia="宋体" w:cs="Times New Roman"/>
                <w:color w:val="auto"/>
                <w:sz w:val="21"/>
                <w:szCs w:val="21"/>
                <w:highlight w:val="none"/>
                <w:lang w:val="en-US" w:eastAsia="zh-CN"/>
              </w:rPr>
              <w:t>的</w:t>
            </w:r>
            <w:r>
              <w:rPr>
                <w:rFonts w:hint="default" w:ascii="Times New Roman" w:hAnsi="Times New Roman" w:eastAsia="宋体" w:cs="Times New Roman"/>
                <w:color w:val="auto"/>
                <w:sz w:val="21"/>
                <w:szCs w:val="21"/>
                <w:highlight w:val="none"/>
              </w:rPr>
              <w:t>一般固废</w:t>
            </w:r>
            <w:r>
              <w:rPr>
                <w:rFonts w:hint="eastAsia" w:cs="Times New Roman"/>
                <w:color w:val="auto"/>
                <w:sz w:val="21"/>
                <w:szCs w:val="21"/>
                <w:highlight w:val="none"/>
                <w:lang w:val="en-US" w:eastAsia="zh-CN"/>
              </w:rPr>
              <w:t>间</w:t>
            </w:r>
            <w:r>
              <w:rPr>
                <w:rFonts w:hint="default" w:ascii="Times New Roman" w:hAnsi="Times New Roman" w:eastAsia="宋体" w:cs="Times New Roman"/>
                <w:color w:val="auto"/>
                <w:sz w:val="21"/>
                <w:szCs w:val="21"/>
                <w:highlight w:val="none"/>
              </w:rPr>
              <w:t>，一般工业固废收集</w:t>
            </w:r>
            <w:r>
              <w:rPr>
                <w:rFonts w:hint="eastAsia" w:ascii="Times New Roman" w:hAnsi="Times New Roman" w:eastAsia="宋体" w:cs="Times New Roman"/>
                <w:color w:val="auto"/>
                <w:sz w:val="21"/>
                <w:szCs w:val="21"/>
                <w:highlight w:val="none"/>
                <w:lang w:val="en-US" w:eastAsia="zh-CN"/>
              </w:rPr>
              <w:t>合理处理处置</w:t>
            </w:r>
            <w:r>
              <w:rPr>
                <w:rFonts w:hint="default" w:ascii="Times New Roman" w:hAnsi="Times New Roman" w:eastAsia="宋体" w:cs="Times New Roman"/>
                <w:color w:val="auto"/>
                <w:sz w:val="21"/>
                <w:szCs w:val="21"/>
                <w:highlight w:val="none"/>
              </w:rPr>
              <w:t>。生活垃圾由垃圾桶收集后委托环卫部门处置。</w:t>
            </w:r>
          </w:p>
        </w:tc>
      </w:tr>
      <w:tr w14:paraId="37BD6B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1" w:type="dxa"/>
            <w:noWrap w:val="0"/>
            <w:vAlign w:val="center"/>
          </w:tcPr>
          <w:p w14:paraId="4BC66D8B">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危险废物</w:t>
            </w:r>
          </w:p>
        </w:tc>
        <w:tc>
          <w:tcPr>
            <w:tcW w:w="8129" w:type="dxa"/>
            <w:gridSpan w:val="4"/>
            <w:noWrap w:val="0"/>
            <w:vAlign w:val="center"/>
          </w:tcPr>
          <w:p w14:paraId="1593482E">
            <w:pPr>
              <w:keepNext w:val="0"/>
              <w:keepLines w:val="0"/>
              <w:pageBreakBefore w:val="0"/>
              <w:widowControl w:val="0"/>
              <w:kinsoku/>
              <w:wordWrap/>
              <w:overflowPunct/>
              <w:topLinePunct w:val="0"/>
              <w:autoSpaceDE/>
              <w:autoSpaceDN/>
              <w:bidi w:val="0"/>
              <w:adjustRightInd w:val="0"/>
              <w:snapToGrid/>
              <w:spacing w:line="240" w:lineRule="auto"/>
              <w:ind w:left="0" w:right="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设置一个</w:t>
            </w:r>
            <w:r>
              <w:rPr>
                <w:rFonts w:hint="eastAsia" w:cs="Times New Roman"/>
                <w:color w:val="auto"/>
                <w:sz w:val="21"/>
                <w:szCs w:val="21"/>
                <w:highlight w:val="none"/>
                <w:lang w:val="en-US" w:eastAsia="zh-CN"/>
              </w:rPr>
              <w:t>5m</w:t>
            </w:r>
            <w:r>
              <w:rPr>
                <w:rFonts w:hint="eastAsia" w:cs="Times New Roman"/>
                <w:color w:val="auto"/>
                <w:sz w:val="21"/>
                <w:szCs w:val="21"/>
                <w:highlight w:val="none"/>
                <w:vertAlign w:val="superscript"/>
                <w:lang w:val="en-US" w:eastAsia="zh-CN"/>
              </w:rPr>
              <w:t>2</w:t>
            </w:r>
            <w:r>
              <w:rPr>
                <w:rFonts w:hint="eastAsia" w:ascii="Times New Roman" w:hAnsi="Times New Roman" w:eastAsia="宋体" w:cs="Times New Roman"/>
                <w:color w:val="auto"/>
                <w:sz w:val="21"/>
                <w:szCs w:val="21"/>
                <w:highlight w:val="none"/>
                <w:lang w:val="en-US" w:eastAsia="zh-CN"/>
              </w:rPr>
              <w:t>的危废暂存间，主要暂存</w:t>
            </w:r>
            <w:r>
              <w:rPr>
                <w:rFonts w:hint="default" w:ascii="Times New Roman" w:hAnsi="Times New Roman" w:eastAsia="宋体" w:cs="Times New Roman"/>
                <w:color w:val="auto"/>
                <w:sz w:val="21"/>
                <w:szCs w:val="21"/>
                <w:highlight w:val="none"/>
              </w:rPr>
              <w:t>废</w:t>
            </w:r>
            <w:r>
              <w:rPr>
                <w:rFonts w:hint="eastAsia" w:cs="Times New Roman"/>
                <w:color w:val="auto"/>
                <w:sz w:val="21"/>
                <w:szCs w:val="21"/>
                <w:highlight w:val="none"/>
                <w:lang w:val="en-US" w:eastAsia="zh-CN"/>
              </w:rPr>
              <w:t>机</w:t>
            </w:r>
            <w:r>
              <w:rPr>
                <w:rFonts w:hint="eastAsia" w:ascii="Times New Roman" w:hAnsi="Times New Roman" w:eastAsia="宋体" w:cs="Times New Roman"/>
                <w:color w:val="auto"/>
                <w:sz w:val="21"/>
                <w:szCs w:val="21"/>
                <w:highlight w:val="none"/>
                <w:lang w:val="en-US" w:eastAsia="zh-CN"/>
              </w:rPr>
              <w:t>油、废</w:t>
            </w:r>
            <w:r>
              <w:rPr>
                <w:rFonts w:hint="eastAsia" w:cs="Times New Roman"/>
                <w:color w:val="auto"/>
                <w:sz w:val="21"/>
                <w:szCs w:val="21"/>
                <w:highlight w:val="none"/>
                <w:lang w:val="en-US" w:eastAsia="zh-CN"/>
              </w:rPr>
              <w:t>机</w:t>
            </w:r>
            <w:r>
              <w:rPr>
                <w:rFonts w:hint="eastAsia" w:ascii="Times New Roman" w:hAnsi="Times New Roman" w:eastAsia="宋体" w:cs="Times New Roman"/>
                <w:color w:val="auto"/>
                <w:sz w:val="21"/>
                <w:szCs w:val="21"/>
                <w:highlight w:val="none"/>
                <w:lang w:val="en-US" w:eastAsia="zh-CN"/>
              </w:rPr>
              <w:t>油桶</w:t>
            </w:r>
            <w:r>
              <w:rPr>
                <w:rFonts w:hint="eastAsia" w:cs="Times New Roman"/>
                <w:color w:val="auto"/>
                <w:sz w:val="21"/>
                <w:szCs w:val="21"/>
                <w:highlight w:val="none"/>
                <w:lang w:val="en-US" w:eastAsia="zh-CN"/>
              </w:rPr>
              <w:t>、废活性炭、废油墨包装桶</w:t>
            </w:r>
            <w:r>
              <w:rPr>
                <w:rFonts w:hint="eastAsia" w:ascii="Times New Roman" w:hAnsi="Times New Roman" w:eastAsia="宋体" w:cs="Times New Roman"/>
                <w:color w:val="auto"/>
                <w:sz w:val="21"/>
                <w:szCs w:val="21"/>
                <w:highlight w:val="none"/>
                <w:lang w:val="en-US" w:eastAsia="zh-CN"/>
              </w:rPr>
              <w:t>和废含油抹布手套，委托资质单位处置。</w:t>
            </w:r>
          </w:p>
        </w:tc>
      </w:tr>
      <w:tr w14:paraId="7C1003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931" w:type="dxa"/>
            <w:noWrap w:val="0"/>
            <w:vAlign w:val="center"/>
          </w:tcPr>
          <w:p w14:paraId="2A19C5E3">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土壤及地下水污染防治措施</w:t>
            </w:r>
          </w:p>
        </w:tc>
        <w:tc>
          <w:tcPr>
            <w:tcW w:w="8129" w:type="dxa"/>
            <w:gridSpan w:val="4"/>
            <w:noWrap w:val="0"/>
            <w:vAlign w:val="center"/>
          </w:tcPr>
          <w:p w14:paraId="661AD5B7">
            <w:pPr>
              <w:keepNext w:val="0"/>
              <w:keepLines w:val="0"/>
              <w:pageBreakBefore w:val="0"/>
              <w:widowControl w:val="0"/>
              <w:kinsoku/>
              <w:wordWrap/>
              <w:overflowPunct/>
              <w:topLinePunct w:val="0"/>
              <w:autoSpaceDE/>
              <w:autoSpaceDN/>
              <w:bidi w:val="0"/>
              <w:adjustRightInd w:val="0"/>
              <w:snapToGrid/>
              <w:spacing w:line="240" w:lineRule="auto"/>
              <w:ind w:left="0" w:right="0" w:firstLine="0" w:firstLineChars="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重点防渗区：危废暂存间、</w:t>
            </w:r>
            <w:r>
              <w:rPr>
                <w:rFonts w:hint="eastAsia" w:cs="Times New Roman"/>
                <w:color w:val="auto"/>
                <w:sz w:val="21"/>
                <w:szCs w:val="21"/>
                <w:highlight w:val="none"/>
                <w:lang w:val="en-US" w:eastAsia="zh-CN"/>
              </w:rPr>
              <w:t>辅料库</w:t>
            </w:r>
            <w:r>
              <w:rPr>
                <w:rFonts w:hint="default" w:ascii="Times New Roman" w:hAnsi="Times New Roman" w:eastAsia="宋体" w:cs="Times New Roman"/>
                <w:color w:val="auto"/>
                <w:sz w:val="21"/>
                <w:szCs w:val="21"/>
                <w:highlight w:val="none"/>
              </w:rPr>
              <w:t>。</w:t>
            </w:r>
          </w:p>
          <w:p w14:paraId="2FBF5BA2">
            <w:pPr>
              <w:keepNext w:val="0"/>
              <w:keepLines w:val="0"/>
              <w:pageBreakBefore w:val="0"/>
              <w:widowControl w:val="0"/>
              <w:kinsoku/>
              <w:wordWrap/>
              <w:overflowPunct/>
              <w:topLinePunct w:val="0"/>
              <w:autoSpaceDE/>
              <w:autoSpaceDN/>
              <w:bidi w:val="0"/>
              <w:adjustRightInd w:val="0"/>
              <w:snapToGrid/>
              <w:spacing w:line="240" w:lineRule="auto"/>
              <w:ind w:left="0" w:right="0" w:firstLine="0" w:firstLineChars="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一般防渗区：化粪池、</w:t>
            </w:r>
            <w:r>
              <w:rPr>
                <w:rFonts w:hint="eastAsia"/>
                <w:color w:val="auto"/>
                <w:sz w:val="21"/>
                <w:szCs w:val="21"/>
                <w:highlight w:val="none"/>
                <w:lang w:val="en-US" w:eastAsia="zh-CN"/>
              </w:rPr>
              <w:t>一般固废库、成品库、原料库、隔油池、生产车间等</w:t>
            </w:r>
            <w:r>
              <w:rPr>
                <w:rFonts w:hint="default" w:ascii="Times New Roman" w:hAnsi="Times New Roman" w:eastAsia="宋体" w:cs="Times New Roman"/>
                <w:color w:val="auto"/>
                <w:sz w:val="21"/>
                <w:szCs w:val="21"/>
                <w:highlight w:val="none"/>
              </w:rPr>
              <w:t>。</w:t>
            </w:r>
          </w:p>
          <w:p w14:paraId="20CA6E1F">
            <w:pPr>
              <w:keepNext w:val="0"/>
              <w:keepLines w:val="0"/>
              <w:pageBreakBefore w:val="0"/>
              <w:widowControl w:val="0"/>
              <w:kinsoku/>
              <w:wordWrap/>
              <w:overflowPunct/>
              <w:topLinePunct w:val="0"/>
              <w:autoSpaceDE/>
              <w:autoSpaceDN/>
              <w:bidi w:val="0"/>
              <w:adjustRightInd w:val="0"/>
              <w:snapToGrid/>
              <w:spacing w:line="240" w:lineRule="auto"/>
              <w:ind w:left="0" w:right="0" w:firstLine="0" w:firstLineChars="0"/>
              <w:jc w:val="left"/>
              <w:textAlignment w:val="auto"/>
              <w:rPr>
                <w:rFonts w:hint="eastAsia" w:ascii="Times New Roman" w:hAnsi="Times New Roman" w:eastAsia="宋体" w:cs="Times New Roman"/>
                <w:color w:val="auto"/>
                <w:sz w:val="21"/>
                <w:szCs w:val="21"/>
                <w:highlight w:val="none"/>
                <w:lang w:eastAsia="zh-CN"/>
              </w:rPr>
            </w:pPr>
            <w:r>
              <w:rPr>
                <w:rFonts w:hint="eastAsia"/>
                <w:color w:val="auto"/>
                <w:spacing w:val="7"/>
                <w:sz w:val="21"/>
                <w:szCs w:val="21"/>
                <w:highlight w:val="none"/>
                <w:lang w:val="en-US" w:eastAsia="zh-CN"/>
              </w:rPr>
              <w:t>简单防渗</w:t>
            </w:r>
            <w:r>
              <w:rPr>
                <w:color w:val="auto"/>
                <w:spacing w:val="7"/>
                <w:sz w:val="21"/>
                <w:szCs w:val="21"/>
                <w:highlight w:val="none"/>
              </w:rPr>
              <w:t>区</w:t>
            </w:r>
            <w:r>
              <w:rPr>
                <w:rFonts w:hint="eastAsia"/>
                <w:color w:val="auto"/>
                <w:spacing w:val="7"/>
                <w:sz w:val="21"/>
                <w:szCs w:val="21"/>
                <w:highlight w:val="none"/>
                <w:lang w:eastAsia="zh-CN"/>
              </w:rPr>
              <w:t>：</w:t>
            </w:r>
            <w:r>
              <w:rPr>
                <w:rFonts w:hint="eastAsia"/>
                <w:color w:val="auto"/>
                <w:sz w:val="21"/>
                <w:szCs w:val="21"/>
                <w:highlight w:val="none"/>
                <w:lang w:val="en-US" w:eastAsia="zh-CN"/>
              </w:rPr>
              <w:t>办公区等。</w:t>
            </w:r>
          </w:p>
        </w:tc>
      </w:tr>
      <w:tr w14:paraId="0876CCD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31" w:type="dxa"/>
            <w:noWrap w:val="0"/>
            <w:vAlign w:val="center"/>
          </w:tcPr>
          <w:p w14:paraId="4B8E90CC">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eastAsia" w:ascii="宋体" w:hAnsi="宋体" w:cs="宋体"/>
                <w:color w:val="auto"/>
                <w:spacing w:val="-8"/>
                <w:sz w:val="21"/>
                <w:szCs w:val="21"/>
                <w:highlight w:val="none"/>
              </w:rPr>
            </w:pPr>
            <w:r>
              <w:rPr>
                <w:rFonts w:hint="eastAsia" w:ascii="宋体" w:hAnsi="宋体" w:cs="宋体"/>
                <w:color w:val="auto"/>
                <w:spacing w:val="-8"/>
                <w:sz w:val="21"/>
                <w:szCs w:val="21"/>
                <w:highlight w:val="none"/>
              </w:rPr>
              <w:t>环境风险防范措施</w:t>
            </w:r>
          </w:p>
        </w:tc>
        <w:tc>
          <w:tcPr>
            <w:tcW w:w="8129" w:type="dxa"/>
            <w:gridSpan w:val="4"/>
            <w:noWrap w:val="0"/>
            <w:vAlign w:val="center"/>
          </w:tcPr>
          <w:p w14:paraId="3422FEA0">
            <w:pPr>
              <w:keepNext w:val="0"/>
              <w:keepLines w:val="0"/>
              <w:pageBreakBefore w:val="0"/>
              <w:widowControl w:val="0"/>
              <w:kinsoku/>
              <w:wordWrap/>
              <w:overflowPunct/>
              <w:topLinePunct w:val="0"/>
              <w:autoSpaceDE/>
              <w:autoSpaceDN/>
              <w:bidi w:val="0"/>
              <w:adjustRightInd w:val="0"/>
              <w:snapToGrid/>
              <w:spacing w:line="240" w:lineRule="auto"/>
              <w:ind w:left="0" w:right="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对职工进行广泛系统的培训；建立完备的应急组织体系；编制突发环境事件应急预案并备案</w:t>
            </w:r>
            <w:r>
              <w:rPr>
                <w:rFonts w:hint="eastAsia" w:cs="Times New Roman"/>
                <w:color w:val="auto"/>
                <w:sz w:val="21"/>
                <w:szCs w:val="21"/>
                <w:highlight w:val="none"/>
                <w:lang w:eastAsia="zh-CN"/>
              </w:rPr>
              <w:t>、</w:t>
            </w:r>
            <w:r>
              <w:rPr>
                <w:rFonts w:hint="eastAsia" w:cs="Times New Roman"/>
                <w:color w:val="auto"/>
                <w:sz w:val="21"/>
                <w:szCs w:val="21"/>
                <w:highlight w:val="none"/>
                <w:lang w:val="en-US" w:eastAsia="zh-CN"/>
              </w:rPr>
              <w:t>演练</w:t>
            </w:r>
            <w:r>
              <w:rPr>
                <w:rFonts w:hint="eastAsia" w:cs="Times New Roman"/>
                <w:color w:val="auto"/>
                <w:sz w:val="21"/>
                <w:szCs w:val="21"/>
                <w:highlight w:val="none"/>
                <w:lang w:eastAsia="zh-CN"/>
              </w:rPr>
              <w:t>，</w:t>
            </w:r>
            <w:r>
              <w:rPr>
                <w:rFonts w:hint="eastAsia" w:cs="Times New Roman"/>
                <w:color w:val="auto"/>
                <w:sz w:val="21"/>
                <w:szCs w:val="21"/>
                <w:highlight w:val="none"/>
                <w:lang w:val="en-US" w:eastAsia="zh-CN"/>
              </w:rPr>
              <w:t>配置</w:t>
            </w:r>
            <w:r>
              <w:rPr>
                <w:rFonts w:hint="default" w:ascii="Times New Roman" w:hAnsi="Times New Roman" w:eastAsia="宋体" w:cs="Times New Roman"/>
                <w:color w:val="auto"/>
                <w:kern w:val="0"/>
                <w:sz w:val="21"/>
                <w:szCs w:val="21"/>
                <w:highlight w:val="none"/>
                <w:lang w:val="en-US" w:eastAsia="zh-CN" w:bidi="ar-SA"/>
              </w:rPr>
              <w:t>各类消防器具、应急设施及员工个人保护装备。</w:t>
            </w:r>
          </w:p>
        </w:tc>
      </w:tr>
      <w:tr w14:paraId="1C7CED5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931" w:type="dxa"/>
            <w:noWrap w:val="0"/>
            <w:vAlign w:val="center"/>
          </w:tcPr>
          <w:p w14:paraId="1BB17531">
            <w:pPr>
              <w:keepNext w:val="0"/>
              <w:keepLines w:val="0"/>
              <w:pageBreakBefore w:val="0"/>
              <w:kinsoku/>
              <w:wordWrap/>
              <w:overflowPunct/>
              <w:topLinePunct w:val="0"/>
              <w:autoSpaceDE/>
              <w:autoSpaceDN/>
              <w:bidi w:val="0"/>
              <w:adjustRightInd w:val="0"/>
              <w:snapToGrid/>
              <w:spacing w:line="240" w:lineRule="auto"/>
              <w:ind w:left="0" w:right="0" w:firstLine="0" w:firstLineChars="0"/>
              <w:jc w:val="center"/>
              <w:textAlignment w:val="auto"/>
              <w:rPr>
                <w:rFonts w:hint="eastAsia" w:ascii="宋体" w:hAnsi="宋体" w:cs="宋体"/>
                <w:color w:val="auto"/>
                <w:spacing w:val="-8"/>
                <w:sz w:val="21"/>
                <w:szCs w:val="21"/>
                <w:highlight w:val="none"/>
              </w:rPr>
            </w:pPr>
            <w:r>
              <w:rPr>
                <w:rFonts w:hint="eastAsia" w:ascii="宋体" w:hAnsi="宋体" w:cs="宋体"/>
                <w:color w:val="auto"/>
                <w:spacing w:val="-8"/>
                <w:sz w:val="21"/>
                <w:szCs w:val="21"/>
                <w:highlight w:val="none"/>
              </w:rPr>
              <w:t>其他环境管理要求</w:t>
            </w:r>
          </w:p>
        </w:tc>
        <w:tc>
          <w:tcPr>
            <w:tcW w:w="8129" w:type="dxa"/>
            <w:gridSpan w:val="4"/>
            <w:noWrap w:val="0"/>
            <w:vAlign w:val="center"/>
          </w:tcPr>
          <w:p w14:paraId="7BC46796">
            <w:pPr>
              <w:numPr>
                <w:ilvl w:val="0"/>
                <w:numId w:val="6"/>
              </w:numPr>
              <w:spacing w:line="360" w:lineRule="auto"/>
              <w:ind w:firstLine="420" w:firstLineChars="20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项目环保竣工验收</w:t>
            </w:r>
          </w:p>
          <w:p w14:paraId="1D726349">
            <w:pPr>
              <w:numPr>
                <w:ilvl w:val="0"/>
                <w:numId w:val="0"/>
              </w:numPr>
              <w:spacing w:line="360" w:lineRule="auto"/>
              <w:ind w:firstLine="420" w:firstLineChars="20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建设单位应根据环保竣工验收相关要求，自主开展环境保护竣工验收相关工作。建设项目配套建设的环境保护设施经验收合格，方可投入生产或者使用，未经验收或者验收不合格的，不得投入生产或者使用。</w:t>
            </w:r>
          </w:p>
          <w:p w14:paraId="044DD02E">
            <w:pPr>
              <w:spacing w:line="360" w:lineRule="auto"/>
              <w:ind w:firstLine="420" w:firstLineChars="20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2、环境管理与监测</w:t>
            </w:r>
          </w:p>
          <w:p w14:paraId="784B178E">
            <w:pPr>
              <w:spacing w:line="360" w:lineRule="auto"/>
              <w:ind w:firstLine="420" w:firstLineChars="20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（1）环境管理</w:t>
            </w:r>
          </w:p>
          <w:p w14:paraId="19CE284A">
            <w:pPr>
              <w:spacing w:line="360" w:lineRule="auto"/>
              <w:ind w:firstLine="420" w:firstLineChars="20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环境管理要求运行期间，企业应设立环境管理机构，配备1名专业技术人员作为专职管理人员，负责其企业的环境管理工作，主要负责管理、维护各项环保设施，确保其正常运转和达标排放，并做好日常环境监测工作，及时掌握各项环保设施的运转情况、环境动态，必要时采取适当的环保措施。环境管理的主要内容和职能如下：①贯彻执行国家及池州市的各项环境保护政策、法规及标准，制定本项目的环境管理办法；②建立健全企业的环境管理制度，并实施检查和监督工作；③完成规定的监测任务，监督各排放口的污染物达标情况，保证监测质量和数据的代表性、准确性，对监测指标异常的污染物及新发现的污染物要及时上报有关部门；④定期对本项目涉及的各环保设施运行情况进行全面检查，保证设施正常运行，确保无重大环境污染、泄漏事故；⑤建立环境档案和管理方案，实行环境保护工作动态管理。</w:t>
            </w:r>
          </w:p>
          <w:p w14:paraId="1F59F0D0">
            <w:pPr>
              <w:spacing w:line="360" w:lineRule="auto"/>
              <w:ind w:firstLine="420" w:firstLineChars="20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（2）排污口规范化管理</w:t>
            </w:r>
          </w:p>
          <w:p w14:paraId="2177FC28">
            <w:pPr>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废气排放口、废水排放口、固定噪声源、固体废物贮存必须按照规范要求进行建设。同时要求按照《环境保护图形标志实施细则（试行）》（环监</w:t>
            </w:r>
            <w:r>
              <w:rPr>
                <w:rFonts w:hint="eastAsia" w:cs="Times New Roman"/>
                <w:color w:val="auto"/>
                <w:sz w:val="21"/>
                <w:szCs w:val="21"/>
                <w:highlight w:val="none"/>
                <w:lang w:val="en-US" w:eastAsia="zh-CN"/>
              </w:rPr>
              <w:t>〔1996〕</w:t>
            </w:r>
            <w:r>
              <w:rPr>
                <w:rFonts w:hint="default" w:ascii="Times New Roman" w:hAnsi="Times New Roman" w:eastAsia="宋体" w:cs="Times New Roman"/>
                <w:color w:val="auto"/>
                <w:sz w:val="21"/>
                <w:szCs w:val="21"/>
                <w:highlight w:val="none"/>
                <w:lang w:val="en-US" w:eastAsia="zh-CN"/>
              </w:rPr>
              <w:t>463 号）的规定，设置与排污口相应的图形标志牌。①废气排放口设置取样口，并具备采样监测条件；②排污口管理，建设单位应在各个排污口</w:t>
            </w:r>
            <w:r>
              <w:rPr>
                <w:rFonts w:hint="eastAsia" w:cs="Times New Roman"/>
                <w:color w:val="auto"/>
                <w:sz w:val="21"/>
                <w:szCs w:val="21"/>
                <w:highlight w:val="none"/>
                <w:lang w:val="en-US" w:eastAsia="zh-CN"/>
              </w:rPr>
              <w:t>竖立标志牌</w:t>
            </w:r>
            <w:r>
              <w:rPr>
                <w:rFonts w:hint="default" w:ascii="Times New Roman" w:hAnsi="Times New Roman" w:eastAsia="宋体" w:cs="Times New Roman"/>
                <w:color w:val="auto"/>
                <w:sz w:val="21"/>
                <w:szCs w:val="21"/>
                <w:highlight w:val="none"/>
                <w:lang w:val="en-US" w:eastAsia="zh-CN"/>
              </w:rPr>
              <w:t>，并如实填写《中华人民共和国规范化排污口标记登记证》，由环保部门签发。环保主管部门和建设单位可分别按以下内容建立排污口管理的专门档案：排污口性质和编号；位置；排放主要污染物种类、数量、浓度；排放去向；达标情况；治理设施运行情况及整改意见；③环境保护图形标志在废气排放口、废水排放口、固体废物贮存处置场应设置环境保护图形标志，</w:t>
            </w:r>
            <w:r>
              <w:rPr>
                <w:rFonts w:hint="default" w:ascii="Times New Roman" w:hAnsi="Times New Roman" w:eastAsia="宋体" w:cs="Times New Roman"/>
                <w:color w:val="auto"/>
                <w:sz w:val="21"/>
                <w:szCs w:val="21"/>
                <w:highlight w:val="none"/>
              </w:rPr>
              <w:t>图形符号分为提示图形和警告图形符号两种，按《环境保护图形标志——排放口</w:t>
            </w:r>
            <w:r>
              <w:rPr>
                <w:rFonts w:hint="eastAsia"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源</w:t>
            </w:r>
            <w:r>
              <w:rPr>
                <w:rFonts w:hint="eastAsia"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GB15562.1-1995）、《环境保护图形标志——固体废物贮存（处置）场》（GB15562.2-1995）及修改单执行。此外，应按照《危险废物识别标志设置技术规范》（HJ1276-2022）要求设置危险废物贮存设施或场所标志、危险废物贮存分区标志和危险废物标签等危险废物识别标志。</w:t>
            </w:r>
          </w:p>
          <w:p w14:paraId="7CAE9763">
            <w:pPr>
              <w:spacing w:line="360" w:lineRule="auto"/>
              <w:ind w:firstLine="420" w:firstLineChars="20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color w:val="auto"/>
                <w:sz w:val="21"/>
                <w:szCs w:val="21"/>
                <w:highlight w:val="none"/>
              </w:rPr>
              <w:t>环境保护图形符号、环境保护图形标志的形状及颜色见下表。</w:t>
            </w:r>
          </w:p>
          <w:p w14:paraId="65DA4E66">
            <w:pPr>
              <w:pStyle w:val="1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w:t>
            </w:r>
            <w:r>
              <w:rPr>
                <w:rFonts w:hint="default" w:ascii="Times New Roman" w:hAnsi="Times New Roman" w:eastAsia="宋体" w:cs="Times New Roman"/>
                <w:b/>
                <w:bCs/>
                <w:color w:val="auto"/>
                <w:sz w:val="21"/>
                <w:szCs w:val="21"/>
                <w:highlight w:val="none"/>
                <w:lang w:val="en-US" w:eastAsia="zh-CN"/>
              </w:rPr>
              <w:t>5</w:t>
            </w:r>
            <w:r>
              <w:rPr>
                <w:rFonts w:hint="default" w:ascii="Times New Roman" w:hAnsi="Times New Roman" w:eastAsia="宋体" w:cs="Times New Roman"/>
                <w:b/>
                <w:bCs/>
                <w:color w:val="auto"/>
                <w:sz w:val="21"/>
                <w:szCs w:val="21"/>
                <w:highlight w:val="none"/>
              </w:rPr>
              <w:t>-1 环保图形标志</w:t>
            </w:r>
          </w:p>
          <w:tbl>
            <w:tblPr>
              <w:tblStyle w:val="2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2829"/>
              <w:gridCol w:w="2785"/>
              <w:gridCol w:w="1545"/>
            </w:tblGrid>
            <w:tr w14:paraId="27FDE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blHeader/>
              </w:trPr>
              <w:tc>
                <w:tcPr>
                  <w:tcW w:w="467" w:type="pct"/>
                  <w:noWrap w:val="0"/>
                  <w:vAlign w:val="center"/>
                </w:tcPr>
                <w:p w14:paraId="33F04C44">
                  <w:pPr>
                    <w:pStyle w:val="1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序号</w:t>
                  </w:r>
                </w:p>
              </w:tc>
              <w:tc>
                <w:tcPr>
                  <w:tcW w:w="1791" w:type="pct"/>
                  <w:noWrap w:val="0"/>
                  <w:vAlign w:val="center"/>
                </w:tcPr>
                <w:p w14:paraId="097A714A">
                  <w:pPr>
                    <w:pStyle w:val="1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提示性图形符号</w:t>
                  </w:r>
                </w:p>
              </w:tc>
              <w:tc>
                <w:tcPr>
                  <w:tcW w:w="1763" w:type="pct"/>
                  <w:noWrap w:val="0"/>
                  <w:vAlign w:val="center"/>
                </w:tcPr>
                <w:p w14:paraId="014490F8">
                  <w:pPr>
                    <w:pStyle w:val="1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警告图形符号</w:t>
                  </w:r>
                </w:p>
              </w:tc>
              <w:tc>
                <w:tcPr>
                  <w:tcW w:w="978" w:type="pct"/>
                  <w:noWrap w:val="0"/>
                  <w:vAlign w:val="center"/>
                </w:tcPr>
                <w:p w14:paraId="08788237">
                  <w:pPr>
                    <w:pStyle w:val="1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排放口及堆场</w:t>
                  </w:r>
                </w:p>
              </w:tc>
            </w:tr>
            <w:tr w14:paraId="59C42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467" w:type="pct"/>
                  <w:noWrap w:val="0"/>
                  <w:vAlign w:val="center"/>
                </w:tcPr>
                <w:p w14:paraId="75CC01D6">
                  <w:pPr>
                    <w:numPr>
                      <w:ilvl w:val="0"/>
                      <w:numId w:val="0"/>
                    </w:numPr>
                    <w:adjustRightInd/>
                    <w:snapToGrid/>
                    <w:spacing w:line="240" w:lineRule="auto"/>
                    <w:ind w:left="0" w:firstLine="0" w:firstLineChars="0"/>
                    <w:jc w:val="center"/>
                    <w:rPr>
                      <w:rFonts w:hint="eastAsia" w:ascii="Times New Roman" w:hAnsi="Times New Roman" w:eastAsia="宋体" w:cs="Times New Roman"/>
                      <w:color w:val="auto"/>
                      <w:sz w:val="21"/>
                      <w:szCs w:val="21"/>
                      <w:highlight w:val="none"/>
                      <w:lang w:val="en-US" w:eastAsia="zh-CN" w:bidi="ar"/>
                    </w:rPr>
                  </w:pPr>
                  <w:r>
                    <w:rPr>
                      <w:rFonts w:hint="eastAsia" w:ascii="Times New Roman" w:hAnsi="Times New Roman" w:eastAsia="宋体" w:cs="Times New Roman"/>
                      <w:color w:val="auto"/>
                      <w:sz w:val="21"/>
                      <w:szCs w:val="21"/>
                      <w:highlight w:val="none"/>
                      <w:lang w:val="en-US" w:eastAsia="zh-CN" w:bidi="ar"/>
                    </w:rPr>
                    <w:t>1</w:t>
                  </w:r>
                </w:p>
              </w:tc>
              <w:tc>
                <w:tcPr>
                  <w:tcW w:w="1791" w:type="pct"/>
                  <w:noWrap w:val="0"/>
                  <w:vAlign w:val="center"/>
                </w:tcPr>
                <w:p w14:paraId="09E92DD2">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drawing>
                      <wp:inline distT="0" distB="0" distL="114300" distR="114300">
                        <wp:extent cx="1238250" cy="1152525"/>
                        <wp:effectExtent l="0" t="0" r="6350" b="3175"/>
                        <wp:docPr id="16" name="图片 237" descr="说明: 说明: 污水排放口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37" descr="说明: 说明: 污水排放口1"/>
                                <pic:cNvPicPr>
                                  <a:picLocks noChangeAspect="1"/>
                                </pic:cNvPicPr>
                              </pic:nvPicPr>
                              <pic:blipFill>
                                <a:blip r:embed="rId37"/>
                                <a:stretch>
                                  <a:fillRect/>
                                </a:stretch>
                              </pic:blipFill>
                              <pic:spPr>
                                <a:xfrm>
                                  <a:off x="0" y="0"/>
                                  <a:ext cx="1238250" cy="1152525"/>
                                </a:xfrm>
                                <a:prstGeom prst="rect">
                                  <a:avLst/>
                                </a:prstGeom>
                                <a:noFill/>
                                <a:ln>
                                  <a:noFill/>
                                </a:ln>
                              </pic:spPr>
                            </pic:pic>
                          </a:graphicData>
                        </a:graphic>
                      </wp:inline>
                    </w:drawing>
                  </w:r>
                </w:p>
              </w:tc>
              <w:tc>
                <w:tcPr>
                  <w:tcW w:w="1763" w:type="pct"/>
                  <w:noWrap w:val="0"/>
                  <w:vAlign w:val="center"/>
                </w:tcPr>
                <w:p w14:paraId="37A99F8C">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drawing>
                      <wp:inline distT="0" distB="0" distL="114300" distR="114300">
                        <wp:extent cx="1266190" cy="1138555"/>
                        <wp:effectExtent l="0" t="0" r="3810" b="4445"/>
                        <wp:docPr id="17" name="图片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38"/>
                                <pic:cNvPicPr>
                                  <a:picLocks noChangeAspect="1"/>
                                </pic:cNvPicPr>
                              </pic:nvPicPr>
                              <pic:blipFill>
                                <a:blip r:embed="rId38"/>
                                <a:stretch>
                                  <a:fillRect/>
                                </a:stretch>
                              </pic:blipFill>
                              <pic:spPr>
                                <a:xfrm>
                                  <a:off x="0" y="0"/>
                                  <a:ext cx="1266190" cy="1138555"/>
                                </a:xfrm>
                                <a:prstGeom prst="rect">
                                  <a:avLst/>
                                </a:prstGeom>
                                <a:noFill/>
                                <a:ln>
                                  <a:noFill/>
                                </a:ln>
                              </pic:spPr>
                            </pic:pic>
                          </a:graphicData>
                        </a:graphic>
                      </wp:inline>
                    </w:drawing>
                  </w:r>
                </w:p>
              </w:tc>
              <w:tc>
                <w:tcPr>
                  <w:tcW w:w="978" w:type="pct"/>
                  <w:noWrap w:val="0"/>
                  <w:vAlign w:val="center"/>
                </w:tcPr>
                <w:p w14:paraId="007F2FE2">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污水排放口</w:t>
                  </w:r>
                </w:p>
              </w:tc>
            </w:tr>
            <w:tr w14:paraId="5D454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 w:type="pct"/>
                  <w:noWrap w:val="0"/>
                  <w:vAlign w:val="center"/>
                </w:tcPr>
                <w:p w14:paraId="5B1C0060">
                  <w:pPr>
                    <w:numPr>
                      <w:ilvl w:val="0"/>
                      <w:numId w:val="0"/>
                    </w:numPr>
                    <w:adjustRightInd/>
                    <w:snapToGrid/>
                    <w:spacing w:line="240" w:lineRule="auto"/>
                    <w:ind w:left="0" w:firstLine="0" w:firstLineChars="0"/>
                    <w:jc w:val="center"/>
                    <w:rPr>
                      <w:rFonts w:hint="eastAsia" w:ascii="Times New Roman" w:hAnsi="Times New Roman" w:eastAsia="宋体" w:cs="Times New Roman"/>
                      <w:color w:val="auto"/>
                      <w:sz w:val="21"/>
                      <w:szCs w:val="21"/>
                      <w:highlight w:val="none"/>
                      <w:lang w:val="en-US" w:eastAsia="zh-CN" w:bidi="ar"/>
                    </w:rPr>
                  </w:pPr>
                  <w:r>
                    <w:rPr>
                      <w:rFonts w:hint="eastAsia" w:ascii="Times New Roman" w:hAnsi="Times New Roman" w:eastAsia="宋体" w:cs="Times New Roman"/>
                      <w:color w:val="auto"/>
                      <w:sz w:val="21"/>
                      <w:szCs w:val="21"/>
                      <w:highlight w:val="none"/>
                      <w:lang w:val="en-US" w:eastAsia="zh-CN" w:bidi="ar"/>
                    </w:rPr>
                    <w:t>2</w:t>
                  </w:r>
                </w:p>
              </w:tc>
              <w:tc>
                <w:tcPr>
                  <w:tcW w:w="1791" w:type="pct"/>
                  <w:noWrap w:val="0"/>
                  <w:vAlign w:val="center"/>
                </w:tcPr>
                <w:p w14:paraId="5F4E5ECD">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drawing>
                      <wp:inline distT="0" distB="0" distL="114300" distR="114300">
                        <wp:extent cx="1276350" cy="1114425"/>
                        <wp:effectExtent l="0" t="0" r="6350" b="3175"/>
                        <wp:docPr id="18" name="图片 239" descr="说明: 说明: 废气排放口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39" descr="说明: 说明: 废气排放口1"/>
                                <pic:cNvPicPr>
                                  <a:picLocks noChangeAspect="1"/>
                                </pic:cNvPicPr>
                              </pic:nvPicPr>
                              <pic:blipFill>
                                <a:blip r:embed="rId39"/>
                                <a:stretch>
                                  <a:fillRect/>
                                </a:stretch>
                              </pic:blipFill>
                              <pic:spPr>
                                <a:xfrm>
                                  <a:off x="0" y="0"/>
                                  <a:ext cx="1276350" cy="1114425"/>
                                </a:xfrm>
                                <a:prstGeom prst="rect">
                                  <a:avLst/>
                                </a:prstGeom>
                                <a:noFill/>
                                <a:ln>
                                  <a:noFill/>
                                </a:ln>
                              </pic:spPr>
                            </pic:pic>
                          </a:graphicData>
                        </a:graphic>
                      </wp:inline>
                    </w:drawing>
                  </w:r>
                </w:p>
              </w:tc>
              <w:tc>
                <w:tcPr>
                  <w:tcW w:w="1763" w:type="pct"/>
                  <w:noWrap w:val="0"/>
                  <w:vAlign w:val="center"/>
                </w:tcPr>
                <w:p w14:paraId="23D6CA97">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drawing>
                      <wp:inline distT="0" distB="0" distL="114300" distR="114300">
                        <wp:extent cx="1264285" cy="1130935"/>
                        <wp:effectExtent l="0" t="0" r="5715" b="12065"/>
                        <wp:docPr id="19" name="图片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40"/>
                                <pic:cNvPicPr>
                                  <a:picLocks noChangeAspect="1"/>
                                </pic:cNvPicPr>
                              </pic:nvPicPr>
                              <pic:blipFill>
                                <a:blip r:embed="rId40"/>
                                <a:srcRect r="688"/>
                                <a:stretch>
                                  <a:fillRect/>
                                </a:stretch>
                              </pic:blipFill>
                              <pic:spPr>
                                <a:xfrm>
                                  <a:off x="0" y="0"/>
                                  <a:ext cx="1264285" cy="1130935"/>
                                </a:xfrm>
                                <a:prstGeom prst="rect">
                                  <a:avLst/>
                                </a:prstGeom>
                                <a:noFill/>
                                <a:ln>
                                  <a:noFill/>
                                </a:ln>
                              </pic:spPr>
                            </pic:pic>
                          </a:graphicData>
                        </a:graphic>
                      </wp:inline>
                    </w:drawing>
                  </w:r>
                </w:p>
              </w:tc>
              <w:tc>
                <w:tcPr>
                  <w:tcW w:w="978" w:type="pct"/>
                  <w:noWrap w:val="0"/>
                  <w:vAlign w:val="center"/>
                </w:tcPr>
                <w:p w14:paraId="7BB7E12B">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废气排放口</w:t>
                  </w:r>
                </w:p>
              </w:tc>
            </w:tr>
            <w:tr w14:paraId="364F8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 w:type="pct"/>
                  <w:noWrap w:val="0"/>
                  <w:vAlign w:val="center"/>
                </w:tcPr>
                <w:p w14:paraId="1DE67E44">
                  <w:pPr>
                    <w:numPr>
                      <w:ilvl w:val="0"/>
                      <w:numId w:val="0"/>
                    </w:numPr>
                    <w:adjustRightInd/>
                    <w:snapToGrid/>
                    <w:spacing w:line="240" w:lineRule="auto"/>
                    <w:ind w:left="0" w:firstLine="0" w:firstLineChars="0"/>
                    <w:jc w:val="center"/>
                    <w:rPr>
                      <w:rFonts w:hint="eastAsia" w:ascii="Times New Roman" w:hAnsi="Times New Roman" w:eastAsia="宋体" w:cs="Times New Roman"/>
                      <w:color w:val="auto"/>
                      <w:sz w:val="21"/>
                      <w:szCs w:val="21"/>
                      <w:highlight w:val="none"/>
                      <w:lang w:val="en-US" w:eastAsia="zh-CN" w:bidi="ar"/>
                    </w:rPr>
                  </w:pPr>
                  <w:r>
                    <w:rPr>
                      <w:rFonts w:hint="eastAsia" w:ascii="Times New Roman" w:hAnsi="Times New Roman" w:eastAsia="宋体" w:cs="Times New Roman"/>
                      <w:color w:val="auto"/>
                      <w:sz w:val="21"/>
                      <w:szCs w:val="21"/>
                      <w:highlight w:val="none"/>
                      <w:lang w:val="en-US" w:eastAsia="zh-CN" w:bidi="ar"/>
                    </w:rPr>
                    <w:t>3</w:t>
                  </w:r>
                </w:p>
              </w:tc>
              <w:tc>
                <w:tcPr>
                  <w:tcW w:w="1791" w:type="pct"/>
                  <w:noWrap w:val="0"/>
                  <w:vAlign w:val="center"/>
                </w:tcPr>
                <w:p w14:paraId="010CDB84">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drawing>
                      <wp:inline distT="0" distB="0" distL="114300" distR="114300">
                        <wp:extent cx="1257300" cy="1114425"/>
                        <wp:effectExtent l="0" t="0" r="0" b="3175"/>
                        <wp:docPr id="20" name="图片 241" descr="说明: 说明: 噪声排放源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41" descr="说明: 说明: 噪声排放源1"/>
                                <pic:cNvPicPr>
                                  <a:picLocks noChangeAspect="1"/>
                                </pic:cNvPicPr>
                              </pic:nvPicPr>
                              <pic:blipFill>
                                <a:blip r:embed="rId41"/>
                                <a:stretch>
                                  <a:fillRect/>
                                </a:stretch>
                              </pic:blipFill>
                              <pic:spPr>
                                <a:xfrm>
                                  <a:off x="0" y="0"/>
                                  <a:ext cx="1257300" cy="1114425"/>
                                </a:xfrm>
                                <a:prstGeom prst="rect">
                                  <a:avLst/>
                                </a:prstGeom>
                                <a:noFill/>
                                <a:ln>
                                  <a:noFill/>
                                </a:ln>
                              </pic:spPr>
                            </pic:pic>
                          </a:graphicData>
                        </a:graphic>
                      </wp:inline>
                    </w:drawing>
                  </w:r>
                </w:p>
              </w:tc>
              <w:tc>
                <w:tcPr>
                  <w:tcW w:w="1763" w:type="pct"/>
                  <w:noWrap w:val="0"/>
                  <w:vAlign w:val="center"/>
                </w:tcPr>
                <w:p w14:paraId="3BDAC541">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drawing>
                      <wp:inline distT="0" distB="0" distL="114300" distR="114300">
                        <wp:extent cx="1259205" cy="1118870"/>
                        <wp:effectExtent l="0" t="0" r="10795" b="11430"/>
                        <wp:docPr id="21" name="图片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42"/>
                                <pic:cNvPicPr>
                                  <a:picLocks noChangeAspect="1"/>
                                </pic:cNvPicPr>
                              </pic:nvPicPr>
                              <pic:blipFill>
                                <a:blip r:embed="rId42"/>
                                <a:stretch>
                                  <a:fillRect/>
                                </a:stretch>
                              </pic:blipFill>
                              <pic:spPr>
                                <a:xfrm>
                                  <a:off x="0" y="0"/>
                                  <a:ext cx="1259205" cy="1118870"/>
                                </a:xfrm>
                                <a:prstGeom prst="rect">
                                  <a:avLst/>
                                </a:prstGeom>
                                <a:noFill/>
                                <a:ln>
                                  <a:noFill/>
                                </a:ln>
                              </pic:spPr>
                            </pic:pic>
                          </a:graphicData>
                        </a:graphic>
                      </wp:inline>
                    </w:drawing>
                  </w:r>
                </w:p>
              </w:tc>
              <w:tc>
                <w:tcPr>
                  <w:tcW w:w="978" w:type="pct"/>
                  <w:noWrap w:val="0"/>
                  <w:vAlign w:val="center"/>
                </w:tcPr>
                <w:p w14:paraId="310D2A99">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噪声排放源</w:t>
                  </w:r>
                </w:p>
              </w:tc>
            </w:tr>
            <w:tr w14:paraId="1F44E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 w:type="pct"/>
                  <w:noWrap w:val="0"/>
                  <w:vAlign w:val="center"/>
                </w:tcPr>
                <w:p w14:paraId="178344B1">
                  <w:pPr>
                    <w:numPr>
                      <w:ilvl w:val="0"/>
                      <w:numId w:val="0"/>
                    </w:numPr>
                    <w:adjustRightInd/>
                    <w:snapToGrid/>
                    <w:spacing w:line="240" w:lineRule="auto"/>
                    <w:ind w:left="0" w:firstLine="0" w:firstLineChars="0"/>
                    <w:jc w:val="center"/>
                    <w:rPr>
                      <w:rFonts w:hint="eastAsia" w:ascii="Times New Roman" w:hAnsi="Times New Roman" w:eastAsia="宋体" w:cs="Times New Roman"/>
                      <w:color w:val="auto"/>
                      <w:sz w:val="21"/>
                      <w:szCs w:val="21"/>
                      <w:highlight w:val="none"/>
                      <w:lang w:val="en-US" w:eastAsia="zh-CN" w:bidi="ar"/>
                    </w:rPr>
                  </w:pPr>
                  <w:r>
                    <w:rPr>
                      <w:rFonts w:hint="eastAsia" w:ascii="Times New Roman" w:hAnsi="Times New Roman" w:eastAsia="宋体" w:cs="Times New Roman"/>
                      <w:color w:val="auto"/>
                      <w:sz w:val="21"/>
                      <w:szCs w:val="21"/>
                      <w:highlight w:val="none"/>
                      <w:lang w:val="en-US" w:eastAsia="zh-CN" w:bidi="ar"/>
                    </w:rPr>
                    <w:t>4</w:t>
                  </w:r>
                </w:p>
              </w:tc>
              <w:tc>
                <w:tcPr>
                  <w:tcW w:w="1791" w:type="pct"/>
                  <w:noWrap w:val="0"/>
                  <w:vAlign w:val="center"/>
                </w:tcPr>
                <w:p w14:paraId="1F8B52C5">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drawing>
                      <wp:inline distT="0" distB="0" distL="114300" distR="114300">
                        <wp:extent cx="1228725" cy="1123950"/>
                        <wp:effectExtent l="0" t="0" r="3175" b="6350"/>
                        <wp:docPr id="22" name="图片 243" descr="说明: 说明: 一般固体废物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43" descr="说明: 说明: 一般固体废物1"/>
                                <pic:cNvPicPr>
                                  <a:picLocks noChangeAspect="1"/>
                                </pic:cNvPicPr>
                              </pic:nvPicPr>
                              <pic:blipFill>
                                <a:blip r:embed="rId43"/>
                                <a:stretch>
                                  <a:fillRect/>
                                </a:stretch>
                              </pic:blipFill>
                              <pic:spPr>
                                <a:xfrm>
                                  <a:off x="0" y="0"/>
                                  <a:ext cx="1228725" cy="1123950"/>
                                </a:xfrm>
                                <a:prstGeom prst="rect">
                                  <a:avLst/>
                                </a:prstGeom>
                                <a:noFill/>
                                <a:ln>
                                  <a:noFill/>
                                </a:ln>
                              </pic:spPr>
                            </pic:pic>
                          </a:graphicData>
                        </a:graphic>
                      </wp:inline>
                    </w:drawing>
                  </w:r>
                </w:p>
              </w:tc>
              <w:tc>
                <w:tcPr>
                  <w:tcW w:w="1763" w:type="pct"/>
                  <w:noWrap w:val="0"/>
                  <w:vAlign w:val="center"/>
                </w:tcPr>
                <w:p w14:paraId="10C351B6">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drawing>
                      <wp:inline distT="0" distB="0" distL="114300" distR="114300">
                        <wp:extent cx="1275715" cy="1117600"/>
                        <wp:effectExtent l="0" t="0" r="6985" b="0"/>
                        <wp:docPr id="23" name="图片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44"/>
                                <pic:cNvPicPr>
                                  <a:picLocks noChangeAspect="1"/>
                                </pic:cNvPicPr>
                              </pic:nvPicPr>
                              <pic:blipFill>
                                <a:blip r:embed="rId44"/>
                                <a:stretch>
                                  <a:fillRect/>
                                </a:stretch>
                              </pic:blipFill>
                              <pic:spPr>
                                <a:xfrm>
                                  <a:off x="0" y="0"/>
                                  <a:ext cx="1275715" cy="1117600"/>
                                </a:xfrm>
                                <a:prstGeom prst="rect">
                                  <a:avLst/>
                                </a:prstGeom>
                                <a:noFill/>
                                <a:ln>
                                  <a:noFill/>
                                </a:ln>
                              </pic:spPr>
                            </pic:pic>
                          </a:graphicData>
                        </a:graphic>
                      </wp:inline>
                    </w:drawing>
                  </w:r>
                </w:p>
              </w:tc>
              <w:tc>
                <w:tcPr>
                  <w:tcW w:w="978" w:type="pct"/>
                  <w:noWrap w:val="0"/>
                  <w:vAlign w:val="center"/>
                </w:tcPr>
                <w:p w14:paraId="40C38B80">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一般固体废物</w:t>
                  </w:r>
                </w:p>
              </w:tc>
            </w:tr>
            <w:tr w14:paraId="5DB8E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9" w:hRule="atLeast"/>
              </w:trPr>
              <w:tc>
                <w:tcPr>
                  <w:tcW w:w="467" w:type="pct"/>
                  <w:noWrap w:val="0"/>
                  <w:vAlign w:val="center"/>
                </w:tcPr>
                <w:p w14:paraId="6D4CC815">
                  <w:pPr>
                    <w:numPr>
                      <w:ilvl w:val="0"/>
                      <w:numId w:val="0"/>
                    </w:numPr>
                    <w:adjustRightInd/>
                    <w:snapToGrid/>
                    <w:spacing w:line="240" w:lineRule="auto"/>
                    <w:ind w:left="0" w:firstLine="0" w:firstLineChars="0"/>
                    <w:jc w:val="center"/>
                    <w:rPr>
                      <w:rFonts w:hint="eastAsia" w:ascii="Times New Roman" w:hAnsi="Times New Roman" w:eastAsia="宋体" w:cs="Times New Roman"/>
                      <w:color w:val="auto"/>
                      <w:sz w:val="21"/>
                      <w:szCs w:val="21"/>
                      <w:highlight w:val="none"/>
                      <w:lang w:val="en-US" w:eastAsia="zh-CN" w:bidi="ar"/>
                    </w:rPr>
                  </w:pPr>
                  <w:r>
                    <w:rPr>
                      <w:rFonts w:hint="eastAsia" w:ascii="Times New Roman" w:hAnsi="Times New Roman" w:eastAsia="宋体" w:cs="Times New Roman"/>
                      <w:color w:val="auto"/>
                      <w:sz w:val="21"/>
                      <w:szCs w:val="21"/>
                      <w:highlight w:val="none"/>
                      <w:lang w:val="en-US" w:eastAsia="zh-CN" w:bidi="ar"/>
                    </w:rPr>
                    <w:t>5</w:t>
                  </w:r>
                </w:p>
              </w:tc>
              <w:tc>
                <w:tcPr>
                  <w:tcW w:w="1791" w:type="pct"/>
                  <w:noWrap w:val="0"/>
                  <w:vAlign w:val="center"/>
                </w:tcPr>
                <w:p w14:paraId="501FECBD">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p>
              </w:tc>
              <w:tc>
                <w:tcPr>
                  <w:tcW w:w="1763" w:type="pct"/>
                  <w:noWrap w:val="0"/>
                  <w:vAlign w:val="center"/>
                </w:tcPr>
                <w:p w14:paraId="477C8812">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drawing>
                      <wp:inline distT="0" distB="0" distL="114300" distR="114300">
                        <wp:extent cx="1167130" cy="1051560"/>
                        <wp:effectExtent l="0" t="0" r="1270" b="2540"/>
                        <wp:docPr id="24" name="图片 245" descr="ea164bd5170c4f989ce968f5a935f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5" descr="ea164bd5170c4f989ce968f5a935f453"/>
                                <pic:cNvPicPr>
                                  <a:picLocks noChangeAspect="1"/>
                                </pic:cNvPicPr>
                              </pic:nvPicPr>
                              <pic:blipFill>
                                <a:blip r:embed="rId45"/>
                                <a:stretch>
                                  <a:fillRect/>
                                </a:stretch>
                              </pic:blipFill>
                              <pic:spPr>
                                <a:xfrm>
                                  <a:off x="0" y="0"/>
                                  <a:ext cx="1167130" cy="1051560"/>
                                </a:xfrm>
                                <a:prstGeom prst="rect">
                                  <a:avLst/>
                                </a:prstGeom>
                                <a:noFill/>
                                <a:ln>
                                  <a:noFill/>
                                </a:ln>
                              </pic:spPr>
                            </pic:pic>
                          </a:graphicData>
                        </a:graphic>
                      </wp:inline>
                    </w:drawing>
                  </w:r>
                </w:p>
              </w:tc>
              <w:tc>
                <w:tcPr>
                  <w:tcW w:w="978" w:type="pct"/>
                  <w:noWrap w:val="0"/>
                  <w:vAlign w:val="center"/>
                </w:tcPr>
                <w:p w14:paraId="5ECFD3E8">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危险废物</w:t>
                  </w:r>
                </w:p>
              </w:tc>
            </w:tr>
          </w:tbl>
          <w:p w14:paraId="686FF07D">
            <w:pPr>
              <w:pStyle w:val="10"/>
              <w:rPr>
                <w:rFonts w:hint="default" w:ascii="Times New Roman" w:hAnsi="Times New Roman" w:eastAsia="宋体" w:cs="Times New Roman"/>
                <w:b/>
                <w:bCs/>
                <w:color w:val="auto"/>
                <w:sz w:val="21"/>
                <w:szCs w:val="21"/>
                <w:highlight w:val="none"/>
              </w:rPr>
            </w:pPr>
          </w:p>
          <w:p w14:paraId="363E2528">
            <w:pPr>
              <w:pStyle w:val="1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w:t>
            </w:r>
            <w:r>
              <w:rPr>
                <w:rFonts w:hint="default" w:ascii="Times New Roman" w:hAnsi="Times New Roman" w:eastAsia="宋体" w:cs="Times New Roman"/>
                <w:b/>
                <w:bCs/>
                <w:color w:val="auto"/>
                <w:sz w:val="21"/>
                <w:szCs w:val="21"/>
                <w:highlight w:val="none"/>
                <w:lang w:val="en-US" w:eastAsia="zh-CN"/>
              </w:rPr>
              <w:t>5</w:t>
            </w:r>
            <w:r>
              <w:rPr>
                <w:rFonts w:hint="default" w:ascii="Times New Roman" w:hAnsi="Times New Roman" w:eastAsia="宋体" w:cs="Times New Roman"/>
                <w:b/>
                <w:bCs/>
                <w:color w:val="auto"/>
                <w:sz w:val="21"/>
                <w:szCs w:val="21"/>
                <w:highlight w:val="none"/>
              </w:rPr>
              <w:t>-2 环保图形标志形状、颜色</w:t>
            </w:r>
          </w:p>
          <w:tbl>
            <w:tblPr>
              <w:tblStyle w:val="2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3"/>
              <w:gridCol w:w="1973"/>
              <w:gridCol w:w="1977"/>
              <w:gridCol w:w="1977"/>
            </w:tblGrid>
            <w:tr w14:paraId="21CEE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1249" w:type="pct"/>
                  <w:noWrap w:val="0"/>
                  <w:vAlign w:val="center"/>
                </w:tcPr>
                <w:p w14:paraId="10D09433">
                  <w:pPr>
                    <w:pStyle w:val="10"/>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符号名称</w:t>
                  </w:r>
                </w:p>
              </w:tc>
              <w:tc>
                <w:tcPr>
                  <w:tcW w:w="1249" w:type="pct"/>
                  <w:noWrap w:val="0"/>
                  <w:vAlign w:val="center"/>
                </w:tcPr>
                <w:p w14:paraId="401A82BF">
                  <w:pPr>
                    <w:pStyle w:val="1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形状</w:t>
                  </w:r>
                </w:p>
              </w:tc>
              <w:tc>
                <w:tcPr>
                  <w:tcW w:w="1250" w:type="pct"/>
                  <w:noWrap w:val="0"/>
                  <w:vAlign w:val="center"/>
                </w:tcPr>
                <w:p w14:paraId="4B1B1120">
                  <w:pPr>
                    <w:pStyle w:val="1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背景颜色</w:t>
                  </w:r>
                </w:p>
              </w:tc>
              <w:tc>
                <w:tcPr>
                  <w:tcW w:w="1250" w:type="pct"/>
                  <w:noWrap w:val="0"/>
                  <w:vAlign w:val="center"/>
                </w:tcPr>
                <w:p w14:paraId="3ACE8116">
                  <w:pPr>
                    <w:pStyle w:val="1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图形颜色</w:t>
                  </w:r>
                </w:p>
              </w:tc>
            </w:tr>
            <w:tr w14:paraId="1E3D1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49" w:type="pct"/>
                  <w:noWrap w:val="0"/>
                  <w:vAlign w:val="center"/>
                </w:tcPr>
                <w:p w14:paraId="2CE82F08">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提示性图形符号</w:t>
                  </w:r>
                </w:p>
              </w:tc>
              <w:tc>
                <w:tcPr>
                  <w:tcW w:w="1249" w:type="pct"/>
                  <w:noWrap w:val="0"/>
                  <w:vAlign w:val="center"/>
                </w:tcPr>
                <w:p w14:paraId="4412F33E">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正方形边框</w:t>
                  </w:r>
                </w:p>
              </w:tc>
              <w:tc>
                <w:tcPr>
                  <w:tcW w:w="1250" w:type="pct"/>
                  <w:noWrap w:val="0"/>
                  <w:vAlign w:val="center"/>
                </w:tcPr>
                <w:p w14:paraId="55E294EF">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绿色</w:t>
                  </w:r>
                </w:p>
              </w:tc>
              <w:tc>
                <w:tcPr>
                  <w:tcW w:w="1250" w:type="pct"/>
                  <w:noWrap w:val="0"/>
                  <w:vAlign w:val="center"/>
                </w:tcPr>
                <w:p w14:paraId="7E8FCA0C">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白色</w:t>
                  </w:r>
                </w:p>
              </w:tc>
            </w:tr>
            <w:tr w14:paraId="47D01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1249" w:type="pct"/>
                  <w:noWrap w:val="0"/>
                  <w:vAlign w:val="center"/>
                </w:tcPr>
                <w:p w14:paraId="1A163F7A">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警告图形符号</w:t>
                  </w:r>
                </w:p>
              </w:tc>
              <w:tc>
                <w:tcPr>
                  <w:tcW w:w="1249" w:type="pct"/>
                  <w:noWrap w:val="0"/>
                  <w:vAlign w:val="center"/>
                </w:tcPr>
                <w:p w14:paraId="36312229">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三角形边框</w:t>
                  </w:r>
                </w:p>
              </w:tc>
              <w:tc>
                <w:tcPr>
                  <w:tcW w:w="1250" w:type="pct"/>
                  <w:noWrap w:val="0"/>
                  <w:vAlign w:val="center"/>
                </w:tcPr>
                <w:p w14:paraId="6745EFDD">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黄色</w:t>
                  </w:r>
                </w:p>
              </w:tc>
              <w:tc>
                <w:tcPr>
                  <w:tcW w:w="1250" w:type="pct"/>
                  <w:noWrap w:val="0"/>
                  <w:vAlign w:val="center"/>
                </w:tcPr>
                <w:p w14:paraId="43192FD5">
                  <w:pPr>
                    <w:adjustRightInd/>
                    <w:snapToGrid/>
                    <w:spacing w:line="240" w:lineRule="auto"/>
                    <w:ind w:firstLine="0" w:firstLineChars="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黑色</w:t>
                  </w:r>
                </w:p>
              </w:tc>
            </w:tr>
          </w:tbl>
          <w:p w14:paraId="55666B83">
            <w:pPr>
              <w:bidi w:val="0"/>
              <w:rPr>
                <w:rFonts w:hint="eastAsia"/>
                <w:color w:val="auto"/>
                <w:sz w:val="21"/>
                <w:szCs w:val="21"/>
                <w:highlight w:val="none"/>
                <w:lang w:val="en-US" w:eastAsia="zh-CN"/>
              </w:rPr>
            </w:pPr>
            <w:r>
              <w:rPr>
                <w:rFonts w:hint="eastAsia"/>
                <w:color w:val="auto"/>
                <w:sz w:val="21"/>
                <w:szCs w:val="21"/>
                <w:highlight w:val="none"/>
                <w:lang w:val="en-US" w:eastAsia="zh-CN"/>
              </w:rPr>
              <w:t>3、</w:t>
            </w:r>
            <w:r>
              <w:rPr>
                <w:rFonts w:hint="default"/>
                <w:color w:val="auto"/>
                <w:sz w:val="21"/>
                <w:szCs w:val="21"/>
                <w:highlight w:val="none"/>
              </w:rPr>
              <w:t>项目环评与排污许可联动</w:t>
            </w:r>
          </w:p>
          <w:p w14:paraId="4F77FC7E">
            <w:pPr>
              <w:bidi w:val="0"/>
              <w:rPr>
                <w:rFonts w:hint="default"/>
                <w:color w:val="auto"/>
                <w:sz w:val="21"/>
                <w:szCs w:val="21"/>
                <w:highlight w:val="none"/>
              </w:rPr>
            </w:pPr>
            <w:r>
              <w:rPr>
                <w:rFonts w:hint="default"/>
                <w:color w:val="auto"/>
                <w:sz w:val="21"/>
                <w:szCs w:val="21"/>
                <w:highlight w:val="none"/>
              </w:rPr>
              <w:t>根据安徽省生态环境厅于2021年1月30日发布的《安徽省生态环境厅关于统筹做好固定污染源排污许可日常监管工作的通知》（皖环发〔2021〕7号），属于现行《固定污染源排污许可分类管理名录》内重点管理和简化管理的行业，在环评文件中应明确“建设项目环境影响评价与排污许可联</w:t>
            </w:r>
            <w:r>
              <w:rPr>
                <w:rFonts w:hint="eastAsia"/>
                <w:color w:val="auto"/>
                <w:sz w:val="21"/>
                <w:szCs w:val="21"/>
                <w:highlight w:val="none"/>
              </w:rPr>
              <w:t>动内容”和《建设项目排</w:t>
            </w:r>
            <w:r>
              <w:rPr>
                <w:rFonts w:hint="default"/>
                <w:color w:val="auto"/>
                <w:sz w:val="21"/>
                <w:szCs w:val="21"/>
                <w:highlight w:val="none"/>
              </w:rPr>
              <w:t>污许可申请与填报信息表》。</w:t>
            </w:r>
          </w:p>
          <w:p w14:paraId="3A9C2878">
            <w:pPr>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imes New Roman" w:hAnsi="Times New Roman" w:eastAsia="宋体" w:cs="Times New Roman"/>
                <w:color w:val="auto"/>
                <w:spacing w:val="0"/>
                <w:w w:val="100"/>
                <w:position w:val="0"/>
                <w:sz w:val="21"/>
                <w:szCs w:val="21"/>
                <w:highlight w:val="none"/>
                <w:lang w:val="en-US" w:eastAsia="zh-CN"/>
              </w:rPr>
            </w:pPr>
            <w:r>
              <w:rPr>
                <w:rFonts w:hint="default"/>
                <w:color w:val="auto"/>
                <w:sz w:val="21"/>
                <w:szCs w:val="21"/>
                <w:highlight w:val="none"/>
              </w:rPr>
              <w:t>根据本项目建设内容、产品方案及工艺，对照《固定污染源排污许可分类管理名录》（2019年版），</w:t>
            </w:r>
            <w:r>
              <w:rPr>
                <w:rFonts w:hint="default" w:ascii="Times New Roman" w:hAnsi="Times New Roman" w:eastAsia="宋体" w:cs="Times New Roman"/>
                <w:color w:val="auto"/>
                <w:spacing w:val="0"/>
                <w:w w:val="100"/>
                <w:position w:val="0"/>
                <w:sz w:val="21"/>
                <w:szCs w:val="21"/>
                <w:highlight w:val="none"/>
                <w:lang w:val="en-US" w:eastAsia="zh-CN"/>
              </w:rPr>
              <w:t>本项目属于</w:t>
            </w:r>
            <w:r>
              <w:rPr>
                <w:rFonts w:hint="eastAsia" w:ascii="Times New Roman" w:hAnsi="Times New Roman" w:eastAsia="宋体" w:cs="Times New Roman"/>
                <w:color w:val="auto"/>
                <w:spacing w:val="0"/>
                <w:w w:val="100"/>
                <w:position w:val="0"/>
                <w:sz w:val="21"/>
                <w:szCs w:val="21"/>
                <w:highlight w:val="none"/>
                <w:lang w:val="en-US" w:eastAsia="zh-CN"/>
              </w:rPr>
              <w:t>：“三十三、电气机械和器材制造业38 ”-“87、电线、电缆、光缆及电工器材制造383”中的“其他”，排污许可应为登记管理。故综上分析，本项目排污许可应为登记管理。</w:t>
            </w:r>
          </w:p>
          <w:p w14:paraId="1408BD66">
            <w:pPr>
              <w:pStyle w:val="10"/>
              <w:rPr>
                <w:rFonts w:hint="eastAsia" w:ascii="Times New Roman" w:hAnsi="Times New Roman" w:eastAsia="宋体" w:cs="Times New Roman"/>
                <w:b/>
                <w:bCs/>
                <w:color w:val="auto"/>
                <w:spacing w:val="0"/>
                <w:w w:val="100"/>
                <w:position w:val="0"/>
                <w:sz w:val="21"/>
                <w:szCs w:val="21"/>
                <w:highlight w:val="none"/>
                <w:lang w:val="en-US" w:eastAsia="zh-CN"/>
              </w:rPr>
            </w:pPr>
            <w:r>
              <w:rPr>
                <w:rFonts w:hint="eastAsia" w:ascii="Times New Roman" w:hAnsi="Times New Roman" w:eastAsia="宋体" w:cs="Times New Roman"/>
                <w:b/>
                <w:bCs/>
                <w:color w:val="auto"/>
                <w:spacing w:val="0"/>
                <w:w w:val="100"/>
                <w:position w:val="0"/>
                <w:sz w:val="21"/>
                <w:szCs w:val="21"/>
                <w:highlight w:val="none"/>
                <w:lang w:val="en-US" w:eastAsia="zh-CN"/>
              </w:rPr>
              <w:t>表5-3 《固定污染源排污许可分类管理名录》（2019年版）（摘录）</w:t>
            </w:r>
          </w:p>
          <w:tbl>
            <w:tblPr>
              <w:tblStyle w:val="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962"/>
              <w:gridCol w:w="1222"/>
              <w:gridCol w:w="2439"/>
              <w:gridCol w:w="1603"/>
            </w:tblGrid>
            <w:tr w14:paraId="2D0B6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702" w:type="dxa"/>
                  <w:tcBorders>
                    <w:tl2br w:val="nil"/>
                    <w:tr2bl w:val="nil"/>
                  </w:tcBorders>
                  <w:noWrap w:val="0"/>
                  <w:vAlign w:val="center"/>
                </w:tcPr>
                <w:p w14:paraId="3394693F">
                  <w:pPr>
                    <w:pStyle w:val="10"/>
                    <w:bidi w:val="0"/>
                    <w:rPr>
                      <w:rFonts w:hint="default" w:ascii="Times New Roman" w:hAnsi="Times New Roman" w:eastAsia="宋体" w:cs="Times New Roman"/>
                      <w:b/>
                      <w:bCs w:val="0"/>
                      <w:color w:val="auto"/>
                      <w:highlight w:val="none"/>
                      <w:lang w:val="en-US" w:eastAsia="zh-CN"/>
                    </w:rPr>
                  </w:pPr>
                  <w:r>
                    <w:rPr>
                      <w:rFonts w:hint="default" w:ascii="Times New Roman" w:hAnsi="Times New Roman" w:eastAsia="宋体" w:cs="Times New Roman"/>
                      <w:b/>
                      <w:bCs w:val="0"/>
                      <w:color w:val="auto"/>
                      <w:highlight w:val="none"/>
                      <w:lang w:val="en-US" w:eastAsia="zh-CN"/>
                    </w:rPr>
                    <w:t>序号</w:t>
                  </w:r>
                </w:p>
              </w:tc>
              <w:tc>
                <w:tcPr>
                  <w:tcW w:w="2054" w:type="dxa"/>
                  <w:tcBorders>
                    <w:tl2br w:val="nil"/>
                    <w:tr2bl w:val="nil"/>
                  </w:tcBorders>
                  <w:noWrap w:val="0"/>
                  <w:vAlign w:val="center"/>
                </w:tcPr>
                <w:p w14:paraId="74D6C864">
                  <w:pPr>
                    <w:pStyle w:val="10"/>
                    <w:bidi w:val="0"/>
                    <w:rPr>
                      <w:rFonts w:hint="default" w:ascii="Times New Roman" w:hAnsi="Times New Roman" w:eastAsia="宋体" w:cs="Times New Roman"/>
                      <w:b/>
                      <w:bCs w:val="0"/>
                      <w:color w:val="auto"/>
                      <w:highlight w:val="none"/>
                      <w:lang w:val="en-US" w:eastAsia="zh-CN"/>
                    </w:rPr>
                  </w:pPr>
                  <w:r>
                    <w:rPr>
                      <w:rFonts w:hint="default" w:ascii="Times New Roman" w:hAnsi="Times New Roman" w:eastAsia="宋体" w:cs="Times New Roman"/>
                      <w:b/>
                      <w:bCs w:val="0"/>
                      <w:color w:val="auto"/>
                      <w:highlight w:val="none"/>
                      <w:lang w:val="en-US" w:eastAsia="zh-CN"/>
                    </w:rPr>
                    <w:t>项目类别</w:t>
                  </w:r>
                </w:p>
              </w:tc>
              <w:tc>
                <w:tcPr>
                  <w:tcW w:w="1277" w:type="dxa"/>
                  <w:tcBorders>
                    <w:tl2br w:val="nil"/>
                    <w:tr2bl w:val="nil"/>
                  </w:tcBorders>
                  <w:noWrap w:val="0"/>
                  <w:vAlign w:val="center"/>
                </w:tcPr>
                <w:p w14:paraId="2E414CA5">
                  <w:pPr>
                    <w:pStyle w:val="10"/>
                    <w:bidi w:val="0"/>
                    <w:rPr>
                      <w:rFonts w:hint="default" w:ascii="Times New Roman" w:hAnsi="Times New Roman" w:eastAsia="宋体" w:cs="Times New Roman"/>
                      <w:b/>
                      <w:bCs w:val="0"/>
                      <w:color w:val="auto"/>
                      <w:highlight w:val="none"/>
                      <w:lang w:val="en-US" w:eastAsia="zh-CN"/>
                    </w:rPr>
                  </w:pPr>
                  <w:r>
                    <w:rPr>
                      <w:rFonts w:hint="default" w:ascii="Times New Roman" w:hAnsi="Times New Roman" w:eastAsia="宋体" w:cs="Times New Roman"/>
                      <w:b/>
                      <w:bCs w:val="0"/>
                      <w:color w:val="auto"/>
                      <w:highlight w:val="none"/>
                      <w:lang w:val="en-US" w:eastAsia="zh-CN"/>
                    </w:rPr>
                    <w:t>重点管理</w:t>
                  </w:r>
                </w:p>
              </w:tc>
              <w:tc>
                <w:tcPr>
                  <w:tcW w:w="2554" w:type="dxa"/>
                  <w:tcBorders>
                    <w:tl2br w:val="nil"/>
                    <w:tr2bl w:val="nil"/>
                  </w:tcBorders>
                  <w:noWrap w:val="0"/>
                  <w:vAlign w:val="center"/>
                </w:tcPr>
                <w:p w14:paraId="393C7F29">
                  <w:pPr>
                    <w:pStyle w:val="10"/>
                    <w:bidi w:val="0"/>
                    <w:rPr>
                      <w:rFonts w:hint="default" w:ascii="Times New Roman" w:hAnsi="Times New Roman" w:eastAsia="宋体" w:cs="Times New Roman"/>
                      <w:b/>
                      <w:bCs w:val="0"/>
                      <w:color w:val="auto"/>
                      <w:highlight w:val="none"/>
                      <w:lang w:val="en-US" w:eastAsia="zh-CN"/>
                    </w:rPr>
                  </w:pPr>
                  <w:r>
                    <w:rPr>
                      <w:rFonts w:hint="default" w:ascii="Times New Roman" w:hAnsi="Times New Roman" w:eastAsia="宋体" w:cs="Times New Roman"/>
                      <w:b/>
                      <w:bCs w:val="0"/>
                      <w:color w:val="auto"/>
                      <w:highlight w:val="none"/>
                      <w:lang w:val="en-US" w:eastAsia="zh-CN"/>
                    </w:rPr>
                    <w:t>简化管理</w:t>
                  </w:r>
                </w:p>
              </w:tc>
              <w:tc>
                <w:tcPr>
                  <w:tcW w:w="1676" w:type="dxa"/>
                  <w:tcBorders>
                    <w:tl2br w:val="nil"/>
                    <w:tr2bl w:val="nil"/>
                  </w:tcBorders>
                  <w:noWrap w:val="0"/>
                  <w:vAlign w:val="center"/>
                </w:tcPr>
                <w:p w14:paraId="2F1B5FA9">
                  <w:pPr>
                    <w:pStyle w:val="10"/>
                    <w:bidi w:val="0"/>
                    <w:rPr>
                      <w:rFonts w:hint="default" w:ascii="Times New Roman" w:hAnsi="Times New Roman" w:eastAsia="宋体" w:cs="Times New Roman"/>
                      <w:b/>
                      <w:bCs w:val="0"/>
                      <w:color w:val="auto"/>
                      <w:highlight w:val="none"/>
                      <w:lang w:val="en-US" w:eastAsia="zh-CN"/>
                    </w:rPr>
                  </w:pPr>
                  <w:r>
                    <w:rPr>
                      <w:rFonts w:hint="default" w:ascii="Times New Roman" w:hAnsi="Times New Roman" w:eastAsia="宋体" w:cs="Times New Roman"/>
                      <w:b/>
                      <w:bCs w:val="0"/>
                      <w:color w:val="auto"/>
                      <w:highlight w:val="none"/>
                      <w:lang w:val="en-US" w:eastAsia="zh-CN"/>
                    </w:rPr>
                    <w:t>登记管理</w:t>
                  </w:r>
                </w:p>
              </w:tc>
            </w:tr>
            <w:tr w14:paraId="399C3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263" w:type="dxa"/>
                  <w:gridSpan w:val="5"/>
                  <w:tcBorders>
                    <w:tl2br w:val="nil"/>
                    <w:tr2bl w:val="nil"/>
                  </w:tcBorders>
                  <w:noWrap w:val="0"/>
                  <w:vAlign w:val="center"/>
                </w:tcPr>
                <w:p w14:paraId="2F00B93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spacing w:val="0"/>
                      <w:w w:val="100"/>
                      <w:position w:val="0"/>
                      <w:sz w:val="21"/>
                      <w:szCs w:val="21"/>
                      <w:highlight w:val="none"/>
                      <w:lang w:val="en-US" w:eastAsia="zh-CN"/>
                    </w:rPr>
                  </w:pPr>
                  <w:r>
                    <w:rPr>
                      <w:rFonts w:hint="default" w:ascii="Times New Roman" w:hAnsi="Times New Roman" w:eastAsia="宋体" w:cs="Times New Roman"/>
                      <w:color w:val="auto"/>
                      <w:spacing w:val="0"/>
                      <w:w w:val="100"/>
                      <w:position w:val="0"/>
                      <w:sz w:val="21"/>
                      <w:szCs w:val="21"/>
                      <w:highlight w:val="none"/>
                      <w:lang w:val="en-US" w:eastAsia="zh-CN"/>
                    </w:rPr>
                    <w:t>十三、电气机械和器材制造业38</w:t>
                  </w:r>
                </w:p>
              </w:tc>
            </w:tr>
            <w:tr w14:paraId="270C2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2" w:type="dxa"/>
                  <w:tcBorders>
                    <w:tl2br w:val="nil"/>
                    <w:tr2bl w:val="nil"/>
                  </w:tcBorders>
                  <w:shd w:val="clear" w:color="auto" w:fill="auto"/>
                  <w:noWrap w:val="0"/>
                  <w:vAlign w:val="center"/>
                </w:tcPr>
                <w:p w14:paraId="4BF11B4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spacing w:val="0"/>
                      <w:w w:val="100"/>
                      <w:position w:val="0"/>
                      <w:sz w:val="21"/>
                      <w:szCs w:val="21"/>
                      <w:highlight w:val="none"/>
                      <w:lang w:val="en-US" w:eastAsia="zh-CN"/>
                    </w:rPr>
                  </w:pPr>
                  <w:r>
                    <w:rPr>
                      <w:rFonts w:hint="default" w:ascii="Times New Roman" w:hAnsi="Times New Roman" w:eastAsia="宋体" w:cs="Times New Roman"/>
                      <w:color w:val="auto"/>
                      <w:spacing w:val="0"/>
                      <w:w w:val="100"/>
                      <w:position w:val="0"/>
                      <w:sz w:val="21"/>
                      <w:szCs w:val="21"/>
                      <w:highlight w:val="none"/>
                      <w:lang w:val="en-US" w:eastAsia="zh-CN"/>
                    </w:rPr>
                    <w:t>87</w:t>
                  </w:r>
                </w:p>
              </w:tc>
              <w:tc>
                <w:tcPr>
                  <w:tcW w:w="2054" w:type="dxa"/>
                  <w:tcBorders>
                    <w:tl2br w:val="nil"/>
                    <w:tr2bl w:val="nil"/>
                  </w:tcBorders>
                  <w:shd w:val="clear" w:color="auto" w:fill="auto"/>
                  <w:noWrap w:val="0"/>
                  <w:vAlign w:val="center"/>
                </w:tcPr>
                <w:p w14:paraId="227C289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left="0" w:leftChars="0" w:right="0" w:rightChars="0" w:firstLine="0" w:firstLineChars="0"/>
                    <w:jc w:val="both"/>
                    <w:textAlignment w:val="auto"/>
                    <w:rPr>
                      <w:rFonts w:hint="default" w:ascii="Times New Roman" w:hAnsi="Times New Roman" w:eastAsia="宋体" w:cs="Times New Roman"/>
                      <w:color w:val="auto"/>
                      <w:spacing w:val="0"/>
                      <w:w w:val="100"/>
                      <w:position w:val="0"/>
                      <w:sz w:val="21"/>
                      <w:szCs w:val="21"/>
                      <w:highlight w:val="none"/>
                      <w:lang w:val="en-US" w:eastAsia="zh-CN"/>
                    </w:rPr>
                  </w:pPr>
                  <w:r>
                    <w:rPr>
                      <w:rFonts w:hint="default" w:ascii="Times New Roman" w:hAnsi="Times New Roman" w:eastAsia="宋体" w:cs="Times New Roman"/>
                      <w:i w:val="0"/>
                      <w:iCs w:val="0"/>
                      <w:caps w:val="0"/>
                      <w:color w:val="000000"/>
                      <w:spacing w:val="0"/>
                      <w:kern w:val="0"/>
                      <w:sz w:val="21"/>
                      <w:szCs w:val="21"/>
                      <w:lang w:val="en-US" w:eastAsia="zh-CN" w:bidi="ar"/>
                    </w:rPr>
                    <w:t>电机制造381，输配电及控制设备制造382，电线、电缆、光缆及电工器材制造383，家用电力器具制造385，非电力家用器具制造386，照明器具制造387，其他电气机械及器材制造389</w:t>
                  </w:r>
                </w:p>
              </w:tc>
              <w:tc>
                <w:tcPr>
                  <w:tcW w:w="1277" w:type="dxa"/>
                  <w:tcBorders>
                    <w:tl2br w:val="nil"/>
                    <w:tr2bl w:val="nil"/>
                  </w:tcBorders>
                  <w:shd w:val="clear" w:color="auto" w:fill="auto"/>
                  <w:noWrap w:val="0"/>
                  <w:vAlign w:val="center"/>
                </w:tcPr>
                <w:p w14:paraId="627C9AF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left="0" w:leftChars="0" w:right="0" w:rightChars="0" w:firstLine="0" w:firstLineChars="0"/>
                    <w:jc w:val="both"/>
                    <w:textAlignment w:val="auto"/>
                    <w:rPr>
                      <w:rFonts w:hint="default" w:ascii="Times New Roman" w:hAnsi="Times New Roman" w:eastAsia="宋体" w:cs="Times New Roman"/>
                      <w:color w:val="auto"/>
                      <w:spacing w:val="0"/>
                      <w:w w:val="100"/>
                      <w:position w:val="0"/>
                      <w:sz w:val="21"/>
                      <w:szCs w:val="21"/>
                      <w:highlight w:val="none"/>
                      <w:lang w:val="en-US" w:eastAsia="zh-CN"/>
                    </w:rPr>
                  </w:pPr>
                  <w:r>
                    <w:rPr>
                      <w:rFonts w:hint="default" w:ascii="Times New Roman" w:hAnsi="Times New Roman" w:eastAsia="宋体" w:cs="Times New Roman"/>
                      <w:i w:val="0"/>
                      <w:iCs w:val="0"/>
                      <w:caps w:val="0"/>
                      <w:color w:val="000000"/>
                      <w:spacing w:val="0"/>
                      <w:kern w:val="0"/>
                      <w:sz w:val="21"/>
                      <w:szCs w:val="21"/>
                      <w:lang w:val="en-US" w:eastAsia="zh-CN" w:bidi="ar"/>
                    </w:rPr>
                    <w:t>涉及通用工序重点管理的</w:t>
                  </w:r>
                </w:p>
              </w:tc>
              <w:tc>
                <w:tcPr>
                  <w:tcW w:w="2554" w:type="dxa"/>
                  <w:tcBorders>
                    <w:tl2br w:val="nil"/>
                    <w:tr2bl w:val="nil"/>
                  </w:tcBorders>
                  <w:shd w:val="clear" w:color="auto" w:fill="auto"/>
                  <w:noWrap w:val="0"/>
                  <w:vAlign w:val="center"/>
                </w:tcPr>
                <w:p w14:paraId="1EA2488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left="0" w:leftChars="0" w:right="0" w:rightChars="0" w:firstLine="0" w:firstLineChars="0"/>
                    <w:jc w:val="both"/>
                    <w:textAlignment w:val="auto"/>
                    <w:rPr>
                      <w:rFonts w:hint="default" w:ascii="Times New Roman" w:hAnsi="Times New Roman" w:eastAsia="宋体" w:cs="Times New Roman"/>
                      <w:color w:val="auto"/>
                      <w:spacing w:val="0"/>
                      <w:w w:val="100"/>
                      <w:position w:val="0"/>
                      <w:sz w:val="21"/>
                      <w:szCs w:val="21"/>
                      <w:highlight w:val="none"/>
                      <w:lang w:val="en-US" w:eastAsia="zh-CN"/>
                    </w:rPr>
                  </w:pPr>
                  <w:r>
                    <w:rPr>
                      <w:rFonts w:hint="default" w:ascii="Times New Roman" w:hAnsi="Times New Roman" w:eastAsia="宋体" w:cs="Times New Roman"/>
                      <w:i w:val="0"/>
                      <w:iCs w:val="0"/>
                      <w:caps w:val="0"/>
                      <w:color w:val="000000"/>
                      <w:spacing w:val="0"/>
                      <w:kern w:val="0"/>
                      <w:sz w:val="21"/>
                      <w:szCs w:val="21"/>
                      <w:lang w:val="en-US" w:eastAsia="zh-CN" w:bidi="ar"/>
                    </w:rPr>
                    <w:t>涉及通用工序简化管理的</w:t>
                  </w:r>
                </w:p>
              </w:tc>
              <w:tc>
                <w:tcPr>
                  <w:tcW w:w="1676" w:type="dxa"/>
                  <w:tcBorders>
                    <w:tl2br w:val="nil"/>
                    <w:tr2bl w:val="nil"/>
                  </w:tcBorders>
                  <w:shd w:val="clear" w:color="auto" w:fill="BEBEBE"/>
                  <w:noWrap w:val="0"/>
                  <w:vAlign w:val="center"/>
                </w:tcPr>
                <w:p w14:paraId="38622A2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pacing w:val="0"/>
                      <w:w w:val="100"/>
                      <w:position w:val="0"/>
                      <w:sz w:val="21"/>
                      <w:szCs w:val="21"/>
                      <w:highlight w:val="none"/>
                      <w:shd w:val="clear" w:color="auto" w:fill="auto"/>
                      <w:lang w:val="en-US" w:eastAsia="zh-CN"/>
                    </w:rPr>
                  </w:pPr>
                  <w:r>
                    <w:rPr>
                      <w:rFonts w:hint="default" w:ascii="Times New Roman" w:hAnsi="Times New Roman" w:eastAsia="宋体" w:cs="Times New Roman"/>
                      <w:i w:val="0"/>
                      <w:iCs w:val="0"/>
                      <w:caps w:val="0"/>
                      <w:color w:val="000000"/>
                      <w:spacing w:val="0"/>
                      <w:kern w:val="0"/>
                      <w:sz w:val="21"/>
                      <w:szCs w:val="21"/>
                      <w:lang w:val="en-US" w:eastAsia="zh-CN" w:bidi="ar"/>
                    </w:rPr>
                    <w:t>其他</w:t>
                  </w:r>
                </w:p>
              </w:tc>
            </w:tr>
          </w:tbl>
          <w:p w14:paraId="1AA18E2D">
            <w:pPr>
              <w:bidi w:val="0"/>
              <w:ind w:left="0" w:leftChars="0" w:firstLine="0" w:firstLineChars="0"/>
              <w:rPr>
                <w:rFonts w:hint="eastAsia"/>
                <w:color w:val="auto"/>
                <w:sz w:val="21"/>
                <w:szCs w:val="21"/>
                <w:highlight w:val="none"/>
                <w:lang w:val="en-US" w:eastAsia="zh-CN"/>
              </w:rPr>
            </w:pPr>
          </w:p>
        </w:tc>
      </w:tr>
    </w:tbl>
    <w:p w14:paraId="1721FFFE">
      <w:pPr>
        <w:pStyle w:val="24"/>
        <w:pageBreakBefore w:val="0"/>
        <w:kinsoku/>
        <w:wordWrap/>
        <w:topLinePunct w:val="0"/>
        <w:bidi w:val="0"/>
        <w:snapToGrid/>
        <w:jc w:val="center"/>
        <w:outlineLvl w:val="0"/>
        <w:rPr>
          <w:rFonts w:ascii="黑体" w:hAnsi="黑体" w:eastAsia="黑体"/>
          <w:snapToGrid w:val="0"/>
          <w:color w:val="auto"/>
          <w:sz w:val="30"/>
          <w:szCs w:val="30"/>
          <w:highlight w:val="none"/>
        </w:rPr>
      </w:pPr>
      <w:r>
        <w:rPr>
          <w:snapToGrid w:val="0"/>
          <w:color w:val="auto"/>
          <w:highlight w:val="none"/>
        </w:rPr>
        <w:br w:type="page"/>
      </w:r>
      <w:bookmarkStart w:id="16" w:name="_Toc4214"/>
      <w:r>
        <w:rPr>
          <w:rFonts w:hint="eastAsia" w:ascii="黑体" w:hAnsi="黑体" w:eastAsia="黑体"/>
          <w:snapToGrid w:val="0"/>
          <w:color w:val="auto"/>
          <w:sz w:val="30"/>
          <w:szCs w:val="30"/>
          <w:highlight w:val="none"/>
        </w:rPr>
        <w:t>六、结论</w:t>
      </w:r>
      <w:bookmarkEnd w:id="16"/>
    </w:p>
    <w:tbl>
      <w:tblPr>
        <w:tblStyle w:val="27"/>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14:paraId="5CE8ABF0">
        <w:tblPrEx>
          <w:tblCellMar>
            <w:top w:w="0" w:type="dxa"/>
            <w:left w:w="108" w:type="dxa"/>
            <w:bottom w:w="0" w:type="dxa"/>
            <w:right w:w="108" w:type="dxa"/>
          </w:tblCellMar>
        </w:tblPrEx>
        <w:trPr>
          <w:trHeight w:val="11991" w:hRule="atLeast"/>
          <w:jc w:val="center"/>
        </w:trPr>
        <w:tc>
          <w:tcPr>
            <w:tcW w:w="8865" w:type="dxa"/>
            <w:noWrap w:val="0"/>
            <w:vAlign w:val="center"/>
          </w:tcPr>
          <w:p w14:paraId="24BCF89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宋体" w:cs="宋体"/>
                <w:color w:val="auto"/>
                <w:sz w:val="24"/>
                <w:highlight w:val="none"/>
              </w:rPr>
            </w:pPr>
            <w:r>
              <w:rPr>
                <w:rFonts w:hint="eastAsia" w:ascii="Times New Roman" w:hAnsi="Times New Roman"/>
                <w:bCs/>
                <w:color w:val="auto"/>
                <w:sz w:val="24"/>
                <w:szCs w:val="24"/>
                <w:highlight w:val="none"/>
                <w:lang w:val="en-US" w:eastAsia="zh-CN"/>
              </w:rPr>
              <w:t>综上所述，本项目的建设符合国家产业政策，选址与当地规划相符，各项污染物经采取相关措施处理后可以达标排放，对环境的影响较小，不会造成区域环境功能的改变</w:t>
            </w:r>
            <w:r>
              <w:rPr>
                <w:rFonts w:hint="eastAsia"/>
                <w:bCs/>
                <w:color w:val="auto"/>
                <w:sz w:val="24"/>
                <w:szCs w:val="24"/>
                <w:highlight w:val="none"/>
                <w:lang w:val="en-US" w:eastAsia="zh-CN"/>
              </w:rPr>
              <w:t>。</w:t>
            </w:r>
            <w:r>
              <w:rPr>
                <w:rFonts w:hint="eastAsia" w:ascii="Times New Roman" w:hAnsi="Times New Roman"/>
                <w:bCs/>
                <w:color w:val="auto"/>
                <w:sz w:val="24"/>
                <w:szCs w:val="24"/>
                <w:highlight w:val="none"/>
                <w:lang w:val="en-US" w:eastAsia="zh-CN"/>
              </w:rPr>
              <w:t>本评价认为该项目在</w:t>
            </w:r>
            <w:r>
              <w:rPr>
                <w:rFonts w:hint="eastAsia"/>
                <w:bCs/>
                <w:color w:val="auto"/>
                <w:sz w:val="24"/>
                <w:szCs w:val="24"/>
                <w:highlight w:val="none"/>
                <w:lang w:val="en-US" w:eastAsia="zh-CN"/>
              </w:rPr>
              <w:t>采取相应环境风险防范措施后，环境风险在可接受范围。</w:t>
            </w:r>
            <w:r>
              <w:rPr>
                <w:rFonts w:hint="eastAsia" w:ascii="Times New Roman" w:hAnsi="Times New Roman"/>
                <w:bCs/>
                <w:color w:val="auto"/>
                <w:sz w:val="24"/>
                <w:szCs w:val="24"/>
                <w:highlight w:val="none"/>
                <w:lang w:val="en-US" w:eastAsia="zh-CN"/>
              </w:rPr>
              <w:t>从</w:t>
            </w:r>
            <w:r>
              <w:rPr>
                <w:rFonts w:hint="eastAsia"/>
                <w:bCs/>
                <w:color w:val="auto"/>
                <w:sz w:val="24"/>
                <w:szCs w:val="24"/>
                <w:highlight w:val="none"/>
                <w:lang w:val="en-US" w:eastAsia="zh-CN"/>
              </w:rPr>
              <w:t>环境影响</w:t>
            </w:r>
            <w:r>
              <w:rPr>
                <w:rFonts w:hint="eastAsia" w:ascii="Times New Roman" w:hAnsi="Times New Roman"/>
                <w:bCs/>
                <w:color w:val="auto"/>
                <w:sz w:val="24"/>
                <w:szCs w:val="24"/>
                <w:highlight w:val="none"/>
                <w:lang w:val="en-US" w:eastAsia="zh-CN"/>
              </w:rPr>
              <w:t>角度</w:t>
            </w:r>
            <w:r>
              <w:rPr>
                <w:rFonts w:hint="eastAsia"/>
                <w:bCs/>
                <w:color w:val="auto"/>
                <w:sz w:val="24"/>
                <w:szCs w:val="24"/>
                <w:highlight w:val="none"/>
                <w:lang w:val="en-US" w:eastAsia="zh-CN"/>
              </w:rPr>
              <w:t>分析</w:t>
            </w:r>
            <w:r>
              <w:rPr>
                <w:rFonts w:hint="eastAsia" w:ascii="Times New Roman" w:hAnsi="Times New Roman"/>
                <w:bCs/>
                <w:color w:val="auto"/>
                <w:sz w:val="24"/>
                <w:szCs w:val="24"/>
                <w:highlight w:val="none"/>
                <w:lang w:val="en-US" w:eastAsia="zh-CN"/>
              </w:rPr>
              <w:t>，项目的建设是可行的</w:t>
            </w:r>
            <w:r>
              <w:rPr>
                <w:rFonts w:ascii="Times New Roman" w:hAnsi="Times New Roman"/>
                <w:bCs/>
                <w:color w:val="auto"/>
                <w:sz w:val="24"/>
                <w:szCs w:val="24"/>
                <w:highlight w:val="none"/>
              </w:rPr>
              <w:t>。</w:t>
            </w:r>
          </w:p>
        </w:tc>
      </w:tr>
    </w:tbl>
    <w:p w14:paraId="527B46BC">
      <w:pPr>
        <w:pageBreakBefore w:val="0"/>
        <w:kinsoku/>
        <w:wordWrap/>
        <w:topLinePunct w:val="0"/>
        <w:bidi w:val="0"/>
        <w:snapToGrid/>
        <w:rPr>
          <w:rFonts w:ascii="宋体"/>
          <w:color w:val="auto"/>
          <w:highlight w:val="none"/>
        </w:rPr>
        <w:sectPr>
          <w:pgSz w:w="11906" w:h="16838"/>
          <w:pgMar w:top="1701" w:right="1531" w:bottom="1701" w:left="1531" w:header="851" w:footer="850" w:gutter="0"/>
          <w:pgBorders>
            <w:top w:val="none" w:sz="0" w:space="0"/>
            <w:left w:val="none" w:sz="0" w:space="0"/>
            <w:bottom w:val="none" w:sz="0" w:space="0"/>
            <w:right w:val="none" w:sz="0" w:space="0"/>
          </w:pgBorders>
          <w:pgNumType w:fmt="decimal"/>
          <w:cols w:space="720" w:num="1"/>
          <w:rtlGutter w:val="0"/>
          <w:docGrid w:type="lines" w:linePitch="312" w:charSpace="0"/>
        </w:sectPr>
      </w:pPr>
    </w:p>
    <w:p w14:paraId="07E3AFA0">
      <w:pPr>
        <w:pStyle w:val="2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0" w:firstLineChars="0"/>
        <w:textAlignment w:val="auto"/>
        <w:outlineLvl w:val="0"/>
        <w:rPr>
          <w:rFonts w:hint="eastAsia" w:ascii="黑体" w:hAnsi="黑体" w:eastAsia="黑体"/>
          <w:snapToGrid w:val="0"/>
          <w:color w:val="auto"/>
          <w:sz w:val="32"/>
          <w:szCs w:val="32"/>
          <w:highlight w:val="none"/>
        </w:rPr>
      </w:pPr>
      <w:bookmarkStart w:id="17" w:name="_Toc14179"/>
      <w:r>
        <w:rPr>
          <w:rFonts w:hint="eastAsia" w:ascii="黑体" w:hAnsi="黑体" w:eastAsia="黑体"/>
          <w:snapToGrid w:val="0"/>
          <w:color w:val="auto"/>
          <w:sz w:val="32"/>
          <w:szCs w:val="32"/>
          <w:highlight w:val="none"/>
        </w:rPr>
        <w:t>附表</w:t>
      </w:r>
      <w:bookmarkEnd w:id="17"/>
    </w:p>
    <w:p w14:paraId="5FC7277D">
      <w:pPr>
        <w:pStyle w:val="2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outlineLvl w:val="0"/>
        <w:rPr>
          <w:rFonts w:ascii="微软雅黑" w:hAnsi="微软雅黑" w:eastAsia="微软雅黑" w:cs="微软雅黑"/>
          <w:color w:val="auto"/>
          <w:spacing w:val="9"/>
          <w:sz w:val="37"/>
          <w:szCs w:val="37"/>
          <w:highlight w:val="none"/>
        </w:rPr>
      </w:pPr>
      <w:bookmarkStart w:id="18" w:name="_Toc22019"/>
      <w:r>
        <w:rPr>
          <w:rFonts w:ascii="微软雅黑" w:hAnsi="微软雅黑" w:eastAsia="微软雅黑" w:cs="微软雅黑"/>
          <w:color w:val="auto"/>
          <w:spacing w:val="0"/>
          <w:sz w:val="37"/>
          <w:szCs w:val="37"/>
          <w:highlight w:val="none"/>
        </w:rPr>
        <w:t>建设项目污染物排放量汇总表</w:t>
      </w:r>
      <w:bookmarkEnd w:id="18"/>
    </w:p>
    <w:tbl>
      <w:tblPr>
        <w:tblStyle w:val="64"/>
        <w:tblW w:w="1379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Layout w:type="fixed"/>
        <w:tblCellMar>
          <w:top w:w="0" w:type="dxa"/>
          <w:left w:w="0" w:type="dxa"/>
          <w:bottom w:w="0" w:type="dxa"/>
          <w:right w:w="0" w:type="dxa"/>
        </w:tblCellMar>
      </w:tblPr>
      <w:tblGrid>
        <w:gridCol w:w="1354"/>
        <w:gridCol w:w="1727"/>
        <w:gridCol w:w="1600"/>
        <w:gridCol w:w="1148"/>
        <w:gridCol w:w="1650"/>
        <w:gridCol w:w="1665"/>
        <w:gridCol w:w="1395"/>
        <w:gridCol w:w="1860"/>
        <w:gridCol w:w="1393"/>
      </w:tblGrid>
      <w:tr w14:paraId="705FA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CellMar>
            <w:top w:w="0" w:type="dxa"/>
            <w:left w:w="0" w:type="dxa"/>
            <w:bottom w:w="0" w:type="dxa"/>
            <w:right w:w="0" w:type="dxa"/>
          </w:tblCellMar>
        </w:tblPrEx>
        <w:trPr>
          <w:trHeight w:val="454" w:hRule="atLeast"/>
          <w:jc w:val="center"/>
        </w:trPr>
        <w:tc>
          <w:tcPr>
            <w:tcW w:w="1354" w:type="dxa"/>
            <w:tcBorders>
              <w:tl2br w:val="nil"/>
              <w:tr2bl w:val="nil"/>
            </w:tcBorders>
            <w:noWrap w:val="0"/>
            <w:vAlign w:val="center"/>
          </w:tcPr>
          <w:p w14:paraId="71A2D62C">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b/>
                <w:bCs/>
                <w:color w:val="auto"/>
                <w:sz w:val="24"/>
                <w:szCs w:val="24"/>
                <w:highlight w:val="none"/>
              </w:rPr>
            </w:pPr>
            <w:r>
              <w:rPr>
                <w:rFonts w:hint="default"/>
                <w:b/>
                <w:bCs/>
                <w:color w:val="auto"/>
                <w:sz w:val="24"/>
                <w:szCs w:val="24"/>
                <w:highlight w:val="none"/>
              </w:rPr>
              <w:t>项目分类</w:t>
            </w:r>
          </w:p>
        </w:tc>
        <w:tc>
          <w:tcPr>
            <w:tcW w:w="1727" w:type="dxa"/>
            <w:tcBorders>
              <w:tl2br w:val="nil"/>
              <w:tr2bl w:val="nil"/>
            </w:tcBorders>
            <w:noWrap w:val="0"/>
            <w:vAlign w:val="center"/>
          </w:tcPr>
          <w:p w14:paraId="7E9B4998">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b/>
                <w:bCs/>
                <w:color w:val="auto"/>
                <w:sz w:val="24"/>
                <w:szCs w:val="24"/>
                <w:highlight w:val="none"/>
              </w:rPr>
            </w:pPr>
            <w:r>
              <w:rPr>
                <w:rFonts w:hint="default"/>
                <w:b/>
                <w:bCs/>
                <w:color w:val="auto"/>
                <w:sz w:val="24"/>
                <w:szCs w:val="24"/>
                <w:highlight w:val="none"/>
              </w:rPr>
              <w:t>污染物名称</w:t>
            </w:r>
          </w:p>
        </w:tc>
        <w:tc>
          <w:tcPr>
            <w:tcW w:w="1600" w:type="dxa"/>
            <w:tcBorders>
              <w:tl2br w:val="nil"/>
              <w:tr2bl w:val="nil"/>
            </w:tcBorders>
            <w:noWrap w:val="0"/>
            <w:vAlign w:val="center"/>
          </w:tcPr>
          <w:p w14:paraId="2A59923A">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b/>
                <w:bCs/>
                <w:color w:val="auto"/>
                <w:sz w:val="24"/>
                <w:szCs w:val="24"/>
                <w:highlight w:val="none"/>
              </w:rPr>
            </w:pPr>
            <w:r>
              <w:rPr>
                <w:rFonts w:hint="default"/>
                <w:b/>
                <w:bCs/>
                <w:color w:val="auto"/>
                <w:sz w:val="24"/>
                <w:szCs w:val="24"/>
                <w:highlight w:val="none"/>
              </w:rPr>
              <w:t>现有工程</w:t>
            </w:r>
          </w:p>
          <w:p w14:paraId="3A04B34F">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b/>
                <w:bCs/>
                <w:color w:val="auto"/>
                <w:sz w:val="24"/>
                <w:szCs w:val="24"/>
                <w:highlight w:val="none"/>
              </w:rPr>
            </w:pPr>
            <w:r>
              <w:rPr>
                <w:rFonts w:hint="default"/>
                <w:b/>
                <w:bCs/>
                <w:color w:val="auto"/>
                <w:sz w:val="24"/>
                <w:szCs w:val="24"/>
                <w:highlight w:val="none"/>
              </w:rPr>
              <w:t>排放量（固体废物产生量）①</w:t>
            </w:r>
          </w:p>
        </w:tc>
        <w:tc>
          <w:tcPr>
            <w:tcW w:w="1148" w:type="dxa"/>
            <w:tcBorders>
              <w:tl2br w:val="nil"/>
              <w:tr2bl w:val="nil"/>
            </w:tcBorders>
            <w:noWrap w:val="0"/>
            <w:vAlign w:val="center"/>
          </w:tcPr>
          <w:p w14:paraId="4F75B970">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b/>
                <w:bCs/>
                <w:color w:val="auto"/>
                <w:sz w:val="24"/>
                <w:szCs w:val="24"/>
                <w:highlight w:val="none"/>
              </w:rPr>
            </w:pPr>
            <w:r>
              <w:rPr>
                <w:rFonts w:hint="default"/>
                <w:b/>
                <w:bCs/>
                <w:color w:val="auto"/>
                <w:sz w:val="24"/>
                <w:szCs w:val="24"/>
                <w:highlight w:val="none"/>
              </w:rPr>
              <w:t>现有工程</w:t>
            </w:r>
          </w:p>
          <w:p w14:paraId="63667401">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b/>
                <w:bCs/>
                <w:color w:val="auto"/>
                <w:sz w:val="24"/>
                <w:szCs w:val="24"/>
                <w:highlight w:val="none"/>
              </w:rPr>
            </w:pPr>
            <w:r>
              <w:rPr>
                <w:rFonts w:hint="default"/>
                <w:b/>
                <w:bCs/>
                <w:color w:val="auto"/>
                <w:sz w:val="24"/>
                <w:szCs w:val="24"/>
                <w:highlight w:val="none"/>
              </w:rPr>
              <w:t>许可排放量②</w:t>
            </w:r>
          </w:p>
        </w:tc>
        <w:tc>
          <w:tcPr>
            <w:tcW w:w="1650" w:type="dxa"/>
            <w:tcBorders>
              <w:tl2br w:val="nil"/>
              <w:tr2bl w:val="nil"/>
            </w:tcBorders>
            <w:noWrap w:val="0"/>
            <w:vAlign w:val="center"/>
          </w:tcPr>
          <w:p w14:paraId="2E87AEE3">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b/>
                <w:bCs/>
                <w:color w:val="auto"/>
                <w:sz w:val="24"/>
                <w:szCs w:val="24"/>
                <w:highlight w:val="none"/>
              </w:rPr>
            </w:pPr>
            <w:r>
              <w:rPr>
                <w:rFonts w:hint="default"/>
                <w:b/>
                <w:bCs/>
                <w:color w:val="auto"/>
                <w:sz w:val="24"/>
                <w:szCs w:val="24"/>
                <w:highlight w:val="none"/>
              </w:rPr>
              <w:t>在建工程</w:t>
            </w:r>
          </w:p>
          <w:p w14:paraId="0DF3DA30">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b/>
                <w:bCs/>
                <w:color w:val="auto"/>
                <w:sz w:val="24"/>
                <w:szCs w:val="24"/>
                <w:highlight w:val="none"/>
              </w:rPr>
            </w:pPr>
            <w:r>
              <w:rPr>
                <w:rFonts w:hint="default"/>
                <w:b/>
                <w:bCs/>
                <w:color w:val="auto"/>
                <w:sz w:val="24"/>
                <w:szCs w:val="24"/>
                <w:highlight w:val="none"/>
              </w:rPr>
              <w:t>排放量（固体废物产生量）③</w:t>
            </w:r>
          </w:p>
        </w:tc>
        <w:tc>
          <w:tcPr>
            <w:tcW w:w="1665" w:type="dxa"/>
            <w:tcBorders>
              <w:tl2br w:val="nil"/>
              <w:tr2bl w:val="nil"/>
            </w:tcBorders>
            <w:noWrap w:val="0"/>
            <w:vAlign w:val="center"/>
          </w:tcPr>
          <w:p w14:paraId="3DBE5416">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b/>
                <w:bCs/>
                <w:color w:val="auto"/>
                <w:sz w:val="24"/>
                <w:szCs w:val="24"/>
                <w:highlight w:val="none"/>
              </w:rPr>
            </w:pPr>
            <w:r>
              <w:rPr>
                <w:rFonts w:hint="default"/>
                <w:b/>
                <w:bCs/>
                <w:color w:val="auto"/>
                <w:sz w:val="24"/>
                <w:szCs w:val="24"/>
                <w:highlight w:val="none"/>
              </w:rPr>
              <w:t>本项目</w:t>
            </w:r>
          </w:p>
          <w:p w14:paraId="7B7DB08D">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b/>
                <w:bCs/>
                <w:color w:val="auto"/>
                <w:sz w:val="24"/>
                <w:szCs w:val="24"/>
                <w:highlight w:val="none"/>
              </w:rPr>
            </w:pPr>
            <w:r>
              <w:rPr>
                <w:rFonts w:hint="default"/>
                <w:b/>
                <w:bCs/>
                <w:color w:val="auto"/>
                <w:sz w:val="24"/>
                <w:szCs w:val="24"/>
                <w:highlight w:val="none"/>
              </w:rPr>
              <w:t>排放量（固体废物产生量）④</w:t>
            </w:r>
          </w:p>
        </w:tc>
        <w:tc>
          <w:tcPr>
            <w:tcW w:w="1395" w:type="dxa"/>
            <w:tcBorders>
              <w:tl2br w:val="nil"/>
              <w:tr2bl w:val="nil"/>
            </w:tcBorders>
            <w:noWrap w:val="0"/>
            <w:vAlign w:val="center"/>
          </w:tcPr>
          <w:p w14:paraId="6B1276F7">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b/>
                <w:bCs/>
                <w:color w:val="auto"/>
                <w:sz w:val="24"/>
                <w:szCs w:val="24"/>
                <w:highlight w:val="none"/>
              </w:rPr>
            </w:pPr>
            <w:r>
              <w:rPr>
                <w:rFonts w:hint="default"/>
                <w:b/>
                <w:bCs/>
                <w:color w:val="auto"/>
                <w:sz w:val="24"/>
                <w:szCs w:val="24"/>
                <w:highlight w:val="none"/>
              </w:rPr>
              <w:t>以新带老削减量（新建项目不填）⑤</w:t>
            </w:r>
          </w:p>
        </w:tc>
        <w:tc>
          <w:tcPr>
            <w:tcW w:w="1860" w:type="dxa"/>
            <w:tcBorders>
              <w:tl2br w:val="nil"/>
              <w:tr2bl w:val="nil"/>
            </w:tcBorders>
            <w:noWrap w:val="0"/>
            <w:vAlign w:val="center"/>
          </w:tcPr>
          <w:p w14:paraId="6EC4A678">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b/>
                <w:bCs/>
                <w:color w:val="auto"/>
                <w:sz w:val="24"/>
                <w:szCs w:val="24"/>
                <w:highlight w:val="none"/>
              </w:rPr>
            </w:pPr>
            <w:r>
              <w:rPr>
                <w:rFonts w:hint="default"/>
                <w:b/>
                <w:bCs/>
                <w:color w:val="auto"/>
                <w:sz w:val="24"/>
                <w:szCs w:val="24"/>
                <w:highlight w:val="none"/>
              </w:rPr>
              <w:t>本项目建成后</w:t>
            </w:r>
          </w:p>
          <w:p w14:paraId="0E13CB64">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b/>
                <w:bCs/>
                <w:color w:val="auto"/>
                <w:sz w:val="24"/>
                <w:szCs w:val="24"/>
                <w:highlight w:val="none"/>
              </w:rPr>
            </w:pPr>
            <w:r>
              <w:rPr>
                <w:rFonts w:hint="default"/>
                <w:b/>
                <w:bCs/>
                <w:color w:val="auto"/>
                <w:sz w:val="24"/>
                <w:szCs w:val="24"/>
                <w:highlight w:val="none"/>
              </w:rPr>
              <w:t>全厂排放量（固体废物产生量）⑥</w:t>
            </w:r>
          </w:p>
        </w:tc>
        <w:tc>
          <w:tcPr>
            <w:tcW w:w="1393" w:type="dxa"/>
            <w:tcBorders>
              <w:tl2br w:val="nil"/>
              <w:tr2bl w:val="nil"/>
            </w:tcBorders>
            <w:noWrap w:val="0"/>
            <w:vAlign w:val="center"/>
          </w:tcPr>
          <w:p w14:paraId="2AB1E09B">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b/>
                <w:bCs/>
                <w:color w:val="auto"/>
                <w:sz w:val="24"/>
                <w:szCs w:val="24"/>
                <w:highlight w:val="none"/>
              </w:rPr>
            </w:pPr>
            <w:r>
              <w:rPr>
                <w:rFonts w:hint="default"/>
                <w:b/>
                <w:bCs/>
                <w:color w:val="auto"/>
                <w:sz w:val="24"/>
                <w:szCs w:val="24"/>
                <w:highlight w:val="none"/>
              </w:rPr>
              <w:t>变化量⑦</w:t>
            </w:r>
          </w:p>
        </w:tc>
      </w:tr>
      <w:tr w14:paraId="6A4DD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CellMar>
            <w:top w:w="0" w:type="dxa"/>
            <w:left w:w="0" w:type="dxa"/>
            <w:bottom w:w="0" w:type="dxa"/>
            <w:right w:w="0" w:type="dxa"/>
          </w:tblCellMar>
        </w:tblPrEx>
        <w:trPr>
          <w:trHeight w:val="454" w:hRule="atLeast"/>
          <w:jc w:val="center"/>
        </w:trPr>
        <w:tc>
          <w:tcPr>
            <w:tcW w:w="1354" w:type="dxa"/>
            <w:vMerge w:val="restart"/>
            <w:tcBorders>
              <w:tl2br w:val="nil"/>
              <w:tr2bl w:val="nil"/>
            </w:tcBorders>
            <w:noWrap w:val="0"/>
            <w:vAlign w:val="center"/>
          </w:tcPr>
          <w:p w14:paraId="41AAE956">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eastAsia" w:eastAsia="宋体"/>
                <w:color w:val="auto"/>
                <w:sz w:val="24"/>
                <w:szCs w:val="24"/>
                <w:highlight w:val="none"/>
                <w:lang w:val="en-US" w:eastAsia="zh-CN"/>
              </w:rPr>
            </w:pPr>
            <w:r>
              <w:rPr>
                <w:rFonts w:hint="eastAsia"/>
                <w:color w:val="auto"/>
                <w:sz w:val="24"/>
                <w:szCs w:val="24"/>
                <w:highlight w:val="none"/>
                <w:lang w:val="en-US" w:eastAsia="zh-CN"/>
              </w:rPr>
              <w:t>废气</w:t>
            </w:r>
          </w:p>
        </w:tc>
        <w:tc>
          <w:tcPr>
            <w:tcW w:w="1727" w:type="dxa"/>
            <w:tcBorders>
              <w:tl2br w:val="nil"/>
              <w:tr2bl w:val="nil"/>
            </w:tcBorders>
            <w:noWrap w:val="0"/>
            <w:vAlign w:val="center"/>
          </w:tcPr>
          <w:p w14:paraId="18BC7E07">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lang w:val="en-US" w:eastAsia="zh-CN"/>
              </w:rPr>
            </w:pPr>
            <w:r>
              <w:rPr>
                <w:rFonts w:hint="eastAsia"/>
                <w:color w:val="auto"/>
                <w:sz w:val="24"/>
                <w:szCs w:val="24"/>
                <w:highlight w:val="none"/>
                <w:lang w:val="en-US" w:eastAsia="zh-CN"/>
              </w:rPr>
              <w:t>非甲烷总烃</w:t>
            </w:r>
          </w:p>
        </w:tc>
        <w:tc>
          <w:tcPr>
            <w:tcW w:w="1600" w:type="dxa"/>
            <w:tcBorders>
              <w:tl2br w:val="nil"/>
              <w:tr2bl w:val="nil"/>
            </w:tcBorders>
            <w:noWrap w:val="0"/>
            <w:vAlign w:val="center"/>
          </w:tcPr>
          <w:p w14:paraId="2CD7DF88">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148" w:type="dxa"/>
            <w:tcBorders>
              <w:tl2br w:val="nil"/>
              <w:tr2bl w:val="nil"/>
            </w:tcBorders>
            <w:noWrap w:val="0"/>
            <w:vAlign w:val="center"/>
          </w:tcPr>
          <w:p w14:paraId="1D6AB778">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50" w:type="dxa"/>
            <w:tcBorders>
              <w:tl2br w:val="nil"/>
              <w:tr2bl w:val="nil"/>
            </w:tcBorders>
            <w:noWrap w:val="0"/>
            <w:vAlign w:val="center"/>
          </w:tcPr>
          <w:p w14:paraId="097D4C40">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65" w:type="dxa"/>
            <w:tcBorders>
              <w:tl2br w:val="nil"/>
              <w:tr2bl w:val="nil"/>
            </w:tcBorders>
            <w:noWrap w:val="0"/>
            <w:vAlign w:val="center"/>
          </w:tcPr>
          <w:p w14:paraId="501263C5">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lang w:val="en-US" w:eastAsia="zh-CN"/>
              </w:rPr>
            </w:pPr>
            <w:r>
              <w:rPr>
                <w:rFonts w:hint="eastAsia"/>
                <w:color w:val="auto"/>
                <w:sz w:val="24"/>
                <w:szCs w:val="24"/>
                <w:highlight w:val="none"/>
                <w:lang w:val="en-US" w:eastAsia="zh-CN"/>
              </w:rPr>
              <w:t>0.63t/a</w:t>
            </w:r>
          </w:p>
        </w:tc>
        <w:tc>
          <w:tcPr>
            <w:tcW w:w="1395" w:type="dxa"/>
            <w:tcBorders>
              <w:tl2br w:val="nil"/>
              <w:tr2bl w:val="nil"/>
            </w:tcBorders>
            <w:noWrap w:val="0"/>
            <w:vAlign w:val="center"/>
          </w:tcPr>
          <w:p w14:paraId="5E22DCF5">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860" w:type="dxa"/>
            <w:tcBorders>
              <w:tl2br w:val="nil"/>
              <w:tr2bl w:val="nil"/>
            </w:tcBorders>
            <w:noWrap w:val="0"/>
            <w:vAlign w:val="center"/>
          </w:tcPr>
          <w:p w14:paraId="604DBFD4">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eastAsia"/>
                <w:color w:val="auto"/>
                <w:sz w:val="24"/>
                <w:szCs w:val="24"/>
                <w:highlight w:val="none"/>
                <w:lang w:val="en-US" w:eastAsia="zh-CN"/>
              </w:rPr>
            </w:pPr>
            <w:r>
              <w:rPr>
                <w:rFonts w:hint="eastAsia"/>
                <w:color w:val="auto"/>
                <w:sz w:val="24"/>
                <w:szCs w:val="24"/>
                <w:highlight w:val="none"/>
                <w:lang w:val="en-US" w:eastAsia="zh-CN"/>
              </w:rPr>
              <w:t>0.63t/a</w:t>
            </w:r>
          </w:p>
        </w:tc>
        <w:tc>
          <w:tcPr>
            <w:tcW w:w="1393" w:type="dxa"/>
            <w:tcBorders>
              <w:tl2br w:val="nil"/>
              <w:tr2bl w:val="nil"/>
            </w:tcBorders>
            <w:noWrap w:val="0"/>
            <w:vAlign w:val="center"/>
          </w:tcPr>
          <w:p w14:paraId="54BB9799">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eastAsia"/>
                <w:color w:val="auto"/>
                <w:sz w:val="24"/>
                <w:szCs w:val="24"/>
                <w:highlight w:val="none"/>
                <w:lang w:val="en-US" w:eastAsia="zh-CN"/>
              </w:rPr>
            </w:pPr>
            <w:r>
              <w:rPr>
                <w:rFonts w:hint="eastAsia"/>
                <w:color w:val="auto"/>
                <w:sz w:val="24"/>
                <w:szCs w:val="24"/>
                <w:highlight w:val="none"/>
                <w:lang w:val="en-US" w:eastAsia="zh-CN"/>
              </w:rPr>
              <w:t>+0.63t/a</w:t>
            </w:r>
          </w:p>
        </w:tc>
      </w:tr>
      <w:tr w14:paraId="431A4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CellMar>
            <w:top w:w="0" w:type="dxa"/>
            <w:left w:w="0" w:type="dxa"/>
            <w:bottom w:w="0" w:type="dxa"/>
            <w:right w:w="0" w:type="dxa"/>
          </w:tblCellMar>
        </w:tblPrEx>
        <w:trPr>
          <w:trHeight w:val="454" w:hRule="atLeast"/>
          <w:jc w:val="center"/>
        </w:trPr>
        <w:tc>
          <w:tcPr>
            <w:tcW w:w="1354" w:type="dxa"/>
            <w:vMerge w:val="continue"/>
            <w:tcBorders>
              <w:tl2br w:val="nil"/>
              <w:tr2bl w:val="nil"/>
            </w:tcBorders>
            <w:noWrap w:val="0"/>
            <w:vAlign w:val="center"/>
          </w:tcPr>
          <w:p w14:paraId="3E953101">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eastAsia" w:eastAsia="宋体"/>
                <w:color w:val="auto"/>
                <w:sz w:val="24"/>
                <w:szCs w:val="24"/>
                <w:highlight w:val="none"/>
                <w:lang w:val="en-US" w:eastAsia="zh-CN"/>
              </w:rPr>
            </w:pPr>
          </w:p>
        </w:tc>
        <w:tc>
          <w:tcPr>
            <w:tcW w:w="1727" w:type="dxa"/>
            <w:tcBorders>
              <w:tl2br w:val="nil"/>
              <w:tr2bl w:val="nil"/>
            </w:tcBorders>
            <w:noWrap w:val="0"/>
            <w:vAlign w:val="center"/>
          </w:tcPr>
          <w:p w14:paraId="1B00AE0F">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eastAsia" w:eastAsia="宋体"/>
                <w:color w:val="auto"/>
                <w:sz w:val="24"/>
                <w:szCs w:val="24"/>
                <w:highlight w:val="none"/>
                <w:lang w:val="en-US" w:eastAsia="zh-CN"/>
              </w:rPr>
            </w:pPr>
            <w:r>
              <w:rPr>
                <w:rFonts w:hint="eastAsia"/>
                <w:color w:val="auto"/>
                <w:sz w:val="24"/>
                <w:szCs w:val="24"/>
                <w:highlight w:val="none"/>
                <w:lang w:val="en-US" w:eastAsia="zh-CN"/>
              </w:rPr>
              <w:t>颗粒物</w:t>
            </w:r>
          </w:p>
        </w:tc>
        <w:tc>
          <w:tcPr>
            <w:tcW w:w="1600" w:type="dxa"/>
            <w:tcBorders>
              <w:tl2br w:val="nil"/>
              <w:tr2bl w:val="nil"/>
            </w:tcBorders>
            <w:noWrap w:val="0"/>
            <w:vAlign w:val="center"/>
          </w:tcPr>
          <w:p w14:paraId="2856F0D7">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ascii="Times New Roman" w:hAnsi="Times New Roman" w:eastAsia="宋体"/>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148" w:type="dxa"/>
            <w:tcBorders>
              <w:tl2br w:val="nil"/>
              <w:tr2bl w:val="nil"/>
            </w:tcBorders>
            <w:noWrap w:val="0"/>
            <w:vAlign w:val="center"/>
          </w:tcPr>
          <w:p w14:paraId="178807D5">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ascii="Times New Roman" w:hAnsi="Times New Roman" w:eastAsia="宋体"/>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50" w:type="dxa"/>
            <w:tcBorders>
              <w:tl2br w:val="nil"/>
              <w:tr2bl w:val="nil"/>
            </w:tcBorders>
            <w:noWrap w:val="0"/>
            <w:vAlign w:val="center"/>
          </w:tcPr>
          <w:p w14:paraId="7885066A">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ascii="Times New Roman" w:hAnsi="Times New Roman" w:eastAsia="宋体"/>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65" w:type="dxa"/>
            <w:tcBorders>
              <w:tl2br w:val="nil"/>
              <w:tr2bl w:val="nil"/>
            </w:tcBorders>
            <w:noWrap w:val="0"/>
            <w:vAlign w:val="center"/>
          </w:tcPr>
          <w:p w14:paraId="284134AD">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lang w:val="en-US" w:eastAsia="zh-CN"/>
              </w:rPr>
            </w:pPr>
            <w:r>
              <w:rPr>
                <w:rFonts w:hint="eastAsia"/>
                <w:color w:val="auto"/>
                <w:sz w:val="24"/>
                <w:szCs w:val="24"/>
                <w:highlight w:val="none"/>
                <w:lang w:val="en-US" w:eastAsia="zh-CN"/>
              </w:rPr>
              <w:t>0.274t/a</w:t>
            </w:r>
          </w:p>
        </w:tc>
        <w:tc>
          <w:tcPr>
            <w:tcW w:w="1395" w:type="dxa"/>
            <w:tcBorders>
              <w:tl2br w:val="nil"/>
              <w:tr2bl w:val="nil"/>
            </w:tcBorders>
            <w:noWrap w:val="0"/>
            <w:vAlign w:val="center"/>
          </w:tcPr>
          <w:p w14:paraId="50F00F15">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860" w:type="dxa"/>
            <w:tcBorders>
              <w:tl2br w:val="nil"/>
              <w:tr2bl w:val="nil"/>
            </w:tcBorders>
            <w:noWrap w:val="0"/>
            <w:vAlign w:val="center"/>
          </w:tcPr>
          <w:p w14:paraId="2BEA447F">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eastAsia" w:ascii="Times New Roman" w:hAnsi="Times New Roman" w:eastAsia="宋体"/>
                <w:color w:val="auto"/>
                <w:kern w:val="0"/>
                <w:sz w:val="24"/>
                <w:szCs w:val="24"/>
                <w:highlight w:val="none"/>
                <w:lang w:val="en-US" w:eastAsia="zh-CN" w:bidi="ar-SA"/>
              </w:rPr>
            </w:pPr>
            <w:r>
              <w:rPr>
                <w:rFonts w:hint="eastAsia"/>
                <w:color w:val="auto"/>
                <w:sz w:val="24"/>
                <w:szCs w:val="24"/>
                <w:highlight w:val="none"/>
                <w:lang w:val="en-US" w:eastAsia="zh-CN"/>
              </w:rPr>
              <w:t>0.274t/a</w:t>
            </w:r>
          </w:p>
        </w:tc>
        <w:tc>
          <w:tcPr>
            <w:tcW w:w="1393" w:type="dxa"/>
            <w:tcBorders>
              <w:tl2br w:val="nil"/>
              <w:tr2bl w:val="nil"/>
            </w:tcBorders>
            <w:noWrap w:val="0"/>
            <w:vAlign w:val="center"/>
          </w:tcPr>
          <w:p w14:paraId="4C977129">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eastAsia" w:ascii="Times New Roman" w:hAnsi="Times New Roman" w:eastAsia="宋体"/>
                <w:color w:val="auto"/>
                <w:kern w:val="0"/>
                <w:sz w:val="24"/>
                <w:szCs w:val="24"/>
                <w:highlight w:val="none"/>
                <w:lang w:val="en-US" w:eastAsia="zh-CN" w:bidi="ar-SA"/>
              </w:rPr>
            </w:pPr>
            <w:r>
              <w:rPr>
                <w:rFonts w:hint="eastAsia"/>
                <w:color w:val="auto"/>
                <w:sz w:val="24"/>
                <w:szCs w:val="24"/>
                <w:highlight w:val="none"/>
                <w:lang w:val="en-US" w:eastAsia="zh-CN"/>
              </w:rPr>
              <w:t>+0.274t/a</w:t>
            </w:r>
          </w:p>
        </w:tc>
      </w:tr>
      <w:tr w14:paraId="5D9F4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CellMar>
            <w:top w:w="0" w:type="dxa"/>
            <w:left w:w="0" w:type="dxa"/>
            <w:bottom w:w="0" w:type="dxa"/>
            <w:right w:w="0" w:type="dxa"/>
          </w:tblCellMar>
        </w:tblPrEx>
        <w:trPr>
          <w:trHeight w:val="454" w:hRule="atLeast"/>
          <w:jc w:val="center"/>
        </w:trPr>
        <w:tc>
          <w:tcPr>
            <w:tcW w:w="1354" w:type="dxa"/>
            <w:vMerge w:val="continue"/>
            <w:tcBorders>
              <w:tl2br w:val="nil"/>
              <w:tr2bl w:val="nil"/>
            </w:tcBorders>
            <w:noWrap w:val="0"/>
            <w:vAlign w:val="center"/>
          </w:tcPr>
          <w:p w14:paraId="0402B5D4">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eastAsia" w:eastAsia="宋体"/>
                <w:color w:val="auto"/>
                <w:sz w:val="24"/>
                <w:szCs w:val="24"/>
                <w:highlight w:val="none"/>
                <w:lang w:val="en-US" w:eastAsia="zh-CN"/>
              </w:rPr>
            </w:pPr>
          </w:p>
        </w:tc>
        <w:tc>
          <w:tcPr>
            <w:tcW w:w="1727" w:type="dxa"/>
            <w:tcBorders>
              <w:tl2br w:val="nil"/>
              <w:tr2bl w:val="nil"/>
            </w:tcBorders>
            <w:noWrap w:val="0"/>
            <w:vAlign w:val="center"/>
          </w:tcPr>
          <w:p w14:paraId="7A5FCE2F">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lang w:val="en-US" w:eastAsia="zh-CN"/>
              </w:rPr>
            </w:pPr>
            <w:r>
              <w:rPr>
                <w:rFonts w:hint="eastAsia"/>
                <w:color w:val="auto"/>
                <w:sz w:val="24"/>
                <w:szCs w:val="24"/>
                <w:highlight w:val="none"/>
                <w:lang w:val="en-US" w:eastAsia="zh-CN"/>
              </w:rPr>
              <w:t>氯化氢</w:t>
            </w:r>
          </w:p>
        </w:tc>
        <w:tc>
          <w:tcPr>
            <w:tcW w:w="1600" w:type="dxa"/>
            <w:tcBorders>
              <w:tl2br w:val="nil"/>
              <w:tr2bl w:val="nil"/>
            </w:tcBorders>
            <w:noWrap w:val="0"/>
            <w:vAlign w:val="center"/>
          </w:tcPr>
          <w:p w14:paraId="3F5E8E2B">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148" w:type="dxa"/>
            <w:tcBorders>
              <w:tl2br w:val="nil"/>
              <w:tr2bl w:val="nil"/>
            </w:tcBorders>
            <w:noWrap w:val="0"/>
            <w:vAlign w:val="center"/>
          </w:tcPr>
          <w:p w14:paraId="3F2672E6">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50" w:type="dxa"/>
            <w:tcBorders>
              <w:tl2br w:val="nil"/>
              <w:tr2bl w:val="nil"/>
            </w:tcBorders>
            <w:noWrap w:val="0"/>
            <w:vAlign w:val="center"/>
          </w:tcPr>
          <w:p w14:paraId="1C1D0156">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65" w:type="dxa"/>
            <w:tcBorders>
              <w:tl2br w:val="nil"/>
              <w:tr2bl w:val="nil"/>
            </w:tcBorders>
            <w:noWrap w:val="0"/>
            <w:vAlign w:val="center"/>
          </w:tcPr>
          <w:p w14:paraId="795F628B">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lang w:val="en-US" w:eastAsia="zh-CN"/>
              </w:rPr>
            </w:pPr>
            <w:r>
              <w:rPr>
                <w:rFonts w:hint="eastAsia"/>
                <w:color w:val="auto"/>
                <w:sz w:val="24"/>
                <w:szCs w:val="24"/>
                <w:highlight w:val="none"/>
                <w:lang w:val="en-US" w:eastAsia="zh-CN"/>
              </w:rPr>
              <w:t>0.00027t/a</w:t>
            </w:r>
          </w:p>
        </w:tc>
        <w:tc>
          <w:tcPr>
            <w:tcW w:w="1395" w:type="dxa"/>
            <w:tcBorders>
              <w:tl2br w:val="nil"/>
              <w:tr2bl w:val="nil"/>
            </w:tcBorders>
            <w:noWrap w:val="0"/>
            <w:vAlign w:val="center"/>
          </w:tcPr>
          <w:p w14:paraId="6FBDF3D0">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860" w:type="dxa"/>
            <w:tcBorders>
              <w:tl2br w:val="nil"/>
              <w:tr2bl w:val="nil"/>
            </w:tcBorders>
            <w:noWrap w:val="0"/>
            <w:vAlign w:val="center"/>
          </w:tcPr>
          <w:p w14:paraId="553C30D7">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eastAsia"/>
                <w:color w:val="auto"/>
                <w:sz w:val="24"/>
                <w:szCs w:val="24"/>
                <w:highlight w:val="none"/>
                <w:lang w:val="en-US" w:eastAsia="zh-CN"/>
              </w:rPr>
            </w:pPr>
            <w:r>
              <w:rPr>
                <w:rFonts w:hint="eastAsia"/>
                <w:color w:val="auto"/>
                <w:sz w:val="24"/>
                <w:szCs w:val="24"/>
                <w:highlight w:val="none"/>
                <w:lang w:val="en-US" w:eastAsia="zh-CN"/>
              </w:rPr>
              <w:t>0.00027t/a</w:t>
            </w:r>
          </w:p>
        </w:tc>
        <w:tc>
          <w:tcPr>
            <w:tcW w:w="1393" w:type="dxa"/>
            <w:tcBorders>
              <w:tl2br w:val="nil"/>
              <w:tr2bl w:val="nil"/>
            </w:tcBorders>
            <w:noWrap w:val="0"/>
            <w:vAlign w:val="center"/>
          </w:tcPr>
          <w:p w14:paraId="6E761797">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eastAsia"/>
                <w:color w:val="auto"/>
                <w:sz w:val="24"/>
                <w:szCs w:val="24"/>
                <w:highlight w:val="none"/>
                <w:lang w:val="en-US" w:eastAsia="zh-CN"/>
              </w:rPr>
            </w:pPr>
            <w:r>
              <w:rPr>
                <w:rFonts w:hint="eastAsia"/>
                <w:color w:val="auto"/>
                <w:sz w:val="24"/>
                <w:szCs w:val="24"/>
                <w:highlight w:val="none"/>
                <w:lang w:val="en-US" w:eastAsia="zh-CN"/>
              </w:rPr>
              <w:t>+0.00027t/a</w:t>
            </w:r>
          </w:p>
        </w:tc>
      </w:tr>
      <w:tr w14:paraId="06A8E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CellMar>
            <w:top w:w="0" w:type="dxa"/>
            <w:left w:w="0" w:type="dxa"/>
            <w:bottom w:w="0" w:type="dxa"/>
            <w:right w:w="0" w:type="dxa"/>
          </w:tblCellMar>
        </w:tblPrEx>
        <w:trPr>
          <w:trHeight w:val="454" w:hRule="atLeast"/>
          <w:jc w:val="center"/>
        </w:trPr>
        <w:tc>
          <w:tcPr>
            <w:tcW w:w="1354" w:type="dxa"/>
            <w:vMerge w:val="continue"/>
            <w:tcBorders>
              <w:tl2br w:val="nil"/>
              <w:tr2bl w:val="nil"/>
            </w:tcBorders>
            <w:noWrap w:val="0"/>
            <w:vAlign w:val="center"/>
          </w:tcPr>
          <w:p w14:paraId="7875D7BE">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eastAsia" w:eastAsia="宋体"/>
                <w:color w:val="auto"/>
                <w:sz w:val="24"/>
                <w:szCs w:val="24"/>
                <w:highlight w:val="none"/>
                <w:lang w:val="en-US" w:eastAsia="zh-CN"/>
              </w:rPr>
            </w:pPr>
          </w:p>
        </w:tc>
        <w:tc>
          <w:tcPr>
            <w:tcW w:w="1727" w:type="dxa"/>
            <w:tcBorders>
              <w:tl2br w:val="nil"/>
              <w:tr2bl w:val="nil"/>
            </w:tcBorders>
            <w:noWrap w:val="0"/>
            <w:vAlign w:val="center"/>
          </w:tcPr>
          <w:p w14:paraId="2EC459D6">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lang w:val="en-US" w:eastAsia="zh-CN"/>
              </w:rPr>
            </w:pPr>
            <w:r>
              <w:rPr>
                <w:rFonts w:hint="eastAsia"/>
                <w:color w:val="auto"/>
                <w:sz w:val="24"/>
                <w:szCs w:val="24"/>
                <w:highlight w:val="none"/>
                <w:lang w:val="en-US" w:eastAsia="zh-CN"/>
              </w:rPr>
              <w:t>氯乙烯</w:t>
            </w:r>
          </w:p>
        </w:tc>
        <w:tc>
          <w:tcPr>
            <w:tcW w:w="1600" w:type="dxa"/>
            <w:tcBorders>
              <w:tl2br w:val="nil"/>
              <w:tr2bl w:val="nil"/>
            </w:tcBorders>
            <w:noWrap w:val="0"/>
            <w:vAlign w:val="center"/>
          </w:tcPr>
          <w:p w14:paraId="349EF0DF">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148" w:type="dxa"/>
            <w:tcBorders>
              <w:tl2br w:val="nil"/>
              <w:tr2bl w:val="nil"/>
            </w:tcBorders>
            <w:noWrap w:val="0"/>
            <w:vAlign w:val="center"/>
          </w:tcPr>
          <w:p w14:paraId="3F2CA70A">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50" w:type="dxa"/>
            <w:tcBorders>
              <w:tl2br w:val="nil"/>
              <w:tr2bl w:val="nil"/>
            </w:tcBorders>
            <w:noWrap w:val="0"/>
            <w:vAlign w:val="center"/>
          </w:tcPr>
          <w:p w14:paraId="473B7209">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65" w:type="dxa"/>
            <w:tcBorders>
              <w:tl2br w:val="nil"/>
              <w:tr2bl w:val="nil"/>
            </w:tcBorders>
            <w:noWrap w:val="0"/>
            <w:vAlign w:val="center"/>
          </w:tcPr>
          <w:p w14:paraId="5CCB29C7">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lang w:val="en-US" w:eastAsia="zh-CN"/>
              </w:rPr>
            </w:pPr>
            <w:r>
              <w:rPr>
                <w:rFonts w:hint="eastAsia"/>
                <w:color w:val="auto"/>
                <w:sz w:val="24"/>
                <w:szCs w:val="24"/>
                <w:highlight w:val="none"/>
                <w:lang w:val="en-US" w:eastAsia="zh-CN"/>
              </w:rPr>
              <w:t>0.00031t/a</w:t>
            </w:r>
          </w:p>
        </w:tc>
        <w:tc>
          <w:tcPr>
            <w:tcW w:w="1395" w:type="dxa"/>
            <w:tcBorders>
              <w:tl2br w:val="nil"/>
              <w:tr2bl w:val="nil"/>
            </w:tcBorders>
            <w:noWrap w:val="0"/>
            <w:vAlign w:val="center"/>
          </w:tcPr>
          <w:p w14:paraId="439D11F6">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860" w:type="dxa"/>
            <w:tcBorders>
              <w:tl2br w:val="nil"/>
              <w:tr2bl w:val="nil"/>
            </w:tcBorders>
            <w:noWrap w:val="0"/>
            <w:vAlign w:val="center"/>
          </w:tcPr>
          <w:p w14:paraId="4B20FC04">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eastAsia"/>
                <w:color w:val="auto"/>
                <w:sz w:val="24"/>
                <w:szCs w:val="24"/>
                <w:highlight w:val="none"/>
                <w:lang w:val="en-US" w:eastAsia="zh-CN"/>
              </w:rPr>
            </w:pPr>
            <w:r>
              <w:rPr>
                <w:rFonts w:hint="eastAsia"/>
                <w:color w:val="auto"/>
                <w:sz w:val="24"/>
                <w:szCs w:val="24"/>
                <w:highlight w:val="none"/>
                <w:lang w:val="en-US" w:eastAsia="zh-CN"/>
              </w:rPr>
              <w:t>0.00031t/a</w:t>
            </w:r>
          </w:p>
        </w:tc>
        <w:tc>
          <w:tcPr>
            <w:tcW w:w="1393" w:type="dxa"/>
            <w:tcBorders>
              <w:tl2br w:val="nil"/>
              <w:tr2bl w:val="nil"/>
            </w:tcBorders>
            <w:noWrap w:val="0"/>
            <w:vAlign w:val="center"/>
          </w:tcPr>
          <w:p w14:paraId="314481BC">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eastAsia"/>
                <w:color w:val="auto"/>
                <w:sz w:val="24"/>
                <w:szCs w:val="24"/>
                <w:highlight w:val="none"/>
                <w:lang w:val="en-US" w:eastAsia="zh-CN"/>
              </w:rPr>
            </w:pPr>
            <w:r>
              <w:rPr>
                <w:rFonts w:hint="eastAsia"/>
                <w:color w:val="auto"/>
                <w:sz w:val="24"/>
                <w:szCs w:val="24"/>
                <w:highlight w:val="none"/>
                <w:lang w:val="en-US" w:eastAsia="zh-CN"/>
              </w:rPr>
              <w:t>+0.00031t/a</w:t>
            </w:r>
          </w:p>
        </w:tc>
      </w:tr>
      <w:tr w14:paraId="49C5C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CellMar>
            <w:top w:w="0" w:type="dxa"/>
            <w:left w:w="0" w:type="dxa"/>
            <w:bottom w:w="0" w:type="dxa"/>
            <w:right w:w="0" w:type="dxa"/>
          </w:tblCellMar>
        </w:tblPrEx>
        <w:trPr>
          <w:trHeight w:val="454" w:hRule="atLeast"/>
          <w:jc w:val="center"/>
        </w:trPr>
        <w:tc>
          <w:tcPr>
            <w:tcW w:w="1354" w:type="dxa"/>
            <w:vMerge w:val="restart"/>
            <w:tcBorders>
              <w:tl2br w:val="nil"/>
              <w:tr2bl w:val="nil"/>
            </w:tcBorders>
            <w:noWrap w:val="0"/>
            <w:vAlign w:val="center"/>
          </w:tcPr>
          <w:p w14:paraId="6EAEA423">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rPr>
            </w:pPr>
            <w:r>
              <w:rPr>
                <w:rFonts w:hint="default"/>
                <w:color w:val="auto"/>
                <w:sz w:val="24"/>
                <w:szCs w:val="24"/>
                <w:highlight w:val="none"/>
                <w:lang w:val="en-US" w:eastAsia="en-US"/>
              </w:rPr>
              <w:t>废水</w:t>
            </w:r>
          </w:p>
        </w:tc>
        <w:tc>
          <w:tcPr>
            <w:tcW w:w="1727" w:type="dxa"/>
            <w:tcBorders>
              <w:tl2br w:val="nil"/>
              <w:tr2bl w:val="nil"/>
            </w:tcBorders>
            <w:noWrap w:val="0"/>
            <w:vAlign w:val="center"/>
          </w:tcPr>
          <w:p w14:paraId="168F1F05">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lang w:val="en-US" w:eastAsia="zh-CN"/>
              </w:rPr>
            </w:pPr>
            <w:r>
              <w:rPr>
                <w:rFonts w:hint="eastAsia"/>
                <w:color w:val="auto"/>
                <w:sz w:val="24"/>
                <w:szCs w:val="24"/>
                <w:highlight w:val="none"/>
                <w:lang w:val="en-US" w:eastAsia="zh-CN"/>
              </w:rPr>
              <w:t>废水量</w:t>
            </w:r>
          </w:p>
        </w:tc>
        <w:tc>
          <w:tcPr>
            <w:tcW w:w="1600" w:type="dxa"/>
            <w:tcBorders>
              <w:tl2br w:val="nil"/>
              <w:tr2bl w:val="nil"/>
            </w:tcBorders>
            <w:noWrap w:val="0"/>
            <w:vAlign w:val="center"/>
          </w:tcPr>
          <w:p w14:paraId="5F181B71">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ascii="Times New Roman" w:hAnsi="Times New Roman" w:eastAsia="宋体"/>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148" w:type="dxa"/>
            <w:tcBorders>
              <w:tl2br w:val="nil"/>
              <w:tr2bl w:val="nil"/>
            </w:tcBorders>
            <w:noWrap w:val="0"/>
            <w:vAlign w:val="center"/>
          </w:tcPr>
          <w:p w14:paraId="5575555B">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ascii="Times New Roman" w:hAnsi="Times New Roman" w:eastAsia="宋体"/>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50" w:type="dxa"/>
            <w:tcBorders>
              <w:tl2br w:val="nil"/>
              <w:tr2bl w:val="nil"/>
            </w:tcBorders>
            <w:noWrap w:val="0"/>
            <w:vAlign w:val="center"/>
          </w:tcPr>
          <w:p w14:paraId="046B8CC5">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ascii="Times New Roman" w:hAnsi="Times New Roman" w:eastAsia="宋体"/>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65" w:type="dxa"/>
            <w:tcBorders>
              <w:tl2br w:val="nil"/>
              <w:tr2bl w:val="nil"/>
            </w:tcBorders>
            <w:noWrap w:val="0"/>
            <w:vAlign w:val="center"/>
          </w:tcPr>
          <w:p w14:paraId="3DA764DE">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lang w:val="en-US" w:eastAsia="zh-CN"/>
              </w:rPr>
            </w:pPr>
            <w:r>
              <w:rPr>
                <w:rFonts w:hint="eastAsia"/>
                <w:color w:val="auto"/>
                <w:sz w:val="24"/>
                <w:szCs w:val="24"/>
                <w:highlight w:val="none"/>
                <w:lang w:val="en-US" w:eastAsia="zh-CN"/>
              </w:rPr>
              <w:t>1096t/a</w:t>
            </w:r>
          </w:p>
        </w:tc>
        <w:tc>
          <w:tcPr>
            <w:tcW w:w="1395" w:type="dxa"/>
            <w:tcBorders>
              <w:tl2br w:val="nil"/>
              <w:tr2bl w:val="nil"/>
            </w:tcBorders>
            <w:noWrap w:val="0"/>
            <w:vAlign w:val="center"/>
          </w:tcPr>
          <w:p w14:paraId="5E6DA98D">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ascii="Times New Roman" w:hAnsi="Times New Roman" w:eastAsia="宋体"/>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860" w:type="dxa"/>
            <w:tcBorders>
              <w:tl2br w:val="nil"/>
              <w:tr2bl w:val="nil"/>
            </w:tcBorders>
            <w:noWrap w:val="0"/>
            <w:vAlign w:val="center"/>
          </w:tcPr>
          <w:p w14:paraId="416A58AC">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ascii="Times New Roman" w:hAnsi="Times New Roman" w:eastAsia="宋体"/>
                <w:color w:val="auto"/>
                <w:kern w:val="0"/>
                <w:sz w:val="24"/>
                <w:szCs w:val="24"/>
                <w:highlight w:val="none"/>
                <w:lang w:val="en-US" w:eastAsia="zh-CN" w:bidi="ar-SA"/>
              </w:rPr>
            </w:pPr>
            <w:r>
              <w:rPr>
                <w:rFonts w:hint="eastAsia"/>
                <w:color w:val="auto"/>
                <w:sz w:val="24"/>
                <w:szCs w:val="24"/>
                <w:highlight w:val="none"/>
                <w:lang w:val="en-US" w:eastAsia="zh-CN"/>
              </w:rPr>
              <w:t>1096t/a</w:t>
            </w:r>
          </w:p>
        </w:tc>
        <w:tc>
          <w:tcPr>
            <w:tcW w:w="1393" w:type="dxa"/>
            <w:tcBorders>
              <w:tl2br w:val="nil"/>
              <w:tr2bl w:val="nil"/>
            </w:tcBorders>
            <w:noWrap w:val="0"/>
            <w:vAlign w:val="center"/>
          </w:tcPr>
          <w:p w14:paraId="6044AE5F">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ascii="Times New Roman" w:hAnsi="Times New Roman" w:eastAsia="宋体"/>
                <w:color w:val="auto"/>
                <w:kern w:val="0"/>
                <w:sz w:val="24"/>
                <w:szCs w:val="24"/>
                <w:highlight w:val="none"/>
                <w:lang w:val="en-US" w:eastAsia="zh-CN" w:bidi="ar-SA"/>
              </w:rPr>
            </w:pPr>
            <w:r>
              <w:rPr>
                <w:rFonts w:hint="eastAsia"/>
                <w:color w:val="auto"/>
                <w:sz w:val="24"/>
                <w:szCs w:val="24"/>
                <w:highlight w:val="none"/>
                <w:lang w:val="en-US" w:eastAsia="zh-CN"/>
              </w:rPr>
              <w:t>+1096t/a</w:t>
            </w:r>
          </w:p>
        </w:tc>
      </w:tr>
      <w:tr w14:paraId="4F279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CellMar>
            <w:top w:w="0" w:type="dxa"/>
            <w:left w:w="0" w:type="dxa"/>
            <w:bottom w:w="0" w:type="dxa"/>
            <w:right w:w="0" w:type="dxa"/>
          </w:tblCellMar>
        </w:tblPrEx>
        <w:trPr>
          <w:trHeight w:val="454" w:hRule="atLeast"/>
          <w:jc w:val="center"/>
        </w:trPr>
        <w:tc>
          <w:tcPr>
            <w:tcW w:w="1354" w:type="dxa"/>
            <w:vMerge w:val="continue"/>
            <w:tcBorders>
              <w:tl2br w:val="nil"/>
              <w:tr2bl w:val="nil"/>
            </w:tcBorders>
            <w:noWrap w:val="0"/>
            <w:vAlign w:val="center"/>
          </w:tcPr>
          <w:p w14:paraId="06BE30E5">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rPr>
            </w:pPr>
          </w:p>
        </w:tc>
        <w:tc>
          <w:tcPr>
            <w:tcW w:w="1727" w:type="dxa"/>
            <w:tcBorders>
              <w:tl2br w:val="nil"/>
              <w:tr2bl w:val="nil"/>
            </w:tcBorders>
            <w:noWrap w:val="0"/>
            <w:vAlign w:val="center"/>
          </w:tcPr>
          <w:p w14:paraId="3A7299F5">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rPr>
            </w:pPr>
            <w:r>
              <w:rPr>
                <w:rFonts w:hint="default"/>
                <w:color w:val="auto"/>
                <w:sz w:val="24"/>
                <w:szCs w:val="24"/>
                <w:highlight w:val="none"/>
              </w:rPr>
              <w:t>COD</w:t>
            </w:r>
          </w:p>
        </w:tc>
        <w:tc>
          <w:tcPr>
            <w:tcW w:w="1600" w:type="dxa"/>
            <w:tcBorders>
              <w:tl2br w:val="nil"/>
              <w:tr2bl w:val="nil"/>
            </w:tcBorders>
            <w:noWrap w:val="0"/>
            <w:vAlign w:val="center"/>
          </w:tcPr>
          <w:p w14:paraId="417E40FD">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ascii="Times New Roman" w:hAnsi="Times New Roman" w:eastAsia="宋体"/>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148" w:type="dxa"/>
            <w:tcBorders>
              <w:tl2br w:val="nil"/>
              <w:tr2bl w:val="nil"/>
            </w:tcBorders>
            <w:noWrap w:val="0"/>
            <w:vAlign w:val="center"/>
          </w:tcPr>
          <w:p w14:paraId="496D60ED">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ascii="Times New Roman" w:hAnsi="Times New Roman" w:eastAsia="宋体"/>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50" w:type="dxa"/>
            <w:tcBorders>
              <w:tl2br w:val="nil"/>
              <w:tr2bl w:val="nil"/>
            </w:tcBorders>
            <w:noWrap w:val="0"/>
            <w:vAlign w:val="center"/>
          </w:tcPr>
          <w:p w14:paraId="55A931C0">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ascii="Times New Roman" w:hAnsi="Times New Roman" w:eastAsia="宋体"/>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65" w:type="dxa"/>
            <w:tcBorders>
              <w:tl2br w:val="nil"/>
              <w:tr2bl w:val="nil"/>
            </w:tcBorders>
            <w:noWrap w:val="0"/>
            <w:vAlign w:val="center"/>
          </w:tcPr>
          <w:p w14:paraId="7CB7A9FA">
            <w:pPr>
              <w:pStyle w:val="10"/>
              <w:bidi w:val="0"/>
              <w:ind w:right="0" w:rightChars="0" w:firstLine="0" w:firstLineChars="0"/>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kern w:val="0"/>
                <w:sz w:val="24"/>
                <w:szCs w:val="24"/>
                <w:highlight w:val="none"/>
                <w:lang w:val="en-US" w:eastAsia="zh-CN" w:bidi="ar-SA"/>
              </w:rPr>
              <w:t>0.</w:t>
            </w:r>
            <w:r>
              <w:rPr>
                <w:rFonts w:hint="eastAsia" w:cs="Times New Roman"/>
                <w:color w:val="auto"/>
                <w:kern w:val="0"/>
                <w:sz w:val="24"/>
                <w:szCs w:val="24"/>
                <w:highlight w:val="none"/>
                <w:lang w:val="en-US" w:eastAsia="zh-CN" w:bidi="ar-SA"/>
              </w:rPr>
              <w:t>305</w:t>
            </w:r>
            <w:r>
              <w:rPr>
                <w:rFonts w:hint="eastAsia"/>
                <w:color w:val="auto"/>
                <w:sz w:val="24"/>
                <w:szCs w:val="24"/>
                <w:highlight w:val="none"/>
                <w:lang w:val="en-US" w:eastAsia="zh-CN"/>
              </w:rPr>
              <w:t>t/a</w:t>
            </w:r>
          </w:p>
        </w:tc>
        <w:tc>
          <w:tcPr>
            <w:tcW w:w="1395" w:type="dxa"/>
            <w:tcBorders>
              <w:tl2br w:val="nil"/>
              <w:tr2bl w:val="nil"/>
            </w:tcBorders>
            <w:noWrap w:val="0"/>
            <w:vAlign w:val="center"/>
          </w:tcPr>
          <w:p w14:paraId="125CA718">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ascii="Times New Roman" w:hAnsi="Times New Roman" w:eastAsia="宋体"/>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860" w:type="dxa"/>
            <w:tcBorders>
              <w:tl2br w:val="nil"/>
              <w:tr2bl w:val="nil"/>
            </w:tcBorders>
            <w:noWrap w:val="0"/>
            <w:vAlign w:val="center"/>
          </w:tcPr>
          <w:p w14:paraId="7C324D3D">
            <w:pPr>
              <w:pStyle w:val="10"/>
              <w:bidi w:val="0"/>
              <w:ind w:right="0" w:rightChars="0" w:firstLine="0" w:firstLineChars="0"/>
              <w:rPr>
                <w:rFonts w:hint="eastAsia" w:ascii="Times New Roman" w:hAnsi="Times New Roman" w:eastAsia="宋体"/>
                <w:color w:val="auto"/>
                <w:kern w:val="0"/>
                <w:sz w:val="24"/>
                <w:szCs w:val="24"/>
                <w:highlight w:val="yellow"/>
                <w:lang w:val="en-US" w:eastAsia="zh-CN" w:bidi="ar-SA"/>
              </w:rPr>
            </w:pPr>
            <w:r>
              <w:rPr>
                <w:rFonts w:hint="eastAsia" w:ascii="Times New Roman" w:hAnsi="Times New Roman" w:cs="Times New Roman"/>
                <w:color w:val="auto"/>
                <w:kern w:val="0"/>
                <w:sz w:val="24"/>
                <w:szCs w:val="24"/>
                <w:highlight w:val="none"/>
                <w:lang w:val="en-US" w:eastAsia="zh-CN" w:bidi="ar-SA"/>
              </w:rPr>
              <w:t>0.</w:t>
            </w:r>
            <w:r>
              <w:rPr>
                <w:rFonts w:hint="eastAsia" w:cs="Times New Roman"/>
                <w:color w:val="auto"/>
                <w:kern w:val="0"/>
                <w:sz w:val="24"/>
                <w:szCs w:val="24"/>
                <w:highlight w:val="none"/>
                <w:lang w:val="en-US" w:eastAsia="zh-CN" w:bidi="ar-SA"/>
              </w:rPr>
              <w:t>305</w:t>
            </w:r>
            <w:r>
              <w:rPr>
                <w:rFonts w:hint="eastAsia"/>
                <w:color w:val="auto"/>
                <w:sz w:val="24"/>
                <w:szCs w:val="24"/>
                <w:highlight w:val="none"/>
                <w:lang w:val="en-US" w:eastAsia="zh-CN"/>
              </w:rPr>
              <w:t>t/a</w:t>
            </w:r>
          </w:p>
        </w:tc>
        <w:tc>
          <w:tcPr>
            <w:tcW w:w="1393" w:type="dxa"/>
            <w:tcBorders>
              <w:tl2br w:val="nil"/>
              <w:tr2bl w:val="nil"/>
            </w:tcBorders>
            <w:noWrap w:val="0"/>
            <w:vAlign w:val="center"/>
          </w:tcPr>
          <w:p w14:paraId="3E29F86A">
            <w:pPr>
              <w:pStyle w:val="10"/>
              <w:bidi w:val="0"/>
              <w:ind w:right="0" w:rightChars="0" w:firstLine="0" w:firstLineChars="0"/>
              <w:rPr>
                <w:rFonts w:hint="eastAsia" w:ascii="Times New Roman" w:hAnsi="Times New Roman" w:eastAsia="宋体"/>
                <w:color w:val="auto"/>
                <w:kern w:val="0"/>
                <w:sz w:val="24"/>
                <w:szCs w:val="24"/>
                <w:highlight w:val="yellow"/>
                <w:lang w:val="en-US" w:eastAsia="zh-CN" w:bidi="ar-SA"/>
              </w:rPr>
            </w:pPr>
            <w:r>
              <w:rPr>
                <w:rFonts w:hint="eastAsia" w:ascii="Times New Roman" w:hAnsi="Times New Roman" w:cs="Times New Roman"/>
                <w:color w:val="auto"/>
                <w:kern w:val="0"/>
                <w:sz w:val="24"/>
                <w:szCs w:val="24"/>
                <w:highlight w:val="none"/>
                <w:lang w:val="en-US" w:eastAsia="zh-CN" w:bidi="ar-SA"/>
              </w:rPr>
              <w:t>+0.</w:t>
            </w:r>
            <w:r>
              <w:rPr>
                <w:rFonts w:hint="eastAsia" w:cs="Times New Roman"/>
                <w:color w:val="auto"/>
                <w:kern w:val="0"/>
                <w:sz w:val="24"/>
                <w:szCs w:val="24"/>
                <w:highlight w:val="none"/>
                <w:lang w:val="en-US" w:eastAsia="zh-CN" w:bidi="ar-SA"/>
              </w:rPr>
              <w:t>305</w:t>
            </w:r>
            <w:r>
              <w:rPr>
                <w:rFonts w:hint="eastAsia"/>
                <w:color w:val="auto"/>
                <w:sz w:val="24"/>
                <w:szCs w:val="24"/>
                <w:highlight w:val="none"/>
                <w:lang w:val="en-US" w:eastAsia="zh-CN"/>
              </w:rPr>
              <w:t>t/a</w:t>
            </w:r>
          </w:p>
        </w:tc>
      </w:tr>
      <w:tr w14:paraId="4A454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CellMar>
            <w:top w:w="0" w:type="dxa"/>
            <w:left w:w="0" w:type="dxa"/>
            <w:bottom w:w="0" w:type="dxa"/>
            <w:right w:w="0" w:type="dxa"/>
          </w:tblCellMar>
        </w:tblPrEx>
        <w:trPr>
          <w:trHeight w:val="454" w:hRule="atLeast"/>
          <w:jc w:val="center"/>
        </w:trPr>
        <w:tc>
          <w:tcPr>
            <w:tcW w:w="1354" w:type="dxa"/>
            <w:vMerge w:val="continue"/>
            <w:tcBorders>
              <w:tl2br w:val="nil"/>
              <w:tr2bl w:val="nil"/>
            </w:tcBorders>
            <w:noWrap w:val="0"/>
            <w:vAlign w:val="center"/>
          </w:tcPr>
          <w:p w14:paraId="73E1E7FE">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rPr>
            </w:pPr>
          </w:p>
        </w:tc>
        <w:tc>
          <w:tcPr>
            <w:tcW w:w="1727" w:type="dxa"/>
            <w:tcBorders>
              <w:tl2br w:val="nil"/>
              <w:tr2bl w:val="nil"/>
            </w:tcBorders>
            <w:noWrap w:val="0"/>
            <w:vAlign w:val="center"/>
          </w:tcPr>
          <w:p w14:paraId="33ECCFAE">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lang w:val="en-US" w:eastAsia="zh-CN"/>
              </w:rPr>
            </w:pPr>
            <w:r>
              <w:rPr>
                <w:rFonts w:hint="default"/>
                <w:color w:val="auto"/>
                <w:sz w:val="24"/>
                <w:szCs w:val="24"/>
                <w:highlight w:val="none"/>
                <w:lang w:val="en-US" w:eastAsia="zh-CN"/>
              </w:rPr>
              <w:t>BOD</w:t>
            </w:r>
            <w:r>
              <w:rPr>
                <w:rFonts w:hint="default"/>
                <w:color w:val="auto"/>
                <w:sz w:val="24"/>
                <w:szCs w:val="24"/>
                <w:highlight w:val="none"/>
                <w:vertAlign w:val="subscript"/>
                <w:lang w:val="en-US" w:eastAsia="zh-CN"/>
              </w:rPr>
              <w:t>5</w:t>
            </w:r>
          </w:p>
        </w:tc>
        <w:tc>
          <w:tcPr>
            <w:tcW w:w="1600" w:type="dxa"/>
            <w:tcBorders>
              <w:tl2br w:val="nil"/>
              <w:tr2bl w:val="nil"/>
            </w:tcBorders>
            <w:noWrap w:val="0"/>
            <w:vAlign w:val="center"/>
          </w:tcPr>
          <w:p w14:paraId="237FF9FD">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148" w:type="dxa"/>
            <w:tcBorders>
              <w:tl2br w:val="nil"/>
              <w:tr2bl w:val="nil"/>
            </w:tcBorders>
            <w:noWrap w:val="0"/>
            <w:vAlign w:val="center"/>
          </w:tcPr>
          <w:p w14:paraId="21293039">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650" w:type="dxa"/>
            <w:tcBorders>
              <w:tl2br w:val="nil"/>
              <w:tr2bl w:val="nil"/>
            </w:tcBorders>
            <w:noWrap w:val="0"/>
            <w:vAlign w:val="center"/>
          </w:tcPr>
          <w:p w14:paraId="7CC13F92">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665" w:type="dxa"/>
            <w:tcBorders>
              <w:tl2br w:val="nil"/>
              <w:tr2bl w:val="nil"/>
            </w:tcBorders>
            <w:noWrap w:val="0"/>
            <w:vAlign w:val="center"/>
          </w:tcPr>
          <w:p w14:paraId="6A052A7C">
            <w:pPr>
              <w:pStyle w:val="10"/>
              <w:bidi w:val="0"/>
              <w:ind w:right="0" w:rightChars="0" w:firstLine="0" w:firstLineChars="0"/>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kern w:val="0"/>
                <w:sz w:val="24"/>
                <w:szCs w:val="24"/>
                <w:highlight w:val="none"/>
                <w:lang w:val="en-US" w:eastAsia="zh-CN" w:bidi="ar-SA"/>
              </w:rPr>
              <w:t>0.</w:t>
            </w:r>
            <w:r>
              <w:rPr>
                <w:rFonts w:hint="eastAsia" w:cs="Times New Roman"/>
                <w:color w:val="auto"/>
                <w:kern w:val="0"/>
                <w:sz w:val="24"/>
                <w:szCs w:val="24"/>
                <w:highlight w:val="none"/>
                <w:lang w:val="en-US" w:eastAsia="zh-CN" w:bidi="ar-SA"/>
              </w:rPr>
              <w:t>128</w:t>
            </w:r>
            <w:r>
              <w:rPr>
                <w:rFonts w:hint="eastAsia"/>
                <w:color w:val="auto"/>
                <w:sz w:val="24"/>
                <w:szCs w:val="24"/>
                <w:highlight w:val="none"/>
                <w:lang w:val="en-US" w:eastAsia="zh-CN"/>
              </w:rPr>
              <w:t>t/a</w:t>
            </w:r>
          </w:p>
        </w:tc>
        <w:tc>
          <w:tcPr>
            <w:tcW w:w="1395" w:type="dxa"/>
            <w:tcBorders>
              <w:tl2br w:val="nil"/>
              <w:tr2bl w:val="nil"/>
            </w:tcBorders>
            <w:noWrap w:val="0"/>
            <w:vAlign w:val="center"/>
          </w:tcPr>
          <w:p w14:paraId="082385FC">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860" w:type="dxa"/>
            <w:tcBorders>
              <w:tl2br w:val="nil"/>
              <w:tr2bl w:val="nil"/>
            </w:tcBorders>
            <w:noWrap w:val="0"/>
            <w:vAlign w:val="center"/>
          </w:tcPr>
          <w:p w14:paraId="498A045F">
            <w:pPr>
              <w:pStyle w:val="10"/>
              <w:bidi w:val="0"/>
              <w:ind w:right="0" w:rightChars="0" w:firstLine="0" w:firstLineChars="0"/>
              <w:rPr>
                <w:rFonts w:hint="eastAsia" w:ascii="Times New Roman" w:hAnsi="Times New Roman" w:eastAsia="宋体"/>
                <w:color w:val="auto"/>
                <w:kern w:val="0"/>
                <w:sz w:val="24"/>
                <w:szCs w:val="24"/>
                <w:highlight w:val="yellow"/>
                <w:lang w:val="en-US" w:eastAsia="zh-CN" w:bidi="ar-SA"/>
              </w:rPr>
            </w:pPr>
            <w:r>
              <w:rPr>
                <w:rFonts w:hint="eastAsia" w:ascii="Times New Roman" w:hAnsi="Times New Roman" w:cs="Times New Roman"/>
                <w:color w:val="auto"/>
                <w:kern w:val="0"/>
                <w:sz w:val="24"/>
                <w:szCs w:val="24"/>
                <w:highlight w:val="none"/>
                <w:lang w:val="en-US" w:eastAsia="zh-CN" w:bidi="ar-SA"/>
              </w:rPr>
              <w:t>0.</w:t>
            </w:r>
            <w:r>
              <w:rPr>
                <w:rFonts w:hint="eastAsia" w:cs="Times New Roman"/>
                <w:color w:val="auto"/>
                <w:kern w:val="0"/>
                <w:sz w:val="24"/>
                <w:szCs w:val="24"/>
                <w:highlight w:val="none"/>
                <w:lang w:val="en-US" w:eastAsia="zh-CN" w:bidi="ar-SA"/>
              </w:rPr>
              <w:t>128</w:t>
            </w:r>
            <w:r>
              <w:rPr>
                <w:rFonts w:hint="eastAsia"/>
                <w:color w:val="auto"/>
                <w:sz w:val="24"/>
                <w:szCs w:val="24"/>
                <w:highlight w:val="none"/>
                <w:lang w:val="en-US" w:eastAsia="zh-CN"/>
              </w:rPr>
              <w:t>t/a</w:t>
            </w:r>
          </w:p>
        </w:tc>
        <w:tc>
          <w:tcPr>
            <w:tcW w:w="1393" w:type="dxa"/>
            <w:tcBorders>
              <w:tl2br w:val="nil"/>
              <w:tr2bl w:val="nil"/>
            </w:tcBorders>
            <w:noWrap w:val="0"/>
            <w:vAlign w:val="center"/>
          </w:tcPr>
          <w:p w14:paraId="4628C22E">
            <w:pPr>
              <w:pStyle w:val="10"/>
              <w:bidi w:val="0"/>
              <w:ind w:right="0" w:rightChars="0" w:firstLine="0" w:firstLineChars="0"/>
              <w:rPr>
                <w:rFonts w:hint="eastAsia" w:ascii="Times New Roman" w:hAnsi="Times New Roman" w:eastAsia="宋体"/>
                <w:color w:val="auto"/>
                <w:kern w:val="0"/>
                <w:sz w:val="24"/>
                <w:szCs w:val="24"/>
                <w:highlight w:val="yellow"/>
                <w:lang w:val="en-US" w:eastAsia="zh-CN" w:bidi="ar-SA"/>
              </w:rPr>
            </w:pPr>
            <w:r>
              <w:rPr>
                <w:rFonts w:hint="eastAsia" w:ascii="Times New Roman" w:hAnsi="Times New Roman" w:cs="Times New Roman"/>
                <w:color w:val="auto"/>
                <w:kern w:val="0"/>
                <w:sz w:val="24"/>
                <w:szCs w:val="24"/>
                <w:highlight w:val="none"/>
                <w:lang w:val="en-US" w:eastAsia="zh-CN" w:bidi="ar-SA"/>
              </w:rPr>
              <w:t>+0.</w:t>
            </w:r>
            <w:r>
              <w:rPr>
                <w:rFonts w:hint="eastAsia" w:cs="Times New Roman"/>
                <w:color w:val="auto"/>
                <w:kern w:val="0"/>
                <w:sz w:val="24"/>
                <w:szCs w:val="24"/>
                <w:highlight w:val="none"/>
                <w:lang w:val="en-US" w:eastAsia="zh-CN" w:bidi="ar-SA"/>
              </w:rPr>
              <w:t>128</w:t>
            </w:r>
            <w:r>
              <w:rPr>
                <w:rFonts w:hint="eastAsia"/>
                <w:color w:val="auto"/>
                <w:sz w:val="24"/>
                <w:szCs w:val="24"/>
                <w:highlight w:val="none"/>
                <w:lang w:val="en-US" w:eastAsia="zh-CN"/>
              </w:rPr>
              <w:t>t/a</w:t>
            </w:r>
          </w:p>
        </w:tc>
      </w:tr>
      <w:tr w14:paraId="3916D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CellMar>
            <w:top w:w="0" w:type="dxa"/>
            <w:left w:w="0" w:type="dxa"/>
            <w:bottom w:w="0" w:type="dxa"/>
            <w:right w:w="0" w:type="dxa"/>
          </w:tblCellMar>
        </w:tblPrEx>
        <w:trPr>
          <w:trHeight w:val="454" w:hRule="atLeast"/>
          <w:jc w:val="center"/>
        </w:trPr>
        <w:tc>
          <w:tcPr>
            <w:tcW w:w="1354" w:type="dxa"/>
            <w:vMerge w:val="continue"/>
            <w:tcBorders>
              <w:tl2br w:val="nil"/>
              <w:tr2bl w:val="nil"/>
            </w:tcBorders>
            <w:noWrap w:val="0"/>
            <w:vAlign w:val="center"/>
          </w:tcPr>
          <w:p w14:paraId="7E22C4D8">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rPr>
            </w:pPr>
          </w:p>
        </w:tc>
        <w:tc>
          <w:tcPr>
            <w:tcW w:w="1727" w:type="dxa"/>
            <w:tcBorders>
              <w:tl2br w:val="nil"/>
              <w:tr2bl w:val="nil"/>
            </w:tcBorders>
            <w:noWrap w:val="0"/>
            <w:vAlign w:val="center"/>
          </w:tcPr>
          <w:p w14:paraId="4F8A17FF">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rPr>
            </w:pPr>
            <w:r>
              <w:rPr>
                <w:rFonts w:hint="default"/>
                <w:color w:val="auto"/>
                <w:sz w:val="24"/>
                <w:szCs w:val="24"/>
                <w:highlight w:val="none"/>
              </w:rPr>
              <w:t>SS</w:t>
            </w:r>
          </w:p>
        </w:tc>
        <w:tc>
          <w:tcPr>
            <w:tcW w:w="1600" w:type="dxa"/>
            <w:tcBorders>
              <w:tl2br w:val="nil"/>
              <w:tr2bl w:val="nil"/>
            </w:tcBorders>
            <w:noWrap w:val="0"/>
            <w:vAlign w:val="center"/>
          </w:tcPr>
          <w:p w14:paraId="15CDC7DD">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148" w:type="dxa"/>
            <w:tcBorders>
              <w:tl2br w:val="nil"/>
              <w:tr2bl w:val="nil"/>
            </w:tcBorders>
            <w:noWrap w:val="0"/>
            <w:vAlign w:val="center"/>
          </w:tcPr>
          <w:p w14:paraId="66B253F2">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650" w:type="dxa"/>
            <w:tcBorders>
              <w:tl2br w:val="nil"/>
              <w:tr2bl w:val="nil"/>
            </w:tcBorders>
            <w:noWrap w:val="0"/>
            <w:vAlign w:val="center"/>
          </w:tcPr>
          <w:p w14:paraId="5F5AC7DA">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665" w:type="dxa"/>
            <w:tcBorders>
              <w:tl2br w:val="nil"/>
              <w:tr2bl w:val="nil"/>
            </w:tcBorders>
            <w:noWrap w:val="0"/>
            <w:vAlign w:val="center"/>
          </w:tcPr>
          <w:p w14:paraId="586CE5AB">
            <w:pPr>
              <w:pStyle w:val="10"/>
              <w:bidi w:val="0"/>
              <w:ind w:right="0" w:rightChars="0" w:firstLine="0" w:firstLineChars="0"/>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kern w:val="0"/>
                <w:sz w:val="24"/>
                <w:szCs w:val="24"/>
                <w:highlight w:val="none"/>
                <w:lang w:val="en-US" w:eastAsia="zh-CN" w:bidi="ar-SA"/>
              </w:rPr>
              <w:t>0.</w:t>
            </w:r>
            <w:r>
              <w:rPr>
                <w:rFonts w:hint="eastAsia" w:cs="Times New Roman"/>
                <w:color w:val="auto"/>
                <w:kern w:val="0"/>
                <w:sz w:val="24"/>
                <w:szCs w:val="24"/>
                <w:highlight w:val="none"/>
                <w:lang w:val="en-US" w:eastAsia="zh-CN" w:bidi="ar-SA"/>
              </w:rPr>
              <w:t>165</w:t>
            </w:r>
            <w:r>
              <w:rPr>
                <w:rFonts w:hint="eastAsia"/>
                <w:color w:val="auto"/>
                <w:sz w:val="24"/>
                <w:szCs w:val="24"/>
                <w:highlight w:val="none"/>
                <w:lang w:val="en-US" w:eastAsia="zh-CN"/>
              </w:rPr>
              <w:t>t/a</w:t>
            </w:r>
          </w:p>
        </w:tc>
        <w:tc>
          <w:tcPr>
            <w:tcW w:w="1395" w:type="dxa"/>
            <w:tcBorders>
              <w:tl2br w:val="nil"/>
              <w:tr2bl w:val="nil"/>
            </w:tcBorders>
            <w:noWrap w:val="0"/>
            <w:vAlign w:val="center"/>
          </w:tcPr>
          <w:p w14:paraId="47EDECB7">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860" w:type="dxa"/>
            <w:tcBorders>
              <w:tl2br w:val="nil"/>
              <w:tr2bl w:val="nil"/>
            </w:tcBorders>
            <w:noWrap w:val="0"/>
            <w:vAlign w:val="center"/>
          </w:tcPr>
          <w:p w14:paraId="761FD899">
            <w:pPr>
              <w:pStyle w:val="10"/>
              <w:bidi w:val="0"/>
              <w:ind w:right="0" w:rightChars="0" w:firstLine="0" w:firstLineChars="0"/>
              <w:rPr>
                <w:rFonts w:hint="eastAsia" w:ascii="Times New Roman" w:hAnsi="Times New Roman" w:eastAsia="宋体"/>
                <w:color w:val="auto"/>
                <w:kern w:val="0"/>
                <w:sz w:val="24"/>
                <w:szCs w:val="24"/>
                <w:highlight w:val="yellow"/>
                <w:lang w:val="en-US" w:eastAsia="zh-CN" w:bidi="ar-SA"/>
              </w:rPr>
            </w:pPr>
            <w:r>
              <w:rPr>
                <w:rFonts w:hint="eastAsia" w:ascii="Times New Roman" w:hAnsi="Times New Roman" w:cs="Times New Roman"/>
                <w:color w:val="auto"/>
                <w:kern w:val="0"/>
                <w:sz w:val="24"/>
                <w:szCs w:val="24"/>
                <w:highlight w:val="none"/>
                <w:lang w:val="en-US" w:eastAsia="zh-CN" w:bidi="ar-SA"/>
              </w:rPr>
              <w:t>0.</w:t>
            </w:r>
            <w:r>
              <w:rPr>
                <w:rFonts w:hint="eastAsia" w:cs="Times New Roman"/>
                <w:color w:val="auto"/>
                <w:kern w:val="0"/>
                <w:sz w:val="24"/>
                <w:szCs w:val="24"/>
                <w:highlight w:val="none"/>
                <w:lang w:val="en-US" w:eastAsia="zh-CN" w:bidi="ar-SA"/>
              </w:rPr>
              <w:t>165</w:t>
            </w:r>
            <w:r>
              <w:rPr>
                <w:rFonts w:hint="eastAsia"/>
                <w:color w:val="auto"/>
                <w:sz w:val="24"/>
                <w:szCs w:val="24"/>
                <w:highlight w:val="none"/>
                <w:lang w:val="en-US" w:eastAsia="zh-CN"/>
              </w:rPr>
              <w:t>t/a</w:t>
            </w:r>
          </w:p>
        </w:tc>
        <w:tc>
          <w:tcPr>
            <w:tcW w:w="1393" w:type="dxa"/>
            <w:tcBorders>
              <w:tl2br w:val="nil"/>
              <w:tr2bl w:val="nil"/>
            </w:tcBorders>
            <w:noWrap w:val="0"/>
            <w:vAlign w:val="center"/>
          </w:tcPr>
          <w:p w14:paraId="42A4F680">
            <w:pPr>
              <w:pStyle w:val="10"/>
              <w:bidi w:val="0"/>
              <w:ind w:right="0" w:rightChars="0" w:firstLine="0" w:firstLineChars="0"/>
              <w:rPr>
                <w:rFonts w:hint="eastAsia" w:ascii="Times New Roman" w:hAnsi="Times New Roman" w:eastAsia="宋体"/>
                <w:color w:val="auto"/>
                <w:kern w:val="0"/>
                <w:sz w:val="24"/>
                <w:szCs w:val="24"/>
                <w:highlight w:val="yellow"/>
                <w:lang w:val="en-US" w:eastAsia="zh-CN" w:bidi="ar-SA"/>
              </w:rPr>
            </w:pPr>
            <w:r>
              <w:rPr>
                <w:rFonts w:hint="eastAsia" w:ascii="Times New Roman" w:hAnsi="Times New Roman" w:cs="Times New Roman"/>
                <w:color w:val="auto"/>
                <w:kern w:val="0"/>
                <w:sz w:val="24"/>
                <w:szCs w:val="24"/>
                <w:highlight w:val="none"/>
                <w:lang w:val="en-US" w:eastAsia="zh-CN" w:bidi="ar-SA"/>
              </w:rPr>
              <w:t>+0.</w:t>
            </w:r>
            <w:r>
              <w:rPr>
                <w:rFonts w:hint="eastAsia" w:cs="Times New Roman"/>
                <w:color w:val="auto"/>
                <w:kern w:val="0"/>
                <w:sz w:val="24"/>
                <w:szCs w:val="24"/>
                <w:highlight w:val="none"/>
                <w:lang w:val="en-US" w:eastAsia="zh-CN" w:bidi="ar-SA"/>
              </w:rPr>
              <w:t>165</w:t>
            </w:r>
            <w:r>
              <w:rPr>
                <w:rFonts w:hint="eastAsia"/>
                <w:color w:val="auto"/>
                <w:sz w:val="24"/>
                <w:szCs w:val="24"/>
                <w:highlight w:val="none"/>
                <w:lang w:val="en-US" w:eastAsia="zh-CN"/>
              </w:rPr>
              <w:t>t/a</w:t>
            </w:r>
          </w:p>
        </w:tc>
      </w:tr>
      <w:tr w14:paraId="598D7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CellMar>
            <w:top w:w="0" w:type="dxa"/>
            <w:left w:w="0" w:type="dxa"/>
            <w:bottom w:w="0" w:type="dxa"/>
            <w:right w:w="0" w:type="dxa"/>
          </w:tblCellMar>
        </w:tblPrEx>
        <w:trPr>
          <w:trHeight w:val="454" w:hRule="atLeast"/>
          <w:jc w:val="center"/>
        </w:trPr>
        <w:tc>
          <w:tcPr>
            <w:tcW w:w="1354" w:type="dxa"/>
            <w:vMerge w:val="continue"/>
            <w:tcBorders>
              <w:tl2br w:val="nil"/>
              <w:tr2bl w:val="nil"/>
            </w:tcBorders>
            <w:noWrap w:val="0"/>
            <w:vAlign w:val="center"/>
          </w:tcPr>
          <w:p w14:paraId="45B7808D">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rPr>
            </w:pPr>
          </w:p>
        </w:tc>
        <w:tc>
          <w:tcPr>
            <w:tcW w:w="1727" w:type="dxa"/>
            <w:tcBorders>
              <w:tl2br w:val="nil"/>
              <w:tr2bl w:val="nil"/>
            </w:tcBorders>
            <w:noWrap w:val="0"/>
            <w:vAlign w:val="center"/>
          </w:tcPr>
          <w:p w14:paraId="16535D79">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rPr>
            </w:pPr>
            <w:r>
              <w:rPr>
                <w:rFonts w:hint="default"/>
                <w:color w:val="auto"/>
                <w:sz w:val="24"/>
                <w:szCs w:val="24"/>
                <w:highlight w:val="none"/>
              </w:rPr>
              <w:t>NH</w:t>
            </w:r>
            <w:r>
              <w:rPr>
                <w:rFonts w:hint="default"/>
                <w:color w:val="auto"/>
                <w:sz w:val="24"/>
                <w:szCs w:val="24"/>
                <w:highlight w:val="none"/>
                <w:vertAlign w:val="subscript"/>
              </w:rPr>
              <w:t>3</w:t>
            </w:r>
            <w:r>
              <w:rPr>
                <w:rFonts w:hint="default"/>
                <w:color w:val="auto"/>
                <w:sz w:val="24"/>
                <w:szCs w:val="24"/>
                <w:highlight w:val="none"/>
              </w:rPr>
              <w:t>-N</w:t>
            </w:r>
          </w:p>
        </w:tc>
        <w:tc>
          <w:tcPr>
            <w:tcW w:w="1600" w:type="dxa"/>
            <w:tcBorders>
              <w:tl2br w:val="nil"/>
              <w:tr2bl w:val="nil"/>
            </w:tcBorders>
            <w:noWrap w:val="0"/>
            <w:vAlign w:val="center"/>
          </w:tcPr>
          <w:p w14:paraId="55790956">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148" w:type="dxa"/>
            <w:tcBorders>
              <w:tl2br w:val="nil"/>
              <w:tr2bl w:val="nil"/>
            </w:tcBorders>
            <w:noWrap w:val="0"/>
            <w:vAlign w:val="center"/>
          </w:tcPr>
          <w:p w14:paraId="229E1232">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650" w:type="dxa"/>
            <w:tcBorders>
              <w:tl2br w:val="nil"/>
              <w:tr2bl w:val="nil"/>
            </w:tcBorders>
            <w:noWrap w:val="0"/>
            <w:vAlign w:val="center"/>
          </w:tcPr>
          <w:p w14:paraId="5E1A0561">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665" w:type="dxa"/>
            <w:tcBorders>
              <w:tl2br w:val="nil"/>
              <w:tr2bl w:val="nil"/>
            </w:tcBorders>
            <w:noWrap w:val="0"/>
            <w:vAlign w:val="center"/>
          </w:tcPr>
          <w:p w14:paraId="71CF5AE6">
            <w:pPr>
              <w:pStyle w:val="10"/>
              <w:bidi w:val="0"/>
              <w:ind w:right="0" w:rightChars="0" w:firstLine="0" w:firstLineChars="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kern w:val="0"/>
                <w:sz w:val="24"/>
                <w:szCs w:val="24"/>
                <w:highlight w:val="none"/>
                <w:lang w:val="en-US" w:eastAsia="zh-CN" w:bidi="ar-SA"/>
              </w:rPr>
              <w:t>0.0</w:t>
            </w:r>
            <w:r>
              <w:rPr>
                <w:rFonts w:hint="eastAsia" w:cs="Times New Roman"/>
                <w:color w:val="auto"/>
                <w:kern w:val="0"/>
                <w:sz w:val="24"/>
                <w:szCs w:val="24"/>
                <w:highlight w:val="none"/>
                <w:lang w:val="en-US" w:eastAsia="zh-CN" w:bidi="ar-SA"/>
              </w:rPr>
              <w:t>21</w:t>
            </w:r>
            <w:r>
              <w:rPr>
                <w:rFonts w:hint="eastAsia"/>
                <w:color w:val="auto"/>
                <w:sz w:val="24"/>
                <w:szCs w:val="24"/>
                <w:highlight w:val="none"/>
                <w:lang w:val="en-US" w:eastAsia="zh-CN"/>
              </w:rPr>
              <w:t>t/a</w:t>
            </w:r>
          </w:p>
        </w:tc>
        <w:tc>
          <w:tcPr>
            <w:tcW w:w="1395" w:type="dxa"/>
            <w:tcBorders>
              <w:tl2br w:val="nil"/>
              <w:tr2bl w:val="nil"/>
            </w:tcBorders>
            <w:noWrap w:val="0"/>
            <w:vAlign w:val="center"/>
          </w:tcPr>
          <w:p w14:paraId="00898283">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860" w:type="dxa"/>
            <w:tcBorders>
              <w:tl2br w:val="nil"/>
              <w:tr2bl w:val="nil"/>
            </w:tcBorders>
            <w:noWrap w:val="0"/>
            <w:vAlign w:val="center"/>
          </w:tcPr>
          <w:p w14:paraId="01773CC9">
            <w:pPr>
              <w:pStyle w:val="10"/>
              <w:bidi w:val="0"/>
              <w:ind w:right="0" w:rightChars="0" w:firstLine="0" w:firstLineChars="0"/>
              <w:rPr>
                <w:rFonts w:hint="eastAsia" w:ascii="Times New Roman" w:hAnsi="Times New Roman" w:eastAsia="宋体"/>
                <w:color w:val="auto"/>
                <w:kern w:val="0"/>
                <w:sz w:val="24"/>
                <w:szCs w:val="24"/>
                <w:highlight w:val="yellow"/>
                <w:lang w:val="en-US" w:eastAsia="zh-CN" w:bidi="ar-SA"/>
              </w:rPr>
            </w:pPr>
            <w:r>
              <w:rPr>
                <w:rFonts w:hint="eastAsia" w:ascii="Times New Roman" w:hAnsi="Times New Roman" w:cs="Times New Roman"/>
                <w:color w:val="auto"/>
                <w:kern w:val="0"/>
                <w:sz w:val="24"/>
                <w:szCs w:val="24"/>
                <w:highlight w:val="none"/>
                <w:lang w:val="en-US" w:eastAsia="zh-CN" w:bidi="ar-SA"/>
              </w:rPr>
              <w:t>0.0</w:t>
            </w:r>
            <w:r>
              <w:rPr>
                <w:rFonts w:hint="eastAsia" w:cs="Times New Roman"/>
                <w:color w:val="auto"/>
                <w:kern w:val="0"/>
                <w:sz w:val="24"/>
                <w:szCs w:val="24"/>
                <w:highlight w:val="none"/>
                <w:lang w:val="en-US" w:eastAsia="zh-CN" w:bidi="ar-SA"/>
              </w:rPr>
              <w:t>21</w:t>
            </w:r>
            <w:r>
              <w:rPr>
                <w:rFonts w:hint="eastAsia"/>
                <w:color w:val="auto"/>
                <w:sz w:val="24"/>
                <w:szCs w:val="24"/>
                <w:highlight w:val="none"/>
                <w:lang w:val="en-US" w:eastAsia="zh-CN"/>
              </w:rPr>
              <w:t>t/a</w:t>
            </w:r>
          </w:p>
        </w:tc>
        <w:tc>
          <w:tcPr>
            <w:tcW w:w="1393" w:type="dxa"/>
            <w:tcBorders>
              <w:tl2br w:val="nil"/>
              <w:tr2bl w:val="nil"/>
            </w:tcBorders>
            <w:noWrap w:val="0"/>
            <w:vAlign w:val="center"/>
          </w:tcPr>
          <w:p w14:paraId="0800F59C">
            <w:pPr>
              <w:pStyle w:val="10"/>
              <w:bidi w:val="0"/>
              <w:ind w:right="0" w:rightChars="0" w:firstLine="0" w:firstLineChars="0"/>
              <w:rPr>
                <w:rFonts w:hint="eastAsia" w:ascii="Times New Roman" w:hAnsi="Times New Roman" w:eastAsia="宋体"/>
                <w:color w:val="auto"/>
                <w:kern w:val="0"/>
                <w:sz w:val="24"/>
                <w:szCs w:val="24"/>
                <w:highlight w:val="yellow"/>
                <w:lang w:val="en-US" w:eastAsia="zh-CN" w:bidi="ar-SA"/>
              </w:rPr>
            </w:pPr>
            <w:r>
              <w:rPr>
                <w:rFonts w:hint="eastAsia" w:ascii="Times New Roman" w:hAnsi="Times New Roman" w:cs="Times New Roman"/>
                <w:color w:val="auto"/>
                <w:kern w:val="0"/>
                <w:sz w:val="24"/>
                <w:szCs w:val="24"/>
                <w:highlight w:val="none"/>
                <w:lang w:val="en-US" w:eastAsia="zh-CN" w:bidi="ar-SA"/>
              </w:rPr>
              <w:t>+0.0</w:t>
            </w:r>
            <w:r>
              <w:rPr>
                <w:rFonts w:hint="eastAsia" w:cs="Times New Roman"/>
                <w:color w:val="auto"/>
                <w:kern w:val="0"/>
                <w:sz w:val="24"/>
                <w:szCs w:val="24"/>
                <w:highlight w:val="none"/>
                <w:lang w:val="en-US" w:eastAsia="zh-CN" w:bidi="ar-SA"/>
              </w:rPr>
              <w:t>21</w:t>
            </w:r>
            <w:r>
              <w:rPr>
                <w:rFonts w:hint="eastAsia"/>
                <w:color w:val="auto"/>
                <w:sz w:val="24"/>
                <w:szCs w:val="24"/>
                <w:highlight w:val="none"/>
                <w:lang w:val="en-US" w:eastAsia="zh-CN"/>
              </w:rPr>
              <w:t>t/a</w:t>
            </w:r>
          </w:p>
        </w:tc>
      </w:tr>
      <w:tr w14:paraId="2F766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CellMar>
            <w:top w:w="0" w:type="dxa"/>
            <w:left w:w="0" w:type="dxa"/>
            <w:bottom w:w="0" w:type="dxa"/>
            <w:right w:w="0" w:type="dxa"/>
          </w:tblCellMar>
        </w:tblPrEx>
        <w:trPr>
          <w:trHeight w:val="454" w:hRule="atLeast"/>
          <w:jc w:val="center"/>
        </w:trPr>
        <w:tc>
          <w:tcPr>
            <w:tcW w:w="1354" w:type="dxa"/>
            <w:vMerge w:val="continue"/>
            <w:tcBorders>
              <w:tl2br w:val="nil"/>
              <w:tr2bl w:val="nil"/>
            </w:tcBorders>
            <w:noWrap w:val="0"/>
            <w:vAlign w:val="center"/>
          </w:tcPr>
          <w:p w14:paraId="0B38F27D">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rPr>
            </w:pPr>
          </w:p>
        </w:tc>
        <w:tc>
          <w:tcPr>
            <w:tcW w:w="1727" w:type="dxa"/>
            <w:tcBorders>
              <w:tl2br w:val="nil"/>
              <w:tr2bl w:val="nil"/>
            </w:tcBorders>
            <w:noWrap w:val="0"/>
            <w:vAlign w:val="center"/>
          </w:tcPr>
          <w:p w14:paraId="7F334266">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eastAsia="宋体"/>
                <w:color w:val="auto"/>
                <w:sz w:val="24"/>
                <w:szCs w:val="24"/>
                <w:highlight w:val="none"/>
                <w:lang w:val="en-US" w:eastAsia="zh-CN"/>
              </w:rPr>
            </w:pPr>
            <w:r>
              <w:rPr>
                <w:rFonts w:hint="eastAsia"/>
                <w:color w:val="auto"/>
                <w:sz w:val="24"/>
                <w:szCs w:val="24"/>
                <w:highlight w:val="none"/>
                <w:lang w:val="en-US" w:eastAsia="zh-CN"/>
              </w:rPr>
              <w:t>TP</w:t>
            </w:r>
          </w:p>
        </w:tc>
        <w:tc>
          <w:tcPr>
            <w:tcW w:w="1600" w:type="dxa"/>
            <w:tcBorders>
              <w:tl2br w:val="nil"/>
              <w:tr2bl w:val="nil"/>
            </w:tcBorders>
            <w:noWrap w:val="0"/>
            <w:vAlign w:val="center"/>
          </w:tcPr>
          <w:p w14:paraId="11A792FE">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148" w:type="dxa"/>
            <w:tcBorders>
              <w:tl2br w:val="nil"/>
              <w:tr2bl w:val="nil"/>
            </w:tcBorders>
            <w:noWrap w:val="0"/>
            <w:vAlign w:val="center"/>
          </w:tcPr>
          <w:p w14:paraId="4D743081">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50" w:type="dxa"/>
            <w:tcBorders>
              <w:tl2br w:val="nil"/>
              <w:tr2bl w:val="nil"/>
            </w:tcBorders>
            <w:noWrap w:val="0"/>
            <w:vAlign w:val="center"/>
          </w:tcPr>
          <w:p w14:paraId="7123DA06">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65" w:type="dxa"/>
            <w:tcBorders>
              <w:tl2br w:val="nil"/>
              <w:tr2bl w:val="nil"/>
            </w:tcBorders>
            <w:noWrap w:val="0"/>
            <w:vAlign w:val="center"/>
          </w:tcPr>
          <w:p w14:paraId="31114F07">
            <w:pPr>
              <w:pStyle w:val="10"/>
              <w:bidi w:val="0"/>
              <w:ind w:right="0" w:rightChars="0" w:firstLine="0" w:firstLineChars="0"/>
              <w:rPr>
                <w:rFonts w:hint="eastAsia" w:ascii="Times New Roman" w:hAnsi="Times New Roman" w:cs="Times New Roman"/>
                <w:color w:val="auto"/>
                <w:kern w:val="0"/>
                <w:sz w:val="24"/>
                <w:szCs w:val="24"/>
                <w:highlight w:val="none"/>
                <w:lang w:val="en-US" w:eastAsia="zh-CN" w:bidi="ar-SA"/>
              </w:rPr>
            </w:pPr>
            <w:r>
              <w:rPr>
                <w:rFonts w:hint="eastAsia"/>
                <w:color w:val="auto"/>
                <w:sz w:val="24"/>
                <w:szCs w:val="24"/>
                <w:highlight w:val="none"/>
                <w:lang w:val="en-US" w:eastAsia="zh-CN"/>
              </w:rPr>
              <w:t>0.002t/a</w:t>
            </w:r>
          </w:p>
        </w:tc>
        <w:tc>
          <w:tcPr>
            <w:tcW w:w="1395" w:type="dxa"/>
            <w:tcBorders>
              <w:tl2br w:val="nil"/>
              <w:tr2bl w:val="nil"/>
            </w:tcBorders>
            <w:noWrap w:val="0"/>
            <w:vAlign w:val="center"/>
          </w:tcPr>
          <w:p w14:paraId="77B5FEFC">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860" w:type="dxa"/>
            <w:tcBorders>
              <w:tl2br w:val="nil"/>
              <w:tr2bl w:val="nil"/>
            </w:tcBorders>
            <w:noWrap w:val="0"/>
            <w:vAlign w:val="center"/>
          </w:tcPr>
          <w:p w14:paraId="23C85A24">
            <w:pPr>
              <w:pStyle w:val="10"/>
              <w:bidi w:val="0"/>
              <w:ind w:right="0" w:rightChars="0" w:firstLine="0" w:firstLineChars="0"/>
              <w:rPr>
                <w:rFonts w:hint="eastAsia" w:ascii="Times New Roman" w:hAnsi="Times New Roman" w:cs="Times New Roman"/>
                <w:color w:val="auto"/>
                <w:kern w:val="0"/>
                <w:sz w:val="24"/>
                <w:szCs w:val="24"/>
                <w:highlight w:val="none"/>
                <w:lang w:val="en-US" w:eastAsia="zh-CN" w:bidi="ar-SA"/>
              </w:rPr>
            </w:pPr>
            <w:r>
              <w:rPr>
                <w:rFonts w:hint="eastAsia"/>
                <w:color w:val="auto"/>
                <w:sz w:val="24"/>
                <w:szCs w:val="24"/>
                <w:highlight w:val="none"/>
                <w:lang w:val="en-US" w:eastAsia="zh-CN"/>
              </w:rPr>
              <w:t>0.002t/a</w:t>
            </w:r>
          </w:p>
        </w:tc>
        <w:tc>
          <w:tcPr>
            <w:tcW w:w="1393" w:type="dxa"/>
            <w:tcBorders>
              <w:tl2br w:val="nil"/>
              <w:tr2bl w:val="nil"/>
            </w:tcBorders>
            <w:noWrap w:val="0"/>
            <w:vAlign w:val="center"/>
          </w:tcPr>
          <w:p w14:paraId="7ED755D0">
            <w:pPr>
              <w:pStyle w:val="10"/>
              <w:bidi w:val="0"/>
              <w:ind w:right="0" w:rightChars="0" w:firstLine="0" w:firstLineChars="0"/>
              <w:rPr>
                <w:rFonts w:hint="eastAsia" w:ascii="Times New Roman" w:hAnsi="Times New Roman" w:cs="Times New Roman"/>
                <w:color w:val="auto"/>
                <w:kern w:val="0"/>
                <w:sz w:val="24"/>
                <w:szCs w:val="24"/>
                <w:highlight w:val="none"/>
                <w:lang w:val="en-US" w:eastAsia="zh-CN" w:bidi="ar-SA"/>
              </w:rPr>
            </w:pPr>
            <w:r>
              <w:rPr>
                <w:rFonts w:hint="eastAsia"/>
                <w:color w:val="auto"/>
                <w:sz w:val="24"/>
                <w:szCs w:val="24"/>
                <w:highlight w:val="none"/>
                <w:lang w:val="en-US" w:eastAsia="zh-CN"/>
              </w:rPr>
              <w:t>+0.002t/a</w:t>
            </w:r>
          </w:p>
        </w:tc>
      </w:tr>
      <w:tr w14:paraId="5F33E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CellMar>
            <w:top w:w="0" w:type="dxa"/>
            <w:left w:w="0" w:type="dxa"/>
            <w:bottom w:w="0" w:type="dxa"/>
            <w:right w:w="0" w:type="dxa"/>
          </w:tblCellMar>
        </w:tblPrEx>
        <w:trPr>
          <w:trHeight w:val="459" w:hRule="atLeast"/>
          <w:jc w:val="center"/>
        </w:trPr>
        <w:tc>
          <w:tcPr>
            <w:tcW w:w="1354" w:type="dxa"/>
            <w:vMerge w:val="continue"/>
            <w:tcBorders>
              <w:tl2br w:val="nil"/>
              <w:tr2bl w:val="nil"/>
            </w:tcBorders>
            <w:noWrap w:val="0"/>
            <w:vAlign w:val="center"/>
          </w:tcPr>
          <w:p w14:paraId="04590BCC">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rPr>
            </w:pPr>
          </w:p>
        </w:tc>
        <w:tc>
          <w:tcPr>
            <w:tcW w:w="1727" w:type="dxa"/>
            <w:tcBorders>
              <w:tl2br w:val="nil"/>
              <w:tr2bl w:val="nil"/>
            </w:tcBorders>
            <w:noWrap w:val="0"/>
            <w:vAlign w:val="center"/>
          </w:tcPr>
          <w:p w14:paraId="29C360AC">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eastAsia" w:eastAsia="宋体"/>
                <w:color w:val="auto"/>
                <w:sz w:val="24"/>
                <w:szCs w:val="24"/>
                <w:highlight w:val="none"/>
                <w:lang w:val="en-US" w:eastAsia="zh-CN"/>
              </w:rPr>
            </w:pPr>
            <w:r>
              <w:rPr>
                <w:rFonts w:hint="eastAsia"/>
                <w:color w:val="auto"/>
                <w:sz w:val="24"/>
                <w:szCs w:val="24"/>
                <w:highlight w:val="none"/>
                <w:lang w:val="en-US" w:eastAsia="zh-CN"/>
              </w:rPr>
              <w:t>动植物油</w:t>
            </w:r>
          </w:p>
        </w:tc>
        <w:tc>
          <w:tcPr>
            <w:tcW w:w="1600" w:type="dxa"/>
            <w:tcBorders>
              <w:tl2br w:val="nil"/>
              <w:tr2bl w:val="nil"/>
            </w:tcBorders>
            <w:noWrap w:val="0"/>
            <w:vAlign w:val="center"/>
          </w:tcPr>
          <w:p w14:paraId="4030694D">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148" w:type="dxa"/>
            <w:tcBorders>
              <w:tl2br w:val="nil"/>
              <w:tr2bl w:val="nil"/>
            </w:tcBorders>
            <w:noWrap w:val="0"/>
            <w:vAlign w:val="center"/>
          </w:tcPr>
          <w:p w14:paraId="0BA1E6EE">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50" w:type="dxa"/>
            <w:tcBorders>
              <w:tl2br w:val="nil"/>
              <w:tr2bl w:val="nil"/>
            </w:tcBorders>
            <w:noWrap w:val="0"/>
            <w:vAlign w:val="center"/>
          </w:tcPr>
          <w:p w14:paraId="4785B346">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65" w:type="dxa"/>
            <w:tcBorders>
              <w:tl2br w:val="nil"/>
              <w:tr2bl w:val="nil"/>
            </w:tcBorders>
            <w:noWrap w:val="0"/>
            <w:vAlign w:val="center"/>
          </w:tcPr>
          <w:p w14:paraId="5576A910">
            <w:pPr>
              <w:pStyle w:val="10"/>
              <w:bidi w:val="0"/>
              <w:ind w:right="0" w:rightChars="0" w:firstLine="0" w:firstLineChars="0"/>
              <w:rPr>
                <w:rFonts w:hint="default" w:ascii="Times New Roman" w:hAnsi="Times New Roman" w:eastAsia="宋体" w:cs="Times New Roman"/>
                <w:color w:val="auto"/>
                <w:sz w:val="24"/>
                <w:szCs w:val="24"/>
                <w:highlight w:val="none"/>
                <w:lang w:val="en-US" w:eastAsia="zh-CN"/>
              </w:rPr>
            </w:pPr>
            <w:r>
              <w:rPr>
                <w:rFonts w:hint="eastAsia"/>
                <w:color w:val="auto"/>
                <w:sz w:val="24"/>
                <w:szCs w:val="24"/>
                <w:highlight w:val="none"/>
                <w:lang w:val="en-US" w:eastAsia="zh-CN"/>
              </w:rPr>
              <w:t>0.002t/a</w:t>
            </w:r>
          </w:p>
        </w:tc>
        <w:tc>
          <w:tcPr>
            <w:tcW w:w="1395" w:type="dxa"/>
            <w:tcBorders>
              <w:tl2br w:val="nil"/>
              <w:tr2bl w:val="nil"/>
            </w:tcBorders>
            <w:noWrap w:val="0"/>
            <w:vAlign w:val="center"/>
          </w:tcPr>
          <w:p w14:paraId="1D4691B3">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860" w:type="dxa"/>
            <w:tcBorders>
              <w:tl2br w:val="nil"/>
              <w:tr2bl w:val="nil"/>
            </w:tcBorders>
            <w:noWrap w:val="0"/>
            <w:vAlign w:val="center"/>
          </w:tcPr>
          <w:p w14:paraId="6CAD459C">
            <w:pPr>
              <w:pStyle w:val="10"/>
              <w:bidi w:val="0"/>
              <w:ind w:right="0" w:rightChars="0" w:firstLine="0" w:firstLineChars="0"/>
              <w:rPr>
                <w:rFonts w:hint="default"/>
                <w:color w:val="auto"/>
                <w:sz w:val="24"/>
                <w:szCs w:val="24"/>
                <w:highlight w:val="yellow"/>
                <w:lang w:val="en-US" w:eastAsia="zh-CN"/>
              </w:rPr>
            </w:pPr>
            <w:r>
              <w:rPr>
                <w:rFonts w:hint="eastAsia"/>
                <w:color w:val="auto"/>
                <w:sz w:val="24"/>
                <w:szCs w:val="24"/>
                <w:highlight w:val="none"/>
                <w:lang w:val="en-US" w:eastAsia="zh-CN"/>
              </w:rPr>
              <w:t>0.002t/a</w:t>
            </w:r>
          </w:p>
        </w:tc>
        <w:tc>
          <w:tcPr>
            <w:tcW w:w="1393" w:type="dxa"/>
            <w:tcBorders>
              <w:tl2br w:val="nil"/>
              <w:tr2bl w:val="nil"/>
            </w:tcBorders>
            <w:noWrap w:val="0"/>
            <w:vAlign w:val="center"/>
          </w:tcPr>
          <w:p w14:paraId="73E8A8E8">
            <w:pPr>
              <w:pStyle w:val="10"/>
              <w:bidi w:val="0"/>
              <w:ind w:right="0" w:rightChars="0" w:firstLine="0" w:firstLineChars="0"/>
              <w:rPr>
                <w:rFonts w:hint="eastAsia"/>
                <w:color w:val="auto"/>
                <w:sz w:val="24"/>
                <w:szCs w:val="24"/>
                <w:highlight w:val="yellow"/>
                <w:lang w:val="en-US" w:eastAsia="zh-CN"/>
              </w:rPr>
            </w:pPr>
            <w:r>
              <w:rPr>
                <w:rFonts w:hint="eastAsia"/>
                <w:color w:val="auto"/>
                <w:sz w:val="24"/>
                <w:szCs w:val="24"/>
                <w:highlight w:val="none"/>
                <w:lang w:val="en-US" w:eastAsia="zh-CN"/>
              </w:rPr>
              <w:t>+0.002t/a</w:t>
            </w:r>
          </w:p>
        </w:tc>
      </w:tr>
      <w:tr w14:paraId="3AF94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CellMar>
            <w:top w:w="0" w:type="dxa"/>
            <w:left w:w="0" w:type="dxa"/>
            <w:bottom w:w="0" w:type="dxa"/>
            <w:right w:w="0" w:type="dxa"/>
          </w:tblCellMar>
        </w:tblPrEx>
        <w:trPr>
          <w:trHeight w:val="454" w:hRule="atLeast"/>
          <w:jc w:val="center"/>
        </w:trPr>
        <w:tc>
          <w:tcPr>
            <w:tcW w:w="1354" w:type="dxa"/>
            <w:vMerge w:val="restart"/>
            <w:tcBorders>
              <w:tl2br w:val="nil"/>
              <w:tr2bl w:val="nil"/>
            </w:tcBorders>
            <w:noWrap w:val="0"/>
            <w:vAlign w:val="center"/>
          </w:tcPr>
          <w:p w14:paraId="642E26A3">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rPr>
            </w:pPr>
            <w:r>
              <w:rPr>
                <w:rFonts w:hint="default"/>
                <w:color w:val="auto"/>
                <w:sz w:val="24"/>
                <w:szCs w:val="24"/>
                <w:highlight w:val="none"/>
              </w:rPr>
              <w:t>一般工业</w:t>
            </w:r>
          </w:p>
          <w:p w14:paraId="6B3A5995">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rPr>
            </w:pPr>
            <w:r>
              <w:rPr>
                <w:rFonts w:hint="default"/>
                <w:color w:val="auto"/>
                <w:sz w:val="24"/>
                <w:szCs w:val="24"/>
                <w:highlight w:val="none"/>
              </w:rPr>
              <w:t>固体废物</w:t>
            </w:r>
          </w:p>
        </w:tc>
        <w:tc>
          <w:tcPr>
            <w:tcW w:w="1727" w:type="dxa"/>
            <w:tcBorders>
              <w:tl2br w:val="nil"/>
              <w:tr2bl w:val="nil"/>
            </w:tcBorders>
            <w:noWrap w:val="0"/>
            <w:vAlign w:val="center"/>
          </w:tcPr>
          <w:p w14:paraId="259CADE0">
            <w:pPr>
              <w:pStyle w:val="10"/>
              <w:bidi w:val="0"/>
              <w:ind w:right="0" w:rightChars="0" w:firstLine="0" w:firstLineChars="0"/>
              <w:rPr>
                <w:rFonts w:hint="default" w:ascii="Times New Roman" w:hAnsi="Times New Roman" w:eastAsia="宋体"/>
                <w:color w:val="auto"/>
                <w:kern w:val="0"/>
                <w:sz w:val="24"/>
                <w:szCs w:val="24"/>
                <w:highlight w:val="none"/>
                <w:lang w:val="en-US" w:eastAsia="zh-CN" w:bidi="ar-SA"/>
              </w:rPr>
            </w:pPr>
            <w:r>
              <w:rPr>
                <w:rFonts w:hint="eastAsia"/>
                <w:color w:val="auto"/>
                <w:sz w:val="24"/>
                <w:szCs w:val="24"/>
                <w:highlight w:val="none"/>
                <w:lang w:val="en-US" w:eastAsia="zh-CN"/>
              </w:rPr>
              <w:t>生活垃圾</w:t>
            </w:r>
          </w:p>
        </w:tc>
        <w:tc>
          <w:tcPr>
            <w:tcW w:w="1600" w:type="dxa"/>
            <w:tcBorders>
              <w:tl2br w:val="nil"/>
              <w:tr2bl w:val="nil"/>
            </w:tcBorders>
            <w:noWrap w:val="0"/>
            <w:vAlign w:val="center"/>
          </w:tcPr>
          <w:p w14:paraId="1BED7EDB">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148" w:type="dxa"/>
            <w:tcBorders>
              <w:tl2br w:val="nil"/>
              <w:tr2bl w:val="nil"/>
            </w:tcBorders>
            <w:noWrap w:val="0"/>
            <w:vAlign w:val="center"/>
          </w:tcPr>
          <w:p w14:paraId="41E01289">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650" w:type="dxa"/>
            <w:tcBorders>
              <w:tl2br w:val="nil"/>
              <w:tr2bl w:val="nil"/>
            </w:tcBorders>
            <w:noWrap w:val="0"/>
            <w:vAlign w:val="center"/>
          </w:tcPr>
          <w:p w14:paraId="3F43DB4F">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665" w:type="dxa"/>
            <w:tcBorders>
              <w:tl2br w:val="nil"/>
              <w:tr2bl w:val="nil"/>
            </w:tcBorders>
            <w:noWrap w:val="0"/>
            <w:vAlign w:val="center"/>
          </w:tcPr>
          <w:p w14:paraId="2B3DDC8F">
            <w:pPr>
              <w:pStyle w:val="10"/>
              <w:bidi w:val="0"/>
              <w:ind w:right="0" w:rightChars="0" w:firstLine="0" w:firstLineChars="0"/>
              <w:rPr>
                <w:rFonts w:hint="default" w:ascii="Times New Roman" w:hAnsi="Times New Roman" w:eastAsia="宋体"/>
                <w:color w:val="auto"/>
                <w:kern w:val="0"/>
                <w:sz w:val="24"/>
                <w:szCs w:val="24"/>
                <w:highlight w:val="none"/>
                <w:lang w:val="en-US" w:eastAsia="zh-CN" w:bidi="ar-SA"/>
              </w:rPr>
            </w:pPr>
            <w:r>
              <w:rPr>
                <w:rFonts w:hint="eastAsia"/>
                <w:color w:val="auto"/>
                <w:sz w:val="24"/>
                <w:szCs w:val="24"/>
                <w:highlight w:val="none"/>
                <w:lang w:val="en-US" w:eastAsia="zh-CN"/>
              </w:rPr>
              <w:t>3.9t/a</w:t>
            </w:r>
          </w:p>
        </w:tc>
        <w:tc>
          <w:tcPr>
            <w:tcW w:w="1395" w:type="dxa"/>
            <w:tcBorders>
              <w:tl2br w:val="nil"/>
              <w:tr2bl w:val="nil"/>
            </w:tcBorders>
            <w:noWrap w:val="0"/>
            <w:vAlign w:val="center"/>
          </w:tcPr>
          <w:p w14:paraId="10520C55">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lang w:val="en-US" w:eastAsia="zh-CN"/>
              </w:rPr>
            </w:pPr>
            <w:r>
              <w:rPr>
                <w:rFonts w:hint="eastAsia"/>
                <w:color w:val="auto"/>
                <w:kern w:val="0"/>
                <w:sz w:val="24"/>
                <w:szCs w:val="24"/>
                <w:highlight w:val="none"/>
                <w:lang w:val="en-US" w:eastAsia="zh-CN" w:bidi="ar-SA"/>
              </w:rPr>
              <w:t>/</w:t>
            </w:r>
          </w:p>
        </w:tc>
        <w:tc>
          <w:tcPr>
            <w:tcW w:w="1860" w:type="dxa"/>
            <w:tcBorders>
              <w:tl2br w:val="nil"/>
              <w:tr2bl w:val="nil"/>
            </w:tcBorders>
            <w:noWrap w:val="0"/>
            <w:vAlign w:val="center"/>
          </w:tcPr>
          <w:p w14:paraId="4E4C8A78">
            <w:pPr>
              <w:pStyle w:val="10"/>
              <w:bidi w:val="0"/>
              <w:ind w:right="0" w:rightChars="0" w:firstLine="0" w:firstLineChars="0"/>
              <w:rPr>
                <w:rFonts w:hint="default" w:ascii="Times New Roman" w:hAnsi="Times New Roman" w:eastAsia="宋体"/>
                <w:color w:val="auto"/>
                <w:kern w:val="0"/>
                <w:sz w:val="24"/>
                <w:szCs w:val="24"/>
                <w:highlight w:val="none"/>
                <w:lang w:val="en-US" w:eastAsia="zh-CN" w:bidi="ar-SA"/>
              </w:rPr>
            </w:pPr>
            <w:r>
              <w:rPr>
                <w:rFonts w:hint="eastAsia"/>
                <w:color w:val="auto"/>
                <w:sz w:val="24"/>
                <w:szCs w:val="24"/>
                <w:highlight w:val="none"/>
                <w:lang w:val="en-US" w:eastAsia="zh-CN"/>
              </w:rPr>
              <w:t>3.9t/a</w:t>
            </w:r>
          </w:p>
        </w:tc>
        <w:tc>
          <w:tcPr>
            <w:tcW w:w="1393" w:type="dxa"/>
            <w:tcBorders>
              <w:tl2br w:val="nil"/>
              <w:tr2bl w:val="nil"/>
            </w:tcBorders>
            <w:noWrap w:val="0"/>
            <w:vAlign w:val="center"/>
          </w:tcPr>
          <w:p w14:paraId="4CCF0AAB">
            <w:pPr>
              <w:pStyle w:val="10"/>
              <w:bidi w:val="0"/>
              <w:ind w:right="0" w:rightChars="0" w:firstLine="0" w:firstLineChars="0"/>
              <w:rPr>
                <w:rFonts w:hint="default" w:ascii="Times New Roman" w:hAnsi="Times New Roman" w:eastAsia="宋体"/>
                <w:color w:val="auto"/>
                <w:kern w:val="0"/>
                <w:sz w:val="24"/>
                <w:szCs w:val="24"/>
                <w:highlight w:val="none"/>
                <w:lang w:val="en-US" w:eastAsia="zh-CN" w:bidi="ar-SA"/>
              </w:rPr>
            </w:pPr>
            <w:r>
              <w:rPr>
                <w:rFonts w:hint="eastAsia"/>
                <w:color w:val="auto"/>
                <w:sz w:val="24"/>
                <w:szCs w:val="24"/>
                <w:highlight w:val="none"/>
                <w:lang w:val="en-US" w:eastAsia="zh-CN"/>
              </w:rPr>
              <w:t>+3.9t/a</w:t>
            </w:r>
          </w:p>
        </w:tc>
      </w:tr>
      <w:tr w14:paraId="2F9EC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CellMar>
            <w:top w:w="0" w:type="dxa"/>
            <w:left w:w="0" w:type="dxa"/>
            <w:bottom w:w="0" w:type="dxa"/>
            <w:right w:w="0" w:type="dxa"/>
          </w:tblCellMar>
        </w:tblPrEx>
        <w:trPr>
          <w:trHeight w:val="454" w:hRule="atLeast"/>
          <w:jc w:val="center"/>
        </w:trPr>
        <w:tc>
          <w:tcPr>
            <w:tcW w:w="1354" w:type="dxa"/>
            <w:vMerge w:val="continue"/>
            <w:tcBorders>
              <w:tl2br w:val="nil"/>
              <w:tr2bl w:val="nil"/>
            </w:tcBorders>
            <w:noWrap w:val="0"/>
            <w:vAlign w:val="center"/>
          </w:tcPr>
          <w:p w14:paraId="4C203398">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rPr>
            </w:pPr>
          </w:p>
        </w:tc>
        <w:tc>
          <w:tcPr>
            <w:tcW w:w="1727" w:type="dxa"/>
            <w:tcBorders>
              <w:tl2br w:val="nil"/>
              <w:tr2bl w:val="nil"/>
            </w:tcBorders>
            <w:noWrap w:val="0"/>
            <w:vAlign w:val="center"/>
          </w:tcPr>
          <w:p w14:paraId="02DB59D0">
            <w:pPr>
              <w:pStyle w:val="10"/>
              <w:bidi w:val="0"/>
              <w:ind w:right="0" w:rightChars="0" w:firstLine="0" w:firstLineChars="0"/>
              <w:rPr>
                <w:rFonts w:hint="default" w:ascii="Times New Roman" w:hAnsi="Times New Roman" w:eastAsia="宋体"/>
                <w:color w:val="auto"/>
                <w:kern w:val="0"/>
                <w:sz w:val="24"/>
                <w:szCs w:val="24"/>
                <w:highlight w:val="none"/>
                <w:lang w:val="en-US" w:eastAsia="zh-CN" w:bidi="ar-SA"/>
              </w:rPr>
            </w:pPr>
            <w:r>
              <w:rPr>
                <w:rFonts w:hint="eastAsia"/>
                <w:color w:val="auto"/>
                <w:sz w:val="24"/>
                <w:szCs w:val="24"/>
                <w:highlight w:val="none"/>
                <w:lang w:val="en-US" w:eastAsia="zh-CN"/>
              </w:rPr>
              <w:t>不合格机器人电缆</w:t>
            </w:r>
          </w:p>
        </w:tc>
        <w:tc>
          <w:tcPr>
            <w:tcW w:w="1600" w:type="dxa"/>
            <w:tcBorders>
              <w:tl2br w:val="nil"/>
              <w:tr2bl w:val="nil"/>
            </w:tcBorders>
            <w:noWrap w:val="0"/>
            <w:vAlign w:val="center"/>
          </w:tcPr>
          <w:p w14:paraId="70412B94">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148" w:type="dxa"/>
            <w:tcBorders>
              <w:tl2br w:val="nil"/>
              <w:tr2bl w:val="nil"/>
            </w:tcBorders>
            <w:noWrap w:val="0"/>
            <w:vAlign w:val="center"/>
          </w:tcPr>
          <w:p w14:paraId="39F6CE5E">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650" w:type="dxa"/>
            <w:tcBorders>
              <w:tl2br w:val="nil"/>
              <w:tr2bl w:val="nil"/>
            </w:tcBorders>
            <w:noWrap w:val="0"/>
            <w:vAlign w:val="center"/>
          </w:tcPr>
          <w:p w14:paraId="04E27DCA">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665" w:type="dxa"/>
            <w:tcBorders>
              <w:tl2br w:val="nil"/>
              <w:tr2bl w:val="nil"/>
            </w:tcBorders>
            <w:noWrap w:val="0"/>
            <w:vAlign w:val="center"/>
          </w:tcPr>
          <w:p w14:paraId="2777F011">
            <w:pPr>
              <w:pStyle w:val="10"/>
              <w:bidi w:val="0"/>
              <w:ind w:right="0" w:rightChars="0" w:firstLine="0" w:firstLineChars="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5t/a</w:t>
            </w:r>
          </w:p>
        </w:tc>
        <w:tc>
          <w:tcPr>
            <w:tcW w:w="1395" w:type="dxa"/>
            <w:tcBorders>
              <w:tl2br w:val="nil"/>
              <w:tr2bl w:val="nil"/>
            </w:tcBorders>
            <w:noWrap w:val="0"/>
            <w:vAlign w:val="center"/>
          </w:tcPr>
          <w:p w14:paraId="0B78D99F">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lang w:val="en-US" w:eastAsia="zh-CN"/>
              </w:rPr>
            </w:pPr>
            <w:r>
              <w:rPr>
                <w:rFonts w:hint="eastAsia"/>
                <w:color w:val="auto"/>
                <w:kern w:val="0"/>
                <w:sz w:val="24"/>
                <w:szCs w:val="24"/>
                <w:highlight w:val="none"/>
                <w:lang w:val="en-US" w:eastAsia="zh-CN" w:bidi="ar-SA"/>
              </w:rPr>
              <w:t>/</w:t>
            </w:r>
          </w:p>
        </w:tc>
        <w:tc>
          <w:tcPr>
            <w:tcW w:w="1860" w:type="dxa"/>
            <w:tcBorders>
              <w:tl2br w:val="nil"/>
              <w:tr2bl w:val="nil"/>
            </w:tcBorders>
            <w:noWrap w:val="0"/>
            <w:vAlign w:val="center"/>
          </w:tcPr>
          <w:p w14:paraId="04D543A1">
            <w:pPr>
              <w:pStyle w:val="10"/>
              <w:bidi w:val="0"/>
              <w:ind w:right="0" w:rightChars="0" w:firstLine="0" w:firstLineChars="0"/>
              <w:rPr>
                <w:rFonts w:hint="eastAsia" w:ascii="Times New Roman" w:hAnsi="Times New Roman" w:eastAsia="宋体"/>
                <w:color w:val="auto"/>
                <w:kern w:val="0"/>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5t/a</w:t>
            </w:r>
          </w:p>
        </w:tc>
        <w:tc>
          <w:tcPr>
            <w:tcW w:w="1393" w:type="dxa"/>
            <w:tcBorders>
              <w:tl2br w:val="nil"/>
              <w:tr2bl w:val="nil"/>
            </w:tcBorders>
            <w:noWrap w:val="0"/>
            <w:vAlign w:val="center"/>
          </w:tcPr>
          <w:p w14:paraId="336E9124">
            <w:pPr>
              <w:pStyle w:val="10"/>
              <w:bidi w:val="0"/>
              <w:ind w:right="0" w:rightChars="0" w:firstLine="0" w:firstLineChars="0"/>
              <w:rPr>
                <w:rFonts w:hint="eastAsia" w:ascii="Times New Roman" w:hAnsi="Times New Roman" w:eastAsia="宋体"/>
                <w:color w:val="auto"/>
                <w:kern w:val="0"/>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+5t/a</w:t>
            </w:r>
          </w:p>
        </w:tc>
      </w:tr>
      <w:tr w14:paraId="37A36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CellMar>
            <w:top w:w="0" w:type="dxa"/>
            <w:left w:w="0" w:type="dxa"/>
            <w:bottom w:w="0" w:type="dxa"/>
            <w:right w:w="0" w:type="dxa"/>
          </w:tblCellMar>
        </w:tblPrEx>
        <w:trPr>
          <w:trHeight w:val="454" w:hRule="atLeast"/>
          <w:jc w:val="center"/>
        </w:trPr>
        <w:tc>
          <w:tcPr>
            <w:tcW w:w="1354" w:type="dxa"/>
            <w:vMerge w:val="continue"/>
            <w:tcBorders>
              <w:tl2br w:val="nil"/>
              <w:tr2bl w:val="nil"/>
            </w:tcBorders>
            <w:noWrap w:val="0"/>
            <w:vAlign w:val="center"/>
          </w:tcPr>
          <w:p w14:paraId="7903AB9B">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rPr>
            </w:pPr>
          </w:p>
        </w:tc>
        <w:tc>
          <w:tcPr>
            <w:tcW w:w="1727" w:type="dxa"/>
            <w:tcBorders>
              <w:tl2br w:val="nil"/>
              <w:tr2bl w:val="nil"/>
            </w:tcBorders>
            <w:noWrap w:val="0"/>
            <w:vAlign w:val="center"/>
          </w:tcPr>
          <w:p w14:paraId="6C4C7FBD">
            <w:pPr>
              <w:pStyle w:val="10"/>
              <w:bidi w:val="0"/>
              <w:ind w:right="0" w:rightChars="0" w:firstLine="0" w:firstLineChars="0"/>
              <w:rPr>
                <w:rFonts w:hint="default" w:ascii="Times New Roman" w:hAnsi="Times New Roman" w:eastAsia="宋体"/>
                <w:color w:val="auto"/>
                <w:kern w:val="0"/>
                <w:sz w:val="24"/>
                <w:szCs w:val="24"/>
                <w:highlight w:val="none"/>
                <w:lang w:val="en-US" w:eastAsia="zh-CN" w:bidi="ar-SA"/>
              </w:rPr>
            </w:pPr>
            <w:r>
              <w:rPr>
                <w:rFonts w:hint="eastAsia"/>
                <w:color w:val="auto"/>
                <w:sz w:val="24"/>
                <w:szCs w:val="24"/>
                <w:highlight w:val="none"/>
                <w:lang w:val="en-US" w:eastAsia="zh-CN"/>
              </w:rPr>
              <w:t>不合格塑料电缆颗粒</w:t>
            </w:r>
          </w:p>
        </w:tc>
        <w:tc>
          <w:tcPr>
            <w:tcW w:w="1600" w:type="dxa"/>
            <w:tcBorders>
              <w:tl2br w:val="nil"/>
              <w:tr2bl w:val="nil"/>
            </w:tcBorders>
            <w:noWrap w:val="0"/>
            <w:vAlign w:val="center"/>
          </w:tcPr>
          <w:p w14:paraId="11CF79C0">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148" w:type="dxa"/>
            <w:tcBorders>
              <w:tl2br w:val="nil"/>
              <w:tr2bl w:val="nil"/>
            </w:tcBorders>
            <w:noWrap w:val="0"/>
            <w:vAlign w:val="center"/>
          </w:tcPr>
          <w:p w14:paraId="405B03A0">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650" w:type="dxa"/>
            <w:tcBorders>
              <w:tl2br w:val="nil"/>
              <w:tr2bl w:val="nil"/>
            </w:tcBorders>
            <w:noWrap w:val="0"/>
            <w:vAlign w:val="center"/>
          </w:tcPr>
          <w:p w14:paraId="6CE78B55">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665" w:type="dxa"/>
            <w:tcBorders>
              <w:tl2br w:val="nil"/>
              <w:tr2bl w:val="nil"/>
            </w:tcBorders>
            <w:noWrap w:val="0"/>
            <w:vAlign w:val="center"/>
          </w:tcPr>
          <w:p w14:paraId="5CCE7C12">
            <w:pPr>
              <w:pStyle w:val="10"/>
              <w:bidi w:val="0"/>
              <w:ind w:right="0" w:rightChars="0" w:firstLine="0" w:firstLineChars="0"/>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1.4t/a</w:t>
            </w:r>
          </w:p>
        </w:tc>
        <w:tc>
          <w:tcPr>
            <w:tcW w:w="1395" w:type="dxa"/>
            <w:tcBorders>
              <w:tl2br w:val="nil"/>
              <w:tr2bl w:val="nil"/>
            </w:tcBorders>
            <w:noWrap w:val="0"/>
            <w:vAlign w:val="center"/>
          </w:tcPr>
          <w:p w14:paraId="2CC4041C">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lang w:val="en-US" w:eastAsia="zh-CN"/>
              </w:rPr>
            </w:pPr>
            <w:r>
              <w:rPr>
                <w:rFonts w:hint="eastAsia"/>
                <w:color w:val="auto"/>
                <w:kern w:val="0"/>
                <w:sz w:val="24"/>
                <w:szCs w:val="24"/>
                <w:highlight w:val="none"/>
                <w:lang w:val="en-US" w:eastAsia="zh-CN" w:bidi="ar-SA"/>
              </w:rPr>
              <w:t>/</w:t>
            </w:r>
          </w:p>
        </w:tc>
        <w:tc>
          <w:tcPr>
            <w:tcW w:w="1860" w:type="dxa"/>
            <w:tcBorders>
              <w:tl2br w:val="nil"/>
              <w:tr2bl w:val="nil"/>
            </w:tcBorders>
            <w:noWrap w:val="0"/>
            <w:vAlign w:val="center"/>
          </w:tcPr>
          <w:p w14:paraId="3C2CDC76">
            <w:pPr>
              <w:pStyle w:val="10"/>
              <w:bidi w:val="0"/>
              <w:ind w:right="0" w:rightChars="0" w:firstLine="0" w:firstLineChars="0"/>
              <w:rPr>
                <w:rFonts w:hint="default" w:ascii="Times New Roman" w:hAnsi="Times New Roman" w:eastAsia="宋体"/>
                <w:color w:val="auto"/>
                <w:kern w:val="0"/>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1.4t/a</w:t>
            </w:r>
          </w:p>
        </w:tc>
        <w:tc>
          <w:tcPr>
            <w:tcW w:w="1393" w:type="dxa"/>
            <w:tcBorders>
              <w:tl2br w:val="nil"/>
              <w:tr2bl w:val="nil"/>
            </w:tcBorders>
            <w:noWrap w:val="0"/>
            <w:vAlign w:val="center"/>
          </w:tcPr>
          <w:p w14:paraId="74337E04">
            <w:pPr>
              <w:pStyle w:val="10"/>
              <w:bidi w:val="0"/>
              <w:ind w:right="0" w:rightChars="0" w:firstLine="0" w:firstLineChars="0"/>
              <w:rPr>
                <w:rFonts w:hint="default" w:ascii="Times New Roman" w:hAnsi="Times New Roman" w:eastAsia="宋体"/>
                <w:color w:val="auto"/>
                <w:kern w:val="0"/>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+1.4t/a</w:t>
            </w:r>
          </w:p>
        </w:tc>
      </w:tr>
      <w:tr w14:paraId="75484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CellMar>
            <w:top w:w="0" w:type="dxa"/>
            <w:left w:w="0" w:type="dxa"/>
            <w:bottom w:w="0" w:type="dxa"/>
            <w:right w:w="0" w:type="dxa"/>
          </w:tblCellMar>
        </w:tblPrEx>
        <w:trPr>
          <w:trHeight w:val="454" w:hRule="atLeast"/>
          <w:jc w:val="center"/>
        </w:trPr>
        <w:tc>
          <w:tcPr>
            <w:tcW w:w="1354" w:type="dxa"/>
            <w:vMerge w:val="continue"/>
            <w:tcBorders>
              <w:tl2br w:val="nil"/>
              <w:tr2bl w:val="nil"/>
            </w:tcBorders>
            <w:noWrap w:val="0"/>
            <w:vAlign w:val="center"/>
          </w:tcPr>
          <w:p w14:paraId="0F5D4B3D">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rPr>
            </w:pPr>
          </w:p>
        </w:tc>
        <w:tc>
          <w:tcPr>
            <w:tcW w:w="1727" w:type="dxa"/>
            <w:tcBorders>
              <w:tl2br w:val="nil"/>
              <w:tr2bl w:val="nil"/>
            </w:tcBorders>
            <w:noWrap w:val="0"/>
            <w:vAlign w:val="center"/>
          </w:tcPr>
          <w:p w14:paraId="328EB068">
            <w:pPr>
              <w:pStyle w:val="10"/>
              <w:bidi w:val="0"/>
              <w:ind w:right="0" w:rightChars="0" w:firstLine="0" w:firstLineChars="0"/>
              <w:rPr>
                <w:rFonts w:hint="default" w:ascii="Times New Roman" w:hAnsi="Times New Roman" w:eastAsia="宋体"/>
                <w:color w:val="auto"/>
                <w:kern w:val="0"/>
                <w:sz w:val="24"/>
                <w:szCs w:val="24"/>
                <w:highlight w:val="none"/>
                <w:lang w:val="en-US" w:eastAsia="zh-CN" w:bidi="ar-SA"/>
              </w:rPr>
            </w:pPr>
            <w:r>
              <w:rPr>
                <w:rFonts w:hint="eastAsia"/>
                <w:color w:val="auto"/>
                <w:sz w:val="24"/>
                <w:szCs w:val="24"/>
                <w:highlight w:val="none"/>
                <w:lang w:val="en-US" w:eastAsia="zh-CN"/>
              </w:rPr>
              <w:t>布袋除尘收尘和废布袋</w:t>
            </w:r>
          </w:p>
        </w:tc>
        <w:tc>
          <w:tcPr>
            <w:tcW w:w="1600" w:type="dxa"/>
            <w:tcBorders>
              <w:tl2br w:val="nil"/>
              <w:tr2bl w:val="nil"/>
            </w:tcBorders>
            <w:noWrap w:val="0"/>
            <w:vAlign w:val="center"/>
          </w:tcPr>
          <w:p w14:paraId="6B4955AF">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148" w:type="dxa"/>
            <w:tcBorders>
              <w:tl2br w:val="nil"/>
              <w:tr2bl w:val="nil"/>
            </w:tcBorders>
            <w:noWrap w:val="0"/>
            <w:vAlign w:val="center"/>
          </w:tcPr>
          <w:p w14:paraId="616373A7">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650" w:type="dxa"/>
            <w:tcBorders>
              <w:tl2br w:val="nil"/>
              <w:tr2bl w:val="nil"/>
            </w:tcBorders>
            <w:noWrap w:val="0"/>
            <w:vAlign w:val="center"/>
          </w:tcPr>
          <w:p w14:paraId="4156A8FB">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665" w:type="dxa"/>
            <w:tcBorders>
              <w:tl2br w:val="nil"/>
              <w:tr2bl w:val="nil"/>
            </w:tcBorders>
            <w:noWrap w:val="0"/>
            <w:vAlign w:val="center"/>
          </w:tcPr>
          <w:p w14:paraId="541D8829">
            <w:pPr>
              <w:pStyle w:val="10"/>
              <w:bidi w:val="0"/>
              <w:ind w:right="0" w:rightChars="0" w:firstLine="0" w:firstLineChars="0"/>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9.656t/a</w:t>
            </w:r>
          </w:p>
        </w:tc>
        <w:tc>
          <w:tcPr>
            <w:tcW w:w="1395" w:type="dxa"/>
            <w:tcBorders>
              <w:tl2br w:val="nil"/>
              <w:tr2bl w:val="nil"/>
            </w:tcBorders>
            <w:noWrap w:val="0"/>
            <w:vAlign w:val="center"/>
          </w:tcPr>
          <w:p w14:paraId="5EDA6B65">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lang w:val="en-US" w:eastAsia="zh-CN"/>
              </w:rPr>
            </w:pPr>
            <w:r>
              <w:rPr>
                <w:rFonts w:hint="eastAsia"/>
                <w:color w:val="auto"/>
                <w:kern w:val="0"/>
                <w:sz w:val="24"/>
                <w:szCs w:val="24"/>
                <w:highlight w:val="none"/>
                <w:lang w:val="en-US" w:eastAsia="zh-CN" w:bidi="ar-SA"/>
              </w:rPr>
              <w:t>/</w:t>
            </w:r>
          </w:p>
        </w:tc>
        <w:tc>
          <w:tcPr>
            <w:tcW w:w="1860" w:type="dxa"/>
            <w:tcBorders>
              <w:tl2br w:val="nil"/>
              <w:tr2bl w:val="nil"/>
            </w:tcBorders>
            <w:noWrap w:val="0"/>
            <w:vAlign w:val="center"/>
          </w:tcPr>
          <w:p w14:paraId="69B113A7">
            <w:pPr>
              <w:pStyle w:val="10"/>
              <w:bidi w:val="0"/>
              <w:ind w:right="0" w:rightChars="0" w:firstLine="0" w:firstLineChars="0"/>
              <w:rPr>
                <w:rFonts w:hint="default" w:ascii="Times New Roman" w:hAnsi="Times New Roman" w:eastAsia="宋体"/>
                <w:color w:val="auto"/>
                <w:kern w:val="0"/>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9.656t/a</w:t>
            </w:r>
          </w:p>
        </w:tc>
        <w:tc>
          <w:tcPr>
            <w:tcW w:w="1393" w:type="dxa"/>
            <w:tcBorders>
              <w:tl2br w:val="nil"/>
              <w:tr2bl w:val="nil"/>
            </w:tcBorders>
            <w:noWrap w:val="0"/>
            <w:vAlign w:val="center"/>
          </w:tcPr>
          <w:p w14:paraId="75D4AAE4">
            <w:pPr>
              <w:pStyle w:val="10"/>
              <w:bidi w:val="0"/>
              <w:ind w:right="0" w:rightChars="0" w:firstLine="0" w:firstLineChars="0"/>
              <w:rPr>
                <w:rFonts w:hint="default" w:ascii="Times New Roman" w:hAnsi="Times New Roman" w:eastAsia="宋体"/>
                <w:color w:val="auto"/>
                <w:kern w:val="0"/>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+9.656t/a</w:t>
            </w:r>
          </w:p>
        </w:tc>
      </w:tr>
      <w:tr w14:paraId="258B0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CellMar>
            <w:top w:w="0" w:type="dxa"/>
            <w:left w:w="0" w:type="dxa"/>
            <w:bottom w:w="0" w:type="dxa"/>
            <w:right w:w="0" w:type="dxa"/>
          </w:tblCellMar>
        </w:tblPrEx>
        <w:trPr>
          <w:trHeight w:val="454" w:hRule="atLeast"/>
          <w:jc w:val="center"/>
        </w:trPr>
        <w:tc>
          <w:tcPr>
            <w:tcW w:w="1354" w:type="dxa"/>
            <w:vMerge w:val="restart"/>
            <w:noWrap w:val="0"/>
            <w:vAlign w:val="center"/>
          </w:tcPr>
          <w:p w14:paraId="4E24D336">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rPr>
            </w:pPr>
            <w:r>
              <w:rPr>
                <w:rFonts w:hint="default"/>
                <w:color w:val="auto"/>
                <w:sz w:val="24"/>
                <w:szCs w:val="24"/>
                <w:highlight w:val="none"/>
              </w:rPr>
              <w:t>危险废物</w:t>
            </w:r>
          </w:p>
        </w:tc>
        <w:tc>
          <w:tcPr>
            <w:tcW w:w="1727" w:type="dxa"/>
            <w:noWrap w:val="0"/>
            <w:vAlign w:val="center"/>
          </w:tcPr>
          <w:p w14:paraId="5431C211">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olor w:val="auto"/>
                <w:kern w:val="0"/>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rPr>
              <w:t>废活性炭</w:t>
            </w:r>
          </w:p>
        </w:tc>
        <w:tc>
          <w:tcPr>
            <w:tcW w:w="1600" w:type="dxa"/>
            <w:noWrap w:val="0"/>
            <w:vAlign w:val="center"/>
          </w:tcPr>
          <w:p w14:paraId="52B349D7">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ascii="Times New Roman" w:hAnsi="Times New Roman" w:eastAsia="宋体"/>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148" w:type="dxa"/>
            <w:noWrap w:val="0"/>
            <w:vAlign w:val="center"/>
          </w:tcPr>
          <w:p w14:paraId="36BDAD7C">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ascii="Times New Roman" w:hAnsi="Times New Roman" w:eastAsia="宋体"/>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50" w:type="dxa"/>
            <w:noWrap w:val="0"/>
            <w:vAlign w:val="center"/>
          </w:tcPr>
          <w:p w14:paraId="4E6C6C77">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ascii="Times New Roman" w:hAnsi="Times New Roman" w:eastAsia="宋体"/>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65" w:type="dxa"/>
            <w:noWrap w:val="0"/>
            <w:vAlign w:val="center"/>
          </w:tcPr>
          <w:p w14:paraId="3297453D">
            <w:pPr>
              <w:pStyle w:val="10"/>
              <w:bidi w:val="0"/>
              <w:ind w:right="0" w:rightChars="0" w:firstLine="0" w:firstLineChars="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24.55t/a</w:t>
            </w:r>
          </w:p>
        </w:tc>
        <w:tc>
          <w:tcPr>
            <w:tcW w:w="1395" w:type="dxa"/>
            <w:noWrap w:val="0"/>
            <w:vAlign w:val="center"/>
          </w:tcPr>
          <w:p w14:paraId="49101753">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860" w:type="dxa"/>
            <w:noWrap w:val="0"/>
            <w:vAlign w:val="center"/>
          </w:tcPr>
          <w:p w14:paraId="1796A23A">
            <w:pPr>
              <w:pStyle w:val="10"/>
              <w:bidi w:val="0"/>
              <w:ind w:right="0" w:rightChars="0" w:firstLine="0" w:firstLineChars="0"/>
              <w:rPr>
                <w:rFonts w:hint="eastAsia" w:ascii="Times New Roman" w:hAnsi="Times New Roman" w:eastAsia="宋体"/>
                <w:color w:val="auto"/>
                <w:kern w:val="0"/>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24.55t/a</w:t>
            </w:r>
          </w:p>
        </w:tc>
        <w:tc>
          <w:tcPr>
            <w:tcW w:w="1393" w:type="dxa"/>
            <w:noWrap w:val="0"/>
            <w:vAlign w:val="center"/>
          </w:tcPr>
          <w:p w14:paraId="41723371">
            <w:pPr>
              <w:pStyle w:val="10"/>
              <w:bidi w:val="0"/>
              <w:ind w:right="0" w:rightChars="0" w:firstLine="0" w:firstLineChars="0"/>
              <w:rPr>
                <w:rFonts w:hint="eastAsia" w:ascii="Times New Roman" w:hAnsi="Times New Roman" w:eastAsia="宋体"/>
                <w:color w:val="auto"/>
                <w:kern w:val="0"/>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+24.55t/a</w:t>
            </w:r>
          </w:p>
        </w:tc>
      </w:tr>
      <w:tr w14:paraId="18D09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CellMar>
            <w:top w:w="0" w:type="dxa"/>
            <w:left w:w="0" w:type="dxa"/>
            <w:bottom w:w="0" w:type="dxa"/>
            <w:right w:w="0" w:type="dxa"/>
          </w:tblCellMar>
        </w:tblPrEx>
        <w:trPr>
          <w:trHeight w:val="454" w:hRule="atLeast"/>
          <w:jc w:val="center"/>
        </w:trPr>
        <w:tc>
          <w:tcPr>
            <w:tcW w:w="1354" w:type="dxa"/>
            <w:vMerge w:val="continue"/>
            <w:noWrap w:val="0"/>
            <w:vAlign w:val="top"/>
          </w:tcPr>
          <w:p w14:paraId="5D4D2C05">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rPr>
            </w:pPr>
          </w:p>
        </w:tc>
        <w:tc>
          <w:tcPr>
            <w:tcW w:w="1727" w:type="dxa"/>
            <w:noWrap w:val="0"/>
            <w:vAlign w:val="center"/>
          </w:tcPr>
          <w:p w14:paraId="0E5C349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color w:val="auto"/>
                <w:sz w:val="24"/>
                <w:szCs w:val="24"/>
                <w:highlight w:val="none"/>
                <w:lang w:val="en-US" w:eastAsia="zh-CN"/>
              </w:rPr>
            </w:pPr>
            <w:r>
              <w:rPr>
                <w:rFonts w:hint="eastAsia" w:ascii="宋体" w:hAnsi="宋体" w:eastAsia="宋体" w:cs="宋体"/>
                <w:b w:val="0"/>
                <w:bCs w:val="0"/>
                <w:color w:val="000000"/>
                <w:sz w:val="24"/>
                <w:szCs w:val="24"/>
                <w:highlight w:val="none"/>
                <w:vertAlign w:val="baseline"/>
                <w:lang w:val="en-US" w:eastAsia="zh-CN"/>
              </w:rPr>
              <w:t>废机油</w:t>
            </w:r>
          </w:p>
        </w:tc>
        <w:tc>
          <w:tcPr>
            <w:tcW w:w="1600" w:type="dxa"/>
            <w:noWrap w:val="0"/>
            <w:vAlign w:val="center"/>
          </w:tcPr>
          <w:p w14:paraId="363C4F08">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eastAsia" w:ascii="Times New Roman" w:hAnsi="Times New Roman" w:eastAsia="宋体"/>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148" w:type="dxa"/>
            <w:noWrap w:val="0"/>
            <w:vAlign w:val="center"/>
          </w:tcPr>
          <w:p w14:paraId="79FD8BDA">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eastAsia" w:ascii="Times New Roman" w:hAnsi="Times New Roman" w:eastAsia="宋体"/>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50" w:type="dxa"/>
            <w:noWrap w:val="0"/>
            <w:vAlign w:val="center"/>
          </w:tcPr>
          <w:p w14:paraId="7E766CF2">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eastAsia" w:ascii="Times New Roman" w:hAnsi="Times New Roman" w:eastAsia="宋体"/>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65" w:type="dxa"/>
            <w:noWrap w:val="0"/>
            <w:vAlign w:val="center"/>
          </w:tcPr>
          <w:p w14:paraId="0E9DDF67">
            <w:pPr>
              <w:pStyle w:val="10"/>
              <w:bidi w:val="0"/>
              <w:ind w:right="0" w:rightChars="0" w:firstLine="0" w:firstLineChars="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w:t>
            </w:r>
            <w:r>
              <w:rPr>
                <w:rFonts w:hint="eastAsia" w:cs="Times New Roman"/>
                <w:color w:val="auto"/>
                <w:sz w:val="24"/>
                <w:szCs w:val="24"/>
                <w:highlight w:val="none"/>
                <w:lang w:val="en-US" w:eastAsia="zh-CN"/>
              </w:rPr>
              <w:t>16</w:t>
            </w:r>
            <w:r>
              <w:rPr>
                <w:rFonts w:hint="eastAsia" w:ascii="Times New Roman" w:hAnsi="Times New Roman" w:eastAsia="宋体" w:cs="Times New Roman"/>
                <w:color w:val="auto"/>
                <w:sz w:val="24"/>
                <w:szCs w:val="24"/>
                <w:highlight w:val="none"/>
                <w:lang w:val="en-US" w:eastAsia="zh-CN"/>
              </w:rPr>
              <w:t>t/a</w:t>
            </w:r>
          </w:p>
        </w:tc>
        <w:tc>
          <w:tcPr>
            <w:tcW w:w="1395" w:type="dxa"/>
            <w:noWrap w:val="0"/>
            <w:vAlign w:val="center"/>
          </w:tcPr>
          <w:p w14:paraId="0D113C75">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860" w:type="dxa"/>
            <w:noWrap w:val="0"/>
            <w:vAlign w:val="center"/>
          </w:tcPr>
          <w:p w14:paraId="670DDA41">
            <w:pPr>
              <w:pStyle w:val="10"/>
              <w:bidi w:val="0"/>
              <w:ind w:right="0" w:rightChars="0" w:firstLine="0" w:firstLineChars="0"/>
              <w:rPr>
                <w:rFonts w:hint="eastAsia" w:ascii="Times New Roman" w:hAnsi="Times New Roman" w:eastAsia="宋体"/>
                <w:color w:val="auto"/>
                <w:kern w:val="0"/>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0.</w:t>
            </w:r>
            <w:r>
              <w:rPr>
                <w:rFonts w:hint="eastAsia" w:cs="Times New Roman"/>
                <w:color w:val="auto"/>
                <w:sz w:val="24"/>
                <w:szCs w:val="24"/>
                <w:highlight w:val="none"/>
                <w:lang w:val="en-US" w:eastAsia="zh-CN"/>
              </w:rPr>
              <w:t>16</w:t>
            </w:r>
            <w:r>
              <w:rPr>
                <w:rFonts w:hint="eastAsia" w:ascii="Times New Roman" w:hAnsi="Times New Roman" w:eastAsia="宋体" w:cs="Times New Roman"/>
                <w:color w:val="auto"/>
                <w:sz w:val="24"/>
                <w:szCs w:val="24"/>
                <w:highlight w:val="none"/>
                <w:lang w:val="en-US" w:eastAsia="zh-CN"/>
              </w:rPr>
              <w:t>t/a</w:t>
            </w:r>
          </w:p>
        </w:tc>
        <w:tc>
          <w:tcPr>
            <w:tcW w:w="1393" w:type="dxa"/>
            <w:noWrap w:val="0"/>
            <w:vAlign w:val="center"/>
          </w:tcPr>
          <w:p w14:paraId="1D1BBE01">
            <w:pPr>
              <w:pStyle w:val="10"/>
              <w:bidi w:val="0"/>
              <w:ind w:right="0" w:rightChars="0" w:firstLine="0" w:firstLineChars="0"/>
              <w:rPr>
                <w:rFonts w:hint="eastAsia" w:ascii="Times New Roman" w:hAnsi="Times New Roman" w:eastAsia="宋体"/>
                <w:color w:val="auto"/>
                <w:kern w:val="0"/>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+0.</w:t>
            </w:r>
            <w:r>
              <w:rPr>
                <w:rFonts w:hint="eastAsia" w:cs="Times New Roman"/>
                <w:color w:val="auto"/>
                <w:sz w:val="24"/>
                <w:szCs w:val="24"/>
                <w:highlight w:val="none"/>
                <w:lang w:val="en-US" w:eastAsia="zh-CN"/>
              </w:rPr>
              <w:t>16</w:t>
            </w:r>
            <w:r>
              <w:rPr>
                <w:rFonts w:hint="eastAsia" w:ascii="Times New Roman" w:hAnsi="Times New Roman" w:eastAsia="宋体" w:cs="Times New Roman"/>
                <w:color w:val="auto"/>
                <w:sz w:val="24"/>
                <w:szCs w:val="24"/>
                <w:highlight w:val="none"/>
                <w:lang w:val="en-US" w:eastAsia="zh-CN"/>
              </w:rPr>
              <w:t>t/a</w:t>
            </w:r>
          </w:p>
        </w:tc>
      </w:tr>
      <w:tr w14:paraId="21754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CellMar>
            <w:top w:w="0" w:type="dxa"/>
            <w:left w:w="0" w:type="dxa"/>
            <w:bottom w:w="0" w:type="dxa"/>
            <w:right w:w="0" w:type="dxa"/>
          </w:tblCellMar>
        </w:tblPrEx>
        <w:trPr>
          <w:trHeight w:val="454" w:hRule="atLeast"/>
          <w:jc w:val="center"/>
        </w:trPr>
        <w:tc>
          <w:tcPr>
            <w:tcW w:w="1354" w:type="dxa"/>
            <w:vMerge w:val="continue"/>
            <w:noWrap w:val="0"/>
            <w:vAlign w:val="top"/>
          </w:tcPr>
          <w:p w14:paraId="490F4181">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rPr>
            </w:pPr>
          </w:p>
        </w:tc>
        <w:tc>
          <w:tcPr>
            <w:tcW w:w="1727" w:type="dxa"/>
            <w:noWrap w:val="0"/>
            <w:vAlign w:val="center"/>
          </w:tcPr>
          <w:p w14:paraId="76184E4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olor w:val="auto"/>
                <w:kern w:val="0"/>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rPr>
              <w:t>废机油桶</w:t>
            </w:r>
          </w:p>
        </w:tc>
        <w:tc>
          <w:tcPr>
            <w:tcW w:w="1600" w:type="dxa"/>
            <w:noWrap w:val="0"/>
            <w:vAlign w:val="center"/>
          </w:tcPr>
          <w:p w14:paraId="74672B12">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148" w:type="dxa"/>
            <w:noWrap w:val="0"/>
            <w:vAlign w:val="center"/>
          </w:tcPr>
          <w:p w14:paraId="66AC45D3">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650" w:type="dxa"/>
            <w:noWrap w:val="0"/>
            <w:vAlign w:val="center"/>
          </w:tcPr>
          <w:p w14:paraId="77110CE7">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665" w:type="dxa"/>
            <w:noWrap w:val="0"/>
            <w:vAlign w:val="center"/>
          </w:tcPr>
          <w:p w14:paraId="4C9E9A99">
            <w:pPr>
              <w:pStyle w:val="10"/>
              <w:bidi w:val="0"/>
              <w:ind w:right="0" w:rightChars="0" w:firstLine="0" w:firstLineChars="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0.0</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val="en-US" w:eastAsia="zh-CN"/>
              </w:rPr>
              <w:t>t/a</w:t>
            </w:r>
          </w:p>
        </w:tc>
        <w:tc>
          <w:tcPr>
            <w:tcW w:w="1395" w:type="dxa"/>
            <w:noWrap w:val="0"/>
            <w:vAlign w:val="center"/>
          </w:tcPr>
          <w:p w14:paraId="72CADA46">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color w:val="auto"/>
                <w:sz w:val="24"/>
                <w:szCs w:val="24"/>
                <w:highlight w:val="none"/>
              </w:rPr>
            </w:pPr>
            <w:r>
              <w:rPr>
                <w:rFonts w:hint="eastAsia"/>
                <w:color w:val="auto"/>
                <w:kern w:val="0"/>
                <w:sz w:val="24"/>
                <w:szCs w:val="24"/>
                <w:highlight w:val="none"/>
                <w:lang w:val="en-US" w:eastAsia="zh-CN" w:bidi="ar-SA"/>
              </w:rPr>
              <w:t>/</w:t>
            </w:r>
          </w:p>
        </w:tc>
        <w:tc>
          <w:tcPr>
            <w:tcW w:w="1860" w:type="dxa"/>
            <w:noWrap w:val="0"/>
            <w:vAlign w:val="center"/>
          </w:tcPr>
          <w:p w14:paraId="03571FA8">
            <w:pPr>
              <w:pStyle w:val="10"/>
              <w:bidi w:val="0"/>
              <w:ind w:right="0" w:rightChars="0" w:firstLine="0" w:firstLineChars="0"/>
              <w:rPr>
                <w:rFonts w:hint="eastAsia" w:ascii="Times New Roman" w:hAnsi="Times New Roman" w:eastAsia="宋体"/>
                <w:color w:val="auto"/>
                <w:kern w:val="0"/>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0.0</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val="en-US" w:eastAsia="zh-CN"/>
              </w:rPr>
              <w:t>t/a</w:t>
            </w:r>
          </w:p>
        </w:tc>
        <w:tc>
          <w:tcPr>
            <w:tcW w:w="1393" w:type="dxa"/>
            <w:noWrap w:val="0"/>
            <w:vAlign w:val="center"/>
          </w:tcPr>
          <w:p w14:paraId="2C013145">
            <w:pPr>
              <w:pStyle w:val="10"/>
              <w:bidi w:val="0"/>
              <w:ind w:right="0" w:rightChars="0" w:firstLine="0" w:firstLineChars="0"/>
              <w:rPr>
                <w:rFonts w:hint="eastAsia" w:ascii="Times New Roman" w:hAnsi="Times New Roman" w:eastAsia="宋体"/>
                <w:color w:val="auto"/>
                <w:kern w:val="0"/>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+0.0</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val="en-US" w:eastAsia="zh-CN"/>
              </w:rPr>
              <w:t>t/a</w:t>
            </w:r>
          </w:p>
        </w:tc>
      </w:tr>
      <w:tr w14:paraId="7F12B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CellMar>
            <w:top w:w="0" w:type="dxa"/>
            <w:left w:w="0" w:type="dxa"/>
            <w:bottom w:w="0" w:type="dxa"/>
            <w:right w:w="0" w:type="dxa"/>
          </w:tblCellMar>
        </w:tblPrEx>
        <w:trPr>
          <w:trHeight w:val="454" w:hRule="atLeast"/>
          <w:jc w:val="center"/>
        </w:trPr>
        <w:tc>
          <w:tcPr>
            <w:tcW w:w="1354" w:type="dxa"/>
            <w:vMerge w:val="continue"/>
            <w:noWrap w:val="0"/>
            <w:vAlign w:val="top"/>
          </w:tcPr>
          <w:p w14:paraId="4CB64F21">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rPr>
            </w:pPr>
            <w:bookmarkStart w:id="19" w:name="_Toc3163"/>
          </w:p>
        </w:tc>
        <w:tc>
          <w:tcPr>
            <w:tcW w:w="1727" w:type="dxa"/>
            <w:noWrap w:val="0"/>
            <w:vAlign w:val="center"/>
          </w:tcPr>
          <w:p w14:paraId="7B2501A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eastAsia="宋体"/>
                <w:color w:val="auto"/>
                <w:sz w:val="24"/>
                <w:szCs w:val="24"/>
                <w:highlight w:val="none"/>
                <w:lang w:eastAsia="zh-CN"/>
              </w:rPr>
            </w:pPr>
            <w:r>
              <w:rPr>
                <w:rFonts w:hint="eastAsia" w:ascii="宋体" w:hAnsi="宋体" w:eastAsia="宋体" w:cs="宋体"/>
                <w:b w:val="0"/>
                <w:bCs w:val="0"/>
                <w:color w:val="000000"/>
                <w:sz w:val="24"/>
                <w:szCs w:val="24"/>
                <w:highlight w:val="none"/>
                <w:vertAlign w:val="baseline"/>
                <w:lang w:val="en-US" w:eastAsia="zh-CN"/>
              </w:rPr>
              <w:t>废油墨</w:t>
            </w:r>
            <w:r>
              <w:rPr>
                <w:rFonts w:hint="eastAsia" w:ascii="宋体" w:hAnsi="宋体" w:cs="宋体"/>
                <w:b w:val="0"/>
                <w:bCs w:val="0"/>
                <w:color w:val="000000"/>
                <w:sz w:val="24"/>
                <w:szCs w:val="24"/>
                <w:highlight w:val="none"/>
                <w:vertAlign w:val="baseline"/>
                <w:lang w:val="en-US" w:eastAsia="zh-CN"/>
              </w:rPr>
              <w:t>包装桶</w:t>
            </w:r>
          </w:p>
        </w:tc>
        <w:tc>
          <w:tcPr>
            <w:tcW w:w="1600" w:type="dxa"/>
            <w:noWrap w:val="0"/>
            <w:vAlign w:val="center"/>
          </w:tcPr>
          <w:p w14:paraId="24D738E9">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148" w:type="dxa"/>
            <w:noWrap w:val="0"/>
            <w:vAlign w:val="center"/>
          </w:tcPr>
          <w:p w14:paraId="452B6271">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50" w:type="dxa"/>
            <w:noWrap w:val="0"/>
            <w:vAlign w:val="center"/>
          </w:tcPr>
          <w:p w14:paraId="16117EB7">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65" w:type="dxa"/>
            <w:noWrap w:val="0"/>
            <w:vAlign w:val="center"/>
          </w:tcPr>
          <w:p w14:paraId="382FEDA3">
            <w:pPr>
              <w:pStyle w:val="10"/>
              <w:bidi w:val="0"/>
              <w:ind w:right="0" w:rightChars="0" w:firstLine="0" w:firstLineChars="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0.1t/a</w:t>
            </w:r>
          </w:p>
        </w:tc>
        <w:tc>
          <w:tcPr>
            <w:tcW w:w="1395" w:type="dxa"/>
            <w:noWrap w:val="0"/>
            <w:vAlign w:val="center"/>
          </w:tcPr>
          <w:p w14:paraId="05DCF0C9">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860" w:type="dxa"/>
            <w:noWrap w:val="0"/>
            <w:vAlign w:val="center"/>
          </w:tcPr>
          <w:p w14:paraId="23F02980">
            <w:pPr>
              <w:pStyle w:val="10"/>
              <w:bidi w:val="0"/>
              <w:ind w:right="0" w:rightChars="0" w:firstLine="0" w:firstLineChars="0"/>
              <w:rPr>
                <w:rFonts w:hint="eastAsia"/>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0.1t/a</w:t>
            </w:r>
          </w:p>
        </w:tc>
        <w:tc>
          <w:tcPr>
            <w:tcW w:w="1393" w:type="dxa"/>
            <w:noWrap w:val="0"/>
            <w:vAlign w:val="center"/>
          </w:tcPr>
          <w:p w14:paraId="5CBB439D">
            <w:pPr>
              <w:pStyle w:val="10"/>
              <w:bidi w:val="0"/>
              <w:ind w:right="0" w:rightChars="0" w:firstLine="0" w:firstLineChars="0"/>
              <w:rPr>
                <w:rFonts w:hint="eastAsia"/>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+0.1t/a</w:t>
            </w:r>
          </w:p>
        </w:tc>
      </w:tr>
      <w:tr w14:paraId="163C0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CellMar>
            <w:top w:w="0" w:type="dxa"/>
            <w:left w:w="0" w:type="dxa"/>
            <w:bottom w:w="0" w:type="dxa"/>
            <w:right w:w="0" w:type="dxa"/>
          </w:tblCellMar>
        </w:tblPrEx>
        <w:trPr>
          <w:trHeight w:val="454" w:hRule="atLeast"/>
          <w:jc w:val="center"/>
        </w:trPr>
        <w:tc>
          <w:tcPr>
            <w:tcW w:w="1354" w:type="dxa"/>
            <w:vMerge w:val="continue"/>
            <w:noWrap w:val="0"/>
            <w:vAlign w:val="top"/>
          </w:tcPr>
          <w:p w14:paraId="74468720">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rPr>
            </w:pPr>
          </w:p>
        </w:tc>
        <w:tc>
          <w:tcPr>
            <w:tcW w:w="1727" w:type="dxa"/>
            <w:noWrap w:val="0"/>
            <w:vAlign w:val="center"/>
          </w:tcPr>
          <w:p w14:paraId="29CD1DE2">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eastAsia="宋体"/>
                <w:color w:val="auto"/>
                <w:sz w:val="24"/>
                <w:szCs w:val="24"/>
                <w:highlight w:val="none"/>
                <w:lang w:eastAsia="zh-CN"/>
              </w:rPr>
            </w:pPr>
            <w:r>
              <w:rPr>
                <w:rFonts w:hint="eastAsia" w:ascii="宋体" w:hAnsi="宋体" w:cs="宋体"/>
                <w:b w:val="0"/>
                <w:bCs w:val="0"/>
                <w:color w:val="000000"/>
                <w:sz w:val="24"/>
                <w:szCs w:val="24"/>
                <w:highlight w:val="none"/>
                <w:vertAlign w:val="baseline"/>
                <w:lang w:val="en-US" w:eastAsia="zh-CN"/>
              </w:rPr>
              <w:t>含油抹布和手套</w:t>
            </w:r>
          </w:p>
        </w:tc>
        <w:tc>
          <w:tcPr>
            <w:tcW w:w="1600" w:type="dxa"/>
            <w:noWrap w:val="0"/>
            <w:vAlign w:val="center"/>
          </w:tcPr>
          <w:p w14:paraId="08AC46BD">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148" w:type="dxa"/>
            <w:noWrap w:val="0"/>
            <w:vAlign w:val="center"/>
          </w:tcPr>
          <w:p w14:paraId="6AB865EE">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50" w:type="dxa"/>
            <w:noWrap w:val="0"/>
            <w:vAlign w:val="center"/>
          </w:tcPr>
          <w:p w14:paraId="1421174B">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65" w:type="dxa"/>
            <w:noWrap w:val="0"/>
            <w:vAlign w:val="center"/>
          </w:tcPr>
          <w:p w14:paraId="2DF3275A">
            <w:pPr>
              <w:pStyle w:val="10"/>
              <w:bidi w:val="0"/>
              <w:ind w:right="0" w:rightChars="0" w:firstLine="0" w:firstLineChars="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0.01t/a</w:t>
            </w:r>
          </w:p>
        </w:tc>
        <w:tc>
          <w:tcPr>
            <w:tcW w:w="1395" w:type="dxa"/>
            <w:noWrap w:val="0"/>
            <w:vAlign w:val="center"/>
          </w:tcPr>
          <w:p w14:paraId="5C6C7636">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860" w:type="dxa"/>
            <w:noWrap w:val="0"/>
            <w:vAlign w:val="center"/>
          </w:tcPr>
          <w:p w14:paraId="1E7494DC">
            <w:pPr>
              <w:pStyle w:val="10"/>
              <w:bidi w:val="0"/>
              <w:ind w:right="0" w:rightChars="0" w:firstLine="0" w:firstLineChars="0"/>
              <w:rPr>
                <w:rFonts w:hint="eastAsia"/>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0.01t/a</w:t>
            </w:r>
          </w:p>
        </w:tc>
        <w:tc>
          <w:tcPr>
            <w:tcW w:w="1393" w:type="dxa"/>
            <w:noWrap w:val="0"/>
            <w:vAlign w:val="center"/>
          </w:tcPr>
          <w:p w14:paraId="06512499">
            <w:pPr>
              <w:pStyle w:val="10"/>
              <w:bidi w:val="0"/>
              <w:ind w:right="0" w:rightChars="0" w:firstLine="0" w:firstLineChars="0"/>
              <w:rPr>
                <w:rFonts w:hint="eastAsia"/>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+0.01t/a</w:t>
            </w:r>
          </w:p>
        </w:tc>
      </w:tr>
      <w:tr w14:paraId="2EB95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2" w:space="0"/>
          </w:tblBorders>
          <w:tblCellMar>
            <w:top w:w="0" w:type="dxa"/>
            <w:left w:w="0" w:type="dxa"/>
            <w:bottom w:w="0" w:type="dxa"/>
            <w:right w:w="0" w:type="dxa"/>
          </w:tblCellMar>
        </w:tblPrEx>
        <w:trPr>
          <w:trHeight w:val="454" w:hRule="atLeast"/>
          <w:jc w:val="center"/>
        </w:trPr>
        <w:tc>
          <w:tcPr>
            <w:tcW w:w="1354" w:type="dxa"/>
            <w:vMerge w:val="continue"/>
            <w:noWrap w:val="0"/>
            <w:vAlign w:val="top"/>
          </w:tcPr>
          <w:p w14:paraId="0231F745">
            <w:pPr>
              <w:pStyle w:val="10"/>
              <w:keepNext w:val="0"/>
              <w:keepLines w:val="0"/>
              <w:pageBreakBefore w:val="0"/>
              <w:kinsoku/>
              <w:wordWrap/>
              <w:overflowPunct/>
              <w:topLinePunct w:val="0"/>
              <w:autoSpaceDE/>
              <w:autoSpaceDN/>
              <w:bidi w:val="0"/>
              <w:adjustRightInd w:val="0"/>
              <w:snapToGrid w:val="0"/>
              <w:spacing w:line="240" w:lineRule="auto"/>
              <w:textAlignment w:val="auto"/>
              <w:rPr>
                <w:rFonts w:hint="default"/>
                <w:color w:val="auto"/>
                <w:sz w:val="24"/>
                <w:szCs w:val="24"/>
                <w:highlight w:val="none"/>
              </w:rPr>
            </w:pPr>
          </w:p>
        </w:tc>
        <w:tc>
          <w:tcPr>
            <w:tcW w:w="1727" w:type="dxa"/>
            <w:noWrap w:val="0"/>
            <w:vAlign w:val="center"/>
          </w:tcPr>
          <w:p w14:paraId="06379FC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b w:val="0"/>
                <w:bCs w:val="0"/>
                <w:color w:val="000000"/>
                <w:sz w:val="24"/>
                <w:szCs w:val="24"/>
                <w:highlight w:val="none"/>
                <w:vertAlign w:val="baseline"/>
                <w:lang w:val="en-US" w:eastAsia="zh-CN"/>
              </w:rPr>
            </w:pPr>
            <w:r>
              <w:rPr>
                <w:rFonts w:hint="eastAsia" w:ascii="宋体" w:hAnsi="宋体" w:cs="宋体"/>
                <w:b w:val="0"/>
                <w:bCs w:val="0"/>
                <w:color w:val="000000"/>
                <w:sz w:val="24"/>
                <w:szCs w:val="24"/>
                <w:highlight w:val="none"/>
                <w:vertAlign w:val="baseline"/>
                <w:lang w:val="en-US" w:eastAsia="zh-CN"/>
              </w:rPr>
              <w:t>油雾净化器收集废油</w:t>
            </w:r>
          </w:p>
        </w:tc>
        <w:tc>
          <w:tcPr>
            <w:tcW w:w="1600" w:type="dxa"/>
            <w:noWrap w:val="0"/>
            <w:vAlign w:val="center"/>
          </w:tcPr>
          <w:p w14:paraId="0AAAC4F1">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148" w:type="dxa"/>
            <w:noWrap w:val="0"/>
            <w:vAlign w:val="center"/>
          </w:tcPr>
          <w:p w14:paraId="182E55EC">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50" w:type="dxa"/>
            <w:noWrap w:val="0"/>
            <w:vAlign w:val="center"/>
          </w:tcPr>
          <w:p w14:paraId="2C816F79">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665" w:type="dxa"/>
            <w:noWrap w:val="0"/>
            <w:vAlign w:val="center"/>
          </w:tcPr>
          <w:p w14:paraId="528CCCFC">
            <w:pPr>
              <w:pStyle w:val="10"/>
              <w:keepNext w:val="0"/>
              <w:keepLines w:val="0"/>
              <w:pageBreakBefore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1.68t/a</w:t>
            </w:r>
          </w:p>
        </w:tc>
        <w:tc>
          <w:tcPr>
            <w:tcW w:w="1395" w:type="dxa"/>
            <w:noWrap w:val="0"/>
            <w:vAlign w:val="center"/>
          </w:tcPr>
          <w:p w14:paraId="51859721">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color w:val="auto"/>
                <w:kern w:val="0"/>
                <w:sz w:val="24"/>
                <w:szCs w:val="24"/>
                <w:highlight w:val="none"/>
                <w:lang w:val="en-US" w:eastAsia="zh-CN" w:bidi="ar-SA"/>
              </w:rPr>
            </w:pPr>
            <w:r>
              <w:rPr>
                <w:rFonts w:hint="eastAsia"/>
                <w:color w:val="auto"/>
                <w:kern w:val="0"/>
                <w:sz w:val="24"/>
                <w:szCs w:val="24"/>
                <w:highlight w:val="none"/>
                <w:lang w:val="en-US" w:eastAsia="zh-CN" w:bidi="ar-SA"/>
              </w:rPr>
              <w:t>/</w:t>
            </w:r>
          </w:p>
        </w:tc>
        <w:tc>
          <w:tcPr>
            <w:tcW w:w="1860" w:type="dxa"/>
            <w:noWrap w:val="0"/>
            <w:vAlign w:val="center"/>
          </w:tcPr>
          <w:p w14:paraId="05A61860">
            <w:pPr>
              <w:keepNext w:val="0"/>
              <w:keepLines w:val="0"/>
              <w:pageBreakBefore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1.68t/a</w:t>
            </w:r>
          </w:p>
        </w:tc>
        <w:tc>
          <w:tcPr>
            <w:tcW w:w="1393" w:type="dxa"/>
            <w:noWrap w:val="0"/>
            <w:vAlign w:val="center"/>
          </w:tcPr>
          <w:p w14:paraId="2942C3EA">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+1.68t/a</w:t>
            </w:r>
          </w:p>
        </w:tc>
      </w:tr>
    </w:tbl>
    <w:p w14:paraId="32299721">
      <w:pPr>
        <w:pStyle w:val="24"/>
        <w:keepNext w:val="0"/>
        <w:keepLines w:val="0"/>
        <w:pageBreakBefore w:val="0"/>
        <w:widowControl/>
        <w:kinsoku/>
        <w:wordWrap/>
        <w:overflowPunct/>
        <w:topLinePunct w:val="0"/>
        <w:autoSpaceDE/>
        <w:autoSpaceDN/>
        <w:bidi w:val="0"/>
        <w:adjustRightInd w:val="0"/>
        <w:snapToGrid/>
        <w:spacing w:before="157" w:beforeLines="50" w:beforeAutospacing="0" w:after="0" w:afterAutospacing="0" w:line="240" w:lineRule="auto"/>
        <w:ind w:firstLine="0" w:firstLineChars="0"/>
        <w:jc w:val="left"/>
        <w:textAlignment w:val="auto"/>
        <w:outlineLvl w:val="0"/>
        <w:rPr>
          <w:rFonts w:hint="default"/>
          <w:color w:val="auto"/>
          <w:highlight w:val="none"/>
          <w:lang w:val="en-US" w:eastAsia="zh-CN"/>
        </w:rPr>
      </w:pPr>
      <w:r>
        <w:rPr>
          <w:rFonts w:hAnsi="宋体"/>
          <w:snapToGrid w:val="0"/>
          <w:color w:val="auto"/>
          <w:kern w:val="21"/>
          <w:sz w:val="24"/>
          <w:szCs w:val="24"/>
          <w:highlight w:val="none"/>
        </w:rPr>
        <w:t>注：</w:t>
      </w:r>
      <w:r>
        <w:rPr>
          <w:rFonts w:hint="default" w:ascii="Times New Roman" w:hAnsi="Times New Roman" w:cs="Times New Roman"/>
          <w:snapToGrid w:val="0"/>
          <w:color w:val="auto"/>
          <w:spacing w:val="-16"/>
          <w:kern w:val="21"/>
          <w:sz w:val="24"/>
          <w:szCs w:val="24"/>
          <w:highlight w:val="none"/>
        </w:rPr>
        <w:fldChar w:fldCharType="begin"/>
      </w:r>
      <w:r>
        <w:rPr>
          <w:rFonts w:hint="default" w:ascii="Times New Roman" w:hAnsi="Times New Roman" w:cs="Times New Roman"/>
          <w:snapToGrid w:val="0"/>
          <w:color w:val="auto"/>
          <w:spacing w:val="-16"/>
          <w:kern w:val="21"/>
          <w:sz w:val="24"/>
          <w:szCs w:val="24"/>
          <w:highlight w:val="none"/>
        </w:rPr>
        <w:instrText xml:space="preserve"> = 6 \* GB3 \* MERGEFORMAT </w:instrText>
      </w:r>
      <w:r>
        <w:rPr>
          <w:rFonts w:hint="default" w:ascii="Times New Roman" w:hAnsi="Times New Roman" w:cs="Times New Roman"/>
          <w:snapToGrid w:val="0"/>
          <w:color w:val="auto"/>
          <w:spacing w:val="-16"/>
          <w:kern w:val="21"/>
          <w:sz w:val="24"/>
          <w:szCs w:val="24"/>
          <w:highlight w:val="none"/>
        </w:rPr>
        <w:fldChar w:fldCharType="separate"/>
      </w:r>
      <w:r>
        <w:rPr>
          <w:rFonts w:hint="default" w:ascii="Times New Roman" w:hAnsi="Times New Roman" w:cs="Times New Roman"/>
          <w:color w:val="auto"/>
          <w:sz w:val="24"/>
          <w:szCs w:val="24"/>
          <w:highlight w:val="none"/>
        </w:rPr>
        <w:t>⑥</w:t>
      </w:r>
      <w:r>
        <w:rPr>
          <w:rFonts w:hint="default" w:ascii="Times New Roman" w:hAnsi="Times New Roman" w:cs="Times New Roman"/>
          <w:snapToGrid w:val="0"/>
          <w:color w:val="auto"/>
          <w:spacing w:val="-16"/>
          <w:kern w:val="21"/>
          <w:sz w:val="24"/>
          <w:szCs w:val="24"/>
          <w:highlight w:val="none"/>
        </w:rPr>
        <w:fldChar w:fldCharType="end"/>
      </w:r>
      <w:r>
        <w:rPr>
          <w:rFonts w:hint="default" w:ascii="Times New Roman" w:hAnsi="Times New Roman" w:cs="Times New Roman"/>
          <w:snapToGrid w:val="0"/>
          <w:color w:val="auto"/>
          <w:spacing w:val="-16"/>
          <w:kern w:val="21"/>
          <w:sz w:val="24"/>
          <w:szCs w:val="24"/>
          <w:highlight w:val="none"/>
        </w:rPr>
        <w:t>=</w:t>
      </w:r>
      <w:r>
        <w:rPr>
          <w:rFonts w:hint="default" w:ascii="Times New Roman" w:hAnsi="Times New Roman" w:cs="Times New Roman"/>
          <w:snapToGrid w:val="0"/>
          <w:color w:val="auto"/>
          <w:spacing w:val="-6"/>
          <w:kern w:val="21"/>
          <w:sz w:val="24"/>
          <w:szCs w:val="24"/>
          <w:highlight w:val="none"/>
        </w:rPr>
        <w:fldChar w:fldCharType="begin"/>
      </w:r>
      <w:r>
        <w:rPr>
          <w:rFonts w:hint="default" w:ascii="Times New Roman" w:hAnsi="Times New Roman" w:cs="Times New Roman"/>
          <w:snapToGrid w:val="0"/>
          <w:color w:val="auto"/>
          <w:spacing w:val="-6"/>
          <w:kern w:val="21"/>
          <w:sz w:val="24"/>
          <w:szCs w:val="24"/>
          <w:highlight w:val="none"/>
        </w:rPr>
        <w:instrText xml:space="preserve"> = 1 \* GB3 \* MERGEFORMAT </w:instrText>
      </w:r>
      <w:r>
        <w:rPr>
          <w:rFonts w:hint="default" w:ascii="Times New Roman" w:hAnsi="Times New Roman" w:cs="Times New Roman"/>
          <w:snapToGrid w:val="0"/>
          <w:color w:val="auto"/>
          <w:spacing w:val="-6"/>
          <w:kern w:val="21"/>
          <w:sz w:val="24"/>
          <w:szCs w:val="24"/>
          <w:highlight w:val="none"/>
        </w:rPr>
        <w:fldChar w:fldCharType="separate"/>
      </w:r>
      <w:r>
        <w:rPr>
          <w:rFonts w:hint="default" w:ascii="Times New Roman" w:hAnsi="Times New Roman" w:cs="Times New Roman"/>
          <w:color w:val="auto"/>
          <w:sz w:val="24"/>
          <w:szCs w:val="24"/>
          <w:highlight w:val="none"/>
        </w:rPr>
        <w:t>①</w:t>
      </w:r>
      <w:r>
        <w:rPr>
          <w:rFonts w:hint="default" w:ascii="Times New Roman" w:hAnsi="Times New Roman" w:cs="Times New Roman"/>
          <w:snapToGrid w:val="0"/>
          <w:color w:val="auto"/>
          <w:spacing w:val="-6"/>
          <w:kern w:val="21"/>
          <w:sz w:val="24"/>
          <w:szCs w:val="24"/>
          <w:highlight w:val="none"/>
        </w:rPr>
        <w:fldChar w:fldCharType="end"/>
      </w:r>
      <w:r>
        <w:rPr>
          <w:rFonts w:hint="default" w:ascii="Times New Roman" w:hAnsi="Times New Roman" w:cs="Times New Roman"/>
          <w:snapToGrid w:val="0"/>
          <w:color w:val="auto"/>
          <w:spacing w:val="-6"/>
          <w:kern w:val="21"/>
          <w:sz w:val="24"/>
          <w:szCs w:val="24"/>
          <w:highlight w:val="none"/>
        </w:rPr>
        <w:t>+</w:t>
      </w:r>
      <w:r>
        <w:rPr>
          <w:rFonts w:hint="default" w:ascii="Times New Roman" w:hAnsi="Times New Roman" w:cs="Times New Roman"/>
          <w:snapToGrid w:val="0"/>
          <w:color w:val="auto"/>
          <w:spacing w:val="-6"/>
          <w:kern w:val="21"/>
          <w:sz w:val="24"/>
          <w:szCs w:val="24"/>
          <w:highlight w:val="none"/>
        </w:rPr>
        <w:fldChar w:fldCharType="begin"/>
      </w:r>
      <w:r>
        <w:rPr>
          <w:rFonts w:hint="default" w:ascii="Times New Roman" w:hAnsi="Times New Roman" w:cs="Times New Roman"/>
          <w:snapToGrid w:val="0"/>
          <w:color w:val="auto"/>
          <w:spacing w:val="-6"/>
          <w:kern w:val="21"/>
          <w:sz w:val="24"/>
          <w:szCs w:val="24"/>
          <w:highlight w:val="none"/>
        </w:rPr>
        <w:instrText xml:space="preserve"> = 3 \* GB3 \* MERGEFORMAT </w:instrText>
      </w:r>
      <w:r>
        <w:rPr>
          <w:rFonts w:hint="default" w:ascii="Times New Roman" w:hAnsi="Times New Roman" w:cs="Times New Roman"/>
          <w:snapToGrid w:val="0"/>
          <w:color w:val="auto"/>
          <w:spacing w:val="-6"/>
          <w:kern w:val="21"/>
          <w:sz w:val="24"/>
          <w:szCs w:val="24"/>
          <w:highlight w:val="none"/>
        </w:rPr>
        <w:fldChar w:fldCharType="separate"/>
      </w:r>
      <w:r>
        <w:rPr>
          <w:rFonts w:hint="default" w:ascii="Times New Roman" w:hAnsi="Times New Roman" w:cs="Times New Roman"/>
          <w:color w:val="auto"/>
          <w:sz w:val="24"/>
          <w:szCs w:val="24"/>
          <w:highlight w:val="none"/>
        </w:rPr>
        <w:t>③</w:t>
      </w:r>
      <w:r>
        <w:rPr>
          <w:rFonts w:hint="default" w:ascii="Times New Roman" w:hAnsi="Times New Roman" w:cs="Times New Roman"/>
          <w:snapToGrid w:val="0"/>
          <w:color w:val="auto"/>
          <w:spacing w:val="-6"/>
          <w:kern w:val="21"/>
          <w:sz w:val="24"/>
          <w:szCs w:val="24"/>
          <w:highlight w:val="none"/>
        </w:rPr>
        <w:fldChar w:fldCharType="end"/>
      </w:r>
      <w:r>
        <w:rPr>
          <w:rFonts w:hint="default" w:ascii="Times New Roman" w:hAnsi="Times New Roman" w:cs="Times New Roman"/>
          <w:snapToGrid w:val="0"/>
          <w:color w:val="auto"/>
          <w:spacing w:val="-6"/>
          <w:kern w:val="21"/>
          <w:sz w:val="24"/>
          <w:szCs w:val="24"/>
          <w:highlight w:val="none"/>
        </w:rPr>
        <w:t>+</w:t>
      </w:r>
      <w:r>
        <w:rPr>
          <w:rFonts w:hint="default" w:ascii="Times New Roman" w:hAnsi="Times New Roman" w:cs="Times New Roman"/>
          <w:snapToGrid w:val="0"/>
          <w:color w:val="auto"/>
          <w:spacing w:val="-6"/>
          <w:kern w:val="21"/>
          <w:sz w:val="24"/>
          <w:szCs w:val="24"/>
          <w:highlight w:val="none"/>
        </w:rPr>
        <w:fldChar w:fldCharType="begin"/>
      </w:r>
      <w:r>
        <w:rPr>
          <w:rFonts w:hint="default" w:ascii="Times New Roman" w:hAnsi="Times New Roman" w:cs="Times New Roman"/>
          <w:snapToGrid w:val="0"/>
          <w:color w:val="auto"/>
          <w:spacing w:val="-6"/>
          <w:kern w:val="21"/>
          <w:sz w:val="24"/>
          <w:szCs w:val="24"/>
          <w:highlight w:val="none"/>
        </w:rPr>
        <w:instrText xml:space="preserve"> = 4 \* GB3 \* MERGEFORMAT </w:instrText>
      </w:r>
      <w:r>
        <w:rPr>
          <w:rFonts w:hint="default" w:ascii="Times New Roman" w:hAnsi="Times New Roman" w:cs="Times New Roman"/>
          <w:snapToGrid w:val="0"/>
          <w:color w:val="auto"/>
          <w:spacing w:val="-6"/>
          <w:kern w:val="21"/>
          <w:sz w:val="24"/>
          <w:szCs w:val="24"/>
          <w:highlight w:val="none"/>
        </w:rPr>
        <w:fldChar w:fldCharType="separate"/>
      </w:r>
      <w:r>
        <w:rPr>
          <w:rFonts w:hint="default" w:ascii="Times New Roman" w:hAnsi="Times New Roman" w:cs="Times New Roman"/>
          <w:color w:val="auto"/>
          <w:sz w:val="24"/>
          <w:szCs w:val="24"/>
          <w:highlight w:val="none"/>
        </w:rPr>
        <w:t>④</w:t>
      </w:r>
      <w:r>
        <w:rPr>
          <w:rFonts w:hint="default" w:ascii="Times New Roman" w:hAnsi="Times New Roman" w:cs="Times New Roman"/>
          <w:snapToGrid w:val="0"/>
          <w:color w:val="auto"/>
          <w:spacing w:val="-6"/>
          <w:kern w:val="21"/>
          <w:sz w:val="24"/>
          <w:szCs w:val="24"/>
          <w:highlight w:val="none"/>
        </w:rPr>
        <w:fldChar w:fldCharType="end"/>
      </w:r>
      <w:r>
        <w:rPr>
          <w:rFonts w:hint="default" w:ascii="Times New Roman" w:hAnsi="Times New Roman" w:cs="Times New Roman"/>
          <w:snapToGrid w:val="0"/>
          <w:color w:val="auto"/>
          <w:spacing w:val="-6"/>
          <w:kern w:val="21"/>
          <w:sz w:val="24"/>
          <w:szCs w:val="24"/>
          <w:highlight w:val="none"/>
        </w:rPr>
        <w:t>-</w:t>
      </w:r>
      <w:r>
        <w:rPr>
          <w:rFonts w:hint="default" w:ascii="Times New Roman" w:hAnsi="Times New Roman" w:cs="Times New Roman"/>
          <w:snapToGrid w:val="0"/>
          <w:color w:val="auto"/>
          <w:spacing w:val="-16"/>
          <w:kern w:val="21"/>
          <w:sz w:val="24"/>
          <w:szCs w:val="24"/>
          <w:highlight w:val="none"/>
        </w:rPr>
        <w:fldChar w:fldCharType="begin"/>
      </w:r>
      <w:r>
        <w:rPr>
          <w:rFonts w:hint="default" w:ascii="Times New Roman" w:hAnsi="Times New Roman" w:cs="Times New Roman"/>
          <w:snapToGrid w:val="0"/>
          <w:color w:val="auto"/>
          <w:spacing w:val="-16"/>
          <w:kern w:val="21"/>
          <w:sz w:val="24"/>
          <w:szCs w:val="24"/>
          <w:highlight w:val="none"/>
        </w:rPr>
        <w:instrText xml:space="preserve"> = 5 \* GB3 \* MERGEFORMAT </w:instrText>
      </w:r>
      <w:r>
        <w:rPr>
          <w:rFonts w:hint="default" w:ascii="Times New Roman" w:hAnsi="Times New Roman" w:cs="Times New Roman"/>
          <w:snapToGrid w:val="0"/>
          <w:color w:val="auto"/>
          <w:spacing w:val="-16"/>
          <w:kern w:val="21"/>
          <w:sz w:val="24"/>
          <w:szCs w:val="24"/>
          <w:highlight w:val="none"/>
        </w:rPr>
        <w:fldChar w:fldCharType="separate"/>
      </w:r>
      <w:r>
        <w:rPr>
          <w:rFonts w:hint="default" w:ascii="Times New Roman" w:hAnsi="Times New Roman" w:cs="Times New Roman"/>
          <w:color w:val="auto"/>
          <w:sz w:val="24"/>
          <w:szCs w:val="24"/>
          <w:highlight w:val="none"/>
        </w:rPr>
        <w:t>⑤</w:t>
      </w:r>
      <w:r>
        <w:rPr>
          <w:rFonts w:hint="default" w:ascii="Times New Roman" w:hAnsi="Times New Roman" w:cs="Times New Roman"/>
          <w:snapToGrid w:val="0"/>
          <w:color w:val="auto"/>
          <w:spacing w:val="-16"/>
          <w:kern w:val="21"/>
          <w:sz w:val="24"/>
          <w:szCs w:val="24"/>
          <w:highlight w:val="none"/>
        </w:rPr>
        <w:fldChar w:fldCharType="end"/>
      </w:r>
      <w:r>
        <w:rPr>
          <w:rFonts w:hint="default" w:ascii="Times New Roman" w:hAnsi="Times New Roman" w:cs="Times New Roman"/>
          <w:snapToGrid w:val="0"/>
          <w:color w:val="auto"/>
          <w:spacing w:val="-16"/>
          <w:kern w:val="21"/>
          <w:sz w:val="24"/>
          <w:szCs w:val="24"/>
          <w:highlight w:val="none"/>
        </w:rPr>
        <w:t>；</w:t>
      </w:r>
      <w:r>
        <w:rPr>
          <w:rFonts w:hint="default" w:ascii="Times New Roman" w:hAnsi="Times New Roman" w:cs="Times New Roman"/>
          <w:snapToGrid w:val="0"/>
          <w:color w:val="auto"/>
          <w:spacing w:val="-6"/>
          <w:kern w:val="21"/>
          <w:sz w:val="24"/>
          <w:szCs w:val="24"/>
          <w:highlight w:val="none"/>
        </w:rPr>
        <w:fldChar w:fldCharType="begin"/>
      </w:r>
      <w:r>
        <w:rPr>
          <w:rFonts w:hint="default" w:ascii="Times New Roman" w:hAnsi="Times New Roman" w:cs="Times New Roman"/>
          <w:snapToGrid w:val="0"/>
          <w:color w:val="auto"/>
          <w:spacing w:val="-6"/>
          <w:kern w:val="21"/>
          <w:sz w:val="24"/>
          <w:szCs w:val="24"/>
          <w:highlight w:val="none"/>
        </w:rPr>
        <w:instrText xml:space="preserve"> = 7 \* GB3 \* MERGEFORMAT </w:instrText>
      </w:r>
      <w:r>
        <w:rPr>
          <w:rFonts w:hint="default" w:ascii="Times New Roman" w:hAnsi="Times New Roman" w:cs="Times New Roman"/>
          <w:snapToGrid w:val="0"/>
          <w:color w:val="auto"/>
          <w:spacing w:val="-6"/>
          <w:kern w:val="21"/>
          <w:sz w:val="24"/>
          <w:szCs w:val="24"/>
          <w:highlight w:val="none"/>
        </w:rPr>
        <w:fldChar w:fldCharType="separate"/>
      </w:r>
      <w:r>
        <w:rPr>
          <w:rFonts w:hint="default" w:ascii="Times New Roman" w:hAnsi="Times New Roman" w:cs="Times New Roman"/>
          <w:color w:val="auto"/>
          <w:sz w:val="24"/>
          <w:szCs w:val="24"/>
          <w:highlight w:val="none"/>
        </w:rPr>
        <w:t>⑦</w:t>
      </w:r>
      <w:r>
        <w:rPr>
          <w:rFonts w:hint="default" w:ascii="Times New Roman" w:hAnsi="Times New Roman" w:cs="Times New Roman"/>
          <w:snapToGrid w:val="0"/>
          <w:color w:val="auto"/>
          <w:spacing w:val="-6"/>
          <w:kern w:val="21"/>
          <w:sz w:val="24"/>
          <w:szCs w:val="24"/>
          <w:highlight w:val="none"/>
        </w:rPr>
        <w:fldChar w:fldCharType="end"/>
      </w:r>
      <w:r>
        <w:rPr>
          <w:rFonts w:hint="default" w:ascii="Times New Roman" w:hAnsi="Times New Roman" w:cs="Times New Roman"/>
          <w:snapToGrid w:val="0"/>
          <w:color w:val="auto"/>
          <w:spacing w:val="-6"/>
          <w:kern w:val="21"/>
          <w:sz w:val="24"/>
          <w:szCs w:val="24"/>
          <w:highlight w:val="none"/>
        </w:rPr>
        <w:t>=</w:t>
      </w:r>
      <w:r>
        <w:rPr>
          <w:rFonts w:hint="default" w:ascii="Times New Roman" w:hAnsi="Times New Roman" w:cs="Times New Roman"/>
          <w:snapToGrid w:val="0"/>
          <w:color w:val="auto"/>
          <w:spacing w:val="-16"/>
          <w:kern w:val="21"/>
          <w:sz w:val="24"/>
          <w:szCs w:val="24"/>
          <w:highlight w:val="none"/>
        </w:rPr>
        <w:fldChar w:fldCharType="begin"/>
      </w:r>
      <w:r>
        <w:rPr>
          <w:rFonts w:hint="default" w:ascii="Times New Roman" w:hAnsi="Times New Roman" w:cs="Times New Roman"/>
          <w:snapToGrid w:val="0"/>
          <w:color w:val="auto"/>
          <w:spacing w:val="-16"/>
          <w:kern w:val="21"/>
          <w:sz w:val="24"/>
          <w:szCs w:val="24"/>
          <w:highlight w:val="none"/>
        </w:rPr>
        <w:instrText xml:space="preserve"> = 6 \* GB3 \* MERGEFORMAT </w:instrText>
      </w:r>
      <w:r>
        <w:rPr>
          <w:rFonts w:hint="default" w:ascii="Times New Roman" w:hAnsi="Times New Roman" w:cs="Times New Roman"/>
          <w:snapToGrid w:val="0"/>
          <w:color w:val="auto"/>
          <w:spacing w:val="-16"/>
          <w:kern w:val="21"/>
          <w:sz w:val="24"/>
          <w:szCs w:val="24"/>
          <w:highlight w:val="none"/>
        </w:rPr>
        <w:fldChar w:fldCharType="separate"/>
      </w:r>
      <w:r>
        <w:rPr>
          <w:rFonts w:hint="default" w:ascii="Times New Roman" w:hAnsi="Times New Roman" w:cs="Times New Roman"/>
          <w:color w:val="auto"/>
          <w:sz w:val="24"/>
          <w:szCs w:val="24"/>
          <w:highlight w:val="none"/>
        </w:rPr>
        <w:t>⑥</w:t>
      </w:r>
      <w:r>
        <w:rPr>
          <w:rFonts w:hint="default" w:ascii="Times New Roman" w:hAnsi="Times New Roman" w:cs="Times New Roman"/>
          <w:snapToGrid w:val="0"/>
          <w:color w:val="auto"/>
          <w:spacing w:val="-16"/>
          <w:kern w:val="21"/>
          <w:sz w:val="24"/>
          <w:szCs w:val="24"/>
          <w:highlight w:val="none"/>
        </w:rPr>
        <w:fldChar w:fldCharType="end"/>
      </w:r>
      <w:r>
        <w:rPr>
          <w:rFonts w:hint="default" w:ascii="Times New Roman" w:hAnsi="Times New Roman" w:cs="Times New Roman"/>
          <w:snapToGrid w:val="0"/>
          <w:color w:val="auto"/>
          <w:spacing w:val="-16"/>
          <w:kern w:val="21"/>
          <w:sz w:val="24"/>
          <w:szCs w:val="24"/>
          <w:highlight w:val="none"/>
        </w:rPr>
        <w:t>-</w:t>
      </w:r>
      <w:r>
        <w:rPr>
          <w:rFonts w:hint="default" w:ascii="Times New Roman" w:hAnsi="Times New Roman" w:cs="Times New Roman"/>
          <w:snapToGrid w:val="0"/>
          <w:color w:val="auto"/>
          <w:spacing w:val="-6"/>
          <w:kern w:val="21"/>
          <w:sz w:val="24"/>
          <w:szCs w:val="24"/>
          <w:highlight w:val="none"/>
        </w:rPr>
        <w:fldChar w:fldCharType="begin"/>
      </w:r>
      <w:r>
        <w:rPr>
          <w:rFonts w:hint="default" w:ascii="Times New Roman" w:hAnsi="Times New Roman" w:cs="Times New Roman"/>
          <w:snapToGrid w:val="0"/>
          <w:color w:val="auto"/>
          <w:spacing w:val="-6"/>
          <w:kern w:val="21"/>
          <w:sz w:val="24"/>
          <w:szCs w:val="24"/>
          <w:highlight w:val="none"/>
        </w:rPr>
        <w:instrText xml:space="preserve"> = 1 \* GB3 \* MERGEFORMAT </w:instrText>
      </w:r>
      <w:r>
        <w:rPr>
          <w:rFonts w:hint="default" w:ascii="Times New Roman" w:hAnsi="Times New Roman" w:cs="Times New Roman"/>
          <w:snapToGrid w:val="0"/>
          <w:color w:val="auto"/>
          <w:spacing w:val="-6"/>
          <w:kern w:val="21"/>
          <w:sz w:val="24"/>
          <w:szCs w:val="24"/>
          <w:highlight w:val="none"/>
        </w:rPr>
        <w:fldChar w:fldCharType="separate"/>
      </w:r>
      <w:r>
        <w:rPr>
          <w:rFonts w:hint="default" w:ascii="Times New Roman" w:hAnsi="Times New Roman" w:cs="Times New Roman"/>
          <w:color w:val="auto"/>
          <w:sz w:val="24"/>
          <w:szCs w:val="24"/>
          <w:highlight w:val="none"/>
        </w:rPr>
        <w:t>①</w:t>
      </w:r>
      <w:r>
        <w:rPr>
          <w:rFonts w:hint="default" w:ascii="Times New Roman" w:hAnsi="Times New Roman" w:cs="Times New Roman"/>
          <w:snapToGrid w:val="0"/>
          <w:color w:val="auto"/>
          <w:spacing w:val="-6"/>
          <w:kern w:val="21"/>
          <w:sz w:val="24"/>
          <w:szCs w:val="24"/>
          <w:highlight w:val="none"/>
        </w:rPr>
        <w:fldChar w:fldCharType="end"/>
      </w:r>
      <w:bookmarkEnd w:id="19"/>
    </w:p>
    <w:p w14:paraId="0FE40915">
      <w:pPr>
        <w:rPr>
          <w:color w:val="auto"/>
          <w:highlight w:val="none"/>
        </w:rPr>
      </w:pPr>
    </w:p>
    <w:p w14:paraId="33B6EE9F">
      <w:pPr>
        <w:rPr>
          <w:color w:val="auto"/>
          <w:highlight w:val="none"/>
        </w:rPr>
      </w:pPr>
    </w:p>
    <w:p w14:paraId="6A7816A0">
      <w:pPr>
        <w:rPr>
          <w:color w:val="auto"/>
          <w:highlight w:val="none"/>
        </w:rPr>
      </w:pPr>
    </w:p>
    <w:p w14:paraId="5B4E06DE">
      <w:pPr>
        <w:rPr>
          <w:color w:val="auto"/>
          <w:highlight w:val="none"/>
        </w:rPr>
      </w:pPr>
    </w:p>
    <w:p w14:paraId="78399759">
      <w:pPr>
        <w:rPr>
          <w:color w:val="auto"/>
          <w:highlight w:val="none"/>
        </w:rPr>
      </w:pPr>
    </w:p>
    <w:p w14:paraId="18F915AA">
      <w:pPr>
        <w:rPr>
          <w:color w:val="auto"/>
          <w:highlight w:val="none"/>
        </w:rPr>
      </w:pPr>
    </w:p>
    <w:p w14:paraId="11FE1304">
      <w:pPr>
        <w:rPr>
          <w:color w:val="auto"/>
          <w:highlight w:val="none"/>
        </w:rPr>
      </w:pPr>
    </w:p>
    <w:p w14:paraId="62F07816">
      <w:pPr>
        <w:rPr>
          <w:color w:val="auto"/>
          <w:highlight w:val="none"/>
        </w:rPr>
      </w:pPr>
    </w:p>
    <w:p w14:paraId="56B447A4">
      <w:pPr>
        <w:rPr>
          <w:color w:val="auto"/>
          <w:highlight w:val="none"/>
        </w:rPr>
      </w:pPr>
    </w:p>
    <w:p w14:paraId="71702A68">
      <w:pPr>
        <w:rPr>
          <w:color w:val="auto"/>
          <w:highlight w:val="none"/>
        </w:rPr>
      </w:pPr>
    </w:p>
    <w:p w14:paraId="0774690F">
      <w:pPr>
        <w:rPr>
          <w:color w:val="auto"/>
          <w:highlight w:val="none"/>
        </w:rPr>
        <w:sectPr>
          <w:footerReference r:id="rId9" w:type="default"/>
          <w:pgSz w:w="16838" w:h="11906" w:orient="landscape"/>
          <w:pgMar w:top="1531" w:right="1701" w:bottom="1531" w:left="1701" w:header="851" w:footer="851" w:gutter="0"/>
          <w:pgBorders>
            <w:top w:val="none" w:sz="0" w:space="0"/>
            <w:left w:val="none" w:sz="0" w:space="0"/>
            <w:bottom w:val="none" w:sz="0" w:space="0"/>
            <w:right w:val="none" w:sz="0" w:space="0"/>
          </w:pgBorders>
          <w:pgNumType w:fmt="decimal"/>
          <w:cols w:space="720" w:num="1"/>
          <w:rtlGutter w:val="0"/>
          <w:docGrid w:type="lines" w:linePitch="312" w:charSpace="0"/>
        </w:sectPr>
      </w:pPr>
    </w:p>
    <w:p w14:paraId="37D1A862">
      <w:pPr>
        <w:rPr>
          <w:color w:val="auto"/>
          <w:highlight w:val="none"/>
        </w:rPr>
      </w:pPr>
    </w:p>
    <w:p w14:paraId="40FFB0D8">
      <w:pPr>
        <w:rPr>
          <w:color w:val="auto"/>
          <w:highlight w:val="none"/>
        </w:rPr>
      </w:pPr>
    </w:p>
    <w:p w14:paraId="7D915A09">
      <w:pPr>
        <w:rPr>
          <w:color w:val="auto"/>
          <w:highlight w:val="none"/>
        </w:rPr>
      </w:pPr>
    </w:p>
    <w:p w14:paraId="1B18C4E3">
      <w:pPr>
        <w:rPr>
          <w:color w:val="auto"/>
          <w:highlight w:val="none"/>
        </w:rPr>
      </w:pPr>
    </w:p>
    <w:p w14:paraId="7A557E87">
      <w:pPr>
        <w:rPr>
          <w:color w:val="auto"/>
          <w:highlight w:val="none"/>
        </w:rPr>
      </w:pPr>
    </w:p>
    <w:p w14:paraId="6644CA54">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eastAsia="宋体"/>
          <w:color w:val="auto"/>
          <w:highlight w:val="none"/>
          <w:lang w:eastAsia="zh-CN"/>
        </w:rPr>
        <w:sectPr>
          <w:footerReference r:id="rId10" w:type="default"/>
          <w:pgSz w:w="16838" w:h="11906" w:orient="landscape"/>
          <w:pgMar w:top="1531" w:right="1701" w:bottom="1531" w:left="1701" w:header="851" w:footer="851" w:gutter="0"/>
          <w:pgBorders>
            <w:top w:val="none" w:sz="0" w:space="0"/>
            <w:left w:val="none" w:sz="0" w:space="0"/>
            <w:bottom w:val="none" w:sz="0" w:space="0"/>
            <w:right w:val="none" w:sz="0" w:space="0"/>
          </w:pgBorders>
          <w:pgNumType w:fmt="decimal"/>
          <w:cols w:space="720" w:num="1"/>
          <w:rtlGutter w:val="0"/>
          <w:docGrid w:type="lines" w:linePitch="312" w:charSpace="0"/>
        </w:sectPr>
      </w:pPr>
    </w:p>
    <w:p w14:paraId="3CA4B8B7">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eastAsia="宋体"/>
          <w:color w:val="auto"/>
          <w:highlight w:val="none"/>
          <w:lang w:eastAsia="zh-CN"/>
        </w:rPr>
      </w:pPr>
      <w:r>
        <w:rPr>
          <w:b/>
          <w:bCs/>
          <w:sz w:val="24"/>
          <w:szCs w:val="24"/>
        </w:rPr>
        <w:drawing>
          <wp:anchor distT="0" distB="0" distL="114300" distR="114300" simplePos="0" relativeHeight="251662336" behindDoc="0" locked="0" layoutInCell="1" allowOverlap="1">
            <wp:simplePos x="0" y="0"/>
            <wp:positionH relativeFrom="column">
              <wp:posOffset>4552315</wp:posOffset>
            </wp:positionH>
            <wp:positionV relativeFrom="paragraph">
              <wp:posOffset>597535</wp:posOffset>
            </wp:positionV>
            <wp:extent cx="602615" cy="688975"/>
            <wp:effectExtent l="0" t="0" r="6985" b="9525"/>
            <wp:wrapNone/>
            <wp:docPr id="33" name="图片 15" descr="f13660726cb14516f37635d2cb536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5" descr="f13660726cb14516f37635d2cb5362b"/>
                    <pic:cNvPicPr>
                      <a:picLocks noChangeAspect="1"/>
                    </pic:cNvPicPr>
                  </pic:nvPicPr>
                  <pic:blipFill>
                    <a:blip r:embed="rId25"/>
                    <a:stretch>
                      <a:fillRect/>
                    </a:stretch>
                  </pic:blipFill>
                  <pic:spPr>
                    <a:xfrm>
                      <a:off x="0" y="0"/>
                      <a:ext cx="602615" cy="688975"/>
                    </a:xfrm>
                    <a:prstGeom prst="rect">
                      <a:avLst/>
                    </a:prstGeom>
                    <a:noFill/>
                    <a:ln>
                      <a:noFill/>
                    </a:ln>
                  </pic:spPr>
                </pic:pic>
              </a:graphicData>
            </a:graphic>
          </wp:anchor>
        </w:drawing>
      </w:r>
      <w:r>
        <w:rPr>
          <w:rFonts w:hint="eastAsia" w:eastAsia="宋体"/>
          <w:color w:val="auto"/>
          <w:highlight w:val="none"/>
          <w:lang w:eastAsia="zh-CN"/>
        </w:rPr>
        <w:drawing>
          <wp:inline distT="0" distB="0" distL="114300" distR="114300">
            <wp:extent cx="5372735" cy="8016240"/>
            <wp:effectExtent l="0" t="0" r="12065" b="10160"/>
            <wp:docPr id="30" name="图片 30" descr="青阳县地图-全要素版(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青阳县地图-全要素版(1)"/>
                    <pic:cNvPicPr>
                      <a:picLocks noChangeAspect="1"/>
                    </pic:cNvPicPr>
                  </pic:nvPicPr>
                  <pic:blipFill>
                    <a:blip r:embed="rId46"/>
                    <a:stretch>
                      <a:fillRect/>
                    </a:stretch>
                  </pic:blipFill>
                  <pic:spPr>
                    <a:xfrm>
                      <a:off x="0" y="0"/>
                      <a:ext cx="5372735" cy="8016240"/>
                    </a:xfrm>
                    <a:prstGeom prst="rect">
                      <a:avLst/>
                    </a:prstGeom>
                  </pic:spPr>
                </pic:pic>
              </a:graphicData>
            </a:graphic>
          </wp:inline>
        </w:drawing>
      </w:r>
    </w:p>
    <w:p w14:paraId="4FA5B20A">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color w:val="auto"/>
          <w:highlight w:val="none"/>
        </w:rPr>
      </w:pPr>
      <w:r>
        <w:rPr>
          <w:rFonts w:hint="eastAsia"/>
          <w:b/>
          <w:bCs/>
          <w:color w:val="auto"/>
          <w:highlight w:val="none"/>
          <w:lang w:val="en-US" w:eastAsia="zh-CN"/>
        </w:rPr>
        <w:t>附图1项目地理位置图</w:t>
      </w:r>
    </w:p>
    <w:p w14:paraId="7BF2D1BD">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b/>
          <w:bCs/>
          <w:color w:val="auto"/>
          <w:highlight w:val="none"/>
          <w:lang w:val="en-US" w:eastAsia="zh-CN"/>
        </w:rPr>
      </w:pPr>
      <w:r>
        <w:drawing>
          <wp:inline distT="0" distB="0" distL="114300" distR="114300">
            <wp:extent cx="5610860" cy="3971925"/>
            <wp:effectExtent l="0" t="0" r="2540" b="3175"/>
            <wp:docPr id="6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4"/>
                    <pic:cNvPicPr>
                      <a:picLocks noChangeAspect="1"/>
                    </pic:cNvPicPr>
                  </pic:nvPicPr>
                  <pic:blipFill>
                    <a:blip r:embed="rId47"/>
                    <a:stretch>
                      <a:fillRect/>
                    </a:stretch>
                  </pic:blipFill>
                  <pic:spPr>
                    <a:xfrm>
                      <a:off x="0" y="0"/>
                      <a:ext cx="5610860" cy="3971925"/>
                    </a:xfrm>
                    <a:prstGeom prst="rect">
                      <a:avLst/>
                    </a:prstGeom>
                    <a:noFill/>
                    <a:ln>
                      <a:noFill/>
                    </a:ln>
                  </pic:spPr>
                </pic:pic>
              </a:graphicData>
            </a:graphic>
          </wp:inline>
        </w:drawing>
      </w:r>
    </w:p>
    <w:p w14:paraId="0907D247">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pPr>
      <w:r>
        <w:rPr>
          <w:rFonts w:hint="eastAsia"/>
          <w:b/>
          <w:bCs/>
          <w:color w:val="auto"/>
          <w:highlight w:val="none"/>
          <w:lang w:val="en-US" w:eastAsia="zh-CN"/>
        </w:rPr>
        <w:t>附图2项目周边关系图</w:t>
      </w:r>
    </w:p>
    <w:p w14:paraId="670FEE7F">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p w14:paraId="4B1750B0">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b/>
          <w:bCs/>
          <w:color w:val="auto"/>
          <w:highlight w:val="none"/>
          <w:lang w:val="en-US" w:eastAsia="zh-CN"/>
        </w:rPr>
      </w:pPr>
      <w:r>
        <w:rPr>
          <w:b/>
          <w:bCs/>
          <w:sz w:val="24"/>
          <w:szCs w:val="24"/>
        </w:rPr>
        <w:drawing>
          <wp:anchor distT="0" distB="0" distL="114300" distR="114300" simplePos="0" relativeHeight="251665408" behindDoc="0" locked="0" layoutInCell="1" allowOverlap="1">
            <wp:simplePos x="0" y="0"/>
            <wp:positionH relativeFrom="column">
              <wp:posOffset>5081905</wp:posOffset>
            </wp:positionH>
            <wp:positionV relativeFrom="paragraph">
              <wp:posOffset>-5715</wp:posOffset>
            </wp:positionV>
            <wp:extent cx="530860" cy="607060"/>
            <wp:effectExtent l="0" t="0" r="2540" b="2540"/>
            <wp:wrapNone/>
            <wp:docPr id="32" name="图片 15" descr="f13660726cb14516f37635d2cb536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5" descr="f13660726cb14516f37635d2cb5362b"/>
                    <pic:cNvPicPr>
                      <a:picLocks noChangeAspect="1"/>
                    </pic:cNvPicPr>
                  </pic:nvPicPr>
                  <pic:blipFill>
                    <a:blip r:embed="rId25"/>
                    <a:stretch>
                      <a:fillRect/>
                    </a:stretch>
                  </pic:blipFill>
                  <pic:spPr>
                    <a:xfrm>
                      <a:off x="0" y="0"/>
                      <a:ext cx="530860" cy="607060"/>
                    </a:xfrm>
                    <a:prstGeom prst="rect">
                      <a:avLst/>
                    </a:prstGeom>
                    <a:noFill/>
                    <a:ln>
                      <a:noFill/>
                    </a:ln>
                  </pic:spPr>
                </pic:pic>
              </a:graphicData>
            </a:graphic>
          </wp:anchor>
        </w:drawing>
      </w:r>
      <w:r>
        <w:rPr>
          <w:b/>
          <w:bCs/>
          <w:sz w:val="24"/>
          <w:szCs w:val="24"/>
        </w:rPr>
        <w:drawing>
          <wp:anchor distT="0" distB="0" distL="114300" distR="114300" simplePos="0" relativeHeight="251664384" behindDoc="0" locked="0" layoutInCell="1" allowOverlap="1">
            <wp:simplePos x="0" y="0"/>
            <wp:positionH relativeFrom="column">
              <wp:posOffset>5180965</wp:posOffset>
            </wp:positionH>
            <wp:positionV relativeFrom="paragraph">
              <wp:posOffset>-4195445</wp:posOffset>
            </wp:positionV>
            <wp:extent cx="342900" cy="391795"/>
            <wp:effectExtent l="0" t="0" r="0" b="1905"/>
            <wp:wrapNone/>
            <wp:docPr id="31" name="图片 15" descr="f13660726cb14516f37635d2cb536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5" descr="f13660726cb14516f37635d2cb5362b"/>
                    <pic:cNvPicPr>
                      <a:picLocks noChangeAspect="1"/>
                    </pic:cNvPicPr>
                  </pic:nvPicPr>
                  <pic:blipFill>
                    <a:blip r:embed="rId25"/>
                    <a:stretch>
                      <a:fillRect/>
                    </a:stretch>
                  </pic:blipFill>
                  <pic:spPr>
                    <a:xfrm>
                      <a:off x="0" y="0"/>
                      <a:ext cx="342900" cy="391795"/>
                    </a:xfrm>
                    <a:prstGeom prst="rect">
                      <a:avLst/>
                    </a:prstGeom>
                    <a:noFill/>
                    <a:ln>
                      <a:noFill/>
                    </a:ln>
                  </pic:spPr>
                </pic:pic>
              </a:graphicData>
            </a:graphic>
          </wp:anchor>
        </w:drawing>
      </w:r>
      <w:r>
        <w:drawing>
          <wp:inline distT="0" distB="0" distL="114300" distR="114300">
            <wp:extent cx="5610860" cy="3959225"/>
            <wp:effectExtent l="0" t="0" r="2540" b="3175"/>
            <wp:docPr id="2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5"/>
                    <pic:cNvPicPr>
                      <a:picLocks noChangeAspect="1"/>
                    </pic:cNvPicPr>
                  </pic:nvPicPr>
                  <pic:blipFill>
                    <a:blip r:embed="rId48"/>
                    <a:stretch>
                      <a:fillRect/>
                    </a:stretch>
                  </pic:blipFill>
                  <pic:spPr>
                    <a:xfrm>
                      <a:off x="0" y="0"/>
                      <a:ext cx="5610860" cy="3959225"/>
                    </a:xfrm>
                    <a:prstGeom prst="rect">
                      <a:avLst/>
                    </a:prstGeom>
                    <a:noFill/>
                    <a:ln>
                      <a:noFill/>
                    </a:ln>
                  </pic:spPr>
                </pic:pic>
              </a:graphicData>
            </a:graphic>
          </wp:inline>
        </w:drawing>
      </w:r>
    </w:p>
    <w:p w14:paraId="1B45F93E">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b/>
          <w:bCs/>
          <w:sz w:val="24"/>
          <w:szCs w:val="24"/>
        </w:rPr>
      </w:pPr>
      <w:r>
        <w:rPr>
          <w:rFonts w:hint="eastAsia"/>
          <w:b/>
          <w:bCs/>
          <w:color w:val="auto"/>
          <w:highlight w:val="none"/>
          <w:lang w:val="en-US" w:eastAsia="zh-CN"/>
        </w:rPr>
        <w:t>附图3</w:t>
      </w:r>
      <w:r>
        <w:rPr>
          <w:b/>
          <w:bCs/>
          <w:sz w:val="24"/>
          <w:szCs w:val="24"/>
        </w:rPr>
        <w:t>项目周边敏感目标图</w:t>
      </w:r>
    </w:p>
    <w:p w14:paraId="470C2A74">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pPr>
    </w:p>
    <w:p w14:paraId="71E5BC10">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pPr>
    </w:p>
    <w:p w14:paraId="2211F3D5">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pPr>
    </w:p>
    <w:p w14:paraId="0CA05A36">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pPr>
    </w:p>
    <w:p w14:paraId="433C8D4A">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pPr>
    </w:p>
    <w:p w14:paraId="6D4EBA1D">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pPr>
    </w:p>
    <w:p w14:paraId="34346D40">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sectPr>
          <w:pgSz w:w="11906" w:h="16838"/>
          <w:pgMar w:top="1701" w:right="1531" w:bottom="1701" w:left="1531" w:header="851" w:footer="850" w:gutter="0"/>
          <w:pgBorders>
            <w:top w:val="none" w:sz="0" w:space="0"/>
            <w:left w:val="none" w:sz="0" w:space="0"/>
            <w:bottom w:val="none" w:sz="0" w:space="0"/>
            <w:right w:val="none" w:sz="0" w:space="0"/>
          </w:pgBorders>
          <w:pgNumType w:fmt="decimal"/>
          <w:cols w:space="0" w:num="1"/>
          <w:rtlGutter w:val="0"/>
          <w:docGrid w:type="lines" w:linePitch="327" w:charSpace="0"/>
        </w:sectPr>
      </w:pPr>
    </w:p>
    <w:p w14:paraId="79F20478">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eastAsia="宋体"/>
          <w:lang w:eastAsia="zh-CN"/>
        </w:rPr>
      </w:pPr>
      <w:r>
        <w:drawing>
          <wp:inline distT="0" distB="0" distL="114300" distR="114300">
            <wp:extent cx="8525510" cy="4365625"/>
            <wp:effectExtent l="0" t="0" r="8890" b="3175"/>
            <wp:docPr id="4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
                    <pic:cNvPicPr>
                      <a:picLocks noChangeAspect="1"/>
                    </pic:cNvPicPr>
                  </pic:nvPicPr>
                  <pic:blipFill>
                    <a:blip r:embed="rId49"/>
                    <a:stretch>
                      <a:fillRect/>
                    </a:stretch>
                  </pic:blipFill>
                  <pic:spPr>
                    <a:xfrm>
                      <a:off x="0" y="0"/>
                      <a:ext cx="8525510" cy="4365625"/>
                    </a:xfrm>
                    <a:prstGeom prst="rect">
                      <a:avLst/>
                    </a:prstGeom>
                    <a:noFill/>
                    <a:ln>
                      <a:noFill/>
                    </a:ln>
                  </pic:spPr>
                </pic:pic>
              </a:graphicData>
            </a:graphic>
          </wp:inline>
        </w:drawing>
      </w:r>
    </w:p>
    <w:p w14:paraId="13DA6083">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sectPr>
          <w:pgSz w:w="16838" w:h="11906" w:orient="landscape"/>
          <w:pgMar w:top="1531" w:right="1701" w:bottom="1531" w:left="1701" w:header="851" w:footer="850" w:gutter="0"/>
          <w:pgBorders>
            <w:top w:val="none" w:sz="0" w:space="0"/>
            <w:left w:val="none" w:sz="0" w:space="0"/>
            <w:bottom w:val="none" w:sz="0" w:space="0"/>
            <w:right w:val="none" w:sz="0" w:space="0"/>
          </w:pgBorders>
          <w:pgNumType w:fmt="decimal"/>
          <w:cols w:space="0" w:num="1"/>
          <w:rtlGutter w:val="0"/>
          <w:docGrid w:type="lines" w:linePitch="327" w:charSpace="0"/>
        </w:sectPr>
      </w:pPr>
      <w:r>
        <w:rPr>
          <w:rFonts w:hint="eastAsia"/>
          <w:b/>
          <w:bCs/>
          <w:lang w:val="en-US" w:eastAsia="zh-CN"/>
        </w:rPr>
        <w:t>附图4厂区总平面布置</w:t>
      </w:r>
    </w:p>
    <w:p w14:paraId="6EC18DCA">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pPr>
      <w:r>
        <w:drawing>
          <wp:inline distT="0" distB="0" distL="114300" distR="114300">
            <wp:extent cx="8527415" cy="5274945"/>
            <wp:effectExtent l="0" t="0" r="6985" b="8255"/>
            <wp:docPr id="5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4"/>
                    <pic:cNvPicPr>
                      <a:picLocks noChangeAspect="1"/>
                    </pic:cNvPicPr>
                  </pic:nvPicPr>
                  <pic:blipFill>
                    <a:blip r:embed="rId50"/>
                    <a:stretch>
                      <a:fillRect/>
                    </a:stretch>
                  </pic:blipFill>
                  <pic:spPr>
                    <a:xfrm>
                      <a:off x="0" y="0"/>
                      <a:ext cx="8527415" cy="5274945"/>
                    </a:xfrm>
                    <a:prstGeom prst="rect">
                      <a:avLst/>
                    </a:prstGeom>
                    <a:noFill/>
                    <a:ln>
                      <a:noFill/>
                    </a:ln>
                  </pic:spPr>
                </pic:pic>
              </a:graphicData>
            </a:graphic>
          </wp:inline>
        </w:drawing>
      </w:r>
    </w:p>
    <w:p w14:paraId="5AA031AF">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b/>
          <w:bCs/>
          <w:lang w:val="en-US" w:eastAsia="zh-CN"/>
        </w:rPr>
      </w:pPr>
      <w:r>
        <w:rPr>
          <w:rFonts w:hint="eastAsia"/>
          <w:b/>
          <w:bCs/>
          <w:lang w:val="en-US" w:eastAsia="zh-CN"/>
        </w:rPr>
        <w:t>附图5厂区分区防渗图</w:t>
      </w:r>
    </w:p>
    <w:p w14:paraId="3F57C6B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pPr>
      <w:r>
        <w:drawing>
          <wp:inline distT="0" distB="0" distL="114300" distR="114300">
            <wp:extent cx="8526780" cy="4861560"/>
            <wp:effectExtent l="0" t="0" r="7620" b="2540"/>
            <wp:docPr id="6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5"/>
                    <pic:cNvPicPr>
                      <a:picLocks noChangeAspect="1"/>
                    </pic:cNvPicPr>
                  </pic:nvPicPr>
                  <pic:blipFill>
                    <a:blip r:embed="rId51"/>
                    <a:stretch>
                      <a:fillRect/>
                    </a:stretch>
                  </pic:blipFill>
                  <pic:spPr>
                    <a:xfrm>
                      <a:off x="0" y="0"/>
                      <a:ext cx="8526780" cy="4861560"/>
                    </a:xfrm>
                    <a:prstGeom prst="rect">
                      <a:avLst/>
                    </a:prstGeom>
                    <a:noFill/>
                    <a:ln>
                      <a:noFill/>
                    </a:ln>
                  </pic:spPr>
                </pic:pic>
              </a:graphicData>
            </a:graphic>
          </wp:inline>
        </w:drawing>
      </w:r>
    </w:p>
    <w:p w14:paraId="744948E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pPr>
      <w:r>
        <w:rPr>
          <w:rFonts w:hint="eastAsia"/>
          <w:b/>
          <w:bCs/>
          <w:lang w:val="en-US" w:eastAsia="zh-CN"/>
        </w:rPr>
        <w:t>附图6废气管线收集图</w:t>
      </w:r>
    </w:p>
    <w:p w14:paraId="6AA8A4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rPr>
      </w:pPr>
    </w:p>
    <w:p w14:paraId="3A92F7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rPr>
      </w:pPr>
    </w:p>
    <w:p w14:paraId="308C13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lang w:eastAsia="zh-CN"/>
        </w:rPr>
      </w:pPr>
      <w:r>
        <w:rPr>
          <w:rFonts w:hint="eastAsia" w:eastAsia="宋体"/>
          <w:lang w:eastAsia="zh-CN"/>
        </w:rPr>
        <w:drawing>
          <wp:inline distT="0" distB="0" distL="114300" distR="114300">
            <wp:extent cx="8510270" cy="4720590"/>
            <wp:effectExtent l="0" t="0" r="11430" b="3810"/>
            <wp:docPr id="61" name="图片 61"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图片3"/>
                    <pic:cNvPicPr>
                      <a:picLocks noChangeAspect="1"/>
                    </pic:cNvPicPr>
                  </pic:nvPicPr>
                  <pic:blipFill>
                    <a:blip r:embed="rId52"/>
                    <a:stretch>
                      <a:fillRect/>
                    </a:stretch>
                  </pic:blipFill>
                  <pic:spPr>
                    <a:xfrm>
                      <a:off x="0" y="0"/>
                      <a:ext cx="8510270" cy="4720590"/>
                    </a:xfrm>
                    <a:prstGeom prst="rect">
                      <a:avLst/>
                    </a:prstGeom>
                  </pic:spPr>
                </pic:pic>
              </a:graphicData>
            </a:graphic>
          </wp:inline>
        </w:drawing>
      </w:r>
    </w:p>
    <w:p w14:paraId="653B6A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lang w:eastAsia="zh-CN"/>
        </w:rPr>
      </w:pPr>
      <w:r>
        <w:rPr>
          <w:rFonts w:hint="eastAsia" w:ascii="宋体" w:hAnsi="宋体" w:eastAsia="宋体" w:cs="宋体"/>
          <w:b/>
          <w:bCs/>
          <w:kern w:val="2"/>
          <w:sz w:val="24"/>
          <w:szCs w:val="24"/>
        </w:rPr>
        <w:t>附图</w:t>
      </w:r>
      <w:r>
        <w:rPr>
          <w:rFonts w:hint="eastAsia" w:ascii="Times New Roman" w:hAnsi="Times New Roman" w:eastAsia="宋体" w:cs="Times New Roman"/>
          <w:b/>
          <w:bCs/>
          <w:kern w:val="2"/>
          <w:sz w:val="24"/>
          <w:szCs w:val="24"/>
          <w:lang w:val="en-US" w:eastAsia="zh-CN"/>
        </w:rPr>
        <w:t>7</w:t>
      </w:r>
      <w:r>
        <w:rPr>
          <w:rFonts w:hint="eastAsia" w:ascii="宋体" w:hAnsi="宋体" w:eastAsia="宋体" w:cs="宋体"/>
          <w:b/>
          <w:bCs/>
          <w:kern w:val="2"/>
          <w:sz w:val="24"/>
          <w:szCs w:val="24"/>
          <w:lang w:val="en-US" w:eastAsia="zh-CN"/>
        </w:rPr>
        <w:t>雨污管网</w:t>
      </w:r>
      <w:r>
        <w:rPr>
          <w:rFonts w:hint="eastAsia" w:ascii="宋体" w:hAnsi="宋体" w:eastAsia="宋体" w:cs="宋体"/>
          <w:b/>
          <w:bCs/>
          <w:kern w:val="2"/>
          <w:sz w:val="24"/>
          <w:szCs w:val="24"/>
        </w:rPr>
        <w:t>图</w:t>
      </w:r>
    </w:p>
    <w:p w14:paraId="4991EB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lang w:eastAsia="zh-CN"/>
        </w:rPr>
        <w:sectPr>
          <w:pgSz w:w="16838" w:h="11906" w:orient="landscape"/>
          <w:pgMar w:top="1531" w:right="1701" w:bottom="1531" w:left="1701" w:header="851" w:footer="850" w:gutter="0"/>
          <w:pgBorders>
            <w:top w:val="none" w:sz="0" w:space="0"/>
            <w:left w:val="none" w:sz="0" w:space="0"/>
            <w:bottom w:val="none" w:sz="0" w:space="0"/>
            <w:right w:val="none" w:sz="0" w:space="0"/>
          </w:pgBorders>
          <w:pgNumType w:fmt="decimal"/>
          <w:cols w:space="0" w:num="1"/>
          <w:rtlGutter w:val="0"/>
          <w:docGrid w:type="lines" w:linePitch="327" w:charSpace="0"/>
        </w:sectPr>
      </w:pPr>
    </w:p>
    <w:p w14:paraId="47F2F493">
      <w:pPr>
        <w:pStyle w:val="5"/>
        <w:jc w:val="left"/>
        <w:rPr>
          <w:b/>
          <w:bCs/>
          <w:sz w:val="24"/>
        </w:rPr>
      </w:pPr>
      <w:r>
        <w:rPr>
          <w:rFonts w:hint="eastAsia"/>
          <w:b/>
          <w:bCs/>
          <w:sz w:val="24"/>
        </w:rPr>
        <w:t>附件1 环评委托书</w:t>
      </w:r>
    </w:p>
    <w:p w14:paraId="4E9D7F19">
      <w:pPr>
        <w:pStyle w:val="10"/>
        <w:keepNext w:val="0"/>
        <w:keepLines w:val="0"/>
        <w:pageBreakBefore w:val="0"/>
        <w:widowControl w:val="0"/>
        <w:kinsoku/>
        <w:wordWrap/>
        <w:overflowPunct/>
        <w:topLinePunct w:val="0"/>
        <w:autoSpaceDE/>
        <w:autoSpaceDN/>
        <w:bidi w:val="0"/>
        <w:adjustRightInd w:val="0"/>
        <w:snapToGrid/>
        <w:spacing w:before="328" w:beforeLines="100" w:after="328" w:afterLines="100"/>
        <w:jc w:val="center"/>
        <w:textAlignment w:val="auto"/>
        <w:rPr>
          <w:rFonts w:hint="eastAsia" w:ascii="黑体" w:hAnsi="黑体" w:eastAsia="黑体" w:cs="黑体"/>
          <w:b/>
          <w:bCs/>
          <w:sz w:val="48"/>
          <w:szCs w:val="48"/>
        </w:rPr>
      </w:pPr>
      <w:r>
        <w:rPr>
          <w:rFonts w:hint="eastAsia" w:ascii="黑体" w:hAnsi="黑体" w:eastAsia="黑体" w:cs="黑体"/>
          <w:b/>
          <w:bCs/>
          <w:sz w:val="48"/>
          <w:szCs w:val="48"/>
        </w:rPr>
        <w:t>环评委托书</w:t>
      </w:r>
    </w:p>
    <w:p w14:paraId="0B21B7CE">
      <w:pPr>
        <w:keepNext w:val="0"/>
        <w:keepLines w:val="0"/>
        <w:pageBreakBefore w:val="0"/>
        <w:widowControl w:val="0"/>
        <w:kinsoku/>
        <w:wordWrap/>
        <w:overflowPunct/>
        <w:topLinePunct w:val="0"/>
        <w:autoSpaceDE/>
        <w:autoSpaceDN/>
        <w:bidi w:val="0"/>
        <w:adjustRightInd w:val="0"/>
        <w:snapToGrid w:val="0"/>
        <w:spacing w:line="720" w:lineRule="auto"/>
        <w:ind w:left="0" w:leftChars="0" w:firstLine="0" w:firstLineChars="0"/>
        <w:textAlignment w:val="auto"/>
        <w:rPr>
          <w:rFonts w:hint="eastAsia" w:ascii="黑体" w:hAnsi="黑体" w:eastAsia="黑体" w:cs="黑体"/>
          <w:sz w:val="28"/>
          <w:szCs w:val="28"/>
        </w:rPr>
      </w:pPr>
      <w:r>
        <w:rPr>
          <w:rFonts w:hint="eastAsia" w:ascii="黑体" w:hAnsi="黑体" w:eastAsia="黑体" w:cs="黑体"/>
          <w:sz w:val="28"/>
          <w:szCs w:val="28"/>
        </w:rPr>
        <w:t>安徽</w:t>
      </w:r>
      <w:r>
        <w:rPr>
          <w:rFonts w:hint="eastAsia" w:ascii="黑体" w:hAnsi="黑体" w:eastAsia="黑体" w:cs="黑体"/>
          <w:sz w:val="28"/>
          <w:szCs w:val="28"/>
          <w:lang w:val="en-US" w:eastAsia="zh-CN"/>
        </w:rPr>
        <w:t>拓唯环境</w:t>
      </w:r>
      <w:r>
        <w:rPr>
          <w:rFonts w:hint="eastAsia" w:ascii="黑体" w:hAnsi="黑体" w:eastAsia="黑体" w:cs="黑体"/>
          <w:sz w:val="28"/>
          <w:szCs w:val="28"/>
        </w:rPr>
        <w:t>科技有限公司：</w:t>
      </w:r>
    </w:p>
    <w:p w14:paraId="27950585">
      <w:pPr>
        <w:spacing w:line="720" w:lineRule="auto"/>
        <w:ind w:firstLine="560"/>
        <w:rPr>
          <w:rFonts w:hint="eastAsia" w:ascii="黑体" w:hAnsi="黑体" w:eastAsia="黑体" w:cs="黑体"/>
          <w:sz w:val="28"/>
          <w:szCs w:val="28"/>
        </w:rPr>
      </w:pPr>
      <w:r>
        <w:rPr>
          <w:rFonts w:hint="eastAsia" w:ascii="黑体" w:hAnsi="黑体" w:eastAsia="黑体" w:cs="黑体"/>
          <w:sz w:val="28"/>
          <w:szCs w:val="28"/>
          <w:lang w:val="en-US" w:eastAsia="zh-CN"/>
        </w:rPr>
        <w:t>我公司拟在</w:t>
      </w:r>
      <w:r>
        <w:rPr>
          <w:rFonts w:hint="eastAsia" w:ascii="黑体" w:hAnsi="黑体" w:eastAsia="黑体" w:cs="黑体"/>
          <w:sz w:val="28"/>
          <w:szCs w:val="28"/>
          <w:u w:val="single"/>
          <w:lang w:val="en-US" w:eastAsia="zh-CN"/>
        </w:rPr>
        <w:t xml:space="preserve"> 安徽省池州市青阳县经济开发区东河园区 </w:t>
      </w:r>
      <w:r>
        <w:rPr>
          <w:rFonts w:hint="eastAsia" w:ascii="黑体" w:hAnsi="黑体" w:eastAsia="黑体" w:cs="黑体"/>
          <w:sz w:val="28"/>
          <w:szCs w:val="28"/>
          <w:lang w:val="en-US" w:eastAsia="zh-CN"/>
        </w:rPr>
        <w:t>建设</w:t>
      </w:r>
      <w:r>
        <w:rPr>
          <w:rFonts w:hint="eastAsia" w:ascii="黑体" w:hAnsi="黑体" w:eastAsia="黑体" w:cs="黑体"/>
          <w:sz w:val="28"/>
          <w:szCs w:val="28"/>
          <w:u w:val="single"/>
          <w:lang w:val="en-US" w:eastAsia="zh-CN"/>
        </w:rPr>
        <w:t>年产2万千米超柔工业机器人电缆项目。</w:t>
      </w:r>
      <w:r>
        <w:rPr>
          <w:rFonts w:hint="eastAsia" w:ascii="黑体" w:hAnsi="黑体" w:eastAsia="黑体" w:cs="黑体"/>
          <w:sz w:val="28"/>
          <w:szCs w:val="28"/>
          <w:lang w:val="en-US" w:eastAsia="zh-CN"/>
        </w:rPr>
        <w:t>根据《中华人民共和国环境影响评价法》及《建设项目环境保护条例》等有关法律法规的要求，本项目需进行环境影响评价工作。我单位现委托贵单位就本项目进行环境影响评价，贵单位负责提交本项目《环境影响报告表》，具体要求在合同文件中商定。</w:t>
      </w:r>
    </w:p>
    <w:p w14:paraId="1B019530">
      <w:pPr>
        <w:spacing w:line="720" w:lineRule="auto"/>
        <w:ind w:firstLine="560"/>
        <w:rPr>
          <w:rFonts w:hint="eastAsia" w:ascii="黑体" w:hAnsi="黑体" w:eastAsia="黑体" w:cs="黑体"/>
          <w:sz w:val="28"/>
          <w:szCs w:val="28"/>
        </w:rPr>
      </w:pPr>
      <w:r>
        <w:rPr>
          <w:rFonts w:hint="eastAsia" w:ascii="黑体" w:hAnsi="黑体" w:eastAsia="黑体" w:cs="黑体"/>
          <w:sz w:val="28"/>
          <w:szCs w:val="28"/>
        </w:rPr>
        <w:t>特此委托！</w:t>
      </w:r>
    </w:p>
    <w:p w14:paraId="26C50C0F"/>
    <w:p w14:paraId="706C6913"/>
    <w:p w14:paraId="6AF4D9DF">
      <w:pPr>
        <w:ind w:left="0" w:leftChars="0" w:firstLine="0" w:firstLineChars="0"/>
      </w:pPr>
    </w:p>
    <w:p w14:paraId="4E5724DD"/>
    <w:p w14:paraId="002E1F03">
      <w:pPr>
        <w:spacing w:line="480" w:lineRule="auto"/>
        <w:jc w:val="right"/>
        <w:rPr>
          <w:rFonts w:hint="default" w:ascii="黑体" w:hAnsi="黑体" w:eastAsia="黑体" w:cs="黑体"/>
          <w:lang w:val="en-US" w:eastAsia="zh-CN"/>
        </w:rPr>
      </w:pPr>
      <w:r>
        <w:rPr>
          <w:rFonts w:hint="eastAsia" w:ascii="黑体" w:hAnsi="黑体" w:eastAsia="黑体" w:cs="黑体"/>
        </w:rPr>
        <w:t>委托方（盖章）：</w:t>
      </w:r>
      <w:r>
        <w:rPr>
          <w:rFonts w:hint="eastAsia" w:ascii="黑体" w:hAnsi="黑体" w:eastAsia="黑体" w:cs="黑体"/>
          <w:lang w:val="en-US" w:eastAsia="zh-CN"/>
        </w:rPr>
        <w:t>安徽顺信线缆有限公司</w:t>
      </w:r>
    </w:p>
    <w:p w14:paraId="321FEE73">
      <w:pPr>
        <w:jc w:val="right"/>
        <w:sectPr>
          <w:pgSz w:w="11906" w:h="16838"/>
          <w:pgMar w:top="1701" w:right="1531" w:bottom="1701" w:left="1531" w:header="851" w:footer="850" w:gutter="0"/>
          <w:pgBorders>
            <w:top w:val="none" w:sz="0" w:space="0"/>
            <w:left w:val="none" w:sz="0" w:space="0"/>
            <w:bottom w:val="none" w:sz="0" w:space="0"/>
            <w:right w:val="none" w:sz="0" w:space="0"/>
          </w:pgBorders>
          <w:pgNumType w:fmt="decimal"/>
          <w:cols w:space="0" w:num="1"/>
          <w:rtlGutter w:val="0"/>
          <w:docGrid w:type="lines" w:linePitch="327" w:charSpace="0"/>
        </w:sectPr>
      </w:pPr>
      <w:r>
        <w:rPr>
          <w:rFonts w:hint="eastAsia" w:ascii="黑体" w:hAnsi="黑体" w:eastAsia="黑体" w:cs="黑体"/>
        </w:rPr>
        <w:t>委托日期：2025年</w:t>
      </w:r>
      <w:r>
        <w:rPr>
          <w:rFonts w:hint="eastAsia" w:ascii="黑体" w:hAnsi="黑体" w:eastAsia="黑体" w:cs="黑体"/>
          <w:lang w:val="en-US" w:eastAsia="zh-CN"/>
        </w:rPr>
        <w:t>9</w:t>
      </w:r>
      <w:r>
        <w:rPr>
          <w:rFonts w:hint="eastAsia" w:ascii="黑体" w:hAnsi="黑体" w:eastAsia="黑体" w:cs="黑体"/>
        </w:rPr>
        <w:t>月</w:t>
      </w:r>
      <w:r>
        <w:rPr>
          <w:rFonts w:hint="eastAsia" w:ascii="黑体" w:hAnsi="黑体" w:eastAsia="黑体" w:cs="黑体"/>
          <w:lang w:val="en-US" w:eastAsia="zh-CN"/>
        </w:rPr>
        <w:t>11</w:t>
      </w:r>
      <w:r>
        <w:rPr>
          <w:rFonts w:hint="eastAsia" w:ascii="黑体" w:hAnsi="黑体" w:eastAsia="黑体" w:cs="黑体"/>
        </w:rPr>
        <w:t>日</w:t>
      </w:r>
    </w:p>
    <w:p w14:paraId="68EED498">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b/>
          <w:bCs/>
          <w:lang w:val="en-US" w:eastAsia="zh-CN"/>
        </w:rPr>
      </w:pPr>
      <w:r>
        <w:rPr>
          <w:rFonts w:hint="eastAsia"/>
          <w:b/>
          <w:bCs/>
          <w:lang w:val="en-US" w:eastAsia="zh-CN"/>
        </w:rPr>
        <w:t>附件2项目备案文件</w:t>
      </w:r>
    </w:p>
    <w:p w14:paraId="629FEA69">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default"/>
          <w:b/>
          <w:bCs/>
          <w:lang w:val="en-US" w:eastAsia="zh-CN"/>
        </w:rPr>
      </w:pPr>
      <w:r>
        <w:drawing>
          <wp:inline distT="0" distB="0" distL="114300" distR="114300">
            <wp:extent cx="5422265" cy="7699375"/>
            <wp:effectExtent l="0" t="0" r="635" b="9525"/>
            <wp:docPr id="3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6"/>
                    <pic:cNvPicPr>
                      <a:picLocks noChangeAspect="1"/>
                    </pic:cNvPicPr>
                  </pic:nvPicPr>
                  <pic:blipFill>
                    <a:blip r:embed="rId53"/>
                    <a:stretch>
                      <a:fillRect/>
                    </a:stretch>
                  </pic:blipFill>
                  <pic:spPr>
                    <a:xfrm>
                      <a:off x="0" y="0"/>
                      <a:ext cx="5422265" cy="7699375"/>
                    </a:xfrm>
                    <a:prstGeom prst="rect">
                      <a:avLst/>
                    </a:prstGeom>
                    <a:noFill/>
                    <a:ln>
                      <a:noFill/>
                    </a:ln>
                  </pic:spPr>
                </pic:pic>
              </a:graphicData>
            </a:graphic>
          </wp:inline>
        </w:drawing>
      </w:r>
    </w:p>
    <w:p w14:paraId="54FED91E">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default"/>
          <w:b/>
          <w:bCs/>
          <w:lang w:val="en-US" w:eastAsia="zh-CN"/>
        </w:rPr>
      </w:pPr>
    </w:p>
    <w:p w14:paraId="0BD4DADA">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b/>
          <w:bCs/>
          <w:lang w:val="en-US" w:eastAsia="zh-CN"/>
        </w:rPr>
      </w:pPr>
      <w:r>
        <w:rPr>
          <w:rFonts w:hint="eastAsia"/>
          <w:b/>
          <w:bCs/>
          <w:lang w:val="en-US" w:eastAsia="zh-CN"/>
        </w:rPr>
        <w:t>附件3项目厂房租赁合同</w:t>
      </w:r>
    </w:p>
    <w:p w14:paraId="1FDBA684">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default"/>
          <w:b/>
          <w:bCs/>
          <w:lang w:val="en-US" w:eastAsia="zh-CN"/>
        </w:rPr>
      </w:pPr>
      <w:r>
        <w:drawing>
          <wp:inline distT="0" distB="0" distL="114300" distR="114300">
            <wp:extent cx="5612765" cy="7936865"/>
            <wp:effectExtent l="0" t="0" r="635" b="635"/>
            <wp:docPr id="4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7"/>
                    <pic:cNvPicPr>
                      <a:picLocks noChangeAspect="1"/>
                    </pic:cNvPicPr>
                  </pic:nvPicPr>
                  <pic:blipFill>
                    <a:blip r:embed="rId54"/>
                    <a:stretch>
                      <a:fillRect/>
                    </a:stretch>
                  </pic:blipFill>
                  <pic:spPr>
                    <a:xfrm>
                      <a:off x="0" y="0"/>
                      <a:ext cx="5612765" cy="7936865"/>
                    </a:xfrm>
                    <a:prstGeom prst="rect">
                      <a:avLst/>
                    </a:prstGeom>
                    <a:noFill/>
                    <a:ln>
                      <a:noFill/>
                    </a:ln>
                  </pic:spPr>
                </pic:pic>
              </a:graphicData>
            </a:graphic>
          </wp:inline>
        </w:drawing>
      </w:r>
      <w:r>
        <w:drawing>
          <wp:inline distT="0" distB="0" distL="114300" distR="114300">
            <wp:extent cx="5276850" cy="7486650"/>
            <wp:effectExtent l="0" t="0" r="6350" b="6350"/>
            <wp:docPr id="4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8"/>
                    <pic:cNvPicPr>
                      <a:picLocks noChangeAspect="1"/>
                    </pic:cNvPicPr>
                  </pic:nvPicPr>
                  <pic:blipFill>
                    <a:blip r:embed="rId55"/>
                    <a:stretch>
                      <a:fillRect/>
                    </a:stretch>
                  </pic:blipFill>
                  <pic:spPr>
                    <a:xfrm>
                      <a:off x="0" y="0"/>
                      <a:ext cx="5276850" cy="7486650"/>
                    </a:xfrm>
                    <a:prstGeom prst="rect">
                      <a:avLst/>
                    </a:prstGeom>
                    <a:noFill/>
                    <a:ln>
                      <a:noFill/>
                    </a:ln>
                  </pic:spPr>
                </pic:pic>
              </a:graphicData>
            </a:graphic>
          </wp:inline>
        </w:drawing>
      </w:r>
      <w:r>
        <w:drawing>
          <wp:inline distT="0" distB="0" distL="114300" distR="114300">
            <wp:extent cx="5314950" cy="7486650"/>
            <wp:effectExtent l="0" t="0" r="6350" b="6350"/>
            <wp:docPr id="5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9"/>
                    <pic:cNvPicPr>
                      <a:picLocks noChangeAspect="1"/>
                    </pic:cNvPicPr>
                  </pic:nvPicPr>
                  <pic:blipFill>
                    <a:blip r:embed="rId56"/>
                    <a:stretch>
                      <a:fillRect/>
                    </a:stretch>
                  </pic:blipFill>
                  <pic:spPr>
                    <a:xfrm>
                      <a:off x="0" y="0"/>
                      <a:ext cx="5314950" cy="7486650"/>
                    </a:xfrm>
                    <a:prstGeom prst="rect">
                      <a:avLst/>
                    </a:prstGeom>
                    <a:noFill/>
                    <a:ln>
                      <a:noFill/>
                    </a:ln>
                  </pic:spPr>
                </pic:pic>
              </a:graphicData>
            </a:graphic>
          </wp:inline>
        </w:drawing>
      </w:r>
      <w:r>
        <w:drawing>
          <wp:inline distT="0" distB="0" distL="114300" distR="114300">
            <wp:extent cx="5286375" cy="7486650"/>
            <wp:effectExtent l="0" t="0" r="9525" b="6350"/>
            <wp:docPr id="5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0"/>
                    <pic:cNvPicPr>
                      <a:picLocks noChangeAspect="1"/>
                    </pic:cNvPicPr>
                  </pic:nvPicPr>
                  <pic:blipFill>
                    <a:blip r:embed="rId57"/>
                    <a:stretch>
                      <a:fillRect/>
                    </a:stretch>
                  </pic:blipFill>
                  <pic:spPr>
                    <a:xfrm>
                      <a:off x="0" y="0"/>
                      <a:ext cx="5286375" cy="7486650"/>
                    </a:xfrm>
                    <a:prstGeom prst="rect">
                      <a:avLst/>
                    </a:prstGeom>
                    <a:noFill/>
                    <a:ln>
                      <a:noFill/>
                    </a:ln>
                  </pic:spPr>
                </pic:pic>
              </a:graphicData>
            </a:graphic>
          </wp:inline>
        </w:drawing>
      </w:r>
      <w:r>
        <w:drawing>
          <wp:inline distT="0" distB="0" distL="114300" distR="114300">
            <wp:extent cx="5286375" cy="7486650"/>
            <wp:effectExtent l="0" t="0" r="9525" b="6350"/>
            <wp:docPr id="5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1"/>
                    <pic:cNvPicPr>
                      <a:picLocks noChangeAspect="1"/>
                    </pic:cNvPicPr>
                  </pic:nvPicPr>
                  <pic:blipFill>
                    <a:blip r:embed="rId58"/>
                    <a:stretch>
                      <a:fillRect/>
                    </a:stretch>
                  </pic:blipFill>
                  <pic:spPr>
                    <a:xfrm>
                      <a:off x="0" y="0"/>
                      <a:ext cx="5286375" cy="7486650"/>
                    </a:xfrm>
                    <a:prstGeom prst="rect">
                      <a:avLst/>
                    </a:prstGeom>
                    <a:noFill/>
                    <a:ln>
                      <a:noFill/>
                    </a:ln>
                  </pic:spPr>
                </pic:pic>
              </a:graphicData>
            </a:graphic>
          </wp:inline>
        </w:drawing>
      </w:r>
    </w:p>
    <w:p w14:paraId="3BCCD0C3">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default"/>
          <w:b/>
          <w:bCs/>
          <w:lang w:val="en-US" w:eastAsia="zh-CN"/>
        </w:rPr>
      </w:pPr>
    </w:p>
    <w:p w14:paraId="3788B981">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default"/>
          <w:b/>
          <w:bCs/>
          <w:lang w:val="en-US" w:eastAsia="zh-CN"/>
        </w:rPr>
      </w:pPr>
    </w:p>
    <w:p w14:paraId="61677B4A">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default"/>
          <w:b/>
          <w:bCs/>
          <w:lang w:val="en-US" w:eastAsia="zh-CN"/>
        </w:rPr>
      </w:pPr>
    </w:p>
    <w:p w14:paraId="5671E496">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default"/>
          <w:b/>
          <w:bCs/>
          <w:lang w:val="en-US" w:eastAsia="zh-CN"/>
        </w:rPr>
      </w:pPr>
      <w:r>
        <w:rPr>
          <w:rFonts w:hint="eastAsia"/>
          <w:b/>
          <w:bCs/>
          <w:lang w:val="en-US" w:eastAsia="zh-CN"/>
        </w:rPr>
        <w:t>附件4油墨MSDS报告</w:t>
      </w:r>
      <w:r>
        <w:drawing>
          <wp:inline distT="0" distB="0" distL="114300" distR="114300">
            <wp:extent cx="5486400" cy="7029450"/>
            <wp:effectExtent l="0" t="0" r="0" b="6350"/>
            <wp:docPr id="5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6"/>
                    <pic:cNvPicPr>
                      <a:picLocks noChangeAspect="1"/>
                    </pic:cNvPicPr>
                  </pic:nvPicPr>
                  <pic:blipFill>
                    <a:blip r:embed="rId59"/>
                    <a:stretch>
                      <a:fillRect/>
                    </a:stretch>
                  </pic:blipFill>
                  <pic:spPr>
                    <a:xfrm>
                      <a:off x="0" y="0"/>
                      <a:ext cx="5486400" cy="7029450"/>
                    </a:xfrm>
                    <a:prstGeom prst="rect">
                      <a:avLst/>
                    </a:prstGeom>
                    <a:noFill/>
                    <a:ln>
                      <a:noFill/>
                    </a:ln>
                  </pic:spPr>
                </pic:pic>
              </a:graphicData>
            </a:graphic>
          </wp:inline>
        </w:drawing>
      </w:r>
      <w:r>
        <w:drawing>
          <wp:inline distT="0" distB="0" distL="114300" distR="114300">
            <wp:extent cx="5429250" cy="7029450"/>
            <wp:effectExtent l="0" t="0" r="6350" b="6350"/>
            <wp:docPr id="5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7"/>
                    <pic:cNvPicPr>
                      <a:picLocks noChangeAspect="1"/>
                    </pic:cNvPicPr>
                  </pic:nvPicPr>
                  <pic:blipFill>
                    <a:blip r:embed="rId60"/>
                    <a:stretch>
                      <a:fillRect/>
                    </a:stretch>
                  </pic:blipFill>
                  <pic:spPr>
                    <a:xfrm>
                      <a:off x="0" y="0"/>
                      <a:ext cx="5429250" cy="7029450"/>
                    </a:xfrm>
                    <a:prstGeom prst="rect">
                      <a:avLst/>
                    </a:prstGeom>
                    <a:noFill/>
                    <a:ln>
                      <a:noFill/>
                    </a:ln>
                  </pic:spPr>
                </pic:pic>
              </a:graphicData>
            </a:graphic>
          </wp:inline>
        </w:drawing>
      </w:r>
      <w:r>
        <w:drawing>
          <wp:inline distT="0" distB="0" distL="114300" distR="114300">
            <wp:extent cx="5486400" cy="7029450"/>
            <wp:effectExtent l="0" t="0" r="0" b="6350"/>
            <wp:docPr id="5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8"/>
                    <pic:cNvPicPr>
                      <a:picLocks noChangeAspect="1"/>
                    </pic:cNvPicPr>
                  </pic:nvPicPr>
                  <pic:blipFill>
                    <a:blip r:embed="rId61"/>
                    <a:stretch>
                      <a:fillRect/>
                    </a:stretch>
                  </pic:blipFill>
                  <pic:spPr>
                    <a:xfrm>
                      <a:off x="0" y="0"/>
                      <a:ext cx="5486400" cy="7029450"/>
                    </a:xfrm>
                    <a:prstGeom prst="rect">
                      <a:avLst/>
                    </a:prstGeom>
                    <a:noFill/>
                    <a:ln>
                      <a:noFill/>
                    </a:ln>
                  </pic:spPr>
                </pic:pic>
              </a:graphicData>
            </a:graphic>
          </wp:inline>
        </w:drawing>
      </w:r>
      <w:r>
        <w:drawing>
          <wp:inline distT="0" distB="0" distL="114300" distR="114300">
            <wp:extent cx="5429250" cy="7029450"/>
            <wp:effectExtent l="0" t="0" r="6350" b="6350"/>
            <wp:docPr id="5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9"/>
                    <pic:cNvPicPr>
                      <a:picLocks noChangeAspect="1"/>
                    </pic:cNvPicPr>
                  </pic:nvPicPr>
                  <pic:blipFill>
                    <a:blip r:embed="rId62"/>
                    <a:stretch>
                      <a:fillRect/>
                    </a:stretch>
                  </pic:blipFill>
                  <pic:spPr>
                    <a:xfrm>
                      <a:off x="0" y="0"/>
                      <a:ext cx="5429250" cy="7029450"/>
                    </a:xfrm>
                    <a:prstGeom prst="rect">
                      <a:avLst/>
                    </a:prstGeom>
                    <a:noFill/>
                    <a:ln>
                      <a:noFill/>
                    </a:ln>
                  </pic:spPr>
                </pic:pic>
              </a:graphicData>
            </a:graphic>
          </wp:inline>
        </w:drawing>
      </w:r>
      <w:r>
        <w:drawing>
          <wp:inline distT="0" distB="0" distL="114300" distR="114300">
            <wp:extent cx="5429250" cy="7048500"/>
            <wp:effectExtent l="0" t="0" r="6350" b="0"/>
            <wp:docPr id="5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0"/>
                    <pic:cNvPicPr>
                      <a:picLocks noChangeAspect="1"/>
                    </pic:cNvPicPr>
                  </pic:nvPicPr>
                  <pic:blipFill>
                    <a:blip r:embed="rId63"/>
                    <a:stretch>
                      <a:fillRect/>
                    </a:stretch>
                  </pic:blipFill>
                  <pic:spPr>
                    <a:xfrm>
                      <a:off x="0" y="0"/>
                      <a:ext cx="5429250" cy="7048500"/>
                    </a:xfrm>
                    <a:prstGeom prst="rect">
                      <a:avLst/>
                    </a:prstGeom>
                    <a:noFill/>
                    <a:ln>
                      <a:noFill/>
                    </a:ln>
                  </pic:spPr>
                </pic:pic>
              </a:graphicData>
            </a:graphic>
          </wp:inline>
        </w:drawing>
      </w:r>
      <w:r>
        <w:drawing>
          <wp:inline distT="0" distB="0" distL="114300" distR="114300">
            <wp:extent cx="5429250" cy="7058025"/>
            <wp:effectExtent l="0" t="0" r="6350" b="3175"/>
            <wp:docPr id="5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1"/>
                    <pic:cNvPicPr>
                      <a:picLocks noChangeAspect="1"/>
                    </pic:cNvPicPr>
                  </pic:nvPicPr>
                  <pic:blipFill>
                    <a:blip r:embed="rId64"/>
                    <a:stretch>
                      <a:fillRect/>
                    </a:stretch>
                  </pic:blipFill>
                  <pic:spPr>
                    <a:xfrm>
                      <a:off x="0" y="0"/>
                      <a:ext cx="5429250" cy="7058025"/>
                    </a:xfrm>
                    <a:prstGeom prst="rect">
                      <a:avLst/>
                    </a:prstGeom>
                    <a:noFill/>
                    <a:ln>
                      <a:noFill/>
                    </a:ln>
                  </pic:spPr>
                </pic:pic>
              </a:graphicData>
            </a:graphic>
          </wp:inline>
        </w:drawing>
      </w:r>
    </w:p>
    <w:p w14:paraId="3960C67C">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default"/>
          <w:b/>
          <w:bCs/>
          <w:lang w:val="en-US" w:eastAsia="zh-CN"/>
        </w:rPr>
      </w:pPr>
    </w:p>
    <w:p w14:paraId="7E99B5D1">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default"/>
          <w:b/>
          <w:bCs/>
          <w:lang w:val="en-US" w:eastAsia="zh-CN"/>
        </w:rPr>
      </w:pPr>
    </w:p>
    <w:p w14:paraId="69F1C160">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default"/>
          <w:b/>
          <w:bCs/>
          <w:lang w:val="en-US" w:eastAsia="zh-CN"/>
        </w:rPr>
      </w:pPr>
    </w:p>
    <w:sectPr>
      <w:pgSz w:w="11906" w:h="16838"/>
      <w:pgMar w:top="1701" w:right="1531" w:bottom="1701" w:left="1531" w:header="851" w:footer="850" w:gutter="0"/>
      <w:pgBorders>
        <w:top w:val="none" w:sz="0" w:space="0"/>
        <w:left w:val="none" w:sz="0" w:space="0"/>
        <w:bottom w:val="none" w:sz="0" w:space="0"/>
        <w:right w:val="none" w:sz="0" w:space="0"/>
      </w:pgBorders>
      <w:pgNumType w:fmt="decimal"/>
      <w:cols w:space="0" w:num="1"/>
      <w:rtlGutter w:val="0"/>
      <w:docGrid w:type="lines" w:linePitch="327"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ECB9371-3EC1-4CE0-AFB6-0E62B2A7331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embedRegular r:id="rId2" w:fontKey="{E7905381-3E01-4BD7-9C81-D6BBB326BFF4}"/>
  </w:font>
  <w:font w:name="仿宋">
    <w:panose1 w:val="02010609060101010101"/>
    <w:charset w:val="86"/>
    <w:family w:val="modern"/>
    <w:pitch w:val="default"/>
    <w:sig w:usb0="800002BF" w:usb1="38CF7CFA" w:usb2="00000016" w:usb3="00000000" w:csb0="00040001" w:csb1="00000000"/>
    <w:embedRegular r:id="rId3" w:fontKey="{F0C956E6-46D9-4982-BE88-37469044419C}"/>
  </w:font>
  <w:font w:name="等线 Light">
    <w:panose1 w:val="02010600030101010101"/>
    <w:charset w:val="86"/>
    <w:family w:val="auto"/>
    <w:pitch w:val="default"/>
    <w:sig w:usb0="A00002BF" w:usb1="38CF7CFA" w:usb2="00000016" w:usb3="00000000" w:csb0="0004000F" w:csb1="00000000"/>
  </w:font>
  <w:font w:name="楷体_GB2312">
    <w:panose1 w:val="02010609030101010101"/>
    <w:charset w:val="86"/>
    <w:family w:val="modern"/>
    <w:pitch w:val="default"/>
    <w:sig w:usb0="00000001" w:usb1="080E0000" w:usb2="00000000" w:usb3="00000000" w:csb0="00040000" w:csb1="00000000"/>
    <w:embedRegular r:id="rId4" w:fontKey="{A739D8BC-90E9-43AB-B974-1DBD229EFB4C}"/>
  </w:font>
  <w:font w:name="Wingdings 2">
    <w:panose1 w:val="05020102010507070707"/>
    <w:charset w:val="02"/>
    <w:family w:val="auto"/>
    <w:pitch w:val="default"/>
    <w:sig w:usb0="00000000" w:usb1="00000000" w:usb2="00000000" w:usb3="00000000" w:csb0="80000000" w:csb1="00000000"/>
    <w:embedRegular r:id="rId5" w:fontKey="{43DA4CA1-2509-4D67-9819-A290AED135B0}"/>
  </w:font>
  <w:font w:name="微软雅黑">
    <w:panose1 w:val="020B0503020204020204"/>
    <w:charset w:val="86"/>
    <w:family w:val="auto"/>
    <w:pitch w:val="default"/>
    <w:sig w:usb0="80000287" w:usb1="2ACF3C50" w:usb2="00000016" w:usb3="00000000" w:csb0="0004001F" w:csb1="00000000"/>
    <w:embedRegular r:id="rId6" w:fontKey="{0D1D83BC-CEE3-48C2-AEA5-E394782851F2}"/>
  </w:font>
  <w:font w:name="KSOFE44F9426">
    <w:panose1 w:val="02010609060101010101"/>
    <w:charset w:val="86"/>
    <w:family w:val="auto"/>
    <w:pitch w:val="default"/>
    <w:sig w:usb0="00000001" w:usb1="00000000" w:usb2="00000000" w:usb3="00000000" w:csb0="00040001" w:csb1="00000000"/>
  </w:font>
  <w:font w:name="WPSEMBED1">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8A678">
    <w:pPr>
      <w:pStyle w:val="1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DCA07">
    <w:pPr>
      <w:pStyle w:val="16"/>
      <w:framePr w:wrap="around" w:vAnchor="text" w:hAnchor="margin" w:xAlign="center" w:y="1"/>
      <w:rPr>
        <w:rStyle w:val="31"/>
      </w:rPr>
    </w:pPr>
    <w:r>
      <w:fldChar w:fldCharType="begin"/>
    </w:r>
    <w:r>
      <w:rPr>
        <w:rStyle w:val="31"/>
      </w:rPr>
      <w:instrText xml:space="preserve">PAGE  </w:instrText>
    </w:r>
    <w:r>
      <w:fldChar w:fldCharType="end"/>
    </w:r>
  </w:p>
  <w:p w14:paraId="14A4F6A9">
    <w:pPr>
      <w:pStyle w:val="16"/>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CE8CE">
    <w:pPr>
      <w:pStyle w:val="16"/>
      <w:ind w:right="360" w:firstLine="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15CF22">
                          <w:pPr>
                            <w:pStyle w:val="16"/>
                            <w:rPr>
                              <w:sz w:val="18"/>
                              <w:szCs w:val="18"/>
                            </w:rPr>
                          </w:pPr>
                          <w:r>
                            <w:rPr>
                              <w:sz w:val="18"/>
                              <w:szCs w:val="18"/>
                            </w:rPr>
                            <w:t xml:space="preserve">—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r>
                            <w:rPr>
                              <w:sz w:val="18"/>
                              <w:szCs w:val="18"/>
                            </w:rPr>
                            <w:t xml:space="preserve"> —</w:t>
                          </w:r>
                        </w:p>
                      </w:txbxContent>
                    </wps:txbx>
                    <wps:bodyPr vert="horz" wrap="none" lIns="0" tIns="0" rIns="0" bIns="0" anchor="t" anchorCtr="0"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XaQ/d8BAADAAwAADgAAAGRycy9lMm9Eb2MueG1srVNNrtMwEN4jcQfL&#10;e5q0EqiKmj4B1UNICJAeHMB1nMaS/+SZNikHgBuwYsOec/UcjJ2kDx6bt2CTjGfG38z3zXhzM1jD&#10;TiqC9q7my0XJmXLSN9odav750+2zNWeAwjXCeKdqflbAb7ZPn2z6UKmV77xpVGQE4qDqQ807xFAV&#10;BchOWQELH5SjYOujFUjHeCiaKHpCt6ZYleWLovexCdFLBUDe3RjkE2J8DKBvWy3VzsujVQ5H1KiM&#10;QKIEnQ7At7nbtlUSP7QtKGSm5sQU85eKkL1P32K7EdUhitBpObUgHtPCA05WaEdFr1A7gYIdo/4H&#10;ymoZPfgWF9LbYiSSFSEWy/KBNnedCCpzIakhXEWH/wcr358+Rqabmq+ec+aEpYlfvn+7/Ph1+fmV&#10;LZdJoD5ARXl3gTJxeOUHWpvZD+RMvIc22vQnRoziJO/5Kq8akMl0ab1ar0sKSYrNB8Iv7q+HCPhG&#10;ecuSUfNI88uyitM7wDF1TknVnL/VxuQZGveXgzCTp0i9jz0mC4f9MBHa++ZMfOghUJ3Oxy+c9bQG&#10;NXe09ZyZt45UThszG3E29rMhnKSLNUfORvM1jpt1DFEfurxrqSkIL49InWYCqY2x9tQdDTZLMC1h&#10;2pw/zznr/uFtf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tXaQ/d8BAADAAwAADgAAAAAA&#10;AAABACAAAAAeAQAAZHJzL2Uyb0RvYy54bWxQSwUGAAAAAAYABgBZAQAAbwUAAAAA&#10;">
              <v:fill on="f" focussize="0,0"/>
              <v:stroke on="f"/>
              <v:imagedata o:title=""/>
              <o:lock v:ext="edit" aspectratio="f"/>
              <v:textbox inset="0mm,0mm,0mm,0mm" style="mso-fit-shape-to-text:t;">
                <w:txbxContent>
                  <w:p w14:paraId="1A15CF22">
                    <w:pPr>
                      <w:pStyle w:val="16"/>
                      <w:rPr>
                        <w:sz w:val="18"/>
                        <w:szCs w:val="18"/>
                      </w:rPr>
                    </w:pPr>
                    <w:r>
                      <w:rPr>
                        <w:sz w:val="18"/>
                        <w:szCs w:val="18"/>
                      </w:rPr>
                      <w:t xml:space="preserve">—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r>
                      <w:rPr>
                        <w:sz w:val="18"/>
                        <w:szCs w:val="18"/>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25A98">
    <w:pPr>
      <w:pStyle w:val="16"/>
      <w:ind w:right="360" w:firstLine="36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05E0142">
                          <w:pPr>
                            <w:pStyle w:val="16"/>
                          </w:pPr>
                          <w:r>
                            <w:t xml:space="preserve">— </w:t>
                          </w:r>
                          <w:r>
                            <w:fldChar w:fldCharType="begin"/>
                          </w:r>
                          <w:r>
                            <w:instrText xml:space="preserve"> PAGE  \* MERGEFORMAT </w:instrText>
                          </w:r>
                          <w:r>
                            <w:fldChar w:fldCharType="separate"/>
                          </w:r>
                          <w:r>
                            <w:t>16</w:t>
                          </w:r>
                          <w:r>
                            <w:fldChar w:fldCharType="end"/>
                          </w:r>
                          <w:r>
                            <w:t xml:space="preserve"> —</w:t>
                          </w:r>
                        </w:p>
                      </w:txbxContent>
                    </wps:txbx>
                    <wps:bodyPr vert="horz" wrap="none" lIns="0" tIns="0" rIns="0" bIns="0" anchor="t" anchorCtr="0" upright="0">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Jf+n98BAADAAwAADgAAAGRycy9lMm9Eb2MueG1srVPNjtMwEL4j8Q6W&#10;7zRpDquqaroCqkVICJAWHsB1nMaS/zTjNikPAG/AiQt3nqvPwdhJurBc9sAlGc+Mv5nvm/HmdrCG&#10;nRSg9q7my0XJmXLSN9odav75092LFWcYhWuE8U7V/KyQ326fP9v0Ya0q33nTKGAE4nDdh5p3MYZ1&#10;UaDslBW48EE5CrYerIh0hEPRgOgJ3ZqiKsubovfQBPBSIZJ3Nwb5hAhPAfRtq6XaeXm0ysURFZQR&#10;kShhpwPybe62bZWMH9oWVWSm5sQ05i8VIXufvsV2I9YHEKHTcmpBPKWFR5ys0I6KXqF2Igp2BP0P&#10;lNUSPPo2LqS3xUgkK0IsluUjbe47EVTmQlJjuIqO/w9Wvj99BKabmlc3nDlhaeKX798uP35dfn5l&#10;yyoJ1AdcU959oMw4vPIDrc3sR3Im3kMLNv2JEaM4yXu+yquGyGS6tKpWq5JCkmLzgfCLh+sBML5R&#10;3rJk1BxofllWcXqHcUydU1I15++0MXmGxv3lIMzkKVLvY4/JisN+mAjtfXMmPvQQqE7n4QtnPa1B&#10;zR1tPWfmrSOV08bMBszGfjaEk3Sx5pGz0Xwdx806BtCHLu9aagrDy2OkTjOB1MZYe+qOBpslmJYw&#10;bc6f55z18PC2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fJf+n98BAADAAwAADgAAAAAA&#10;AAABACAAAAAeAQAAZHJzL2Uyb0RvYy54bWxQSwUGAAAAAAYABgBZAQAAbwUAAAAA&#10;">
              <v:fill on="f" focussize="0,0"/>
              <v:stroke on="f"/>
              <v:imagedata o:title=""/>
              <o:lock v:ext="edit" aspectratio="f"/>
              <v:textbox inset="0mm,0mm,0mm,0mm" style="mso-fit-shape-to-text:t;">
                <w:txbxContent>
                  <w:p w14:paraId="305E0142">
                    <w:pPr>
                      <w:pStyle w:val="16"/>
                    </w:pPr>
                    <w:r>
                      <w:t xml:space="preserve">— </w:t>
                    </w:r>
                    <w:r>
                      <w:fldChar w:fldCharType="begin"/>
                    </w:r>
                    <w:r>
                      <w:instrText xml:space="preserve"> PAGE  \* MERGEFORMAT </w:instrText>
                    </w:r>
                    <w:r>
                      <w:fldChar w:fldCharType="separate"/>
                    </w:r>
                    <w:r>
                      <w:t>16</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5A6F6F">
    <w:pPr>
      <w:pStyle w:val="16"/>
      <w:ind w:right="360"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5D7BD5B">
                          <w:pPr>
                            <w:pStyle w:val="16"/>
                          </w:pPr>
                          <w:r>
                            <w:t xml:space="preserve">— </w:t>
                          </w:r>
                          <w:r>
                            <w:fldChar w:fldCharType="begin"/>
                          </w:r>
                          <w:r>
                            <w:instrText xml:space="preserve"> PAGE  \* MERGEFORMAT </w:instrText>
                          </w:r>
                          <w:r>
                            <w:fldChar w:fldCharType="separate"/>
                          </w:r>
                          <w:r>
                            <w:t>107</w:t>
                          </w:r>
                          <w:r>
                            <w:fldChar w:fldCharType="end"/>
                          </w:r>
                          <w:r>
                            <w:t xml:space="preserve"> —</w:t>
                          </w:r>
                        </w:p>
                      </w:txbxContent>
                    </wps:txbx>
                    <wps:bodyPr vert="horz" wrap="none" lIns="0" tIns="0" rIns="0" bIns="0" anchor="t" anchorCtr="0" upright="0">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8gkvuABAADAAwAADgAAAGRycy9lMm9Eb2MueG1srVPNjtMwEL4j8Q6W&#10;7zRpkaCqmq6AahESAqSFB3Adp7HkP42nTcoDwBtw4sKd5+pz7NhJurB72cNekvHM+Jv5vhmvr3pr&#10;2FFB1N5VfD4rOVNO+lq7fcW/fb1+seQsonC1MN6pip9U5Feb58/WXViphW+9qRUwAnFx1YWKt4hh&#10;VRRRtsqKOPNBOQo2HqxAOsK+qEF0hG5NsSjLV0XnoQ7gpYqRvNshyEdEeAygbxot1dbLg1UOB1RQ&#10;RiBRiq0OkW9yt02jJH5umqiQmYoTU8xfKkL2Ln2LzVqs9iBCq+XYgnhMC/c4WaEdFb1AbQUKdgD9&#10;AMpqCT76BmfS22IgkhUhFvPynjY3rQgqcyGpY7iIHp8OVn46fgGm64ovXnPmhKWJn3/9PP/+e/7z&#10;g81fJoG6EFeUdxMoE/u3vqe1mfyRnIl334BNf2LEKE7yni7yqh6ZTJeWi+WypJCk2HQg/OLueoCI&#10;75W3LBkVB5pfllUcP0YcUqeUVM35a21MnqFx/zkIM3mK1PvQY7Kw3/UjoZ2vT8SHHgLVaT1856yj&#10;Nai4o63nzHxwpHLamMmAydhNhnCSLlYcORvMdzhs1iGA3rd511JTMbw5IHWaCaQ2htpjdzTYLMG4&#10;hGlz/j3nrLuHt7k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DvIJL7gAQAAwAMAAA4AAAAA&#10;AAAAAQAgAAAAHgEAAGRycy9lMm9Eb2MueG1sUEsFBgAAAAAGAAYAWQEAAHAFAAAAAA==&#10;">
              <v:fill on="f" focussize="0,0"/>
              <v:stroke on="f"/>
              <v:imagedata o:title=""/>
              <o:lock v:ext="edit" aspectratio="f"/>
              <v:textbox inset="0mm,0mm,0mm,0mm" style="mso-fit-shape-to-text:t;">
                <w:txbxContent>
                  <w:p w14:paraId="55D7BD5B">
                    <w:pPr>
                      <w:pStyle w:val="16"/>
                    </w:pPr>
                    <w:r>
                      <w:t xml:space="preserve">— </w:t>
                    </w:r>
                    <w:r>
                      <w:fldChar w:fldCharType="begin"/>
                    </w:r>
                    <w:r>
                      <w:instrText xml:space="preserve"> PAGE  \* MERGEFORMAT </w:instrText>
                    </w:r>
                    <w:r>
                      <w:fldChar w:fldCharType="separate"/>
                    </w:r>
                    <w:r>
                      <w:t>107</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FA8E7">
    <w:pPr>
      <w:pStyle w:val="16"/>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E00C8F"/>
    <w:multiLevelType w:val="singleLevel"/>
    <w:tmpl w:val="84E00C8F"/>
    <w:lvl w:ilvl="0" w:tentative="0">
      <w:start w:val="10"/>
      <w:numFmt w:val="decimal"/>
      <w:suff w:val="nothing"/>
      <w:lvlText w:val="（%1）"/>
      <w:lvlJc w:val="left"/>
    </w:lvl>
  </w:abstractNum>
  <w:abstractNum w:abstractNumId="1">
    <w:nsid w:val="86779B59"/>
    <w:multiLevelType w:val="singleLevel"/>
    <w:tmpl w:val="86779B59"/>
    <w:lvl w:ilvl="0" w:tentative="0">
      <w:start w:val="1"/>
      <w:numFmt w:val="decimal"/>
      <w:suff w:val="nothing"/>
      <w:lvlText w:val="%1、"/>
      <w:lvlJc w:val="left"/>
    </w:lvl>
  </w:abstractNum>
  <w:abstractNum w:abstractNumId="2">
    <w:nsid w:val="A0B415A0"/>
    <w:multiLevelType w:val="singleLevel"/>
    <w:tmpl w:val="A0B415A0"/>
    <w:lvl w:ilvl="0" w:tentative="0">
      <w:start w:val="2"/>
      <w:numFmt w:val="decimal"/>
      <w:suff w:val="nothing"/>
      <w:lvlText w:val="%1）"/>
      <w:lvlJc w:val="left"/>
    </w:lvl>
  </w:abstractNum>
  <w:abstractNum w:abstractNumId="3">
    <w:nsid w:val="B1841BCB"/>
    <w:multiLevelType w:val="singleLevel"/>
    <w:tmpl w:val="B1841BCB"/>
    <w:lvl w:ilvl="0" w:tentative="0">
      <w:start w:val="1"/>
      <w:numFmt w:val="decimal"/>
      <w:suff w:val="nothing"/>
      <w:lvlText w:val="%1、"/>
      <w:lvlJc w:val="left"/>
    </w:lvl>
  </w:abstractNum>
  <w:abstractNum w:abstractNumId="4">
    <w:nsid w:val="3001ECC9"/>
    <w:multiLevelType w:val="singleLevel"/>
    <w:tmpl w:val="3001ECC9"/>
    <w:lvl w:ilvl="0" w:tentative="0">
      <w:start w:val="5"/>
      <w:numFmt w:val="decimal"/>
      <w:suff w:val="nothing"/>
      <w:lvlText w:val="%1、"/>
      <w:lvlJc w:val="left"/>
    </w:lvl>
  </w:abstractNum>
  <w:abstractNum w:abstractNumId="5">
    <w:nsid w:val="7F6A2977"/>
    <w:multiLevelType w:val="singleLevel"/>
    <w:tmpl w:val="7F6A2977"/>
    <w:lvl w:ilvl="0" w:tentative="0">
      <w:start w:val="2"/>
      <w:numFmt w:val="decimal"/>
      <w:suff w:val="nothing"/>
      <w:lvlText w:val="%1）"/>
      <w:lvlJc w:val="left"/>
    </w:lvl>
  </w:abstractNum>
  <w:num w:numId="1">
    <w:abstractNumId w:val="1"/>
  </w:num>
  <w:num w:numId="2">
    <w:abstractNumId w:val="4"/>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hyphenationZone w:val="360"/>
  <w:doNotHyphenateCaps/>
  <w:drawingGridHorizontalSpacing w:val="210"/>
  <w:drawingGridVerticalSpacing w:val="164"/>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RiNTk2NjljOTAyYWVmMzhhZmIxZGM3MzkwY2I0ZjkifQ=="/>
  </w:docVars>
  <w:rsids>
    <w:rsidRoot w:val="00172A27"/>
    <w:rsid w:val="000060B3"/>
    <w:rsid w:val="0004364B"/>
    <w:rsid w:val="00061B1F"/>
    <w:rsid w:val="000733C4"/>
    <w:rsid w:val="00074783"/>
    <w:rsid w:val="0008070B"/>
    <w:rsid w:val="000810AC"/>
    <w:rsid w:val="00081A02"/>
    <w:rsid w:val="00082231"/>
    <w:rsid w:val="00092D38"/>
    <w:rsid w:val="0009377B"/>
    <w:rsid w:val="000A20C9"/>
    <w:rsid w:val="000B058F"/>
    <w:rsid w:val="000B4467"/>
    <w:rsid w:val="000B4DB9"/>
    <w:rsid w:val="000C09AC"/>
    <w:rsid w:val="000C767F"/>
    <w:rsid w:val="000D5A44"/>
    <w:rsid w:val="000E3ED2"/>
    <w:rsid w:val="00131F42"/>
    <w:rsid w:val="001357F1"/>
    <w:rsid w:val="00140FA8"/>
    <w:rsid w:val="00142FEB"/>
    <w:rsid w:val="00143A2D"/>
    <w:rsid w:val="00145A41"/>
    <w:rsid w:val="00151675"/>
    <w:rsid w:val="00157435"/>
    <w:rsid w:val="0017504D"/>
    <w:rsid w:val="0017671A"/>
    <w:rsid w:val="00177422"/>
    <w:rsid w:val="00184590"/>
    <w:rsid w:val="001870D1"/>
    <w:rsid w:val="0018781E"/>
    <w:rsid w:val="0019262D"/>
    <w:rsid w:val="001A1B35"/>
    <w:rsid w:val="001A48A2"/>
    <w:rsid w:val="001A6F61"/>
    <w:rsid w:val="001B72B8"/>
    <w:rsid w:val="001C69B3"/>
    <w:rsid w:val="001D5595"/>
    <w:rsid w:val="001D7874"/>
    <w:rsid w:val="001D7F22"/>
    <w:rsid w:val="001F0F17"/>
    <w:rsid w:val="001F3347"/>
    <w:rsid w:val="001F69E4"/>
    <w:rsid w:val="002125B4"/>
    <w:rsid w:val="002155B8"/>
    <w:rsid w:val="00224839"/>
    <w:rsid w:val="002249B2"/>
    <w:rsid w:val="00226574"/>
    <w:rsid w:val="002278EC"/>
    <w:rsid w:val="0023280E"/>
    <w:rsid w:val="002377D1"/>
    <w:rsid w:val="002506BC"/>
    <w:rsid w:val="00254345"/>
    <w:rsid w:val="00264557"/>
    <w:rsid w:val="002805AB"/>
    <w:rsid w:val="00284204"/>
    <w:rsid w:val="00291773"/>
    <w:rsid w:val="002A168C"/>
    <w:rsid w:val="002A3DC7"/>
    <w:rsid w:val="002B49E2"/>
    <w:rsid w:val="002B7B00"/>
    <w:rsid w:val="002B7C44"/>
    <w:rsid w:val="002C2B17"/>
    <w:rsid w:val="002D3DD0"/>
    <w:rsid w:val="002E1F3A"/>
    <w:rsid w:val="002E298A"/>
    <w:rsid w:val="00301978"/>
    <w:rsid w:val="0030332C"/>
    <w:rsid w:val="003051C2"/>
    <w:rsid w:val="00312296"/>
    <w:rsid w:val="00314F0E"/>
    <w:rsid w:val="00321D8E"/>
    <w:rsid w:val="00325928"/>
    <w:rsid w:val="00332863"/>
    <w:rsid w:val="0033684D"/>
    <w:rsid w:val="00337B42"/>
    <w:rsid w:val="00341B42"/>
    <w:rsid w:val="0034348F"/>
    <w:rsid w:val="00356653"/>
    <w:rsid w:val="0035743F"/>
    <w:rsid w:val="00357BE2"/>
    <w:rsid w:val="0036170C"/>
    <w:rsid w:val="00366E0F"/>
    <w:rsid w:val="00381A72"/>
    <w:rsid w:val="00384676"/>
    <w:rsid w:val="00390857"/>
    <w:rsid w:val="003A306F"/>
    <w:rsid w:val="003A4BF3"/>
    <w:rsid w:val="003B420D"/>
    <w:rsid w:val="003C0AEC"/>
    <w:rsid w:val="003C6C16"/>
    <w:rsid w:val="003D794D"/>
    <w:rsid w:val="003E3058"/>
    <w:rsid w:val="003E76A9"/>
    <w:rsid w:val="003F0809"/>
    <w:rsid w:val="003F6A8C"/>
    <w:rsid w:val="003F755C"/>
    <w:rsid w:val="00406F01"/>
    <w:rsid w:val="00416D50"/>
    <w:rsid w:val="00416FD5"/>
    <w:rsid w:val="00417772"/>
    <w:rsid w:val="00420E6A"/>
    <w:rsid w:val="00425A9E"/>
    <w:rsid w:val="00426D6B"/>
    <w:rsid w:val="00431E6C"/>
    <w:rsid w:val="00433CE7"/>
    <w:rsid w:val="00452738"/>
    <w:rsid w:val="00456091"/>
    <w:rsid w:val="00466321"/>
    <w:rsid w:val="00483176"/>
    <w:rsid w:val="00484B9B"/>
    <w:rsid w:val="004855F6"/>
    <w:rsid w:val="0048661E"/>
    <w:rsid w:val="00494670"/>
    <w:rsid w:val="004A3823"/>
    <w:rsid w:val="004E6946"/>
    <w:rsid w:val="004F1AD8"/>
    <w:rsid w:val="005039CB"/>
    <w:rsid w:val="0050558F"/>
    <w:rsid w:val="00506286"/>
    <w:rsid w:val="00510813"/>
    <w:rsid w:val="00511990"/>
    <w:rsid w:val="00511DE0"/>
    <w:rsid w:val="00514870"/>
    <w:rsid w:val="00514B9B"/>
    <w:rsid w:val="00517F02"/>
    <w:rsid w:val="00524303"/>
    <w:rsid w:val="005258A2"/>
    <w:rsid w:val="005401AE"/>
    <w:rsid w:val="00542E07"/>
    <w:rsid w:val="00545424"/>
    <w:rsid w:val="00554A7B"/>
    <w:rsid w:val="0055572C"/>
    <w:rsid w:val="0056106A"/>
    <w:rsid w:val="005720AE"/>
    <w:rsid w:val="00594D77"/>
    <w:rsid w:val="005969E4"/>
    <w:rsid w:val="005A06B7"/>
    <w:rsid w:val="005A1759"/>
    <w:rsid w:val="005A68A7"/>
    <w:rsid w:val="005D36AB"/>
    <w:rsid w:val="00617CC3"/>
    <w:rsid w:val="006377A6"/>
    <w:rsid w:val="00637A3D"/>
    <w:rsid w:val="006411EF"/>
    <w:rsid w:val="006748B8"/>
    <w:rsid w:val="006775C3"/>
    <w:rsid w:val="0069290A"/>
    <w:rsid w:val="0069775A"/>
    <w:rsid w:val="00697813"/>
    <w:rsid w:val="006A3EE8"/>
    <w:rsid w:val="006A72BF"/>
    <w:rsid w:val="006B03F2"/>
    <w:rsid w:val="006B37DC"/>
    <w:rsid w:val="006B4F68"/>
    <w:rsid w:val="006B5016"/>
    <w:rsid w:val="006C0592"/>
    <w:rsid w:val="006C272E"/>
    <w:rsid w:val="006C5479"/>
    <w:rsid w:val="006D13B5"/>
    <w:rsid w:val="006E12FF"/>
    <w:rsid w:val="006E607E"/>
    <w:rsid w:val="00706C5D"/>
    <w:rsid w:val="00732922"/>
    <w:rsid w:val="0075162E"/>
    <w:rsid w:val="00754034"/>
    <w:rsid w:val="00756556"/>
    <w:rsid w:val="007618C4"/>
    <w:rsid w:val="00767980"/>
    <w:rsid w:val="00770B19"/>
    <w:rsid w:val="0077463F"/>
    <w:rsid w:val="007836EA"/>
    <w:rsid w:val="00784CDA"/>
    <w:rsid w:val="007906C4"/>
    <w:rsid w:val="007940EA"/>
    <w:rsid w:val="007967E8"/>
    <w:rsid w:val="007A2170"/>
    <w:rsid w:val="007A22BF"/>
    <w:rsid w:val="007A3323"/>
    <w:rsid w:val="007B72B8"/>
    <w:rsid w:val="007B7A58"/>
    <w:rsid w:val="007C21B5"/>
    <w:rsid w:val="007E4BD2"/>
    <w:rsid w:val="00801393"/>
    <w:rsid w:val="00802F88"/>
    <w:rsid w:val="0081293E"/>
    <w:rsid w:val="00815465"/>
    <w:rsid w:val="00817E9A"/>
    <w:rsid w:val="008306BD"/>
    <w:rsid w:val="00831A80"/>
    <w:rsid w:val="00833743"/>
    <w:rsid w:val="008340A4"/>
    <w:rsid w:val="0087135F"/>
    <w:rsid w:val="00872D94"/>
    <w:rsid w:val="00880364"/>
    <w:rsid w:val="00891592"/>
    <w:rsid w:val="00891E9E"/>
    <w:rsid w:val="008A2F68"/>
    <w:rsid w:val="008B4FA6"/>
    <w:rsid w:val="008B5282"/>
    <w:rsid w:val="008B7C17"/>
    <w:rsid w:val="008C2D01"/>
    <w:rsid w:val="008C40E6"/>
    <w:rsid w:val="008D0F7A"/>
    <w:rsid w:val="008D68E4"/>
    <w:rsid w:val="008E0506"/>
    <w:rsid w:val="008E0CFF"/>
    <w:rsid w:val="008E5D6B"/>
    <w:rsid w:val="008E76F0"/>
    <w:rsid w:val="008F15FE"/>
    <w:rsid w:val="008F2D29"/>
    <w:rsid w:val="008F5187"/>
    <w:rsid w:val="008F60D8"/>
    <w:rsid w:val="00902727"/>
    <w:rsid w:val="0090312B"/>
    <w:rsid w:val="0091736D"/>
    <w:rsid w:val="0093037A"/>
    <w:rsid w:val="0094154D"/>
    <w:rsid w:val="0095155F"/>
    <w:rsid w:val="00954429"/>
    <w:rsid w:val="009563CE"/>
    <w:rsid w:val="00976328"/>
    <w:rsid w:val="0097680D"/>
    <w:rsid w:val="00982438"/>
    <w:rsid w:val="0098404C"/>
    <w:rsid w:val="00985283"/>
    <w:rsid w:val="00995992"/>
    <w:rsid w:val="009A03E5"/>
    <w:rsid w:val="009A0F3B"/>
    <w:rsid w:val="009A1BB4"/>
    <w:rsid w:val="009A2628"/>
    <w:rsid w:val="009A3200"/>
    <w:rsid w:val="009B0897"/>
    <w:rsid w:val="009B7BD9"/>
    <w:rsid w:val="009C7DD5"/>
    <w:rsid w:val="009E227D"/>
    <w:rsid w:val="009E5019"/>
    <w:rsid w:val="00A04F1B"/>
    <w:rsid w:val="00A0501B"/>
    <w:rsid w:val="00A14947"/>
    <w:rsid w:val="00A32A83"/>
    <w:rsid w:val="00A368DB"/>
    <w:rsid w:val="00A423AA"/>
    <w:rsid w:val="00A53EC6"/>
    <w:rsid w:val="00A55C0F"/>
    <w:rsid w:val="00A8713F"/>
    <w:rsid w:val="00A90BA1"/>
    <w:rsid w:val="00A97A9A"/>
    <w:rsid w:val="00AA0671"/>
    <w:rsid w:val="00AA2531"/>
    <w:rsid w:val="00AB1E09"/>
    <w:rsid w:val="00AB5330"/>
    <w:rsid w:val="00AB7747"/>
    <w:rsid w:val="00AC14CE"/>
    <w:rsid w:val="00AC2A56"/>
    <w:rsid w:val="00AD055E"/>
    <w:rsid w:val="00AD1FA7"/>
    <w:rsid w:val="00AD47A7"/>
    <w:rsid w:val="00AF0CBF"/>
    <w:rsid w:val="00AF257F"/>
    <w:rsid w:val="00AF33CF"/>
    <w:rsid w:val="00AF4D50"/>
    <w:rsid w:val="00AF6179"/>
    <w:rsid w:val="00B1295A"/>
    <w:rsid w:val="00B20A45"/>
    <w:rsid w:val="00B22C5C"/>
    <w:rsid w:val="00B24F30"/>
    <w:rsid w:val="00B31ABF"/>
    <w:rsid w:val="00B33BE3"/>
    <w:rsid w:val="00B53B5D"/>
    <w:rsid w:val="00B6055E"/>
    <w:rsid w:val="00B6317D"/>
    <w:rsid w:val="00B7723F"/>
    <w:rsid w:val="00B80534"/>
    <w:rsid w:val="00B8433C"/>
    <w:rsid w:val="00B87491"/>
    <w:rsid w:val="00BA29E9"/>
    <w:rsid w:val="00BA7142"/>
    <w:rsid w:val="00BB237C"/>
    <w:rsid w:val="00BB41A3"/>
    <w:rsid w:val="00BC32DC"/>
    <w:rsid w:val="00BC35B6"/>
    <w:rsid w:val="00BD1B51"/>
    <w:rsid w:val="00BD4596"/>
    <w:rsid w:val="00BE1405"/>
    <w:rsid w:val="00BE312D"/>
    <w:rsid w:val="00BF1C20"/>
    <w:rsid w:val="00C10578"/>
    <w:rsid w:val="00C135BC"/>
    <w:rsid w:val="00C15C95"/>
    <w:rsid w:val="00C2596A"/>
    <w:rsid w:val="00C27537"/>
    <w:rsid w:val="00C328FE"/>
    <w:rsid w:val="00C33507"/>
    <w:rsid w:val="00C4409D"/>
    <w:rsid w:val="00C44E72"/>
    <w:rsid w:val="00C45A06"/>
    <w:rsid w:val="00C47E5B"/>
    <w:rsid w:val="00C61E4B"/>
    <w:rsid w:val="00C64BFF"/>
    <w:rsid w:val="00C704E9"/>
    <w:rsid w:val="00C763C9"/>
    <w:rsid w:val="00C80057"/>
    <w:rsid w:val="00C82232"/>
    <w:rsid w:val="00C82913"/>
    <w:rsid w:val="00C972B1"/>
    <w:rsid w:val="00CA2CCE"/>
    <w:rsid w:val="00CA43FD"/>
    <w:rsid w:val="00CA7EF8"/>
    <w:rsid w:val="00CC489B"/>
    <w:rsid w:val="00CD2BCD"/>
    <w:rsid w:val="00CD3A4C"/>
    <w:rsid w:val="00CE10E9"/>
    <w:rsid w:val="00CE2910"/>
    <w:rsid w:val="00CE5393"/>
    <w:rsid w:val="00CF36BE"/>
    <w:rsid w:val="00CF6000"/>
    <w:rsid w:val="00D003F3"/>
    <w:rsid w:val="00D0364F"/>
    <w:rsid w:val="00D06834"/>
    <w:rsid w:val="00D308ED"/>
    <w:rsid w:val="00D36D86"/>
    <w:rsid w:val="00D428AA"/>
    <w:rsid w:val="00D50A34"/>
    <w:rsid w:val="00D53EFA"/>
    <w:rsid w:val="00D91EDB"/>
    <w:rsid w:val="00D94A7C"/>
    <w:rsid w:val="00D95896"/>
    <w:rsid w:val="00DB2983"/>
    <w:rsid w:val="00DC1257"/>
    <w:rsid w:val="00DC3DC0"/>
    <w:rsid w:val="00DC5B2B"/>
    <w:rsid w:val="00DD318D"/>
    <w:rsid w:val="00DF2E12"/>
    <w:rsid w:val="00DF514A"/>
    <w:rsid w:val="00DF6690"/>
    <w:rsid w:val="00DF6804"/>
    <w:rsid w:val="00E0358D"/>
    <w:rsid w:val="00E04323"/>
    <w:rsid w:val="00E070A2"/>
    <w:rsid w:val="00E2656A"/>
    <w:rsid w:val="00E412D0"/>
    <w:rsid w:val="00E56322"/>
    <w:rsid w:val="00E60982"/>
    <w:rsid w:val="00E62C62"/>
    <w:rsid w:val="00E654C1"/>
    <w:rsid w:val="00E65D97"/>
    <w:rsid w:val="00E72A5A"/>
    <w:rsid w:val="00E73354"/>
    <w:rsid w:val="00E9242D"/>
    <w:rsid w:val="00EB5255"/>
    <w:rsid w:val="00EB5C47"/>
    <w:rsid w:val="00ED0639"/>
    <w:rsid w:val="00EF4755"/>
    <w:rsid w:val="00EF7135"/>
    <w:rsid w:val="00F027DB"/>
    <w:rsid w:val="00F06EF0"/>
    <w:rsid w:val="00F14A7A"/>
    <w:rsid w:val="00F22985"/>
    <w:rsid w:val="00F3383E"/>
    <w:rsid w:val="00F465A7"/>
    <w:rsid w:val="00F50B7C"/>
    <w:rsid w:val="00F550E6"/>
    <w:rsid w:val="00F74345"/>
    <w:rsid w:val="00F80A0A"/>
    <w:rsid w:val="00F82B19"/>
    <w:rsid w:val="00F9212D"/>
    <w:rsid w:val="00F965DA"/>
    <w:rsid w:val="00FA406A"/>
    <w:rsid w:val="00FB503A"/>
    <w:rsid w:val="00FB516C"/>
    <w:rsid w:val="00FD0236"/>
    <w:rsid w:val="00FD18F4"/>
    <w:rsid w:val="00FD54DB"/>
    <w:rsid w:val="00FD619F"/>
    <w:rsid w:val="01290F7E"/>
    <w:rsid w:val="015D1E09"/>
    <w:rsid w:val="01EF27BA"/>
    <w:rsid w:val="02182489"/>
    <w:rsid w:val="02697903"/>
    <w:rsid w:val="02B521CE"/>
    <w:rsid w:val="02D65345"/>
    <w:rsid w:val="02F96569"/>
    <w:rsid w:val="03423508"/>
    <w:rsid w:val="039F6937"/>
    <w:rsid w:val="03A10C78"/>
    <w:rsid w:val="03EA7B21"/>
    <w:rsid w:val="04F91AD9"/>
    <w:rsid w:val="05195B6C"/>
    <w:rsid w:val="05F83EAE"/>
    <w:rsid w:val="05FB64DB"/>
    <w:rsid w:val="063E7D85"/>
    <w:rsid w:val="07293586"/>
    <w:rsid w:val="07295285"/>
    <w:rsid w:val="07636392"/>
    <w:rsid w:val="07770C56"/>
    <w:rsid w:val="07AE453A"/>
    <w:rsid w:val="07D63618"/>
    <w:rsid w:val="087D79CB"/>
    <w:rsid w:val="08CB2FAC"/>
    <w:rsid w:val="08FF6B9F"/>
    <w:rsid w:val="090720BA"/>
    <w:rsid w:val="09104908"/>
    <w:rsid w:val="09142FC7"/>
    <w:rsid w:val="0915377C"/>
    <w:rsid w:val="092217DD"/>
    <w:rsid w:val="093A7294"/>
    <w:rsid w:val="0A263993"/>
    <w:rsid w:val="0A2D3298"/>
    <w:rsid w:val="0A2D3AC2"/>
    <w:rsid w:val="0A396D80"/>
    <w:rsid w:val="0AA755DF"/>
    <w:rsid w:val="0B120D44"/>
    <w:rsid w:val="0B3B3792"/>
    <w:rsid w:val="0B4B7D76"/>
    <w:rsid w:val="0B916423"/>
    <w:rsid w:val="0BD27BF6"/>
    <w:rsid w:val="0C0B585A"/>
    <w:rsid w:val="0C3B3C7D"/>
    <w:rsid w:val="0C5B4BA1"/>
    <w:rsid w:val="0CAB2EAE"/>
    <w:rsid w:val="0CEA5470"/>
    <w:rsid w:val="0D166F50"/>
    <w:rsid w:val="0D621C7D"/>
    <w:rsid w:val="0D857B58"/>
    <w:rsid w:val="0DAB7FD3"/>
    <w:rsid w:val="0E085409"/>
    <w:rsid w:val="0E2660EF"/>
    <w:rsid w:val="0E4046F7"/>
    <w:rsid w:val="0E73034D"/>
    <w:rsid w:val="0EA66493"/>
    <w:rsid w:val="0F13775A"/>
    <w:rsid w:val="0F5F45FE"/>
    <w:rsid w:val="0F9148DC"/>
    <w:rsid w:val="0F9A112B"/>
    <w:rsid w:val="0FBA47B0"/>
    <w:rsid w:val="0FD41C88"/>
    <w:rsid w:val="1031537F"/>
    <w:rsid w:val="1034712E"/>
    <w:rsid w:val="106D2F64"/>
    <w:rsid w:val="10817FA8"/>
    <w:rsid w:val="108F4E86"/>
    <w:rsid w:val="10B63710"/>
    <w:rsid w:val="10F10820"/>
    <w:rsid w:val="10F963DE"/>
    <w:rsid w:val="111C2F7A"/>
    <w:rsid w:val="112B0652"/>
    <w:rsid w:val="11665CA1"/>
    <w:rsid w:val="116C6446"/>
    <w:rsid w:val="13134AE3"/>
    <w:rsid w:val="13951726"/>
    <w:rsid w:val="140450AD"/>
    <w:rsid w:val="141F660B"/>
    <w:rsid w:val="142F5D29"/>
    <w:rsid w:val="14396509"/>
    <w:rsid w:val="144A2F48"/>
    <w:rsid w:val="14A34882"/>
    <w:rsid w:val="14A904FD"/>
    <w:rsid w:val="14DD2C3C"/>
    <w:rsid w:val="14E97070"/>
    <w:rsid w:val="15583854"/>
    <w:rsid w:val="157E779D"/>
    <w:rsid w:val="15C23F41"/>
    <w:rsid w:val="15DA38DB"/>
    <w:rsid w:val="16087E1D"/>
    <w:rsid w:val="161B48EC"/>
    <w:rsid w:val="161B4D45"/>
    <w:rsid w:val="1634183C"/>
    <w:rsid w:val="16437702"/>
    <w:rsid w:val="169E0A26"/>
    <w:rsid w:val="16B62C85"/>
    <w:rsid w:val="16DE3BEE"/>
    <w:rsid w:val="17701D14"/>
    <w:rsid w:val="17735226"/>
    <w:rsid w:val="182F187D"/>
    <w:rsid w:val="189F624C"/>
    <w:rsid w:val="18FC7186"/>
    <w:rsid w:val="19C05ED6"/>
    <w:rsid w:val="1A1C66C0"/>
    <w:rsid w:val="1A42393B"/>
    <w:rsid w:val="1A5B200B"/>
    <w:rsid w:val="1A800543"/>
    <w:rsid w:val="1AAD45DE"/>
    <w:rsid w:val="1ACF60AC"/>
    <w:rsid w:val="1B046F80"/>
    <w:rsid w:val="1B3267B5"/>
    <w:rsid w:val="1B40161D"/>
    <w:rsid w:val="1B441859"/>
    <w:rsid w:val="1B6606B1"/>
    <w:rsid w:val="1C037E84"/>
    <w:rsid w:val="1C370B48"/>
    <w:rsid w:val="1C5E7925"/>
    <w:rsid w:val="1CDF0702"/>
    <w:rsid w:val="1CFD070F"/>
    <w:rsid w:val="1D5F6196"/>
    <w:rsid w:val="1D6132A5"/>
    <w:rsid w:val="1D8E56D5"/>
    <w:rsid w:val="1E0639F0"/>
    <w:rsid w:val="1E7A43DA"/>
    <w:rsid w:val="1ECC2CAC"/>
    <w:rsid w:val="1F1F0BA9"/>
    <w:rsid w:val="1F336C4A"/>
    <w:rsid w:val="1F881112"/>
    <w:rsid w:val="1FE7539E"/>
    <w:rsid w:val="1FF74D6B"/>
    <w:rsid w:val="20671BE0"/>
    <w:rsid w:val="20963CB8"/>
    <w:rsid w:val="20A81A1B"/>
    <w:rsid w:val="20B07FB6"/>
    <w:rsid w:val="20B646FB"/>
    <w:rsid w:val="20C370B9"/>
    <w:rsid w:val="213B74B1"/>
    <w:rsid w:val="215A2310"/>
    <w:rsid w:val="21DE318A"/>
    <w:rsid w:val="21EF5B80"/>
    <w:rsid w:val="220F77F0"/>
    <w:rsid w:val="221C4286"/>
    <w:rsid w:val="22576990"/>
    <w:rsid w:val="225D0766"/>
    <w:rsid w:val="22B569E9"/>
    <w:rsid w:val="22CA5304"/>
    <w:rsid w:val="22F47480"/>
    <w:rsid w:val="23BC76C1"/>
    <w:rsid w:val="23D90072"/>
    <w:rsid w:val="23DE1C48"/>
    <w:rsid w:val="23F46169"/>
    <w:rsid w:val="24013373"/>
    <w:rsid w:val="240210CD"/>
    <w:rsid w:val="241F37F9"/>
    <w:rsid w:val="24BF09F7"/>
    <w:rsid w:val="24C831E4"/>
    <w:rsid w:val="24E553B4"/>
    <w:rsid w:val="252D53FE"/>
    <w:rsid w:val="25E64D09"/>
    <w:rsid w:val="25EC2D81"/>
    <w:rsid w:val="262732F0"/>
    <w:rsid w:val="26B26BA7"/>
    <w:rsid w:val="2723061B"/>
    <w:rsid w:val="27234AED"/>
    <w:rsid w:val="277057A2"/>
    <w:rsid w:val="27800BA5"/>
    <w:rsid w:val="2792245F"/>
    <w:rsid w:val="27D0224F"/>
    <w:rsid w:val="29206EB8"/>
    <w:rsid w:val="29595666"/>
    <w:rsid w:val="29634DC3"/>
    <w:rsid w:val="29874881"/>
    <w:rsid w:val="29CA673E"/>
    <w:rsid w:val="29E325E0"/>
    <w:rsid w:val="2A044E4A"/>
    <w:rsid w:val="2A407AF3"/>
    <w:rsid w:val="2A452503"/>
    <w:rsid w:val="2AB92391"/>
    <w:rsid w:val="2B055EF6"/>
    <w:rsid w:val="2B94185D"/>
    <w:rsid w:val="2BA936A8"/>
    <w:rsid w:val="2C315A5A"/>
    <w:rsid w:val="2C4B1C25"/>
    <w:rsid w:val="2CDE3799"/>
    <w:rsid w:val="2D28005A"/>
    <w:rsid w:val="2D4D41B7"/>
    <w:rsid w:val="2D9E56F5"/>
    <w:rsid w:val="2E667F96"/>
    <w:rsid w:val="2E8226AB"/>
    <w:rsid w:val="2E8B0599"/>
    <w:rsid w:val="2E92025B"/>
    <w:rsid w:val="2EAD37FA"/>
    <w:rsid w:val="2F113BCD"/>
    <w:rsid w:val="2F3445FD"/>
    <w:rsid w:val="2F5D556A"/>
    <w:rsid w:val="2FD065E6"/>
    <w:rsid w:val="2FD96870"/>
    <w:rsid w:val="304545E8"/>
    <w:rsid w:val="30580BC9"/>
    <w:rsid w:val="3085253B"/>
    <w:rsid w:val="30AF12EF"/>
    <w:rsid w:val="30C01972"/>
    <w:rsid w:val="311E2ED7"/>
    <w:rsid w:val="31472E2A"/>
    <w:rsid w:val="315619EE"/>
    <w:rsid w:val="315C449C"/>
    <w:rsid w:val="31B82709"/>
    <w:rsid w:val="31D05482"/>
    <w:rsid w:val="32101C27"/>
    <w:rsid w:val="32400B34"/>
    <w:rsid w:val="32807AF8"/>
    <w:rsid w:val="329E6876"/>
    <w:rsid w:val="330469DC"/>
    <w:rsid w:val="333015F2"/>
    <w:rsid w:val="334B6320"/>
    <w:rsid w:val="33D934D4"/>
    <w:rsid w:val="33FE2F6A"/>
    <w:rsid w:val="340E07E5"/>
    <w:rsid w:val="34235BF7"/>
    <w:rsid w:val="34671968"/>
    <w:rsid w:val="34AB66CA"/>
    <w:rsid w:val="35487054"/>
    <w:rsid w:val="35502734"/>
    <w:rsid w:val="35587FBE"/>
    <w:rsid w:val="358C5FA8"/>
    <w:rsid w:val="35A47FE8"/>
    <w:rsid w:val="35C15DF1"/>
    <w:rsid w:val="36074A7F"/>
    <w:rsid w:val="36891B03"/>
    <w:rsid w:val="369062BA"/>
    <w:rsid w:val="36923549"/>
    <w:rsid w:val="36A377DC"/>
    <w:rsid w:val="36B376A8"/>
    <w:rsid w:val="36B75FBF"/>
    <w:rsid w:val="36BD0C45"/>
    <w:rsid w:val="372022E7"/>
    <w:rsid w:val="374E2F9E"/>
    <w:rsid w:val="3790657D"/>
    <w:rsid w:val="379A2BA2"/>
    <w:rsid w:val="37E00298"/>
    <w:rsid w:val="37F628B2"/>
    <w:rsid w:val="380940FC"/>
    <w:rsid w:val="382F566A"/>
    <w:rsid w:val="38584543"/>
    <w:rsid w:val="389E0525"/>
    <w:rsid w:val="38A05D75"/>
    <w:rsid w:val="38B302F9"/>
    <w:rsid w:val="38BE762D"/>
    <w:rsid w:val="38F12CD3"/>
    <w:rsid w:val="38F94775"/>
    <w:rsid w:val="38FE6C34"/>
    <w:rsid w:val="39162FC5"/>
    <w:rsid w:val="392971ED"/>
    <w:rsid w:val="39325651"/>
    <w:rsid w:val="395D6CDA"/>
    <w:rsid w:val="39F93F05"/>
    <w:rsid w:val="3A0747AD"/>
    <w:rsid w:val="3A872856"/>
    <w:rsid w:val="3A984107"/>
    <w:rsid w:val="3B202932"/>
    <w:rsid w:val="3B3763D1"/>
    <w:rsid w:val="3BA85879"/>
    <w:rsid w:val="3BBD597A"/>
    <w:rsid w:val="3C2F6E1E"/>
    <w:rsid w:val="3C313DD1"/>
    <w:rsid w:val="3C4F64BA"/>
    <w:rsid w:val="3CCE19C4"/>
    <w:rsid w:val="3CDA245A"/>
    <w:rsid w:val="3CF94AB9"/>
    <w:rsid w:val="3D0F48FB"/>
    <w:rsid w:val="3D18233E"/>
    <w:rsid w:val="3D1E06B7"/>
    <w:rsid w:val="3DB1150E"/>
    <w:rsid w:val="3DB44239"/>
    <w:rsid w:val="3DC759BA"/>
    <w:rsid w:val="3E6677D4"/>
    <w:rsid w:val="3EDA0523"/>
    <w:rsid w:val="3F2F3033"/>
    <w:rsid w:val="3FDA76E2"/>
    <w:rsid w:val="40302BBE"/>
    <w:rsid w:val="407A6407"/>
    <w:rsid w:val="41040A5E"/>
    <w:rsid w:val="41546D80"/>
    <w:rsid w:val="41F460DF"/>
    <w:rsid w:val="4200449D"/>
    <w:rsid w:val="420A46BA"/>
    <w:rsid w:val="423A3BCC"/>
    <w:rsid w:val="424E57D2"/>
    <w:rsid w:val="42B26C49"/>
    <w:rsid w:val="42B63335"/>
    <w:rsid w:val="433A6FE6"/>
    <w:rsid w:val="434626F9"/>
    <w:rsid w:val="43480868"/>
    <w:rsid w:val="4350713C"/>
    <w:rsid w:val="436653E0"/>
    <w:rsid w:val="4369479E"/>
    <w:rsid w:val="43A062AD"/>
    <w:rsid w:val="43A66D9C"/>
    <w:rsid w:val="43C4431A"/>
    <w:rsid w:val="43CC70A2"/>
    <w:rsid w:val="44884744"/>
    <w:rsid w:val="44B951CC"/>
    <w:rsid w:val="44CC2765"/>
    <w:rsid w:val="44CD14E0"/>
    <w:rsid w:val="44F20B0B"/>
    <w:rsid w:val="451D1671"/>
    <w:rsid w:val="452E5F4C"/>
    <w:rsid w:val="45612018"/>
    <w:rsid w:val="458946E9"/>
    <w:rsid w:val="45A47C0E"/>
    <w:rsid w:val="45F24D0D"/>
    <w:rsid w:val="46524844"/>
    <w:rsid w:val="46577FD6"/>
    <w:rsid w:val="466F6C5D"/>
    <w:rsid w:val="46B06807"/>
    <w:rsid w:val="46D955A7"/>
    <w:rsid w:val="47133957"/>
    <w:rsid w:val="472E597E"/>
    <w:rsid w:val="47A07E0C"/>
    <w:rsid w:val="47EE2A97"/>
    <w:rsid w:val="4870272E"/>
    <w:rsid w:val="488315D2"/>
    <w:rsid w:val="48CA2792"/>
    <w:rsid w:val="49DC7715"/>
    <w:rsid w:val="4A023139"/>
    <w:rsid w:val="4A0E58BF"/>
    <w:rsid w:val="4A252D92"/>
    <w:rsid w:val="4A7B576F"/>
    <w:rsid w:val="4AD25494"/>
    <w:rsid w:val="4AF561A9"/>
    <w:rsid w:val="4B0C2042"/>
    <w:rsid w:val="4B1855CB"/>
    <w:rsid w:val="4B2530A8"/>
    <w:rsid w:val="4B611700"/>
    <w:rsid w:val="4C3B5A15"/>
    <w:rsid w:val="4C4A0649"/>
    <w:rsid w:val="4C7622A1"/>
    <w:rsid w:val="4C7E5ECA"/>
    <w:rsid w:val="4C876AA5"/>
    <w:rsid w:val="4CF01DC1"/>
    <w:rsid w:val="4D0E00FB"/>
    <w:rsid w:val="4D176606"/>
    <w:rsid w:val="4D4A0338"/>
    <w:rsid w:val="4D51596B"/>
    <w:rsid w:val="4DB07C34"/>
    <w:rsid w:val="4DEC4FB0"/>
    <w:rsid w:val="4E075D8A"/>
    <w:rsid w:val="4E2B0E69"/>
    <w:rsid w:val="4E455C56"/>
    <w:rsid w:val="4E863E3A"/>
    <w:rsid w:val="4EB15812"/>
    <w:rsid w:val="4EC00FAD"/>
    <w:rsid w:val="4F2F6BA6"/>
    <w:rsid w:val="4F750A7C"/>
    <w:rsid w:val="4F9843DC"/>
    <w:rsid w:val="4FBA09EF"/>
    <w:rsid w:val="4FC62A8C"/>
    <w:rsid w:val="4FE20F0D"/>
    <w:rsid w:val="4FE51552"/>
    <w:rsid w:val="50194037"/>
    <w:rsid w:val="50504C4B"/>
    <w:rsid w:val="50662B78"/>
    <w:rsid w:val="509C6E7C"/>
    <w:rsid w:val="514A0978"/>
    <w:rsid w:val="515520A3"/>
    <w:rsid w:val="5162104E"/>
    <w:rsid w:val="517B0970"/>
    <w:rsid w:val="51F021AD"/>
    <w:rsid w:val="52431D6A"/>
    <w:rsid w:val="52666914"/>
    <w:rsid w:val="52734C20"/>
    <w:rsid w:val="52DF06F0"/>
    <w:rsid w:val="52F02A68"/>
    <w:rsid w:val="537C132B"/>
    <w:rsid w:val="53A039CC"/>
    <w:rsid w:val="53A1505A"/>
    <w:rsid w:val="53E703FF"/>
    <w:rsid w:val="54063E08"/>
    <w:rsid w:val="54071A30"/>
    <w:rsid w:val="543437E8"/>
    <w:rsid w:val="54A86D6F"/>
    <w:rsid w:val="54AB176B"/>
    <w:rsid w:val="54F46459"/>
    <w:rsid w:val="54F73313"/>
    <w:rsid w:val="54F80955"/>
    <w:rsid w:val="55254864"/>
    <w:rsid w:val="555170A7"/>
    <w:rsid w:val="5587536D"/>
    <w:rsid w:val="559B174B"/>
    <w:rsid w:val="55CE0CF4"/>
    <w:rsid w:val="55E71B19"/>
    <w:rsid w:val="5651701A"/>
    <w:rsid w:val="56B22A9C"/>
    <w:rsid w:val="57142FA9"/>
    <w:rsid w:val="57B72A76"/>
    <w:rsid w:val="57C3426C"/>
    <w:rsid w:val="57CB2DC7"/>
    <w:rsid w:val="57CE1F93"/>
    <w:rsid w:val="57FD26C7"/>
    <w:rsid w:val="588743D1"/>
    <w:rsid w:val="5887701A"/>
    <w:rsid w:val="59041AD5"/>
    <w:rsid w:val="592D0A2E"/>
    <w:rsid w:val="596005C1"/>
    <w:rsid w:val="59C0439F"/>
    <w:rsid w:val="59D65E3D"/>
    <w:rsid w:val="5A7460A8"/>
    <w:rsid w:val="5ABE2233"/>
    <w:rsid w:val="5B3D5637"/>
    <w:rsid w:val="5B4D241F"/>
    <w:rsid w:val="5B7B3BC1"/>
    <w:rsid w:val="5B9C54D8"/>
    <w:rsid w:val="5BDF5D95"/>
    <w:rsid w:val="5BF92509"/>
    <w:rsid w:val="5BFE7528"/>
    <w:rsid w:val="5C375110"/>
    <w:rsid w:val="5CB01499"/>
    <w:rsid w:val="5D0B5053"/>
    <w:rsid w:val="5D3C5C9C"/>
    <w:rsid w:val="5D4D1D73"/>
    <w:rsid w:val="5E2467F1"/>
    <w:rsid w:val="5EAB6C27"/>
    <w:rsid w:val="5F1A2B43"/>
    <w:rsid w:val="5F577D10"/>
    <w:rsid w:val="5FB837BB"/>
    <w:rsid w:val="60064219"/>
    <w:rsid w:val="602F1DAE"/>
    <w:rsid w:val="60574F62"/>
    <w:rsid w:val="6081540D"/>
    <w:rsid w:val="60CC405A"/>
    <w:rsid w:val="611D2E3C"/>
    <w:rsid w:val="61440EF3"/>
    <w:rsid w:val="61C95EA0"/>
    <w:rsid w:val="61CB3CA9"/>
    <w:rsid w:val="61E215D8"/>
    <w:rsid w:val="621B3775"/>
    <w:rsid w:val="62364782"/>
    <w:rsid w:val="627A56DB"/>
    <w:rsid w:val="62A750F4"/>
    <w:rsid w:val="62B43DC1"/>
    <w:rsid w:val="62DF4C78"/>
    <w:rsid w:val="631C15B0"/>
    <w:rsid w:val="6394356A"/>
    <w:rsid w:val="6395392E"/>
    <w:rsid w:val="63A728E8"/>
    <w:rsid w:val="63BF2109"/>
    <w:rsid w:val="63C61B2C"/>
    <w:rsid w:val="63D40BE9"/>
    <w:rsid w:val="64102431"/>
    <w:rsid w:val="641A187A"/>
    <w:rsid w:val="64A5243A"/>
    <w:rsid w:val="64F531DE"/>
    <w:rsid w:val="65373578"/>
    <w:rsid w:val="65884D35"/>
    <w:rsid w:val="65E72845"/>
    <w:rsid w:val="66003210"/>
    <w:rsid w:val="66B719D4"/>
    <w:rsid w:val="671F124A"/>
    <w:rsid w:val="672D120E"/>
    <w:rsid w:val="677A33C6"/>
    <w:rsid w:val="67924F25"/>
    <w:rsid w:val="67B231D3"/>
    <w:rsid w:val="67B24FE9"/>
    <w:rsid w:val="681F6961"/>
    <w:rsid w:val="68303374"/>
    <w:rsid w:val="68610A2F"/>
    <w:rsid w:val="68805514"/>
    <w:rsid w:val="68D53E55"/>
    <w:rsid w:val="69316E2F"/>
    <w:rsid w:val="694A4441"/>
    <w:rsid w:val="694E2071"/>
    <w:rsid w:val="696B7283"/>
    <w:rsid w:val="69716E95"/>
    <w:rsid w:val="69766163"/>
    <w:rsid w:val="69796351"/>
    <w:rsid w:val="697A3B33"/>
    <w:rsid w:val="69D44760"/>
    <w:rsid w:val="6A2D5235"/>
    <w:rsid w:val="6A520EC7"/>
    <w:rsid w:val="6AE14931"/>
    <w:rsid w:val="6AF87E20"/>
    <w:rsid w:val="6B322639"/>
    <w:rsid w:val="6B3E3BDD"/>
    <w:rsid w:val="6B715CB5"/>
    <w:rsid w:val="6B9D64E6"/>
    <w:rsid w:val="6BA004B3"/>
    <w:rsid w:val="6BC26511"/>
    <w:rsid w:val="6BF012D0"/>
    <w:rsid w:val="6C636C38"/>
    <w:rsid w:val="6CC07D5A"/>
    <w:rsid w:val="6CD73938"/>
    <w:rsid w:val="6DB34098"/>
    <w:rsid w:val="6DB545B6"/>
    <w:rsid w:val="6DE02FB4"/>
    <w:rsid w:val="6E514CED"/>
    <w:rsid w:val="6E5F44EB"/>
    <w:rsid w:val="6E7D06BE"/>
    <w:rsid w:val="6EB563D5"/>
    <w:rsid w:val="6EBA54E3"/>
    <w:rsid w:val="6EC95E08"/>
    <w:rsid w:val="6ED92677"/>
    <w:rsid w:val="6F225983"/>
    <w:rsid w:val="6F4E5D8E"/>
    <w:rsid w:val="6F527D12"/>
    <w:rsid w:val="6F606586"/>
    <w:rsid w:val="6F904989"/>
    <w:rsid w:val="6FA41BE0"/>
    <w:rsid w:val="6FFC5590"/>
    <w:rsid w:val="702400C3"/>
    <w:rsid w:val="706D1DD0"/>
    <w:rsid w:val="70856B87"/>
    <w:rsid w:val="70A33DE5"/>
    <w:rsid w:val="70AF47ED"/>
    <w:rsid w:val="70D527EE"/>
    <w:rsid w:val="70E364A3"/>
    <w:rsid w:val="70FD0927"/>
    <w:rsid w:val="715B5300"/>
    <w:rsid w:val="71A3212B"/>
    <w:rsid w:val="71BC38A7"/>
    <w:rsid w:val="71D27F8A"/>
    <w:rsid w:val="71F9474F"/>
    <w:rsid w:val="72206F47"/>
    <w:rsid w:val="72553024"/>
    <w:rsid w:val="7299734D"/>
    <w:rsid w:val="72A525DD"/>
    <w:rsid w:val="73012015"/>
    <w:rsid w:val="73122968"/>
    <w:rsid w:val="731F5D5E"/>
    <w:rsid w:val="73C51AD5"/>
    <w:rsid w:val="73DC4F39"/>
    <w:rsid w:val="741E793C"/>
    <w:rsid w:val="74291C62"/>
    <w:rsid w:val="745E3944"/>
    <w:rsid w:val="74B715FC"/>
    <w:rsid w:val="74C257D4"/>
    <w:rsid w:val="7581743D"/>
    <w:rsid w:val="759352DB"/>
    <w:rsid w:val="75D9796E"/>
    <w:rsid w:val="7635099D"/>
    <w:rsid w:val="76796B16"/>
    <w:rsid w:val="76CB62F1"/>
    <w:rsid w:val="76E3730B"/>
    <w:rsid w:val="770A31CC"/>
    <w:rsid w:val="77465D8F"/>
    <w:rsid w:val="77762421"/>
    <w:rsid w:val="77B56B1F"/>
    <w:rsid w:val="78021D92"/>
    <w:rsid w:val="78086DA3"/>
    <w:rsid w:val="780F09F4"/>
    <w:rsid w:val="784D1858"/>
    <w:rsid w:val="786936E7"/>
    <w:rsid w:val="78715547"/>
    <w:rsid w:val="78862931"/>
    <w:rsid w:val="78A90480"/>
    <w:rsid w:val="78F67C56"/>
    <w:rsid w:val="79555517"/>
    <w:rsid w:val="7A0917AF"/>
    <w:rsid w:val="7A364017"/>
    <w:rsid w:val="7A51174A"/>
    <w:rsid w:val="7A8265E1"/>
    <w:rsid w:val="7A9C2623"/>
    <w:rsid w:val="7AA513D5"/>
    <w:rsid w:val="7B06222C"/>
    <w:rsid w:val="7B5F4B0F"/>
    <w:rsid w:val="7B686D42"/>
    <w:rsid w:val="7B841746"/>
    <w:rsid w:val="7C6C5AC7"/>
    <w:rsid w:val="7C7D6E73"/>
    <w:rsid w:val="7CC6544B"/>
    <w:rsid w:val="7CD608D9"/>
    <w:rsid w:val="7D0239FF"/>
    <w:rsid w:val="7D2A660C"/>
    <w:rsid w:val="7D5E40CD"/>
    <w:rsid w:val="7DCD56F2"/>
    <w:rsid w:val="7EFD49EA"/>
    <w:rsid w:val="7F001CE7"/>
    <w:rsid w:val="7F645E05"/>
    <w:rsid w:val="7FE47E5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2"/>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0" w:semiHidden="0" w:name="heading 2" w:locked="1"/>
    <w:lsdException w:qFormat="1" w:uiPriority="0" w:semiHidden="0" w:name="heading 3" w:locked="1"/>
    <w:lsdException w:qFormat="1" w:unhideWhenUsed="0" w:uiPriority="9"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qFormat="1" w:unhideWhenUsed="0" w:uiPriority="39"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qFormat="1" w:unhideWhenUsed="0" w:uiPriority="0" w:semiHidden="0" w:name="toc 9" w:locked="1"/>
    <w:lsdException w:qFormat="1" w:unhideWhenUsed="0" w:uiPriority="0" w:semiHidden="0" w:name="Normal Indent" w:locked="1"/>
    <w:lsdException w:unhideWhenUsed="0" w:uiPriority="0" w:semiHidden="0" w:name="footnote text" w:locked="1"/>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ocked="1"/>
    <w:lsdException w:qFormat="1" w:unhideWhenUsed="0" w:uiPriority="99" w:semiHidden="0" w:name="caption" w:locked="1"/>
    <w:lsdException w:qFormat="1" w:unhideWhenUsed="0" w:uiPriority="0" w:semiHidden="0" w:name="table of figures" w:locked="1"/>
    <w:lsdException w:unhideWhenUsed="0" w:uiPriority="0" w:semiHidden="0" w:name="envelope address" w:locked="1"/>
    <w:lsdException w:qFormat="1" w:unhideWhenUsed="0" w:uiPriority="0" w:semiHidden="0" w:name="envelope return" w:locked="1"/>
    <w:lsdException w:unhideWhenUsed="0" w:uiPriority="0" w:semiHidden="0" w:name="footnote reference" w:locked="1"/>
    <w:lsdException w:qFormat="1" w:unhideWhenUsed="0" w:uiPriority="0" w:name="annotation reference"/>
    <w:lsdException w:unhideWhenUsed="0" w:uiPriority="0" w:semiHidden="0" w:name="line number" w:locked="1"/>
    <w:lsdException w:qFormat="1"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qFormat="1"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0" w:semiHidden="0" w:name="Subtitle" w:locked="1"/>
    <w:lsdException w:unhideWhenUsed="0" w:uiPriority="0" w:semiHidden="0" w:name="Salutation" w:locked="1"/>
    <w:lsdException w:qFormat="1" w:unhideWhenUsed="0" w:uiPriority="0" w:semiHidden="0" w:name="Date"/>
    <w:lsdException w:qFormat="1" w:unhideWhenUsed="0" w:uiPriority="0" w:semiHidden="0" w:name="Body Text First Indent" w:locked="1"/>
    <w:lsdException w:qFormat="1" w:unhideWhenUsed="0" w:uiPriority="99" w:semiHidden="0" w:name="Body Text First Indent 2" w:locked="1"/>
    <w:lsdException w:unhideWhenUsed="0" w:uiPriority="0" w:semiHidden="0" w:name="Note Heading" w:locked="1"/>
    <w:lsdException w:qFormat="1" w:unhideWhenUsed="0" w:uiPriority="0" w:semiHidden="0" w:name="Body Text 2" w:locked="1"/>
    <w:lsdException w:unhideWhenUsed="0" w:uiPriority="0" w:semiHidden="0" w:name="Body Text 3" w:locked="1"/>
    <w:lsdException w:qFormat="1" w:unhideWhenUsed="0" w:uiPriority="0" w:semiHidden="0" w:name="Body Text Indent 2" w:locked="1"/>
    <w:lsdException w:unhideWhenUsed="0" w:uiPriority="0" w:semiHidden="0" w:name="Body Text Indent 3" w:locked="1"/>
    <w:lsdException w:qFormat="1" w:unhideWhenUsed="0" w:uiPriority="0" w:semiHidden="0" w:name="Block Text" w:locked="1"/>
    <w:lsdException w:qFormat="1" w:unhideWhenUsed="0" w:uiPriority="0" w:semiHidden="0" w:name="Hyperlink" w:locked="1"/>
    <w:lsdException w:unhideWhenUsed="0" w:uiPriority="0" w:semiHidden="0" w:name="FollowedHyperlink" w:locked="1"/>
    <w:lsdException w:qFormat="1" w:unhideWhenUsed="0" w:uiPriority="0" w:semiHidden="0" w:name="Strong" w:locked="1"/>
    <w:lsdException w:qFormat="1" w:unhideWhenUsed="0" w:uiPriority="0" w:semiHidden="0" w:name="Emphasis" w:locked="1"/>
    <w:lsdException w:unhideWhenUsed="0" w:uiPriority="0" w:semiHidden="0" w:name="Document Map" w:locked="1"/>
    <w:lsdException w:unhideWhenUsed="0" w:uiPriority="0" w:semiHidden="0" w:name="Plain Text" w:locked="1"/>
    <w:lsdException w:unhideWhenUsed="0" w:uiPriority="0" w:semiHidden="0" w:name="E-mail Signature" w:locked="1"/>
    <w:lsdException w:qFormat="1" w:unhideWhenUsed="0" w:uiPriority="0" w:semiHidden="0" w:name="Normal (Web)"/>
    <w:lsdException w:unhideWhenUsed="0" w:uiPriority="0" w:semiHidden="0" w:name="HTML Acronym" w:locked="1"/>
    <w:lsdException w:unhideWhenUsed="0" w:uiPriority="0" w:semiHidden="0" w:name="HTML Address" w:locked="1"/>
    <w:lsdException w:unhideWhenUsed="0" w:uiPriority="0" w:semiHidden="0" w:name="HTML Cite" w:locked="1"/>
    <w:lsdException w:qFormat="1"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nhideWhenUsed="0" w:uiPriority="0" w:name="Normal Table"/>
    <w:lsdException w:qFormat="1" w:unhideWhenUsed="0" w:uiPriority="0"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nhideWhenUsed="0" w:uiPriority="0" w:name="Balloon Text"/>
    <w:lsdException w:qFormat="1" w:unhideWhenUsed="0" w:uiPriority="0" w:semiHidden="0" w:name="Table Grid"/>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360" w:lineRule="auto"/>
      <w:ind w:firstLine="720" w:firstLineChars="200"/>
      <w:jc w:val="left"/>
    </w:pPr>
    <w:rPr>
      <w:rFonts w:ascii="Times New Roman" w:hAnsi="Times New Roman" w:eastAsia="宋体" w:cs="Times New Roman"/>
      <w:kern w:val="2"/>
      <w:sz w:val="24"/>
      <w:szCs w:val="24"/>
      <w:lang w:val="en-US" w:eastAsia="zh-CN" w:bidi="ar-SA"/>
    </w:rPr>
  </w:style>
  <w:style w:type="paragraph" w:styleId="2">
    <w:name w:val="heading 1"/>
    <w:basedOn w:val="1"/>
    <w:next w:val="1"/>
    <w:qFormat/>
    <w:locked/>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3">
    <w:name w:val="heading 2"/>
    <w:basedOn w:val="1"/>
    <w:next w:val="1"/>
    <w:qFormat/>
    <w:locked/>
    <w:uiPriority w:val="0"/>
    <w:pPr>
      <w:keepNext/>
      <w:keepLines/>
      <w:spacing w:before="93" w:beforeLines="30" w:after="93" w:afterLines="30" w:line="360" w:lineRule="auto"/>
      <w:jc w:val="left"/>
      <w:outlineLvl w:val="1"/>
    </w:pPr>
    <w:rPr>
      <w:rFonts w:eastAsia="黑体"/>
      <w:b/>
      <w:bCs/>
      <w:sz w:val="28"/>
    </w:rPr>
  </w:style>
  <w:style w:type="paragraph" w:styleId="4">
    <w:name w:val="heading 3"/>
    <w:basedOn w:val="1"/>
    <w:next w:val="1"/>
    <w:unhideWhenUsed/>
    <w:qFormat/>
    <w:locked/>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link w:val="36"/>
    <w:qFormat/>
    <w:locked/>
    <w:uiPriority w:val="9"/>
    <w:pPr>
      <w:keepNext/>
      <w:keepLines/>
      <w:adjustRightInd w:val="0"/>
      <w:snapToGrid w:val="0"/>
      <w:spacing w:line="240" w:lineRule="auto"/>
      <w:ind w:firstLine="0" w:firstLineChars="0"/>
      <w:jc w:val="center"/>
      <w:outlineLvl w:val="3"/>
    </w:pPr>
    <w:rPr>
      <w:b/>
      <w:bCs/>
      <w:sz w:val="21"/>
      <w:szCs w:val="28"/>
    </w:rPr>
  </w:style>
  <w:style w:type="character" w:default="1" w:styleId="29">
    <w:name w:val="Default Paragraph Font"/>
    <w:semiHidden/>
    <w:qFormat/>
    <w:uiPriority w:val="0"/>
  </w:style>
  <w:style w:type="table" w:default="1" w:styleId="27">
    <w:name w:val="Normal Table"/>
    <w:semiHidden/>
    <w:qFormat/>
    <w:uiPriority w:val="0"/>
    <w:tblPr>
      <w:tblCellMar>
        <w:top w:w="0" w:type="dxa"/>
        <w:left w:w="108" w:type="dxa"/>
        <w:bottom w:w="0" w:type="dxa"/>
        <w:right w:w="108" w:type="dxa"/>
      </w:tblCellMar>
    </w:tblPr>
  </w:style>
  <w:style w:type="paragraph" w:styleId="6">
    <w:name w:val="Normal Indent"/>
    <w:basedOn w:val="1"/>
    <w:next w:val="7"/>
    <w:qFormat/>
    <w:locked/>
    <w:uiPriority w:val="0"/>
    <w:pPr>
      <w:autoSpaceDE w:val="0"/>
      <w:autoSpaceDN w:val="0"/>
      <w:adjustRightInd w:val="0"/>
      <w:snapToGrid w:val="0"/>
      <w:spacing w:line="500" w:lineRule="exact"/>
      <w:ind w:firstLine="480" w:firstLineChars="200"/>
      <w:textAlignment w:val="top"/>
    </w:pPr>
    <w:rPr>
      <w:rFonts w:eastAsia="仿宋_GB2312"/>
      <w:kern w:val="0"/>
      <w:sz w:val="28"/>
      <w:szCs w:val="24"/>
    </w:rPr>
  </w:style>
  <w:style w:type="paragraph" w:styleId="7">
    <w:name w:val="Body Text First Indent 2"/>
    <w:basedOn w:val="1"/>
    <w:next w:val="1"/>
    <w:qFormat/>
    <w:locked/>
    <w:uiPriority w:val="99"/>
    <w:pPr>
      <w:ind w:firstLine="420" w:firstLineChars="200"/>
    </w:pPr>
    <w:rPr>
      <w:kern w:val="2"/>
      <w:sz w:val="21"/>
      <w:szCs w:val="24"/>
    </w:rPr>
  </w:style>
  <w:style w:type="paragraph" w:styleId="8">
    <w:name w:val="caption"/>
    <w:basedOn w:val="1"/>
    <w:next w:val="1"/>
    <w:qFormat/>
    <w:locked/>
    <w:uiPriority w:val="99"/>
    <w:rPr>
      <w:rFonts w:ascii="等线 Light" w:hAnsi="等线 Light" w:eastAsia="黑体"/>
      <w:sz w:val="20"/>
      <w:szCs w:val="20"/>
    </w:rPr>
  </w:style>
  <w:style w:type="paragraph" w:styleId="9">
    <w:name w:val="annotation text"/>
    <w:basedOn w:val="1"/>
    <w:link w:val="38"/>
    <w:qFormat/>
    <w:uiPriority w:val="0"/>
    <w:pPr>
      <w:jc w:val="left"/>
    </w:pPr>
    <w:rPr>
      <w:kern w:val="0"/>
      <w:sz w:val="24"/>
      <w:szCs w:val="20"/>
    </w:rPr>
  </w:style>
  <w:style w:type="paragraph" w:styleId="10">
    <w:name w:val="Body Text"/>
    <w:basedOn w:val="1"/>
    <w:link w:val="39"/>
    <w:qFormat/>
    <w:uiPriority w:val="0"/>
    <w:pPr>
      <w:widowControl/>
      <w:adjustRightInd w:val="0"/>
      <w:snapToGrid w:val="0"/>
      <w:spacing w:line="240" w:lineRule="auto"/>
      <w:ind w:right="0" w:firstLine="0" w:firstLineChars="0"/>
      <w:jc w:val="center"/>
    </w:pPr>
    <w:rPr>
      <w:kern w:val="0"/>
      <w:sz w:val="21"/>
      <w:szCs w:val="21"/>
    </w:rPr>
  </w:style>
  <w:style w:type="paragraph" w:styleId="11">
    <w:name w:val="Body Text Indent"/>
    <w:basedOn w:val="1"/>
    <w:next w:val="12"/>
    <w:link w:val="37"/>
    <w:qFormat/>
    <w:uiPriority w:val="0"/>
    <w:pPr>
      <w:spacing w:after="120"/>
      <w:ind w:left="420" w:leftChars="200"/>
    </w:pPr>
    <w:rPr>
      <w:kern w:val="0"/>
      <w:sz w:val="24"/>
      <w:szCs w:val="20"/>
    </w:rPr>
  </w:style>
  <w:style w:type="paragraph" w:styleId="12">
    <w:name w:val="Body Text Indent 2"/>
    <w:basedOn w:val="1"/>
    <w:next w:val="7"/>
    <w:qFormat/>
    <w:locked/>
    <w:uiPriority w:val="0"/>
    <w:pPr>
      <w:spacing w:after="120" w:line="480" w:lineRule="auto"/>
      <w:ind w:left="420" w:leftChars="200"/>
    </w:pPr>
    <w:rPr>
      <w:sz w:val="28"/>
    </w:rPr>
  </w:style>
  <w:style w:type="paragraph" w:styleId="13">
    <w:name w:val="Block Text"/>
    <w:basedOn w:val="1"/>
    <w:qFormat/>
    <w:locked/>
    <w:uiPriority w:val="0"/>
    <w:pPr>
      <w:spacing w:after="120" w:line="500" w:lineRule="exact"/>
      <w:ind w:left="1440" w:leftChars="700" w:right="1440" w:rightChars="700"/>
    </w:pPr>
    <w:rPr>
      <w:rFonts w:hint="eastAsia" w:ascii="仿宋_GB2312" w:eastAsia="仿宋_GB2312"/>
      <w:sz w:val="28"/>
    </w:rPr>
  </w:style>
  <w:style w:type="paragraph" w:styleId="14">
    <w:name w:val="Date"/>
    <w:basedOn w:val="1"/>
    <w:next w:val="1"/>
    <w:link w:val="40"/>
    <w:qFormat/>
    <w:uiPriority w:val="0"/>
    <w:pPr>
      <w:ind w:left="100" w:leftChars="2500"/>
    </w:pPr>
    <w:rPr>
      <w:kern w:val="0"/>
      <w:sz w:val="24"/>
      <w:szCs w:val="20"/>
    </w:rPr>
  </w:style>
  <w:style w:type="paragraph" w:styleId="15">
    <w:name w:val="Balloon Text"/>
    <w:basedOn w:val="1"/>
    <w:link w:val="41"/>
    <w:semiHidden/>
    <w:qFormat/>
    <w:uiPriority w:val="0"/>
    <w:rPr>
      <w:kern w:val="0"/>
      <w:sz w:val="18"/>
      <w:szCs w:val="20"/>
    </w:rPr>
  </w:style>
  <w:style w:type="paragraph" w:styleId="16">
    <w:name w:val="footer"/>
    <w:basedOn w:val="1"/>
    <w:link w:val="42"/>
    <w:qFormat/>
    <w:uiPriority w:val="99"/>
    <w:pPr>
      <w:tabs>
        <w:tab w:val="center" w:pos="4153"/>
        <w:tab w:val="right" w:pos="8306"/>
      </w:tabs>
      <w:snapToGrid w:val="0"/>
      <w:jc w:val="left"/>
    </w:pPr>
    <w:rPr>
      <w:kern w:val="0"/>
      <w:sz w:val="18"/>
      <w:szCs w:val="20"/>
    </w:rPr>
  </w:style>
  <w:style w:type="paragraph" w:styleId="17">
    <w:name w:val="envelope return"/>
    <w:basedOn w:val="1"/>
    <w:link w:val="43"/>
    <w:qFormat/>
    <w:locked/>
    <w:uiPriority w:val="0"/>
    <w:pPr>
      <w:snapToGrid w:val="0"/>
      <w:spacing w:line="500" w:lineRule="exact"/>
    </w:pPr>
    <w:rPr>
      <w:rFonts w:ascii="Arial" w:hAnsi="Arial" w:eastAsia="仿宋_GB2312" w:cs="Arial"/>
      <w:sz w:val="28"/>
      <w:szCs w:val="20"/>
    </w:rPr>
  </w:style>
  <w:style w:type="paragraph" w:styleId="18">
    <w:name w:val="header"/>
    <w:basedOn w:val="1"/>
    <w:link w:val="44"/>
    <w:qFormat/>
    <w:uiPriority w:val="0"/>
    <w:pPr>
      <w:pBdr>
        <w:bottom w:val="single" w:color="auto" w:sz="6" w:space="1"/>
      </w:pBdr>
      <w:tabs>
        <w:tab w:val="center" w:pos="4153"/>
        <w:tab w:val="right" w:pos="8306"/>
      </w:tabs>
      <w:snapToGrid w:val="0"/>
      <w:jc w:val="center"/>
    </w:pPr>
    <w:rPr>
      <w:kern w:val="0"/>
      <w:sz w:val="18"/>
      <w:szCs w:val="20"/>
    </w:rPr>
  </w:style>
  <w:style w:type="paragraph" w:styleId="19">
    <w:name w:val="toc 1"/>
    <w:basedOn w:val="1"/>
    <w:next w:val="1"/>
    <w:qFormat/>
    <w:locked/>
    <w:uiPriority w:val="39"/>
  </w:style>
  <w:style w:type="paragraph" w:styleId="20">
    <w:name w:val="List"/>
    <w:basedOn w:val="1"/>
    <w:qFormat/>
    <w:locked/>
    <w:uiPriority w:val="0"/>
    <w:pPr>
      <w:spacing w:line="360" w:lineRule="exact"/>
      <w:jc w:val="center"/>
    </w:pPr>
    <w:rPr>
      <w:rFonts w:ascii="仿宋_GB2312" w:hAnsi="Times New Roman" w:eastAsia="仿宋_GB2312" w:cs="Times New Roman"/>
      <w:sz w:val="24"/>
      <w:szCs w:val="20"/>
    </w:rPr>
  </w:style>
  <w:style w:type="paragraph" w:styleId="21">
    <w:name w:val="table of figures"/>
    <w:basedOn w:val="1"/>
    <w:next w:val="1"/>
    <w:qFormat/>
    <w:locked/>
    <w:uiPriority w:val="0"/>
    <w:pPr>
      <w:spacing w:after="120" w:line="500" w:lineRule="exact"/>
      <w:jc w:val="center"/>
    </w:pPr>
    <w:rPr>
      <w:rFonts w:ascii="仿宋_GB2312" w:eastAsia="仿宋_GB2312"/>
      <w:sz w:val="28"/>
      <w:szCs w:val="20"/>
    </w:rPr>
  </w:style>
  <w:style w:type="paragraph" w:styleId="22">
    <w:name w:val="toc 9"/>
    <w:basedOn w:val="1"/>
    <w:next w:val="1"/>
    <w:qFormat/>
    <w:locked/>
    <w:uiPriority w:val="0"/>
    <w:pPr>
      <w:wordWrap w:val="0"/>
      <w:ind w:left="2975"/>
    </w:pPr>
    <w:rPr>
      <w:szCs w:val="22"/>
    </w:rPr>
  </w:style>
  <w:style w:type="paragraph" w:styleId="23">
    <w:name w:val="Body Text 2"/>
    <w:basedOn w:val="1"/>
    <w:qFormat/>
    <w:locked/>
    <w:uiPriority w:val="0"/>
    <w:rPr>
      <w:rFonts w:eastAsia="仿宋_GB2312"/>
      <w:b/>
      <w:bCs/>
    </w:rPr>
  </w:style>
  <w:style w:type="paragraph" w:styleId="24">
    <w:name w:val="Normal (Web)"/>
    <w:basedOn w:val="1"/>
    <w:link w:val="45"/>
    <w:qFormat/>
    <w:uiPriority w:val="0"/>
    <w:pPr>
      <w:widowControl/>
      <w:spacing w:before="100" w:beforeAutospacing="1" w:after="100" w:afterAutospacing="1"/>
      <w:jc w:val="left"/>
    </w:pPr>
    <w:rPr>
      <w:rFonts w:ascii="宋体" w:hAnsi="宋体"/>
      <w:kern w:val="0"/>
      <w:sz w:val="24"/>
      <w:szCs w:val="20"/>
    </w:rPr>
  </w:style>
  <w:style w:type="paragraph" w:styleId="25">
    <w:name w:val="annotation subject"/>
    <w:basedOn w:val="9"/>
    <w:next w:val="9"/>
    <w:link w:val="46"/>
    <w:semiHidden/>
    <w:qFormat/>
    <w:uiPriority w:val="0"/>
    <w:rPr>
      <w:b/>
      <w:sz w:val="24"/>
      <w:szCs w:val="20"/>
    </w:rPr>
  </w:style>
  <w:style w:type="paragraph" w:styleId="26">
    <w:name w:val="Body Text First Indent"/>
    <w:basedOn w:val="10"/>
    <w:next w:val="1"/>
    <w:qFormat/>
    <w:locked/>
    <w:uiPriority w:val="0"/>
    <w:pPr>
      <w:ind w:firstLine="420" w:firstLineChars="100"/>
    </w:pPr>
  </w:style>
  <w:style w:type="table" w:styleId="28">
    <w:name w:val="Table Grid"/>
    <w:basedOn w:val="27"/>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locked/>
    <w:uiPriority w:val="0"/>
    <w:rPr>
      <w:b/>
    </w:rPr>
  </w:style>
  <w:style w:type="character" w:styleId="31">
    <w:name w:val="page number"/>
    <w:basedOn w:val="29"/>
    <w:qFormat/>
    <w:locked/>
    <w:uiPriority w:val="0"/>
  </w:style>
  <w:style w:type="character" w:styleId="32">
    <w:name w:val="Emphasis"/>
    <w:basedOn w:val="29"/>
    <w:qFormat/>
    <w:locked/>
    <w:uiPriority w:val="0"/>
    <w:rPr>
      <w:i/>
    </w:rPr>
  </w:style>
  <w:style w:type="character" w:styleId="33">
    <w:name w:val="Hyperlink"/>
    <w:basedOn w:val="29"/>
    <w:qFormat/>
    <w:locked/>
    <w:uiPriority w:val="0"/>
    <w:rPr>
      <w:color w:val="0000FF"/>
      <w:u w:val="single"/>
    </w:rPr>
  </w:style>
  <w:style w:type="character" w:styleId="34">
    <w:name w:val="HTML Code"/>
    <w:basedOn w:val="29"/>
    <w:qFormat/>
    <w:locked/>
    <w:uiPriority w:val="0"/>
    <w:rPr>
      <w:rFonts w:ascii="Courier New" w:hAnsi="Courier New"/>
      <w:sz w:val="20"/>
    </w:rPr>
  </w:style>
  <w:style w:type="character" w:styleId="35">
    <w:name w:val="annotation reference"/>
    <w:semiHidden/>
    <w:qFormat/>
    <w:uiPriority w:val="0"/>
    <w:rPr>
      <w:sz w:val="21"/>
    </w:rPr>
  </w:style>
  <w:style w:type="character" w:customStyle="1" w:styleId="36">
    <w:name w:val="标题 4 Char"/>
    <w:link w:val="5"/>
    <w:qFormat/>
    <w:uiPriority w:val="9"/>
    <w:rPr>
      <w:b/>
      <w:bCs/>
      <w:sz w:val="21"/>
      <w:szCs w:val="28"/>
    </w:rPr>
  </w:style>
  <w:style w:type="character" w:customStyle="1" w:styleId="37">
    <w:name w:val="正文文本缩进 Char"/>
    <w:link w:val="11"/>
    <w:semiHidden/>
    <w:qFormat/>
    <w:locked/>
    <w:uiPriority w:val="0"/>
    <w:rPr>
      <w:rFonts w:ascii="Times New Roman" w:hAnsi="Times New Roman" w:eastAsia="宋体"/>
      <w:sz w:val="24"/>
    </w:rPr>
  </w:style>
  <w:style w:type="character" w:customStyle="1" w:styleId="38">
    <w:name w:val="批注文字 Char"/>
    <w:link w:val="9"/>
    <w:qFormat/>
    <w:locked/>
    <w:uiPriority w:val="0"/>
    <w:rPr>
      <w:rFonts w:ascii="Times New Roman" w:hAnsi="Times New Roman" w:eastAsia="宋体"/>
      <w:sz w:val="24"/>
    </w:rPr>
  </w:style>
  <w:style w:type="character" w:customStyle="1" w:styleId="39">
    <w:name w:val="正文文本 Char"/>
    <w:link w:val="10"/>
    <w:qFormat/>
    <w:locked/>
    <w:uiPriority w:val="0"/>
    <w:rPr>
      <w:rFonts w:ascii="Times New Roman" w:hAnsi="Times New Roman" w:eastAsia="宋体"/>
      <w:sz w:val="21"/>
      <w:szCs w:val="21"/>
    </w:rPr>
  </w:style>
  <w:style w:type="character" w:customStyle="1" w:styleId="40">
    <w:name w:val="日期 Char"/>
    <w:link w:val="14"/>
    <w:qFormat/>
    <w:locked/>
    <w:uiPriority w:val="0"/>
    <w:rPr>
      <w:rFonts w:ascii="Times New Roman" w:hAnsi="Times New Roman" w:eastAsia="宋体"/>
      <w:sz w:val="24"/>
    </w:rPr>
  </w:style>
  <w:style w:type="character" w:customStyle="1" w:styleId="41">
    <w:name w:val="批注框文本 Char"/>
    <w:link w:val="15"/>
    <w:semiHidden/>
    <w:qFormat/>
    <w:locked/>
    <w:uiPriority w:val="0"/>
    <w:rPr>
      <w:rFonts w:ascii="Times New Roman" w:hAnsi="Times New Roman" w:eastAsia="宋体"/>
      <w:sz w:val="18"/>
    </w:rPr>
  </w:style>
  <w:style w:type="character" w:customStyle="1" w:styleId="42">
    <w:name w:val="页脚 Char"/>
    <w:link w:val="16"/>
    <w:qFormat/>
    <w:locked/>
    <w:uiPriority w:val="99"/>
    <w:rPr>
      <w:sz w:val="18"/>
    </w:rPr>
  </w:style>
  <w:style w:type="character" w:customStyle="1" w:styleId="43">
    <w:name w:val="寄信人地址 Char"/>
    <w:link w:val="17"/>
    <w:qFormat/>
    <w:uiPriority w:val="0"/>
    <w:rPr>
      <w:rFonts w:ascii="Arial" w:hAnsi="Arial" w:eastAsia="仿宋_GB2312" w:cs="Arial"/>
      <w:sz w:val="28"/>
      <w:szCs w:val="20"/>
    </w:rPr>
  </w:style>
  <w:style w:type="character" w:customStyle="1" w:styleId="44">
    <w:name w:val="页眉 Char"/>
    <w:link w:val="18"/>
    <w:qFormat/>
    <w:locked/>
    <w:uiPriority w:val="0"/>
    <w:rPr>
      <w:sz w:val="18"/>
    </w:rPr>
  </w:style>
  <w:style w:type="character" w:customStyle="1" w:styleId="45">
    <w:name w:val="普通(网站) Char"/>
    <w:link w:val="24"/>
    <w:qFormat/>
    <w:locked/>
    <w:uiPriority w:val="0"/>
    <w:rPr>
      <w:rFonts w:ascii="宋体" w:hAnsi="宋体" w:eastAsia="宋体"/>
      <w:sz w:val="24"/>
    </w:rPr>
  </w:style>
  <w:style w:type="character" w:customStyle="1" w:styleId="46">
    <w:name w:val="批注主题 Char"/>
    <w:link w:val="25"/>
    <w:semiHidden/>
    <w:qFormat/>
    <w:locked/>
    <w:uiPriority w:val="0"/>
    <w:rPr>
      <w:rFonts w:ascii="Times New Roman" w:hAnsi="Times New Roman" w:eastAsia="宋体"/>
      <w:b/>
      <w:kern w:val="2"/>
      <w:sz w:val="24"/>
    </w:rPr>
  </w:style>
  <w:style w:type="paragraph" w:customStyle="1" w:styleId="47">
    <w:name w:val="Default"/>
    <w:basedOn w:val="48"/>
    <w:qFormat/>
    <w:uiPriority w:val="0"/>
    <w:pPr>
      <w:widowControl w:val="0"/>
      <w:autoSpaceDE w:val="0"/>
      <w:autoSpaceDN w:val="0"/>
      <w:adjustRightInd w:val="0"/>
    </w:pPr>
    <w:rPr>
      <w:rFonts w:ascii="仿宋" w:hAnsi="仿宋" w:cs="仿宋"/>
      <w:color w:val="000000"/>
      <w:sz w:val="24"/>
      <w:szCs w:val="24"/>
    </w:rPr>
  </w:style>
  <w:style w:type="paragraph" w:customStyle="1" w:styleId="48">
    <w:name w:val="标题2"/>
    <w:next w:val="3"/>
    <w:unhideWhenUsed/>
    <w:qFormat/>
    <w:uiPriority w:val="2"/>
    <w:pPr>
      <w:outlineLvl w:val="2"/>
    </w:pPr>
    <w:rPr>
      <w:rFonts w:ascii="Calibri" w:hAnsi="Calibri" w:eastAsia="宋体" w:cs="Times New Roman"/>
      <w:kern w:val="2"/>
      <w:sz w:val="21"/>
      <w:szCs w:val="22"/>
      <w:lang w:val="en-US" w:eastAsia="zh-CN" w:bidi="ar-SA"/>
    </w:rPr>
  </w:style>
  <w:style w:type="paragraph" w:customStyle="1" w:styleId="49">
    <w:name w:val="样式35"/>
    <w:basedOn w:val="1"/>
    <w:qFormat/>
    <w:uiPriority w:val="0"/>
    <w:pPr>
      <w:adjustRightInd w:val="0"/>
      <w:spacing w:line="312" w:lineRule="auto"/>
      <w:ind w:firstLine="567"/>
    </w:pPr>
    <w:rPr>
      <w:rFonts w:ascii="宋体"/>
      <w:kern w:val="0"/>
      <w:sz w:val="28"/>
    </w:rPr>
  </w:style>
  <w:style w:type="paragraph" w:customStyle="1" w:styleId="50">
    <w:name w:val="1正文段落"/>
    <w:basedOn w:val="1"/>
    <w:qFormat/>
    <w:uiPriority w:val="0"/>
    <w:pPr>
      <w:snapToGrid w:val="0"/>
      <w:spacing w:line="360" w:lineRule="auto"/>
      <w:ind w:firstLine="480" w:firstLineChars="200"/>
      <w:jc w:val="left"/>
    </w:pPr>
    <w:rPr>
      <w:kern w:val="0"/>
      <w:sz w:val="24"/>
    </w:rPr>
  </w:style>
  <w:style w:type="paragraph" w:customStyle="1" w:styleId="51">
    <w:name w:val="Body Text First Indent 2"/>
    <w:basedOn w:val="11"/>
    <w:next w:val="1"/>
    <w:qFormat/>
    <w:uiPriority w:val="0"/>
    <w:pPr>
      <w:widowControl w:val="0"/>
      <w:spacing w:after="120"/>
      <w:ind w:left="420" w:leftChars="200" w:firstLine="420" w:firstLineChars="200"/>
      <w:jc w:val="left"/>
    </w:pPr>
    <w:rPr>
      <w:rFonts w:hint="default" w:ascii="Times New Roman" w:hAnsi="Times New Roman" w:eastAsia="宋体"/>
      <w:sz w:val="24"/>
      <w:szCs w:val="24"/>
    </w:rPr>
  </w:style>
  <w:style w:type="character" w:customStyle="1" w:styleId="52">
    <w:name w:val="页脚 字符"/>
    <w:basedOn w:val="29"/>
    <w:qFormat/>
    <w:uiPriority w:val="99"/>
  </w:style>
  <w:style w:type="character" w:customStyle="1" w:styleId="53">
    <w:name w:val="正文文本 字符1"/>
    <w:semiHidden/>
    <w:qFormat/>
    <w:uiPriority w:val="0"/>
    <w:rPr>
      <w:rFonts w:ascii="Times New Roman" w:hAnsi="Times New Roman" w:eastAsia="宋体"/>
      <w:sz w:val="24"/>
    </w:rPr>
  </w:style>
  <w:style w:type="character" w:customStyle="1" w:styleId="54">
    <w:name w:val="表格 Char"/>
    <w:link w:val="55"/>
    <w:qFormat/>
    <w:locked/>
    <w:uiPriority w:val="0"/>
    <w:rPr>
      <w:rFonts w:ascii="宋体"/>
      <w:sz w:val="21"/>
    </w:rPr>
  </w:style>
  <w:style w:type="paragraph" w:customStyle="1" w:styleId="55">
    <w:name w:val="表格"/>
    <w:basedOn w:val="56"/>
    <w:next w:val="1"/>
    <w:link w:val="54"/>
    <w:qFormat/>
    <w:uiPriority w:val="0"/>
    <w:pPr>
      <w:adjustRightInd w:val="0"/>
      <w:snapToGrid w:val="0"/>
      <w:spacing w:beforeLines="10" w:afterLines="10" w:line="259" w:lineRule="auto"/>
      <w:jc w:val="center"/>
    </w:pPr>
    <w:rPr>
      <w:rFonts w:ascii="宋体"/>
      <w:kern w:val="0"/>
      <w:szCs w:val="20"/>
    </w:rPr>
  </w:style>
  <w:style w:type="paragraph" w:customStyle="1" w:styleId="56">
    <w:name w:val="正文文本，表格"/>
    <w:basedOn w:val="1"/>
    <w:qFormat/>
    <w:uiPriority w:val="0"/>
    <w:pPr>
      <w:jc w:val="center"/>
    </w:pPr>
    <w:rPr>
      <w:rFonts w:cs="宋体"/>
      <w:szCs w:val="21"/>
    </w:rPr>
  </w:style>
  <w:style w:type="paragraph" w:customStyle="1" w:styleId="57">
    <w:name w:val="表头"/>
    <w:basedOn w:val="58"/>
    <w:next w:val="20"/>
    <w:qFormat/>
    <w:uiPriority w:val="0"/>
    <w:pPr>
      <w:keepNext/>
      <w:snapToGrid w:val="0"/>
      <w:jc w:val="center"/>
    </w:pPr>
    <w:rPr>
      <w:b/>
      <w:kern w:val="2"/>
      <w:sz w:val="21"/>
      <w:szCs w:val="24"/>
      <w:lang w:eastAsia="en-US"/>
    </w:rPr>
  </w:style>
  <w:style w:type="paragraph" w:customStyle="1" w:styleId="58">
    <w:name w:val="文本"/>
    <w:basedOn w:val="6"/>
    <w:next w:val="1"/>
    <w:qFormat/>
    <w:uiPriority w:val="0"/>
    <w:pPr>
      <w:adjustRightInd w:val="0"/>
      <w:snapToGrid w:val="0"/>
      <w:spacing w:line="360" w:lineRule="auto"/>
      <w:ind w:firstLine="1446"/>
    </w:pPr>
    <w:rPr>
      <w:sz w:val="24"/>
    </w:rPr>
  </w:style>
  <w:style w:type="character" w:customStyle="1" w:styleId="59">
    <w:name w:val="日期 字符"/>
    <w:semiHidden/>
    <w:qFormat/>
    <w:uiPriority w:val="0"/>
    <w:rPr>
      <w:rFonts w:ascii="Times New Roman" w:hAnsi="Times New Roman" w:eastAsia="宋体"/>
      <w:sz w:val="24"/>
    </w:rPr>
  </w:style>
  <w:style w:type="character" w:customStyle="1" w:styleId="60">
    <w:name w:val="批注文字 字符1"/>
    <w:semiHidden/>
    <w:qFormat/>
    <w:uiPriority w:val="0"/>
    <w:rPr>
      <w:rFonts w:ascii="Times New Roman" w:hAnsi="Times New Roman" w:eastAsia="宋体"/>
      <w:sz w:val="24"/>
    </w:rPr>
  </w:style>
  <w:style w:type="paragraph" w:customStyle="1" w:styleId="61">
    <w:name w:val="正文_1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2">
    <w:name w:val="普通(网站)2"/>
    <w:basedOn w:val="1"/>
    <w:qFormat/>
    <w:uiPriority w:val="0"/>
    <w:pPr>
      <w:widowControl/>
      <w:spacing w:before="100" w:beforeAutospacing="1" w:after="100" w:afterAutospacing="1"/>
      <w:jc w:val="left"/>
    </w:pPr>
    <w:rPr>
      <w:rFonts w:ascii="宋体" w:hAnsi="宋体"/>
      <w:sz w:val="24"/>
      <w:szCs w:val="20"/>
    </w:rPr>
  </w:style>
  <w:style w:type="paragraph" w:customStyle="1" w:styleId="63">
    <w:name w:val="Table Text"/>
    <w:basedOn w:val="1"/>
    <w:semiHidden/>
    <w:qFormat/>
    <w:uiPriority w:val="0"/>
    <w:rPr>
      <w:rFonts w:ascii="宋体" w:hAnsi="宋体" w:eastAsia="宋体" w:cs="宋体"/>
      <w:sz w:val="24"/>
      <w:szCs w:val="24"/>
      <w:lang w:val="en-US" w:eastAsia="en-US" w:bidi="ar-SA"/>
    </w:rPr>
  </w:style>
  <w:style w:type="table" w:customStyle="1" w:styleId="64">
    <w:name w:val="Table Normal"/>
    <w:unhideWhenUsed/>
    <w:qFormat/>
    <w:uiPriority w:val="0"/>
    <w:tblPr>
      <w:tblCellMar>
        <w:top w:w="0" w:type="dxa"/>
        <w:left w:w="0" w:type="dxa"/>
        <w:bottom w:w="0" w:type="dxa"/>
        <w:right w:w="0" w:type="dxa"/>
      </w:tblCellMar>
    </w:tblPr>
  </w:style>
  <w:style w:type="paragraph" w:customStyle="1" w:styleId="65">
    <w:name w:val="标题 段落4级"/>
    <w:qFormat/>
    <w:uiPriority w:val="0"/>
    <w:pPr>
      <w:spacing w:line="500" w:lineRule="exact"/>
      <w:outlineLvl w:val="3"/>
    </w:pPr>
    <w:rPr>
      <w:rFonts w:ascii="Times New Roman" w:hAnsi="Times New Roman" w:eastAsia="仿宋_GB2312" w:cs="Calibri"/>
      <w:b/>
      <w:kern w:val="2"/>
      <w:sz w:val="28"/>
      <w:szCs w:val="24"/>
      <w:lang w:val="en-US" w:eastAsia="zh-CN" w:bidi="ar-SA"/>
    </w:rPr>
  </w:style>
  <w:style w:type="paragraph" w:customStyle="1" w:styleId="66">
    <w:name w:val="正文B"/>
    <w:basedOn w:val="1"/>
    <w:qFormat/>
    <w:uiPriority w:val="0"/>
    <w:pPr>
      <w:spacing w:line="540" w:lineRule="exact"/>
      <w:ind w:firstLine="480" w:firstLineChars="200"/>
    </w:pPr>
    <w:rPr>
      <w:rFonts w:ascii="宋体" w:hAnsi="宋体"/>
      <w:kern w:val="0"/>
      <w:sz w:val="24"/>
      <w:szCs w:val="20"/>
    </w:rPr>
  </w:style>
  <w:style w:type="paragraph" w:customStyle="1" w:styleId="67">
    <w:name w:val="Body Text First Indent 21"/>
    <w:basedOn w:val="68"/>
    <w:next w:val="1"/>
    <w:qFormat/>
    <w:uiPriority w:val="99"/>
    <w:pPr>
      <w:spacing w:after="120" w:line="360" w:lineRule="auto"/>
      <w:ind w:left="420" w:leftChars="200" w:firstLine="420" w:firstLineChars="200"/>
      <w:jc w:val="left"/>
    </w:pPr>
    <w:rPr>
      <w:sz w:val="24"/>
      <w:szCs w:val="24"/>
    </w:rPr>
  </w:style>
  <w:style w:type="paragraph" w:customStyle="1" w:styleId="68">
    <w:name w:val="Body Text Indent1"/>
    <w:basedOn w:val="1"/>
    <w:qFormat/>
    <w:uiPriority w:val="99"/>
    <w:pPr>
      <w:spacing w:line="640" w:lineRule="exact"/>
      <w:ind w:left="183" w:leftChars="87" w:firstLine="900" w:firstLineChars="300"/>
    </w:pPr>
    <w:rPr>
      <w:sz w:val="30"/>
      <w:szCs w:val="30"/>
    </w:rPr>
  </w:style>
  <w:style w:type="character" w:customStyle="1" w:styleId="69">
    <w:name w:val="font21"/>
    <w:basedOn w:val="29"/>
    <w:qFormat/>
    <w:uiPriority w:val="0"/>
    <w:rPr>
      <w:rFonts w:ascii="宋体" w:hAnsi="宋体" w:eastAsia="宋体" w:cs="宋体"/>
      <w:b/>
      <w:bCs/>
      <w:color w:val="000000"/>
      <w:sz w:val="42"/>
      <w:szCs w:val="42"/>
      <w:u w:val="none"/>
    </w:rPr>
  </w:style>
  <w:style w:type="character" w:customStyle="1" w:styleId="70">
    <w:name w:val="font31"/>
    <w:basedOn w:val="29"/>
    <w:qFormat/>
    <w:uiPriority w:val="0"/>
    <w:rPr>
      <w:rFonts w:ascii="宋体" w:hAnsi="宋体" w:eastAsia="宋体" w:cs="宋体"/>
      <w:color w:val="000000"/>
      <w:sz w:val="42"/>
      <w:szCs w:val="42"/>
      <w:u w:val="none"/>
    </w:rPr>
  </w:style>
  <w:style w:type="character" w:customStyle="1" w:styleId="71">
    <w:name w:val="font41"/>
    <w:basedOn w:val="29"/>
    <w:qFormat/>
    <w:uiPriority w:val="0"/>
    <w:rPr>
      <w:rFonts w:hint="default" w:ascii="Arial" w:hAnsi="Arial" w:cs="Arial"/>
      <w:color w:val="000000"/>
      <w:sz w:val="16"/>
      <w:szCs w:val="16"/>
      <w:u w:val="none"/>
    </w:rPr>
  </w:style>
  <w:style w:type="character" w:customStyle="1" w:styleId="72">
    <w:name w:val="font51"/>
    <w:basedOn w:val="29"/>
    <w:qFormat/>
    <w:uiPriority w:val="0"/>
    <w:rPr>
      <w:rFonts w:ascii="宋体" w:hAnsi="宋体" w:eastAsia="宋体" w:cs="宋体"/>
      <w:color w:val="000000"/>
      <w:sz w:val="24"/>
      <w:szCs w:val="24"/>
      <w:u w:val="none"/>
    </w:rPr>
  </w:style>
  <w:style w:type="paragraph" w:customStyle="1" w:styleId="73">
    <w:name w:val="1正文"/>
    <w:basedOn w:val="1"/>
    <w:qFormat/>
    <w:uiPriority w:val="0"/>
    <w:pPr>
      <w:spacing w:line="360" w:lineRule="auto"/>
      <w:ind w:firstLine="200" w:firstLineChars="200"/>
    </w:pPr>
    <w:rPr>
      <w:rFonts w:cs="宋体"/>
      <w:sz w:val="24"/>
    </w:rPr>
  </w:style>
  <w:style w:type="paragraph" w:customStyle="1" w:styleId="74">
    <w:name w:val="表格正文"/>
    <w:basedOn w:val="1"/>
    <w:qFormat/>
    <w:uiPriority w:val="0"/>
    <w:pPr>
      <w:widowControl/>
      <w:adjustRightInd w:val="0"/>
      <w:snapToGrid w:val="0"/>
      <w:spacing w:line="360" w:lineRule="exact"/>
      <w:jc w:val="center"/>
    </w:pPr>
    <w:rPr>
      <w:rFonts w:ascii="Times New Roman" w:hAnsi="Times New Roman" w:eastAsia="宋体"/>
    </w:rPr>
  </w:style>
  <w:style w:type="character" w:customStyle="1" w:styleId="75">
    <w:name w:val="font71"/>
    <w:basedOn w:val="29"/>
    <w:qFormat/>
    <w:uiPriority w:val="0"/>
    <w:rPr>
      <w:rFonts w:ascii="宋体" w:hAnsi="宋体" w:eastAsia="宋体" w:cs="宋体"/>
      <w:color w:val="000000"/>
      <w:sz w:val="26"/>
      <w:szCs w:val="26"/>
      <w:u w:val="none"/>
    </w:rPr>
  </w:style>
  <w:style w:type="character" w:customStyle="1" w:styleId="76">
    <w:name w:val="font81"/>
    <w:basedOn w:val="29"/>
    <w:qFormat/>
    <w:uiPriority w:val="0"/>
    <w:rPr>
      <w:rFonts w:hint="default" w:ascii="Times New Roman" w:hAnsi="Times New Roman" w:cs="Times New Roman"/>
      <w:color w:val="000000"/>
      <w:sz w:val="26"/>
      <w:szCs w:val="26"/>
      <w:u w:val="none"/>
      <w:vertAlign w:val="subscript"/>
    </w:rPr>
  </w:style>
  <w:style w:type="character" w:customStyle="1" w:styleId="77">
    <w:name w:val="font91"/>
    <w:basedOn w:val="29"/>
    <w:qFormat/>
    <w:uiPriority w:val="0"/>
    <w:rPr>
      <w:rFonts w:hint="default" w:ascii="Times New Roman" w:hAnsi="Times New Roman" w:cs="Times New Roman"/>
      <w:color w:val="000000"/>
      <w:sz w:val="22"/>
      <w:szCs w:val="22"/>
      <w:u w:val="none"/>
      <w:vertAlign w:val="subscript"/>
    </w:rPr>
  </w:style>
  <w:style w:type="character" w:customStyle="1" w:styleId="78">
    <w:name w:val="font101"/>
    <w:basedOn w:val="29"/>
    <w:qFormat/>
    <w:uiPriority w:val="0"/>
    <w:rPr>
      <w:rFonts w:hint="eastAsia" w:ascii="宋体" w:hAnsi="宋体" w:eastAsia="宋体" w:cs="宋体"/>
      <w:color w:val="000000"/>
      <w:sz w:val="22"/>
      <w:szCs w:val="22"/>
      <w:u w:val="none"/>
    </w:rPr>
  </w:style>
  <w:style w:type="character" w:customStyle="1" w:styleId="79">
    <w:name w:val="font11"/>
    <w:basedOn w:val="29"/>
    <w:qFormat/>
    <w:uiPriority w:val="0"/>
    <w:rPr>
      <w:rFonts w:hint="default" w:ascii="Times New Roman" w:hAnsi="Times New Roman" w:cs="Times New Roman"/>
      <w:color w:val="000000"/>
      <w:sz w:val="26"/>
      <w:szCs w:val="26"/>
      <w:u w:val="none"/>
    </w:rPr>
  </w:style>
  <w:style w:type="character" w:customStyle="1" w:styleId="80">
    <w:name w:val="font112"/>
    <w:basedOn w:val="29"/>
    <w:qFormat/>
    <w:uiPriority w:val="0"/>
    <w:rPr>
      <w:rFonts w:hint="eastAsia" w:ascii="宋体" w:hAnsi="宋体" w:eastAsia="宋体" w:cs="宋体"/>
      <w:color w:val="000000"/>
      <w:sz w:val="22"/>
      <w:szCs w:val="22"/>
      <w:u w:val="none"/>
    </w:rPr>
  </w:style>
  <w:style w:type="character" w:customStyle="1" w:styleId="81">
    <w:name w:val="font61"/>
    <w:basedOn w:val="29"/>
    <w:qFormat/>
    <w:uiPriority w:val="0"/>
    <w:rPr>
      <w:rFonts w:ascii="宋体" w:hAnsi="宋体" w:eastAsia="宋体" w:cs="宋体"/>
      <w:color w:val="000000"/>
      <w:sz w:val="26"/>
      <w:szCs w:val="26"/>
      <w:u w:val="none"/>
    </w:rPr>
  </w:style>
  <w:style w:type="character" w:customStyle="1" w:styleId="82">
    <w:name w:val="font12"/>
    <w:basedOn w:val="29"/>
    <w:qFormat/>
    <w:uiPriority w:val="0"/>
    <w:rPr>
      <w:rFonts w:hint="default" w:ascii="Times New Roman" w:hAnsi="Times New Roman" w:cs="Times New Roman"/>
      <w:color w:val="000000"/>
      <w:sz w:val="26"/>
      <w:szCs w:val="26"/>
      <w:u w:val="none"/>
    </w:rPr>
  </w:style>
  <w:style w:type="character" w:customStyle="1" w:styleId="83">
    <w:name w:val="font111"/>
    <w:basedOn w:val="29"/>
    <w:qFormat/>
    <w:uiPriority w:val="0"/>
    <w:rPr>
      <w:rFonts w:hint="default" w:ascii="Times New Roman" w:hAnsi="Times New Roman" w:cs="Times New Roman"/>
      <w:color w:val="000000"/>
      <w:sz w:val="22"/>
      <w:szCs w:val="22"/>
      <w:u w:val="none"/>
    </w:rPr>
  </w:style>
  <w:style w:type="paragraph" w:customStyle="1" w:styleId="84">
    <w:name w:val="表格内容居中"/>
    <w:basedOn w:val="1"/>
    <w:qFormat/>
    <w:uiPriority w:val="0"/>
    <w:pPr>
      <w:widowControl/>
      <w:adjustRightInd w:val="0"/>
      <w:snapToGrid w:val="0"/>
      <w:jc w:val="center"/>
    </w:pPr>
    <w:rPr>
      <w:rFonts w:ascii="Calibri" w:hAnsi="Calibri"/>
      <w:kern w:val="0"/>
      <w:szCs w:val="21"/>
    </w:rPr>
  </w:style>
  <w:style w:type="paragraph" w:customStyle="1" w:styleId="85">
    <w:name w:val="报告书正文"/>
    <w:basedOn w:val="1"/>
    <w:qFormat/>
    <w:uiPriority w:val="0"/>
    <w:pPr>
      <w:spacing w:line="360" w:lineRule="auto"/>
    </w:pPr>
  </w:style>
  <w:style w:type="paragraph" w:customStyle="1" w:styleId="86">
    <w:name w:val="标号正文"/>
    <w:basedOn w:val="1"/>
    <w:next w:val="1"/>
    <w:qFormat/>
    <w:uiPriority w:val="0"/>
    <w:pPr>
      <w:tabs>
        <w:tab w:val="left" w:pos="1540"/>
      </w:tabs>
      <w:overflowPunct w:val="0"/>
      <w:snapToGrid w:val="0"/>
      <w:spacing w:line="360" w:lineRule="auto"/>
      <w:ind w:firstLine="1040"/>
      <w:jc w:val="left"/>
    </w:pPr>
    <w:rPr>
      <w:rFonts w:ascii="Arial" w:hAnsi="Arial"/>
      <w:sz w:val="24"/>
      <w:szCs w:val="20"/>
    </w:rPr>
  </w:style>
  <w:style w:type="paragraph" w:customStyle="1" w:styleId="87">
    <w:name w:val="正式文本"/>
    <w:basedOn w:val="1"/>
    <w:qFormat/>
    <w:uiPriority w:val="0"/>
    <w:pPr>
      <w:adjustRightInd w:val="0"/>
      <w:snapToGrid w:val="0"/>
      <w:spacing w:line="360" w:lineRule="auto"/>
      <w:ind w:firstLine="420" w:firstLineChars="200"/>
      <w:jc w:val="left"/>
    </w:pPr>
    <w:rPr>
      <w:bCs/>
      <w:szCs w:val="21"/>
    </w:rPr>
  </w:style>
  <w:style w:type="paragraph" w:customStyle="1" w:styleId="88">
    <w:name w:val="1LD正文"/>
    <w:basedOn w:val="1"/>
    <w:qFormat/>
    <w:uiPriority w:val="0"/>
    <w:pPr>
      <w:adjustRightInd w:val="0"/>
      <w:snapToGrid w:val="0"/>
      <w:spacing w:line="360" w:lineRule="auto"/>
      <w:ind w:firstLine="200" w:firstLineChars="200"/>
    </w:pPr>
    <w:rPr>
      <w:rFonts w:ascii="宋体" w:hAnsi="宋体" w:cs="宋体"/>
      <w:color w:val="0000FF"/>
      <w:kern w:val="0"/>
      <w:sz w:val="24"/>
    </w:rPr>
  </w:style>
  <w:style w:type="paragraph" w:customStyle="1" w:styleId="89">
    <w:name w:val="表标题"/>
    <w:basedOn w:val="1"/>
    <w:qFormat/>
    <w:uiPriority w:val="0"/>
    <w:pPr>
      <w:spacing w:line="360" w:lineRule="auto"/>
      <w:jc w:val="center"/>
    </w:pPr>
    <w:rPr>
      <w:b/>
      <w:bCs/>
      <w:szCs w:val="22"/>
    </w:rPr>
  </w:style>
  <w:style w:type="paragraph" w:customStyle="1" w:styleId="90">
    <w:name w:val="环评表头"/>
    <w:basedOn w:val="1"/>
    <w:qFormat/>
    <w:uiPriority w:val="0"/>
    <w:pPr>
      <w:widowControl/>
      <w:spacing w:line="240" w:lineRule="auto"/>
      <w:ind w:firstLine="0" w:firstLineChars="0"/>
      <w:jc w:val="center"/>
    </w:pPr>
    <w:rPr>
      <w:b/>
      <w:kern w:val="0"/>
    </w:rPr>
  </w:style>
  <w:style w:type="paragraph" w:customStyle="1" w:styleId="91">
    <w:name w:val="环评表格"/>
    <w:basedOn w:val="1"/>
    <w:qFormat/>
    <w:uiPriority w:val="0"/>
    <w:pPr>
      <w:spacing w:line="288" w:lineRule="auto"/>
      <w:ind w:firstLine="0" w:firstLineChars="0"/>
      <w:jc w:val="center"/>
    </w:pPr>
    <w:rPr>
      <w:kern w:val="0"/>
      <w:sz w:val="21"/>
      <w:szCs w:val="21"/>
    </w:rPr>
  </w:style>
  <w:style w:type="paragraph" w:customStyle="1" w:styleId="92">
    <w:name w:val="表格内容"/>
    <w:basedOn w:val="93"/>
    <w:next w:val="1"/>
    <w:qFormat/>
    <w:uiPriority w:val="0"/>
    <w:pPr>
      <w:jc w:val="center"/>
    </w:pPr>
    <w:rPr>
      <w:rFonts w:eastAsia="宋体"/>
      <w:szCs w:val="21"/>
    </w:rPr>
  </w:style>
  <w:style w:type="paragraph" w:customStyle="1" w:styleId="93">
    <w:name w:val="表格标题"/>
    <w:basedOn w:val="1"/>
    <w:next w:val="92"/>
    <w:qFormat/>
    <w:uiPriority w:val="0"/>
    <w:pPr>
      <w:jc w:val="center"/>
    </w:pPr>
    <w:rPr>
      <w:b/>
      <w:kern w:val="0"/>
    </w:rPr>
  </w:style>
  <w:style w:type="paragraph" w:customStyle="1" w:styleId="94">
    <w:name w:val="表格正文小四首行缩进"/>
    <w:qFormat/>
    <w:uiPriority w:val="0"/>
    <w:pPr>
      <w:widowControl w:val="0"/>
      <w:spacing w:line="360" w:lineRule="auto"/>
      <w:ind w:firstLine="640" w:firstLineChars="200"/>
      <w:jc w:val="both"/>
    </w:pPr>
    <w:rPr>
      <w:rFonts w:ascii="Arial" w:hAnsi="Arial" w:eastAsia="宋体" w:cs="Arial"/>
      <w:color w:val="FF0000"/>
      <w:kern w:val="2"/>
      <w:sz w:val="24"/>
      <w:szCs w:val="24"/>
      <w:lang w:val="en-US" w:eastAsia="zh-CN" w:bidi="ar-SA"/>
    </w:rPr>
  </w:style>
  <w:style w:type="paragraph" w:customStyle="1" w:styleId="95">
    <w:name w:val="Default1"/>
    <w:basedOn w:val="96"/>
    <w:next w:val="1"/>
    <w:qFormat/>
    <w:uiPriority w:val="0"/>
    <w:pPr>
      <w:widowControl w:val="0"/>
      <w:autoSpaceDE w:val="0"/>
      <w:autoSpaceDN w:val="0"/>
      <w:adjustRightInd w:val="0"/>
      <w:spacing w:line="360" w:lineRule="auto"/>
      <w:ind w:firstLine="720" w:firstLineChars="200"/>
      <w:jc w:val="left"/>
    </w:pPr>
    <w:rPr>
      <w:rFonts w:ascii="Times New Roman" w:hAnsi="Times New Roman" w:eastAsia="宋体" w:cs="宋体"/>
      <w:bCs/>
      <w:color w:val="000000"/>
      <w:sz w:val="24"/>
      <w:szCs w:val="21"/>
      <w:lang w:val="en-US" w:eastAsia="zh-CN" w:bidi="ar-SA"/>
    </w:rPr>
  </w:style>
  <w:style w:type="paragraph" w:customStyle="1" w:styleId="96">
    <w:name w:val="Normal_14_0"/>
    <w:qFormat/>
    <w:uiPriority w:val="0"/>
    <w:pPr>
      <w:spacing w:before="120" w:after="240"/>
      <w:jc w:val="both"/>
    </w:pPr>
    <w:rPr>
      <w:rFonts w:ascii="Calibri" w:hAnsi="Calibri" w:eastAsia="Calibri" w:cs="Times New Roman"/>
      <w:sz w:val="22"/>
      <w:szCs w:val="22"/>
      <w:lang w:val="ru-RU" w:eastAsia="en-US" w:bidi="ar-SA"/>
    </w:rPr>
  </w:style>
  <w:style w:type="character" w:customStyle="1" w:styleId="97">
    <w:name w:val="10"/>
    <w:basedOn w:val="29"/>
    <w:qFormat/>
    <w:uiPriority w:val="0"/>
    <w:rPr>
      <w:rFonts w:hint="default" w:ascii="Times New Roman" w:hAnsi="Times New Roman" w:cs="Times New Roman"/>
    </w:rPr>
  </w:style>
  <w:style w:type="character" w:customStyle="1" w:styleId="98">
    <w:name w:val="15"/>
    <w:basedOn w:val="29"/>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8" Type="http://schemas.openxmlformats.org/officeDocument/2006/relationships/fontTable" Target="fontTable.xml"/><Relationship Id="rId67" Type="http://schemas.openxmlformats.org/officeDocument/2006/relationships/customXml" Target="../customXml/item2.xml"/><Relationship Id="rId66" Type="http://schemas.openxmlformats.org/officeDocument/2006/relationships/numbering" Target="numbering.xml"/><Relationship Id="rId65" Type="http://schemas.openxmlformats.org/officeDocument/2006/relationships/customXml" Target="../customXml/item1.xml"/><Relationship Id="rId64" Type="http://schemas.openxmlformats.org/officeDocument/2006/relationships/image" Target="media/image51.png"/><Relationship Id="rId63" Type="http://schemas.openxmlformats.org/officeDocument/2006/relationships/image" Target="media/image50.png"/><Relationship Id="rId62" Type="http://schemas.openxmlformats.org/officeDocument/2006/relationships/image" Target="media/image49.png"/><Relationship Id="rId61" Type="http://schemas.openxmlformats.org/officeDocument/2006/relationships/image" Target="media/image48.png"/><Relationship Id="rId60" Type="http://schemas.openxmlformats.org/officeDocument/2006/relationships/image" Target="media/image47.png"/><Relationship Id="rId6" Type="http://schemas.openxmlformats.org/officeDocument/2006/relationships/footer" Target="footer2.xml"/><Relationship Id="rId59" Type="http://schemas.openxmlformats.org/officeDocument/2006/relationships/image" Target="media/image46.png"/><Relationship Id="rId58" Type="http://schemas.openxmlformats.org/officeDocument/2006/relationships/image" Target="media/image45.png"/><Relationship Id="rId57" Type="http://schemas.openxmlformats.org/officeDocument/2006/relationships/image" Target="media/image44.png"/><Relationship Id="rId56" Type="http://schemas.openxmlformats.org/officeDocument/2006/relationships/image" Target="media/image43.png"/><Relationship Id="rId55" Type="http://schemas.openxmlformats.org/officeDocument/2006/relationships/image" Target="media/image42.png"/><Relationship Id="rId54" Type="http://schemas.openxmlformats.org/officeDocument/2006/relationships/image" Target="media/image41.png"/><Relationship Id="rId53" Type="http://schemas.openxmlformats.org/officeDocument/2006/relationships/image" Target="media/image40.png"/><Relationship Id="rId52" Type="http://schemas.openxmlformats.org/officeDocument/2006/relationships/image" Target="media/image39.png"/><Relationship Id="rId51" Type="http://schemas.openxmlformats.org/officeDocument/2006/relationships/image" Target="media/image38.png"/><Relationship Id="rId50" Type="http://schemas.openxmlformats.org/officeDocument/2006/relationships/image" Target="media/image37.png"/><Relationship Id="rId5" Type="http://schemas.openxmlformats.org/officeDocument/2006/relationships/footer" Target="footer1.xml"/><Relationship Id="rId49" Type="http://schemas.openxmlformats.org/officeDocument/2006/relationships/image" Target="media/image36.png"/><Relationship Id="rId48" Type="http://schemas.openxmlformats.org/officeDocument/2006/relationships/image" Target="media/image35.png"/><Relationship Id="rId47" Type="http://schemas.openxmlformats.org/officeDocument/2006/relationships/image" Target="media/image34.png"/><Relationship Id="rId46" Type="http://schemas.openxmlformats.org/officeDocument/2006/relationships/image" Target="media/image33.png"/><Relationship Id="rId45" Type="http://schemas.openxmlformats.org/officeDocument/2006/relationships/image" Target="media/image32.png"/><Relationship Id="rId44" Type="http://schemas.openxmlformats.org/officeDocument/2006/relationships/image" Target="media/image31.png"/><Relationship Id="rId43" Type="http://schemas.openxmlformats.org/officeDocument/2006/relationships/image" Target="media/image30.png"/><Relationship Id="rId42" Type="http://schemas.openxmlformats.org/officeDocument/2006/relationships/image" Target="media/image29.png"/><Relationship Id="rId41" Type="http://schemas.openxmlformats.org/officeDocument/2006/relationships/image" Target="media/image28.png"/><Relationship Id="rId40" Type="http://schemas.openxmlformats.org/officeDocument/2006/relationships/image" Target="media/image27.png"/><Relationship Id="rId4" Type="http://schemas.openxmlformats.org/officeDocument/2006/relationships/endnotes" Target="endnotes.xml"/><Relationship Id="rId39" Type="http://schemas.openxmlformats.org/officeDocument/2006/relationships/image" Target="media/image26.png"/><Relationship Id="rId38" Type="http://schemas.openxmlformats.org/officeDocument/2006/relationships/image" Target="media/image25.png"/><Relationship Id="rId37" Type="http://schemas.openxmlformats.org/officeDocument/2006/relationships/image" Target="media/image24.png"/><Relationship Id="rId36" Type="http://schemas.openxmlformats.org/officeDocument/2006/relationships/image" Target="media/image23.png"/><Relationship Id="rId35" Type="http://schemas.openxmlformats.org/officeDocument/2006/relationships/image" Target="media/image22.png"/><Relationship Id="rId34" Type="http://schemas.openxmlformats.org/officeDocument/2006/relationships/image" Target="media/image21.png"/><Relationship Id="rId33" Type="http://schemas.openxmlformats.org/officeDocument/2006/relationships/image" Target="media/image20.png"/><Relationship Id="rId32" Type="http://schemas.openxmlformats.org/officeDocument/2006/relationships/image" Target="media/image19.png"/><Relationship Id="rId31" Type="http://schemas.openxmlformats.org/officeDocument/2006/relationships/image" Target="media/image18.png"/><Relationship Id="rId30" Type="http://schemas.openxmlformats.org/officeDocument/2006/relationships/image" Target="media/image17.png"/><Relationship Id="rId3" Type="http://schemas.openxmlformats.org/officeDocument/2006/relationships/footnotes" Target="footnotes.xml"/><Relationship Id="rId29" Type="http://schemas.openxmlformats.org/officeDocument/2006/relationships/oleObject" Target="embeddings/oleObject2.bin"/><Relationship Id="rId28" Type="http://schemas.openxmlformats.org/officeDocument/2006/relationships/image" Target="media/image16.wmf"/><Relationship Id="rId27" Type="http://schemas.openxmlformats.org/officeDocument/2006/relationships/oleObject" Target="embeddings/oleObject1.bin"/><Relationship Id="rId26" Type="http://schemas.openxmlformats.org/officeDocument/2006/relationships/image" Target="media/image15.png"/><Relationship Id="rId25" Type="http://schemas.openxmlformats.org/officeDocument/2006/relationships/image" Target="media/image14.png"/><Relationship Id="rId24" Type="http://schemas.openxmlformats.org/officeDocument/2006/relationships/image" Target="media/image13.png"/><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bbaf42de-0d6f-42de-bfd3-b4c0f6ccf7ad</errorID>
      <errorWord>》（试行）</errorWord>
      <group>L1_Word</group>
      <groupName>字词问题</groupName>
      <ability>L2_Typo</ability>
      <abilityName>字词错误</abilityName>
      <candidateList>
        <item>（试行）》</item>
      </candidateList>
      <explain/>
      <paraID>3545D36B</paraID>
      <start>27</start>
      <end>32</end>
      <status>ignored</status>
      <modifiedWord/>
      <trackRevisions>false</trackRevisions>
    </reviewItem>
    <reviewItem>
      <errorID>f17d82f6-69f0-4c24-9dbd-79bc09823c5e</errorID>
      <errorWord>。</errorWord>
      <group>L1_Grammar</group>
      <groupName>语法问题</groupName>
      <ability>L2_Illogical</ability>
      <abilityName>不合逻辑</abilityName>
      <candidateList>
        <item>等。</item>
      </candidateList>
      <explain>句子中可能存在因果关系错误、自相矛盾、概念误用、主客倒置、否定不当、前后缺乏呼应等问题。</explain>
      <paraID>736E3BF2</paraID>
      <start>46</start>
      <end>47</end>
      <status>ignored</status>
      <modifiedWord/>
      <trackRevisions>false</trackRevisions>
    </reviewItem>
    <reviewItem>
      <errorID>64968a6a-03e9-473e-9550-789ab5f6a5c5</errorID>
      <errorWord>《安徽青阳经济开发区总体发展规划》（2021—2030年）</errorWord>
      <group>L1_Knowledge</group>
      <groupName>知识性问题</groupName>
      <ability>L2_Knowledge</ability>
      <abilityName>其他知识</abilityName>
      <candidateList>
        <item>《安徽青阳经济开发区总体发展规划（2021—2030年）》</item>
      </candidateList>
      <explain>疑似政策文件、法律法规名称等书写不规范，请注意检查。</explain>
      <paraID>44D10C9F</paraID>
      <start>5</start>
      <end>34</end>
      <status>ignored</status>
      <modifiedWord/>
      <trackRevisions>false</trackRevisions>
    </reviewItem>
    <reviewItem>
      <errorID>f851d3c4-66ec-4de0-85c7-a2cdd0835129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6D4A34C6</paraID>
      <start>0</start>
      <end>2</end>
      <status>ignored</status>
      <modifiedWord/>
      <trackRevisions>false</trackRevisions>
    </reviewItem>
    <reviewItem>
      <errorID>9bbe969a-25e4-497f-b8a4-f0105c821027</errorID>
      <errorWord>、</errorWord>
      <group>L1_Word</group>
      <groupName>字词问题</groupName>
      <ability>L2_Typo</ability>
      <abilityName>字词错误</abilityName>
      <candidateList>
        <item>、以</item>
      </candidateList>
      <explain/>
      <paraID> A899DF0</paraID>
      <start>153</start>
      <end>154</end>
      <status>ignored</status>
      <modifiedWord/>
      <trackRevisions>false</trackRevisions>
    </reviewItem>
    <reviewItem>
      <errorID>0907546a-bb8f-4612-b7f8-1fcd11da9a56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19E08E2F</paraID>
      <start>0</start>
      <end>2</end>
      <status>ignored</status>
      <modifiedWord/>
      <trackRevisions>false</trackRevisions>
    </reviewItem>
    <reviewItem>
      <errorID>8214e9e7-14c7-411f-b0fa-7b82ab967e01</errorID>
      <errorWord>[2020]2号</errorWord>
      <group>L1_Knowledge</group>
      <groupName>知识性问题</groupName>
      <ability>L2_Knowledge</ability>
      <abilityName>其他知识</abilityName>
      <candidateList>
        <item>〔2020〕2号</item>
      </candidateList>
      <explain>发文字号格式错误。</explain>
      <paraID>40D3D7FD</paraID>
      <start>236</start>
      <end>244</end>
      <status>modified</status>
      <modifiedWord>〔2020〕2号</modifiedWord>
      <trackRevisions>false</trackRevisions>
    </reviewItem>
    <reviewItem>
      <errorID>fb072fb0-7e84-451b-a6c8-991e0724d604</errorID>
      <errorWord>高校</errorWord>
      <group>L1_Word</group>
      <groupName>字词问题</groupName>
      <ability>L2_Typo</ability>
      <abilityName>字词错误</abilityName>
      <candidateList>
        <item>高效</item>
      </candidateList>
      <explain>〈形〉属性词。效能高的；效率高的：～杀虫剂。</explain>
      <paraID>40D3D7FD</paraID>
      <start>372</start>
      <end>374</end>
      <status>modified</status>
      <modifiedWord>高效</modifiedWord>
      <trackRevisions>false</trackRevisions>
    </reviewItem>
    <reviewItem>
      <errorID>c1c68194-ba42-4bac-9482-8c2df7da1b0c</errorID>
      <errorWord>制造业制造业</errorWord>
      <group>L1_Word</group>
      <groupName>字词问题</groupName>
      <ability>L2_Typo</ability>
      <abilityName>字词错误</abilityName>
      <candidateList>
        <item>制造业</item>
      </candidateList>
      <explain/>
      <paraID>2954BFD3</paraID>
      <start>16</start>
      <end>19</end>
      <status>modified</status>
      <modifiedWord>制造业</modifiedWord>
      <trackRevisions>false</trackRevisions>
    </reviewItem>
    <reviewItem>
      <errorID>c253d646-c658-49d3-a800-df2e264b9c4c</errorID>
      <errorWord>、</errorWord>
      <group>L1_Word</group>
      <groupName>字词问题</groupName>
      <ability>L2_Typo</ability>
      <abilityName>字词错误</abilityName>
      <candidateList>
        <item>、对</item>
      </candidateList>
      <explain/>
      <paraID>263E6D21</paraID>
      <start>38</start>
      <end>40</end>
      <status>modified</status>
      <modifiedWord>、对</modifiedWord>
      <trackRevisions>false</trackRevisions>
    </reviewItem>
    <reviewItem>
      <errorID>51af5a7e-dd7e-4df7-804e-04246871d006</errorID>
      <errorWord>环保基础设施建设</errorWord>
      <group>L1_Political</group>
      <groupName>政治性问题</groupName>
      <ability>L2_Keyword</ability>
      <abilityName>固定表述</abilityName>
      <candidateList>
        <item>环境基础设施建设</item>
      </candidateList>
      <explain>词汇“环境基础设施建设”在特定场景下为固定表述形式，请确认此处的“环保基础设施建设”是否存在不当。</explain>
      <paraID>69C3CCC8</paraID>
      <start>2</start>
      <end>10</end>
      <status>ignored</status>
      <modifiedWord/>
      <trackRevisions>false</trackRevisions>
    </reviewItem>
    <reviewItem>
      <errorID>f8d91cd3-0e78-46de-956f-fc17de8a1a76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6B0FD8D</paraID>
      <start>0</start>
      <end>2</end>
      <status>ignored</status>
      <modifiedWord/>
      <trackRevisions>false</trackRevisions>
    </reviewItem>
    <reviewItem>
      <errorID>3877ff5c-f889-499a-82e6-885c3081f383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493F6039</paraID>
      <start>0</start>
      <end>2</end>
      <status>ignored</status>
      <modifiedWord/>
      <trackRevisions>false</trackRevisions>
    </reviewItem>
    <reviewItem>
      <errorID>be23e788-d22a-4c31-888e-435c5c3c0bfe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294A65EA</paraID>
      <start>0</start>
      <end>2</end>
      <status>ignored</status>
      <modifiedWord/>
      <trackRevisions>false</trackRevisions>
    </reviewItem>
    <reviewItem>
      <errorID>5536debe-7916-49a3-bca3-c27559764e6d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568CE4BF</paraID>
      <start>0</start>
      <end>2</end>
      <status>ignored</status>
      <modifiedWord/>
      <trackRevisions>false</trackRevisions>
    </reviewItem>
    <reviewItem>
      <errorID>4d594d13-7efa-4f43-974b-b14a221a47bf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2AF7542F</paraID>
      <start>0</start>
      <end>2</end>
      <status>ignored</status>
      <modifiedWord/>
      <trackRevisions>false</trackRevisions>
    </reviewItem>
    <reviewItem>
      <errorID>7dbdc6fa-d81e-470f-a65b-b97c0e0d441d</errorID>
      <errorWord>《建筑工程施工和预拌混凝土生产扬尘污染防治标准》（试行）</errorWord>
      <group>L1_Knowledge</group>
      <groupName>知识性问题</groupName>
      <ability>L2_Knowledge</ability>
      <abilityName>其他知识</abilityName>
      <candidateList>
        <item>《建筑工程施工和预拌混凝土生产扬尘污染防治标准（试行）》</item>
      </candidateList>
      <explain>疑似政策文件、法律法规名称等书写不规范，请注意检查。</explain>
      <paraID>6C73AAAF</paraID>
      <start>75</start>
      <end>103</end>
      <status>ignored</status>
      <modifiedWord/>
      <trackRevisions>false</trackRevisions>
    </reviewItem>
    <reviewItem>
      <errorID>d3de2184-1716-4012-9277-6cb570399e0e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13483444</paraID>
      <start>0</start>
      <end>2</end>
      <status>ignored</status>
      <modifiedWord/>
      <trackRevisions>false</trackRevisions>
    </reviewItem>
    <reviewItem>
      <errorID>3ea955ee-4f55-409a-a974-b2e432657a7e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1207922C</paraID>
      <start>0</start>
      <end>2</end>
      <status>ignored</status>
      <modifiedWord/>
      <trackRevisions>false</trackRevisions>
    </reviewItem>
    <reviewItem>
      <errorID>4a111215-8b9e-460d-8715-0cfbe2885890</errorID>
      <errorWord>水库的</errorWord>
      <group>L1_Word</group>
      <groupName>字词问题</groupName>
      <ability>L2_Typo</ability>
      <abilityName>字词错误</abilityName>
      <candidateList>
        <item>水库</item>
      </candidateList>
      <explain/>
      <paraID>6BB498BE</paraID>
      <start>76</start>
      <end>79</end>
      <status>ignored</status>
      <modifiedWord/>
      <trackRevisions>false</trackRevisions>
    </reviewItem>
    <reviewItem>
      <errorID>0b81f170-c982-48e9-9889-5302f6510841</errorID>
      <errorWord>上线</errorWord>
      <group>L1_Word</group>
      <groupName>字词问题</groupName>
      <ability>L2_Typo</ability>
      <abilityName>字词错误</abilityName>
      <candidateList>
        <item>上限</item>
      </candidateList>
      <explain>存在发音相同字词的误用。</explain>
      <paraID>19814160</paraID>
      <start>6</start>
      <end>8</end>
      <status>ignored</status>
      <modifiedWord/>
      <trackRevisions>false</trackRevisions>
    </reviewItem>
    <reviewItem>
      <errorID>a87dbcec-086d-4952-b51f-a949fbdadb64</errorID>
      <errorWord>上线</errorWord>
      <group>L1_Word</group>
      <groupName>字词问题</groupName>
      <ability>L2_Typo</ability>
      <abilityName>字词错误</abilityName>
      <candidateList>
        <item>上限</item>
      </candidateList>
      <explain/>
      <paraID>3D0EF15B</paraID>
      <start>38</start>
      <end>40</end>
      <status>ignored</status>
      <modifiedWord/>
      <trackRevisions>false</trackRevisions>
    </reviewItem>
    <reviewItem>
      <errorID>eebd62cd-09c2-47da-a65b-822394abe7ad</errorID>
      <errorWord>上线</errorWord>
      <group>L1_Word</group>
      <groupName>字词问题</groupName>
      <ability>L2_Typo</ability>
      <abilityName>字词错误</abilityName>
      <candidateList>
        <item>上限</item>
      </candidateList>
      <explain/>
      <paraID>559E5E83</paraID>
      <start>26</start>
      <end>28</end>
      <status>ignored</status>
      <modifiedWord/>
      <trackRevisions>false</trackRevisions>
    </reviewItem>
    <reviewItem>
      <errorID>635aae4a-9b78-4047-bf53-df88b710e6e8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65BACD7</paraID>
      <start>0</start>
      <end>2</end>
      <status>ignored</status>
      <modifiedWord/>
      <trackRevisions>false</trackRevisions>
    </reviewItem>
    <reviewItem>
      <errorID>3a159e97-34be-4315-857f-d57af88a5b59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388D6CC8</paraID>
      <start>0</start>
      <end>2</end>
      <status>ignored</status>
      <modifiedWord/>
      <trackRevisions>false</trackRevisions>
    </reviewItem>
    <reviewItem>
      <errorID>74968a6e-e8bd-48c3-83e2-aad717709534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47DA861F</paraID>
      <start>0</start>
      <end>2</end>
      <status>ignored</status>
      <modifiedWord/>
      <trackRevisions>false</trackRevisions>
    </reviewItem>
    <reviewItem>
      <errorID>c38a80ff-8d15-4f51-b970-8336df5c2ba3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FD1CE5E</paraID>
      <start>0</start>
      <end>2</end>
      <status>ignored</status>
      <modifiedWord/>
      <trackRevisions>false</trackRevisions>
    </reviewItem>
    <reviewItem>
      <errorID>616ff014-7231-4908-8f59-69303b3b0b87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7D7FECD7</paraID>
      <start>0</start>
      <end>2</end>
      <status>ignored</status>
      <modifiedWord/>
      <trackRevisions>false</trackRevisions>
    </reviewItem>
    <reviewItem>
      <errorID>8ef89e39-82f0-4885-b6bf-7d2d24e855d1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3D56EE8F</paraID>
      <start>0</start>
      <end>2</end>
      <status>ignored</status>
      <modifiedWord/>
      <trackRevisions>false</trackRevisions>
    </reviewItem>
    <reviewItem>
      <errorID>fe2ae042-fe8d-40f8-b64e-0a2987415bbc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3AF5F568</paraID>
      <start>0</start>
      <end>2</end>
      <status>ignored</status>
      <modifiedWord/>
      <trackRevisions>false</trackRevisions>
    </reviewItem>
    <reviewItem>
      <errorID>0c159882-abda-444c-86bf-463aa666f71c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21EA6E83</paraID>
      <start>0</start>
      <end>2</end>
      <status>ignored</status>
      <modifiedWord/>
      <trackRevisions>false</trackRevisions>
    </reviewItem>
    <reviewItem>
      <errorID>d16e4deb-e03c-4f04-b867-2c66f4af8ab6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7C374055</paraID>
      <start>0</start>
      <end>2</end>
      <status>ignored</status>
      <modifiedWord/>
      <trackRevisions>false</trackRevisions>
    </reviewItem>
    <reviewItem>
      <errorID>61a47776-9a3d-4acb-8400-21989cc8d6f6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7E0CFE30</paraID>
      <start>0</start>
      <end>2</end>
      <status>ignored</status>
      <modifiedWord/>
      <trackRevisions>false</trackRevisions>
    </reviewItem>
    <reviewItem>
      <errorID>9202ca94-5f68-4a78-b4ba-dd9687c25397</errorID>
      <errorWord>-</errorWord>
      <group>L1_Format</group>
      <groupName>格式问题</groupName>
      <ability>L2_HalfPunc</ability>
      <abilityName>全半角检查</abilityName>
      <candidateList>
        <item>－</item>
      </candidateList>
      <explain>文本全半角错误。</explain>
      <paraID>7E0CFE30</paraID>
      <start>51</start>
      <end>52</end>
      <status>ignored</status>
      <modifiedWord/>
      <trackRevisions>false</trackRevisions>
    </reviewItem>
    <reviewItem>
      <errorID>551590a8-5802-483f-bae3-5b80be816861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4C1713DA</paraID>
      <start>0</start>
      <end>2</end>
      <status>ignored</status>
      <modifiedWord/>
      <trackRevisions>false</trackRevisions>
    </reviewItem>
    <reviewItem>
      <errorID>b96fa7a4-d741-4f89-8888-a93fa8fbb3d2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1D6CB15D</paraID>
      <start>0</start>
      <end>2</end>
      <status>ignored</status>
      <modifiedWord/>
      <trackRevisions>false</trackRevisions>
    </reviewItem>
    <reviewItem>
      <errorID>75aa73c8-ffa6-4900-8770-b72db57e77dc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5EB0BB45</paraID>
      <start>0</start>
      <end>2</end>
      <status>ignored</status>
      <modifiedWord/>
      <trackRevisions>false</trackRevisions>
    </reviewItem>
    <reviewItem>
      <errorID>0e692ef5-bc58-4c59-a1c4-def75415406d</errorID>
      <errorWord>示警</errorWord>
      <group>L1_Word</group>
      <groupName>字词问题</groupName>
      <ability>L2_Typo</ability>
      <abilityName>字词错误</abilityName>
      <candidateList>
        <item>警示</item>
      </candidateList>
      <explain/>
      <paraID>5EB0BB45</paraID>
      <start>291</start>
      <end>293</end>
      <status>ignored</status>
      <modifiedWord/>
      <trackRevisions>false</trackRevisions>
    </reviewItem>
    <reviewItem>
      <errorID>37a9206c-fb5d-4696-a686-5401d5fc7e12</errorID>
      <errorWord>上线</errorWord>
      <group>L1_Word</group>
      <groupName>字词问题</groupName>
      <ability>L2_Typo</ability>
      <abilityName>字词错误</abilityName>
      <candidateList>
        <item>上限</item>
      </candidateList>
      <explain/>
      <paraID>566682E9</paraID>
      <start>31</start>
      <end>33</end>
      <status>ignored</status>
      <modifiedWord/>
      <trackRevisions>false</trackRevisions>
    </reviewItem>
    <reviewItem>
      <errorID>d81553a5-9504-49aa-a674-a42935521b5f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38CC43CE</paraID>
      <start>0</start>
      <end>2</end>
      <status>ignored</status>
      <modifiedWord/>
      <trackRevisions>false</trackRevisions>
    </reviewItem>
    <reviewItem>
      <errorID>85abada8-69ff-43ef-86ee-6154f4dcdf67</errorID>
      <errorWord>街道</errorWord>
      <group>L1_Word</group>
      <groupName>字词问题</groupName>
      <ability>L2_Typo</ability>
      <abilityName>字词错误</abilityName>
      <candidateList>
        <item>街</item>
      </candidateList>
      <explain/>
      <paraID>5E99271E</paraID>
      <start>105</start>
      <end>107</end>
      <status>ignored</status>
      <modifiedWord/>
      <trackRevisions>false</trackRevisions>
    </reviewItem>
    <reviewItem>
      <errorID>52d669e0-9fa7-4216-ae15-3648dfff574b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47117FAD</paraID>
      <start>0</start>
      <end>2</end>
      <status>ignored</status>
      <modifiedWord/>
      <trackRevisions>false</trackRevisions>
    </reviewItem>
    <reviewItem>
      <errorID>a10119ba-2a8b-40de-9f1a-5c80863b5394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48A7CA1</paraID>
      <start>0</start>
      <end>2</end>
      <status>ignored</status>
      <modifiedWord/>
      <trackRevisions>false</trackRevisions>
    </reviewItem>
    <reviewItem>
      <errorID>1cf7b214-1001-42de-9420-bf2ee2055c0e</errorID>
      <errorWord>挤出包塑</errorWord>
      <group>L1_Knowledge</group>
      <groupName>知识性问题</groupName>
      <ability>L2_Term</ability>
      <abilityName>专业术语</abilityName>
      <candidateList>
        <item>挤出吹塑</item>
      </candidateList>
      <explain/>
      <paraID>7FC3F919</paraID>
      <start>0</start>
      <end>4</end>
      <status>ignored</status>
      <modifiedWord/>
      <trackRevisions>false</trackRevisions>
    </reviewItem>
    <reviewItem>
      <errorID>9bddc350-3691-4bdc-9efb-c5b4d97a5302</errorID>
      <errorWord>减震</errorWord>
      <group>L1_Word</group>
      <groupName>字词问题</groupName>
      <ability>L2_Typo</ability>
      <abilityName>字词错误</abilityName>
      <candidateList>
        <item>减振</item>
      </candidateList>
      <explain>存在发音相同字词的误用。</explain>
      <paraID>50896C48</paraID>
      <start>10</start>
      <end>12</end>
      <status>modified</status>
      <modifiedWord>减振</modifiedWord>
      <trackRevisions>false</trackRevisions>
    </reviewItem>
    <reviewItem>
      <errorID>f1d4621c-54fd-4c2c-917e-31131b483ed4</errorID>
      <errorWord>泄露</errorWord>
      <group>L1_Word</group>
      <groupName>字词问题</groupName>
      <ability>L2_Typo</ability>
      <abilityName>字词错误</abilityName>
      <candidateList>
        <item>泄漏</item>
      </candidateList>
      <explain/>
      <paraID>3AA7BEA7</paraID>
      <start>79</start>
      <end>81</end>
      <status>modified</status>
      <modifiedWord>泄漏</modifiedWord>
      <trackRevisions>false</trackRevisions>
    </reviewItem>
    <reviewItem>
      <errorID>31fe1abc-d765-4772-9a27-5d979b5d83fc</errorID>
      <errorWord>确保日常</errorWord>
      <group>L1_Word</group>
      <groupName>字词问题</groupName>
      <ability>L2_Typo</ability>
      <abilityName>字词错误</abilityName>
      <candidateList>
        <item>确保正常</item>
      </candidateList>
      <explain/>
      <paraID>6FCD9189</paraID>
      <start>13</start>
      <end>17</end>
      <status>ignored</status>
      <modifiedWord/>
      <trackRevisions>false</trackRevisions>
    </reviewItem>
    <reviewItem>
      <errorID>fe1633c5-de16-4376-85af-455b646a5d64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18783B7E</paraID>
      <start>0</start>
      <end>2</end>
      <status>ignored</status>
      <modifiedWord/>
      <trackRevisions>false</trackRevisions>
    </reviewItem>
    <reviewItem>
      <errorID>9e25884e-1996-40a8-8fa7-715cb63aa4e8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100E10B7</paraID>
      <start>0</start>
      <end>2</end>
      <status>ignored</status>
      <modifiedWord/>
      <trackRevisions>false</trackRevisions>
    </reviewItem>
    <reviewItem>
      <errorID>068d9e9a-f4f0-47d9-9e5c-3d5fbc4d808f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35C07A52</paraID>
      <start>4</start>
      <end>5</end>
      <status>ignored</status>
      <modifiedWord/>
      <trackRevisions>false</trackRevisions>
    </reviewItem>
    <reviewItem>
      <errorID>223c5ea8-8f9d-4517-b14c-9d40901106fc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783A1F6A</paraID>
      <start>4</start>
      <end>5</end>
      <status>ignored</status>
      <modifiedWord/>
      <trackRevisions>false</trackRevisions>
    </reviewItem>
    <reviewItem>
      <errorID>2a6b3006-1fc9-4ceb-bf3f-ef5336ba1700</errorID>
      <errorWord>镀锡</errorWord>
      <group>L1_Word</group>
      <groupName>字词问题</groupName>
      <ability>L2_Typo</ability>
      <abilityName>字词错误</abilityName>
      <candidateList>
        <item>镀锌</item>
      </candidateList>
      <explain/>
      <paraID>54AB229C</paraID>
      <start>0</start>
      <end>2</end>
      <status>ignored</status>
      <modifiedWord/>
      <trackRevisions>false</trackRevisions>
    </reviewItem>
    <reviewItem>
      <errorID>ce998b71-7b84-48f4-923c-74c6ed68603b</errorID>
      <errorWord>)</errorWord>
      <group>L1_Format</group>
      <groupName>格式问题</groupName>
      <ability>L2_HalfPunc</ability>
      <abilityName>全半角检查</abilityName>
      <candidateList>
        <item>）</item>
      </candidateList>
      <explain>文本全半角错误。</explain>
      <paraID>2A8C6D53</paraID>
      <start>14</start>
      <end>15</end>
      <status>modified</status>
      <modifiedWord>）</modifiedWord>
      <trackRevisions>false</trackRevisions>
    </reviewItem>
    <reviewItem>
      <errorID>2fb4f5b7-8628-4092-b411-8fb51c85d5dc</errorID>
      <errorWord>:</errorWord>
      <group>L1_Format</group>
      <groupName>格式问题</groupName>
      <ability>L2_HalfPunc</ability>
      <abilityName>全半角检查</abilityName>
      <candidateList>
        <item>：</item>
      </candidateList>
      <explain>文本全半角错误。</explain>
      <paraID>4BC2FCF6</paraID>
      <start>2</start>
      <end>3</end>
      <status>modified</status>
      <modifiedWord>：</modifiedWord>
      <trackRevisions>false</trackRevisions>
    </reviewItem>
    <reviewItem>
      <errorID>fcde0784-736d-4930-b013-66fbf1a55206</errorID>
      <errorWord>(</errorWord>
      <group>L1_Format</group>
      <groupName>格式问题</groupName>
      <ability>L2_HalfPunc</ability>
      <abilityName>全半角检查</abilityName>
      <candidateList>
        <item>（</item>
      </candidateList>
      <explain>文本全半角错误。</explain>
      <paraID>4BC2FCF6</paraID>
      <start>10</start>
      <end>11</end>
      <status>modified</status>
      <modifiedWord>（</modifiedWord>
      <trackRevisions>false</trackRevisions>
    </reviewItem>
    <reviewItem>
      <errorID>cd24fbf0-b10d-4647-bf23-5a50ede15267</errorID>
      <errorWord>)</errorWord>
      <group>L1_Format</group>
      <groupName>格式问题</groupName>
      <ability>L2_HalfPunc</ability>
      <abilityName>全半角检查</abilityName>
      <candidateList>
        <item>）</item>
      </candidateList>
      <explain>文本全半角错误。</explain>
      <paraID>4BC2FCF6</paraID>
      <start>12</start>
      <end>13</end>
      <status>modified</status>
      <modifiedWord>）</modifiedWord>
      <trackRevisions>false</trackRevisions>
    </reviewItem>
    <reviewItem>
      <errorID>98a763d2-6522-4f20-939f-25051bf822c1</errorID>
      <errorWord>(</errorWord>
      <group>L1_Format</group>
      <groupName>格式问题</groupName>
      <ability>L2_HalfPunc</ability>
      <abilityName>全半角检查</abilityName>
      <candidateList>
        <item>（</item>
      </candidateList>
      <explain>文本全半角错误。</explain>
      <paraID>49582299</paraID>
      <start>6</start>
      <end>7</end>
      <status>modified</status>
      <modifiedWord>（</modifiedWord>
      <trackRevisions>false</trackRevisions>
    </reviewItem>
    <reviewItem>
      <errorID>2c6a723f-77ca-470c-935f-f3d73b81dd7e</errorID>
      <errorWord>)</errorWord>
      <group>L1_Format</group>
      <groupName>格式问题</groupName>
      <ability>L2_HalfPunc</ability>
      <abilityName>全半角检查</abilityName>
      <candidateList>
        <item>）</item>
      </candidateList>
      <explain>文本全半角错误。</explain>
      <paraID>49582299</paraID>
      <start>12</start>
      <end>13</end>
      <status>modified</status>
      <modifiedWord>）</modifiedWord>
      <trackRevisions>false</trackRevisions>
    </reviewItem>
    <reviewItem>
      <errorID>b0129d77-3c6a-43d8-8455-924cbac221f4</errorID>
      <errorWord>(</errorWord>
      <group>L1_Format</group>
      <groupName>格式问题</groupName>
      <ability>L2_HalfPunc</ability>
      <abilityName>全半角检查</abilityName>
      <candidateList>
        <item>（</item>
      </candidateList>
      <explain>文本全半角错误。</explain>
      <paraID>257BFBA5</paraID>
      <start>5</start>
      <end>6</end>
      <status>modified</status>
      <modifiedWord>（</modifiedWord>
      <trackRevisions>false</trackRevisions>
    </reviewItem>
    <reviewItem>
      <errorID>14c8a1e5-1b10-4f5c-8654-592f935d3209</errorID>
      <errorWord>)</errorWord>
      <group>L1_Format</group>
      <groupName>格式问题</groupName>
      <ability>L2_HalfPunc</ability>
      <abilityName>全半角检查</abilityName>
      <candidateList>
        <item>）</item>
      </candidateList>
      <explain>文本全半角错误。</explain>
      <paraID>257BFBA5</paraID>
      <start>8</start>
      <end>9</end>
      <status>modified</status>
      <modifiedWord>）</modifiedWord>
      <trackRevisions>false</trackRevisions>
    </reviewItem>
    <reviewItem>
      <errorID>fe79f1e8-e698-43d2-8cae-2cfac0cf2413</errorID>
      <errorWord>(</errorWord>
      <group>L1_Format</group>
      <groupName>格式问题</groupName>
      <ability>L2_HalfPunc</ability>
      <abilityName>全半角检查</abilityName>
      <candidateList>
        <item>（</item>
      </candidateList>
      <explain>文本全半角错误。</explain>
      <paraID>5834F78D</paraID>
      <start>6</start>
      <end>7</end>
      <status>modified</status>
      <modifiedWord>（</modifiedWord>
      <trackRevisions>false</trackRevisions>
    </reviewItem>
    <reviewItem>
      <errorID>417f2ec4-eda1-4e75-a095-e66fc4a5f079</errorID>
      <errorWord>)</errorWord>
      <group>L1_Format</group>
      <groupName>格式问题</groupName>
      <ability>L2_HalfPunc</ability>
      <abilityName>全半角检查</abilityName>
      <candidateList>
        <item>）</item>
      </candidateList>
      <explain>文本全半角错误。</explain>
      <paraID>5834F78D</paraID>
      <start>8</start>
      <end>9</end>
      <status>modified</status>
      <modifiedWord>）</modifiedWord>
      <trackRevisions>false</trackRevisions>
    </reviewItem>
    <reviewItem>
      <errorID>ed3a45b2-4d17-412c-b9af-524e324bf87c</errorID>
      <errorWord>,</errorWord>
      <group>L1_Format</group>
      <groupName>格式问题</groupName>
      <ability>L2_HalfPunc</ability>
      <abilityName>全半角检查</abilityName>
      <candidateList>
        <item>，</item>
      </candidateList>
      <explain>文本全半角错误。</explain>
      <paraID>5834F78D</paraID>
      <start>9</start>
      <end>10</end>
      <status>modified</status>
      <modifiedWord>，</modifiedWord>
      <trackRevisions>false</trackRevisions>
    </reviewItem>
    <reviewItem>
      <errorID>f81c1e53-dd9d-442b-a3a9-708e8cca2dc2</errorID>
      <errorWord>(</errorWord>
      <group>L1_Format</group>
      <groupName>格式问题</groupName>
      <ability>L2_HalfPunc</ability>
      <abilityName>全半角检查</abilityName>
      <candidateList>
        <item>（</item>
      </candidateList>
      <explain>文本全半角错误。</explain>
      <paraID>4B4A4C1E</paraID>
      <start>5</start>
      <end>6</end>
      <status>modified</status>
      <modifiedWord>（</modifiedWord>
      <trackRevisions>false</trackRevisions>
    </reviewItem>
    <reviewItem>
      <errorID>593a9912-f768-4b8c-9eaa-170f7b4a70ed</errorID>
      <errorWord>)</errorWord>
      <group>L1_Format</group>
      <groupName>格式问题</groupName>
      <ability>L2_HalfPunc</ability>
      <abilityName>全半角检查</abilityName>
      <candidateList>
        <item>）</item>
      </candidateList>
      <explain>文本全半角错误。</explain>
      <paraID>4B4A4C1E</paraID>
      <start>8</start>
      <end>9</end>
      <status>modified</status>
      <modifiedWord>）</modifiedWord>
      <trackRevisions>false</trackRevisions>
    </reviewItem>
    <reviewItem>
      <errorID>26badfc9-b32e-4fa5-8211-1efe4e150f58</errorID>
      <errorWord>，</errorWord>
      <group>L1_Word</group>
      <groupName>字词问题</groupName>
      <ability>L2_Typo</ability>
      <abilityName>字词错误</abilityName>
      <candidateList>
        <item>，是</item>
      </candidateList>
      <explain/>
      <paraID>229E3B44</paraID>
      <start>8</start>
      <end>10</end>
      <status>modified</status>
      <modifiedWord>，是</modifiedWord>
      <trackRevisions>false</trackRevisions>
    </reviewItem>
    <reviewItem>
      <errorID>10759219-2808-45d2-8b7e-69115de34cf4</errorID>
      <errorWord>80%-90%</errorWord>
      <group>L1_Knowledge</group>
      <groupName>知识性问题</groupName>
      <ability>L2_Knowledge</ability>
      <abilityName>其他知识</abilityName>
      <candidateList>
        <item>80%—90%</item>
      </candidateList>
      <explain>1. “80%-90%”中的单位“%”仅出现在后一个数字上，容易引起歧义；根据《现代汉语标点符号数字用法规范手册》，数字表示范围两边需要使用统一的格式。2. 根据标点国标 4.13 中的规则，数字、时间或地域连接符应使用（视觉上更长的）“—”或“～”。</explain>
      <paraID>3B87CC11</paraID>
      <start>29</start>
      <end>36</end>
      <status>modified</status>
      <modifiedWord>80%—90%</modifiedWord>
      <trackRevisions>false</trackRevisions>
    </reviewItem>
    <reviewItem>
      <errorID>9cc80a67-69ea-4825-8913-344d82649db7</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3B87CC11</paraID>
      <start>57</start>
      <end>62</end>
      <status>modified</status>
      <modifiedWord>1%—5%</modifiedWord>
      <trackRevisions>false</trackRevisions>
    </reviewItem>
    <reviewItem>
      <errorID>a35ff900-f7b7-46aa-b909-4486ef36c2df</errorID>
      <errorWord>，</errorWord>
      <group>L1_Word</group>
      <groupName>字词问题</groupName>
      <ability>L2_Typo</ability>
      <abilityName>字词错误</abilityName>
      <candidateList>
        <item>，具</item>
      </candidateList>
      <explain/>
      <paraID>7CC65EAA</paraID>
      <start>73</start>
      <end>75</end>
      <status>modified</status>
      <modifiedWord>，具</modifiedWord>
      <trackRevisions>false</trackRevisions>
    </reviewItem>
    <reviewItem>
      <errorID>9b8dbd43-e6ae-40b2-b6d0-df149cc7ba95</errorID>
      <errorWord>亲合性好</errorWord>
      <group>L1_Word</group>
      <groupName>字词问题</groupName>
      <ability>L2_Typo</ability>
      <abilityName>字词错误</abilityName>
      <candidateList>
        <item>亲和性好</item>
      </candidateList>
      <explain/>
      <paraID>1C913AAA</paraID>
      <start>29</start>
      <end>33</end>
      <status>modified</status>
      <modifiedWord>亲和性好</modifiedWord>
      <trackRevisions>false</trackRevisions>
    </reviewItem>
    <reviewItem>
      <errorID>6663997a-2c83-4fbe-9626-897a7fe0cd21</errorID>
      <errorWord>喷码</errorWord>
      <group>L1_Word</group>
      <groupName>字词问题</groupName>
      <ability>L2_Typo</ability>
      <abilityName>字词错误</abilityName>
      <candidateList>
        <item>喷涂</item>
      </candidateList>
      <explain/>
      <paraID>6DBC755A</paraID>
      <start>3</start>
      <end>5</end>
      <status>ignored</status>
      <modifiedWord/>
      <trackRevisions>false</trackRevisions>
    </reviewItem>
    <reviewItem>
      <errorID>732b31d8-6f3d-4cca-a45e-fd987b4d8186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5E6F2B28</paraID>
      <start>0</start>
      <end>2</end>
      <status>ignored</status>
      <modifiedWord/>
      <trackRevisions>false</trackRevisions>
    </reviewItem>
    <reviewItem>
      <errorID>dc357771-29d2-4175-b641-19b4694ace87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23C7A3AA</paraID>
      <start>0</start>
      <end>2</end>
      <status>ignored</status>
      <modifiedWord/>
      <trackRevisions>false</trackRevisions>
    </reviewItem>
    <reviewItem>
      <errorID>1cd80108-efe4-43e5-924c-a226d44af515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51497B73</paraID>
      <start>0</start>
      <end>2</end>
      <status>ignored</status>
      <modifiedWord/>
      <trackRevisions>false</trackRevisions>
    </reviewItem>
    <reviewItem>
      <errorID>ea75f062-aa41-46f9-8147-f4433457ac10</errorID>
      <errorWord>挤出包塑</errorWord>
      <group>L1_Knowledge</group>
      <groupName>知识性问题</groupName>
      <ability>L2_Term</ability>
      <abilityName>专业术语</abilityName>
      <candidateList>
        <item>挤出吹塑</item>
      </candidateList>
      <explain/>
      <paraID>5E59E19A</paraID>
      <start>11</start>
      <end>15</end>
      <status>ignored</status>
      <modifiedWord/>
      <trackRevisions>false</trackRevisions>
    </reviewItem>
    <reviewItem>
      <errorID>a4843088-65b4-4813-b9c2-2b680593f0a7</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5E59E19A</paraID>
      <start>233</start>
      <end>238</end>
      <status>modified</status>
      <modifiedWord>1%—2%</modifiedWord>
      <trackRevisions>false</trackRevisions>
    </reviewItem>
    <reviewItem>
      <errorID>8f39e259-b124-4617-a06e-dd34f6359202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4FAADAA8</paraID>
      <start>0</start>
      <end>2</end>
      <status>ignored</status>
      <modifiedWord/>
      <trackRevisions>false</trackRevisions>
    </reviewItem>
    <reviewItem>
      <errorID>f5a307dd-cb51-4d4b-8046-c87c68b55a76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2545DB3</paraID>
      <start>0</start>
      <end>2</end>
      <status>ignored</status>
      <modifiedWord/>
      <trackRevisions>false</trackRevisions>
    </reviewItem>
    <reviewItem>
      <errorID>49d5e099-6030-478b-b1c7-e121fba2de65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320EB19A</paraID>
      <start>98</start>
      <end>99</end>
      <status>ignored</status>
      <modifiedWord/>
      <trackRevisions>false</trackRevisions>
    </reviewItem>
    <reviewItem>
      <errorID>6a89a441-5193-45db-b078-daa00577733f</errorID>
      <errorWord>五粉尘</errorWord>
      <group>L1_Word</group>
      <groupName>字词问题</groupName>
      <ability>L2_Typo</ability>
      <abilityName>字词错误</abilityName>
      <candidateList>
        <item>无粉尘</item>
      </candidateList>
      <explain/>
      <paraID>320EB19A</paraID>
      <start>108</start>
      <end>111</end>
      <status>modified</status>
      <modifiedWord>无粉尘</modifiedWord>
      <trackRevisions>false</trackRevisions>
    </reviewItem>
    <reviewItem>
      <errorID>38548087-15d6-443f-890b-3e076c2d32fe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58D1329F</paraID>
      <start>107</start>
      <end>108</end>
      <status>ignored</status>
      <modifiedWord/>
      <trackRevisions>false</trackRevisions>
    </reviewItem>
    <reviewItem>
      <errorID>0fb0692c-232f-4784-aac7-d6986c9cf81b</errorID>
      <errorWord>五粉尘</errorWord>
      <group>L1_Word</group>
      <groupName>字词问题</groupName>
      <ability>L2_Typo</ability>
      <abilityName>字词错误</abilityName>
      <candidateList>
        <item>无粉尘</item>
      </candidateList>
      <explain/>
      <paraID>58D1329F</paraID>
      <start>117</start>
      <end>120</end>
      <status>modified</status>
      <modifiedWord>无粉尘</modifiedWord>
      <trackRevisions>false</trackRevisions>
    </reviewItem>
    <reviewItem>
      <errorID>e8fca7ff-4cf4-4a81-ac6f-6b3f2c55b145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63D1CFC7</paraID>
      <start>30</start>
      <end>31</end>
      <status>ignored</status>
      <modifiedWord/>
      <trackRevisions>false</trackRevisions>
    </reviewItem>
    <reviewItem>
      <errorID>9c089316-60a8-42fe-b91f-d9feca22e3ab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6827EAC2</paraID>
      <start>0</start>
      <end>2</end>
      <status>ignored</status>
      <modifiedWord/>
      <trackRevisions>false</trackRevisions>
    </reviewItem>
    <reviewItem>
      <errorID>fa0aeeb9-59ee-45cc-8fce-05fb3fdb8562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4A366A9F</paraID>
      <start>93</start>
      <end>94</end>
      <status>ignored</status>
      <modifiedWord/>
      <trackRevisions>false</trackRevisions>
    </reviewItem>
    <reviewItem>
      <errorID>4356af03-6871-4274-8387-f945ca2007a5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7D0880E3</paraID>
      <start>0</start>
      <end>2</end>
      <status>ignored</status>
      <modifiedWord/>
      <trackRevisions>false</trackRevisions>
    </reviewItem>
    <reviewItem>
      <errorID>35159568-1953-43d4-a8c4-b2cc34bca820</errorID>
      <errorWord>挤出包塑</errorWord>
      <group>L1_Knowledge</group>
      <groupName>知识性问题</groupName>
      <ability>L2_Term</ability>
      <abilityName>专业术语</abilityName>
      <candidateList>
        <item>挤出吹塑</item>
      </candidateList>
      <explain/>
      <paraID>136A44AF</paraID>
      <start>0</start>
      <end>4</end>
      <status>ignored</status>
      <modifiedWord/>
      <trackRevisions>false</trackRevisions>
    </reviewItem>
    <reviewItem>
      <errorID>be5a94e7-de25-47df-a133-e2d4a637e188</errorID>
      <errorWord>喷码</errorWord>
      <group>L1_Word</group>
      <groupName>字词问题</groupName>
      <ability>L2_Typo</ability>
      <abilityName>字词错误</abilityName>
      <candidateList>
        <item>喷洒</item>
      </candidateList>
      <explain>〈动〉喷射散落（多用于液体）：～农药。</explain>
      <paraID>7BD9A168</paraID>
      <start>0</start>
      <end>2</end>
      <status>ignored</status>
      <modifiedWord/>
      <trackRevisions>false</trackRevisions>
    </reviewItem>
    <reviewItem>
      <errorID>eb96ce4a-4c70-4c50-8f48-a1dd9c47915b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7263A8FC</paraID>
      <start>0</start>
      <end>2</end>
      <status>ignored</status>
      <modifiedWord/>
      <trackRevisions>false</trackRevisions>
    </reviewItem>
    <reviewItem>
      <errorID>a99a0ef3-6a6a-4e9c-852b-3d244887f358</errorID>
      <errorWord>年</errorWord>
      <group>L1_Word</group>
      <groupName>字词问题</groupName>
      <ability>L2_Typo</ability>
      <abilityName>字词错误</abilityName>
      <candidateList>
        <item>年度</item>
      </candidateList>
      <explain/>
      <paraID>2CE6A201</paraID>
      <start>0</start>
      <end>1</end>
      <status>ignored</status>
      <modifiedWord/>
      <trackRevisions>false</trackRevisions>
    </reviewItem>
    <reviewItem>
      <errorID>e2844bb1-0a22-4b8f-af4d-e60d0b0c8d25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BEE7953</paraID>
      <start>40</start>
      <end>41</end>
      <status>ignored</status>
      <modifiedWord/>
      <trackRevisions>false</trackRevisions>
    </reviewItem>
    <reviewItem>
      <errorID>6969836c-f3a0-471c-86c2-3dcad1e6c6d9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73A03AF4</paraID>
      <start>18</start>
      <end>19</end>
      <status>ignored</status>
      <modifiedWord/>
      <trackRevisions>false</trackRevisions>
    </reviewItem>
    <reviewItem>
      <errorID>8f361289-7d9b-4ce2-88ae-7b698066af59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73A03AF4</paraID>
      <start>54</start>
      <end>55</end>
      <status>ignored</status>
      <modifiedWord/>
      <trackRevisions>false</trackRevisions>
    </reviewItem>
    <reviewItem>
      <errorID>ea163c9f-fa86-48fb-b1ce-ade275724c01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72776968</paraID>
      <start>0</start>
      <end>2</end>
      <status>ignored</status>
      <modifiedWord/>
      <trackRevisions>false</trackRevisions>
    </reviewItem>
    <reviewItem>
      <errorID>951577b6-2331-4d46-912d-3e1790e4a5ed</errorID>
      <errorWord>水库的</errorWord>
      <group>L1_Word</group>
      <groupName>字词问题</groupName>
      <ability>L2_Typo</ability>
      <abilityName>字词错误</abilityName>
      <candidateList>
        <item>水库</item>
      </candidateList>
      <explain/>
      <paraID> 92339FE</paraID>
      <start>78</start>
      <end>81</end>
      <status>ignored</status>
      <modifiedWord/>
      <trackRevisions>false</trackRevisions>
    </reviewItem>
    <reviewItem>
      <errorID>b2868346-5c3d-4897-baaf-e6c8eab46fa0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4B983310</paraID>
      <start>0</start>
      <end>2</end>
      <status>ignored</status>
      <modifiedWord/>
      <trackRevisions>false</trackRevisions>
    </reviewItem>
    <reviewItem>
      <errorID>58a2ec0b-1354-42e1-8e41-daef6210bfc3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14D86A98</paraID>
      <start>0</start>
      <end>2</end>
      <status>ignored</status>
      <modifiedWord/>
      <trackRevisions>false</trackRevisions>
    </reviewItem>
    <reviewItem>
      <errorID>095848ca-2887-44c1-8f8b-c57b387d3c96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63DD17BA</paraID>
      <start>0</start>
      <end>2</end>
      <status>ignored</status>
      <modifiedWord/>
      <trackRevisions>false</trackRevisions>
    </reviewItem>
    <reviewItem>
      <errorID>71fa3ead-757b-4ff1-8b9a-13b0dc42fa5c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5EE88E01</paraID>
      <start>0</start>
      <end>2</end>
      <status>ignored</status>
      <modifiedWord/>
      <trackRevisions>false</trackRevisions>
    </reviewItem>
    <reviewItem>
      <errorID>ec5c8eeb-95f5-4448-905d-613762a0215f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25B8BEC</paraID>
      <start>0</start>
      <end>2</end>
      <status>ignored</status>
      <modifiedWord/>
      <trackRevisions>false</trackRevisions>
    </reviewItem>
    <reviewItem>
      <errorID>550d20c9-0f0e-4e18-8900-8a470c02a41e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3CE2D84</paraID>
      <start>0</start>
      <end>2</end>
      <status>ignored</status>
      <modifiedWord/>
      <trackRevisions>false</trackRevisions>
    </reviewItem>
    <reviewItem>
      <errorID>a3d90537-1106-4829-be57-d2ef544b78b3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22D6FF70</paraID>
      <start>0</start>
      <end>2</end>
      <status>ignored</status>
      <modifiedWord/>
      <trackRevisions>false</trackRevisions>
    </reviewItem>
    <reviewItem>
      <errorID>5ba55e2e-c7ce-4f0f-8319-44d2de882267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74F668DC</paraID>
      <start>0</start>
      <end>2</end>
      <status>ignored</status>
      <modifiedWord/>
      <trackRevisions>false</trackRevisions>
    </reviewItem>
    <reviewItem>
      <errorID>76fea845-6f51-4440-aa98-71aaae11871d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59824F68</paraID>
      <start>0</start>
      <end>2</end>
      <status>ignored</status>
      <modifiedWord/>
      <trackRevisions>false</trackRevisions>
    </reviewItem>
    <reviewItem>
      <errorID>908db966-6b14-4cc1-8999-1b728e548b68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4D1B6C27</paraID>
      <start>0</start>
      <end>2</end>
      <status>ignored</status>
      <modifiedWord/>
      <trackRevisions>false</trackRevisions>
    </reviewItem>
    <reviewItem>
      <errorID>d88a2f9b-5460-46ea-9af0-a31b68c15068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33348033</paraID>
      <start>0</start>
      <end>2</end>
      <status>ignored</status>
      <modifiedWord/>
      <trackRevisions>false</trackRevisions>
    </reviewItem>
    <reviewItem>
      <errorID>c6a11d4c-d989-4e7b-9e28-bdc198075938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7A5F2D5D</paraID>
      <start>0</start>
      <end>2</end>
      <status>ignored</status>
      <modifiedWord/>
      <trackRevisions>false</trackRevisions>
    </reviewItem>
    <reviewItem>
      <errorID>92e582e6-465f-4f24-bce6-f67b475a588e</errorID>
      <errorWord>护措</errorWord>
      <group>L1_Word</group>
      <groupName>字词问题</groupName>
      <ability>L2_Typo</ability>
      <abilityName>字词错误</abilityName>
      <candidateList>
        <item>举措</item>
      </candidateList>
      <explain>存在发音相近字词的误用。</explain>
      <paraID>5A52F790</paraID>
      <start>0</start>
      <end>2</end>
      <status>ignored</status>
      <modifiedWord/>
      <trackRevisions>false</trackRevisions>
    </reviewItem>
    <reviewItem>
      <errorID>380084f3-cf32-4165-b649-ae8d209d5d84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1AEB0135</paraID>
      <start>0</start>
      <end>2</end>
      <status>ignored</status>
      <modifiedWord/>
      <trackRevisions>false</trackRevisions>
    </reviewItem>
    <reviewItem>
      <errorID>e9cd8cd9-d88e-4f59-8b61-003ee6f7f7f7</errorID>
      <errorWord>挤出包塑</errorWord>
      <group>L1_Knowledge</group>
      <groupName>知识性问题</groupName>
      <ability>L2_Term</ability>
      <abilityName>专业术语</abilityName>
      <candidateList>
        <item>挤出吹塑</item>
      </candidateList>
      <explain/>
      <paraID>25827929</paraID>
      <start>56</start>
      <end>60</end>
      <status>ignored</status>
      <modifiedWord/>
      <trackRevisions>false</trackRevisions>
    </reviewItem>
    <reviewItem>
      <errorID>5c6bed65-c350-48e9-ab05-aec0a9698056</errorID>
      <errorWord>(</errorWord>
      <group>L1_Format</group>
      <groupName>格式问题</groupName>
      <ability>L2_HalfPunc</ability>
      <abilityName>全半角检查</abilityName>
      <candidateList>
        <item>（</item>
      </candidateList>
      <explain>文本全半角错误。</explain>
      <paraID>154CE173</paraID>
      <start>251</start>
      <end>252</end>
      <status>modified</status>
      <modifiedWord>（</modifiedWord>
      <trackRevisions>false</trackRevisions>
    </reviewItem>
    <reviewItem>
      <errorID>586f9037-1234-4f79-b2b3-38ee433922f7</errorID>
      <errorWord>)</errorWord>
      <group>L1_Format</group>
      <groupName>格式问题</groupName>
      <ability>L2_HalfPunc</ability>
      <abilityName>全半角检查</abilityName>
      <candidateList>
        <item>）</item>
      </candidateList>
      <explain>文本全半角错误。</explain>
      <paraID>154CE173</paraID>
      <start>271</start>
      <end>272</end>
      <status>modified</status>
      <modifiedWord>）</modifiedWord>
      <trackRevisions>false</trackRevisions>
    </reviewItem>
    <reviewItem>
      <errorID>0165a33c-0278-41db-ae1f-de70b1adb234</errorID>
      <errorWord>(</errorWord>
      <group>L1_Format</group>
      <groupName>格式问题</groupName>
      <ability>L2_HalfPunc</ability>
      <abilityName>全半角检查</abilityName>
      <candidateList>
        <item>（</item>
      </candidateList>
      <explain>文本全半角错误。</explain>
      <paraID>154CE173</paraID>
      <start>282</start>
      <end>283</end>
      <status>modified</status>
      <modifiedWord>（</modifiedWord>
      <trackRevisions>false</trackRevisions>
    </reviewItem>
    <reviewItem>
      <errorID>dbb73b4f-ebe0-4f78-9e1b-b3c63f398410</errorID>
      <errorWord>)</errorWord>
      <group>L1_Format</group>
      <groupName>格式问题</groupName>
      <ability>L2_HalfPunc</ability>
      <abilityName>全半角检查</abilityName>
      <candidateList>
        <item>）</item>
      </candidateList>
      <explain>文本全半角错误。</explain>
      <paraID>154CE173</paraID>
      <start>297</start>
      <end>298</end>
      <status>modified</status>
      <modifiedWord>）</modifiedWord>
      <trackRevisions>false</trackRevisions>
    </reviewItem>
    <reviewItem>
      <errorID>7e1d5217-6997-409c-a1b5-47cffcb42bbe</errorID>
      <errorWord>挤出包塑</errorWord>
      <group>L1_Knowledge</group>
      <groupName>知识性问题</groupName>
      <ability>L2_Term</ability>
      <abilityName>专业术语</abilityName>
      <candidateList>
        <item>挤出吹塑</item>
      </candidateList>
      <explain/>
      <paraID>3323ACCD</paraID>
      <start>73</start>
      <end>77</end>
      <status>ignored</status>
      <modifiedWord/>
      <trackRevisions>false</trackRevisions>
    </reviewItem>
    <reviewItem>
      <errorID>2e21bfaf-52f3-45a9-9ccd-88e9687bfbe3</errorID>
      <errorWord>挤出包塑</errorWord>
      <group>L1_Knowledge</group>
      <groupName>知识性问题</groupName>
      <ability>L2_Term</ability>
      <abilityName>专业术语</abilityName>
      <candidateList>
        <item>挤出吹塑</item>
      </candidateList>
      <explain/>
      <paraID>3323ACCD</paraID>
      <start>167</start>
      <end>171</end>
      <status>ignored</status>
      <modifiedWord/>
      <trackRevisions>false</trackRevisions>
    </reviewItem>
    <reviewItem>
      <errorID>b27fb593-e3d4-42eb-93fa-99a3603b800c</errorID>
      <errorWord>(</errorWord>
      <group>L1_Format</group>
      <groupName>格式问题</groupName>
      <ability>L2_HalfPunc</ability>
      <abilityName>全半角检查</abilityName>
      <candidateList>
        <item>（</item>
      </candidateList>
      <explain>文本全半角错误。</explain>
      <paraID>4BAC52D6</paraID>
      <start>240</start>
      <end>241</end>
      <status>modified</status>
      <modifiedWord>（</modifiedWord>
      <trackRevisions>false</trackRevisions>
    </reviewItem>
    <reviewItem>
      <errorID>b1cad500-9f77-49b2-9e01-fdba52287ac6</errorID>
      <errorWord>)</errorWord>
      <group>L1_Format</group>
      <groupName>格式问题</groupName>
      <ability>L2_HalfPunc</ability>
      <abilityName>全半角检查</abilityName>
      <candidateList>
        <item>）</item>
      </candidateList>
      <explain>文本全半角错误。</explain>
      <paraID>4BAC52D6</paraID>
      <start>260</start>
      <end>261</end>
      <status>modified</status>
      <modifiedWord>）</modifiedWord>
      <trackRevisions>false</trackRevisions>
    </reviewItem>
    <reviewItem>
      <errorID>8ba9f87f-2f52-42a8-80b9-a624deaa07a1</errorID>
      <errorWord>(</errorWord>
      <group>L1_Format</group>
      <groupName>格式问题</groupName>
      <ability>L2_HalfPunc</ability>
      <abilityName>全半角检查</abilityName>
      <candidateList>
        <item>（</item>
      </candidateList>
      <explain>文本全半角错误。</explain>
      <paraID>4BAC52D6</paraID>
      <start>271</start>
      <end>272</end>
      <status>modified</status>
      <modifiedWord>（</modifiedWord>
      <trackRevisions>false</trackRevisions>
    </reviewItem>
    <reviewItem>
      <errorID>5b7c02bc-a2b9-415f-a7aa-ab735025d838</errorID>
      <errorWord>)</errorWord>
      <group>L1_Format</group>
      <groupName>格式问题</groupName>
      <ability>L2_HalfPunc</ability>
      <abilityName>全半角检查</abilityName>
      <candidateList>
        <item>）</item>
      </candidateList>
      <explain>文本全半角错误。</explain>
      <paraID>4BAC52D6</paraID>
      <start>286</start>
      <end>287</end>
      <status>modified</status>
      <modifiedWord>）</modifiedWord>
      <trackRevisions>false</trackRevisions>
    </reviewItem>
    <reviewItem>
      <errorID>e8bfbf68-b959-4ee6-82a3-883f3cb2c442</errorID>
      <errorWord>押出</errorWord>
      <group>L1_Word</group>
      <groupName>字词问题</groupName>
      <ability>L2_Typo</ability>
      <abilityName>字词错误</abilityName>
      <candidateList>
        <item>压出</item>
      </candidateList>
      <explain>存在发音相同字词的误用。</explain>
      <paraID>30B6AA60</paraID>
      <start>37</start>
      <end>39</end>
      <status>ignored</status>
      <modifiedWord/>
      <trackRevisions>false</trackRevisions>
    </reviewItem>
    <reviewItem>
      <errorID>141a7b4b-99a4-48e6-9db9-c7fcc656ec43</errorID>
      <errorWord>挤出包塑</errorWord>
      <group>L1_Knowledge</group>
      <groupName>知识性问题</groupName>
      <ability>L2_Term</ability>
      <abilityName>专业术语</abilityName>
      <candidateList>
        <item>挤出吹塑</item>
      </candidateList>
      <explain/>
      <paraID>75AD3EAB</paraID>
      <start>0</start>
      <end>4</end>
      <status>ignored</status>
      <modifiedWord/>
      <trackRevisions>false</trackRevisions>
    </reviewItem>
    <reviewItem>
      <errorID>6f8857d6-24d2-4f0e-a54b-f9cb60ef1847</errorID>
      <errorWord>有组织排放</errorWord>
      <group>L1_Knowledge</group>
      <groupName>知识性问题</groupName>
      <ability>L2_Term</ability>
      <abilityName>专业术语</abilityName>
      <candidateList>
        <item>无组织排放</item>
      </candidateList>
      <explain/>
      <paraID>75AD3EAB</paraID>
      <start>200</start>
      <end>205</end>
      <status>ignored</status>
      <modifiedWord/>
      <trackRevisions>false</trackRevisions>
    </reviewItem>
    <reviewItem>
      <errorID>a82e1f82-20d2-45ac-ac9c-15bcd7e37c15</errorID>
      <errorWord>则颗粒物</errorWord>
      <group>L1_Knowledge</group>
      <groupName>知识性问题</groupName>
      <ability>L2_Term</ability>
      <abilityName>专业术语</abilityName>
      <candidateList>
        <item>细颗粒物</item>
      </candidateList>
      <explain/>
      <paraID>43A2AAC2</paraID>
      <start>18</start>
      <end>22</end>
      <status>ignored</status>
      <modifiedWord/>
      <trackRevisions>false</trackRevisions>
    </reviewItem>
    <reviewItem>
      <errorID>90fc2218-c0af-4e9f-a68e-d682860f5849</errorID>
      <errorWord>则颗粒物</errorWord>
      <group>L1_Knowledge</group>
      <groupName>知识性问题</groupName>
      <ability>L2_Term</ability>
      <abilityName>专业术语</abilityName>
      <candidateList>
        <item>细颗粒物</item>
      </candidateList>
      <explain/>
      <paraID>43A2AAC2</paraID>
      <start>50</start>
      <end>54</end>
      <status>ignored</status>
      <modifiedWord/>
      <trackRevisions>false</trackRevisions>
    </reviewItem>
    <reviewItem>
      <errorID>f3be878a-adc8-4153-8941-42f1f4df2c6a</errorID>
      <errorWord>则颗粒物</errorWord>
      <group>L1_Knowledge</group>
      <groupName>知识性问题</groupName>
      <ability>L2_Term</ability>
      <abilityName>专业术语</abilityName>
      <candidateList>
        <item>细颗粒物</item>
      </candidateList>
      <explain/>
      <paraID>501F119C</paraID>
      <start>107</start>
      <end>111</end>
      <status>ignored</status>
      <modifiedWord/>
      <trackRevisions>false</trackRevisions>
    </reviewItem>
    <reviewItem>
      <errorID>ab431aaa-d2a4-4f60-b804-61f733f670e2</errorID>
      <errorWord>(</errorWord>
      <group>L1_Format</group>
      <groupName>格式问题</groupName>
      <ability>L2_HalfPunc</ability>
      <abilityName>全半角检查</abilityName>
      <candidateList>
        <item>（</item>
      </candidateList>
      <explain>文本全半角错误。</explain>
      <paraID>3D83C650</paraID>
      <start>338</start>
      <end>339</end>
      <status>modified</status>
      <modifiedWord>（</modifiedWord>
      <trackRevisions>false</trackRevisions>
    </reviewItem>
    <reviewItem>
      <errorID>f5c27ca0-36a3-482e-af98-e093b407235d</errorID>
      <errorWord>)</errorWord>
      <group>L1_Format</group>
      <groupName>格式问题</groupName>
      <ability>L2_HalfPunc</ability>
      <abilityName>全半角检查</abilityName>
      <candidateList>
        <item>）</item>
      </candidateList>
      <explain>文本全半角错误。</explain>
      <paraID>3D83C650</paraID>
      <start>358</start>
      <end>359</end>
      <status>modified</status>
      <modifiedWord>）</modifiedWord>
      <trackRevisions>false</trackRevisions>
    </reviewItem>
    <reviewItem>
      <errorID>e150f1ee-5502-4166-8666-5bfb227bf09f</errorID>
      <errorWord>(</errorWord>
      <group>L1_Format</group>
      <groupName>格式问题</groupName>
      <ability>L2_HalfPunc</ability>
      <abilityName>全半角检查</abilityName>
      <candidateList>
        <item>（</item>
      </candidateList>
      <explain>文本全半角错误。</explain>
      <paraID>3D83C650</paraID>
      <start>369</start>
      <end>370</end>
      <status>modified</status>
      <modifiedWord>（</modifiedWord>
      <trackRevisions>false</trackRevisions>
    </reviewItem>
    <reviewItem>
      <errorID>fb6a2bb7-1f32-45bc-9d42-e14b1b51e0ba</errorID>
      <errorWord>)</errorWord>
      <group>L1_Format</group>
      <groupName>格式问题</groupName>
      <ability>L2_HalfPunc</ability>
      <abilityName>全半角检查</abilityName>
      <candidateList>
        <item>）</item>
      </candidateList>
      <explain>文本全半角错误。</explain>
      <paraID>3D83C650</paraID>
      <start>384</start>
      <end>385</end>
      <status>modified</status>
      <modifiedWord>）</modifiedWord>
      <trackRevisions>false</trackRevisions>
    </reviewItem>
    <reviewItem>
      <errorID>51d9eb08-c64d-4a85-a0e6-01df6cd2c358</errorID>
      <errorWord>有组织排放</errorWord>
      <group>L1_Knowledge</group>
      <groupName>知识性问题</groupName>
      <ability>L2_Term</ability>
      <abilityName>专业术语</abilityName>
      <candidateList>
        <item>无组织排放</item>
      </candidateList>
      <explain/>
      <paraID>1B65A8C3</paraID>
      <start>315</start>
      <end>320</end>
      <status>ignored</status>
      <modifiedWord/>
      <trackRevisions>false</trackRevisions>
    </reviewItem>
    <reviewItem>
      <errorID>afe1c70c-beb9-4421-abe9-4422cc23cb67</errorID>
      <errorWord>小</errorWord>
      <group>L1_Word</group>
      <groupName>字词问题</groupName>
      <ability>L2_Typo</ability>
      <abilityName>字词错误</abilityName>
      <candidateList>
        <item>少</item>
      </candidateList>
      <explain>存在字形相近字词的误用。</explain>
      <paraID>7453C5BF</paraID>
      <start>44</start>
      <end>45</end>
      <status>modified</status>
      <modifiedWord>少</modifiedWord>
      <trackRevisions>false</trackRevisions>
    </reviewItem>
    <reviewItem>
      <errorID>a912bcf7-1398-4a46-9884-21dbe4e94c09</errorID>
      <errorWord>.</errorWord>
      <group>L1_Format</group>
      <groupName>格式问题</groupName>
      <ability>L2_HalfPunc</ability>
      <abilityName>全半角检查</abilityName>
      <candidateList>
        <item>。</item>
      </candidateList>
      <explain>文本全半角错误。</explain>
      <paraID>7453C5BF</paraID>
      <start>84</start>
      <end>85</end>
      <status>ignored</status>
      <modifiedWord/>
      <trackRevisions>false</trackRevisions>
    </reviewItem>
    <reviewItem>
      <errorID>f27e441c-8d87-484f-a555-c0997c3e2e39</errorID>
      <errorWord>挤出包塑</errorWord>
      <group>L1_Knowledge</group>
      <groupName>知识性问题</groupName>
      <ability>L2_Term</ability>
      <abilityName>专业术语</abilityName>
      <candidateList>
        <item>挤出吹塑</item>
      </candidateList>
      <explain/>
      <paraID>61C4849F</paraID>
      <start>0</start>
      <end>4</end>
      <status>ignored</status>
      <modifiedWord/>
      <trackRevisions>false</trackRevisions>
    </reviewItem>
    <reviewItem>
      <errorID>e83d93af-1985-465f-a7dd-0d2da4f83fe0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49A0127B</paraID>
      <start>0</start>
      <end>2</end>
      <status>ignored</status>
      <modifiedWord/>
      <trackRevisions>false</trackRevisions>
    </reviewItem>
    <reviewItem>
      <errorID>d1401829-6dfc-4bd1-9e59-e57e995dd1c1</errorID>
      <errorWord>精制</errorWord>
      <group>L1_Word</group>
      <groupName>字词问题</groupName>
      <ability>L2_Typo</ability>
      <abilityName>字词错误</abilityName>
      <candidateList>
        <item>净制</item>
      </candidateList>
      <explain/>
      <paraID>396D0E70</paraID>
      <start>128</start>
      <end>130</end>
      <status>ignored</status>
      <modifiedWord/>
      <trackRevisions>false</trackRevisions>
    </reviewItem>
    <reviewItem>
      <errorID>23e87f96-e230-44f7-80f7-573ea1f4bc8d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22776645</paraID>
      <start>0</start>
      <end>2</end>
      <status>ignored</status>
      <modifiedWord/>
      <trackRevisions>false</trackRevisions>
    </reviewItem>
    <reviewItem>
      <errorID>7633815e-cc18-4836-9bd3-bb689a70ba96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645664CA</paraID>
      <start>0</start>
      <end>2</end>
      <status>ignored</status>
      <modifiedWord/>
      <trackRevisions>false</trackRevisions>
    </reviewItem>
    <reviewItem>
      <errorID>4ae666b4-9c3e-430f-a858-5e63fe284c93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68744ED6</paraID>
      <start>0</start>
      <end>2</end>
      <status>ignored</status>
      <modifiedWord/>
      <trackRevisions>false</trackRevisions>
    </reviewItem>
    <reviewItem>
      <errorID>62af4a79-af13-4825-8b08-fa9d51eac921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2488F1C7</paraID>
      <start>0</start>
      <end>2</end>
      <status>ignored</status>
      <modifiedWord/>
      <trackRevisions>false</trackRevisions>
    </reviewItem>
    <reviewItem>
      <errorID>f7f4fefb-f396-4104-85d9-5c2a36fe7966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18FF71A2</paraID>
      <start>0</start>
      <end>2</end>
      <status>ignored</status>
      <modifiedWord/>
      <trackRevisions>false</trackRevisions>
    </reviewItem>
    <reviewItem>
      <errorID>726cac45-da98-4e84-b6b3-35466640a327</errorID>
      <errorWord>用排水</errorWord>
      <group>L1_Word</group>
      <groupName>字词问题</groupName>
      <ability>L2_Typo</ability>
      <abilityName>字词错误</abilityName>
      <candidateList>
        <item>供排水</item>
      </candidateList>
      <explain>存在发音相近字词的误用。</explain>
      <paraID>18FF71A2</paraID>
      <start>4</start>
      <end>7</end>
      <status>ignored</status>
      <modifiedWord/>
      <trackRevisions>false</trackRevisions>
    </reviewItem>
    <reviewItem>
      <errorID>283584d1-8258-44ba-936b-dc478137b4d6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21AF93DA</paraID>
      <start>0</start>
      <end>2</end>
      <status>ignored</status>
      <modifiedWord/>
      <trackRevisions>false</trackRevisions>
    </reviewItem>
    <reviewItem>
      <errorID>86db54a7-7243-4a76-ad46-4cd7cfdfdac5</errorID>
      <errorWord>来接纳</errorWord>
      <group>L1_Word</group>
      <groupName>字词问题</groupName>
      <ability>L2_Typo</ability>
      <abilityName>字词错误</abilityName>
      <candidateList>
        <item>未接纳</item>
      </candidateList>
      <explain/>
      <paraID>55C271D8</paraID>
      <start>195</start>
      <end>198</end>
      <status>ignored</status>
      <modifiedWord/>
      <trackRevisions>false</trackRevisions>
    </reviewItem>
    <reviewItem>
      <errorID>acd7589b-5c05-4045-ba73-55d507c69d42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1241E064</paraID>
      <start>0</start>
      <end>2</end>
      <status>ignored</status>
      <modifiedWord/>
      <trackRevisions>false</trackRevisions>
    </reviewItem>
    <reviewItem>
      <errorID>f9d74299-8c76-4ff5-bbb9-bc61ecea39e1</errorID>
      <errorWord>污染源排放量</errorWord>
      <group>L1_Knowledge</group>
      <groupName>知识性问题</groupName>
      <ability>L2_Term</ability>
      <abilityName>专业术语</abilityName>
      <candidateList>
        <item>污染物排放量</item>
      </candidateList>
      <explain/>
      <paraID>2CC1BA4E</paraID>
      <start>61</start>
      <end>67</end>
      <status>ignored</status>
      <modifiedWord/>
      <trackRevisions>false</trackRevisions>
    </reviewItem>
    <reviewItem>
      <errorID>31081e9d-d14a-46a5-b81d-28d1721fbcf1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1F2053FD</paraID>
      <start>0</start>
      <end>2</end>
      <status>ignored</status>
      <modifiedWord/>
      <trackRevisions>false</trackRevisions>
    </reviewItem>
    <reviewItem>
      <errorID>b95b276b-4ffb-48ab-ab3b-28f182eb455b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33979BBC</paraID>
      <start>0</start>
      <end>2</end>
      <status>ignored</status>
      <modifiedWord/>
      <trackRevisions>false</trackRevisions>
    </reviewItem>
    <reviewItem>
      <errorID>f6ac666f-1782-491c-a558-b7f2f559f6c8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70F2C4B8</paraID>
      <start>0</start>
      <end>2</end>
      <status>ignored</status>
      <modifiedWord/>
      <trackRevisions>false</trackRevisions>
    </reviewItem>
    <reviewItem>
      <errorID>570906ed-3e58-413a-9844-b7c03d680587</errorID>
      <errorWord>做</errorWord>
      <group>L1_Word</group>
      <groupName>字词问题</groupName>
      <ability>L2_Typo</ability>
      <abilityName>字词错误</abilityName>
      <candidateList>
        <item>作</item>
      </candidateList>
      <explain>存在发音相同字词的误用。</explain>
      <paraID>13537877</paraID>
      <start>44</start>
      <end>45</end>
      <status>modified</status>
      <modifiedWord>作</modifiedWord>
      <trackRevisions>false</trackRevisions>
    </reviewItem>
    <reviewItem>
      <errorID>65df287d-c0cb-43be-9b12-491f07447bda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3C5EB7CB</paraID>
      <start>0</start>
      <end>2</end>
      <status>ignored</status>
      <modifiedWord/>
      <trackRevisions>false</trackRevisions>
    </reviewItem>
    <reviewItem>
      <errorID>29f498c8-a50a-4c47-90b7-53b3deebbd6b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3D65325D</paraID>
      <start>0</start>
      <end>2</end>
      <status>ignored</status>
      <modifiedWord/>
      <trackRevisions>false</trackRevisions>
    </reviewItem>
    <reviewItem>
      <errorID>aa4e602c-dfb4-4586-8f36-393fe29c2f0e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4F2A341E</paraID>
      <start>0</start>
      <end>2</end>
      <status>ignored</status>
      <modifiedWord/>
      <trackRevisions>false</trackRevisions>
    </reviewItem>
    <reviewItem>
      <errorID>34eaa2fe-8303-48a4-9ba1-c14645122d38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4838B8EE</paraID>
      <start>69</start>
      <end>70</end>
      <status>ignored</status>
      <modifiedWord/>
      <trackRevisions>false</trackRevisions>
    </reviewItem>
    <reviewItem>
      <errorID>880ae562-c6c5-495c-8559-bb77ab36ab8c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4838B8EE</paraID>
      <start>111</start>
      <end>112</end>
      <status>ignored</status>
      <modifiedWord/>
      <trackRevisions>false</trackRevisions>
    </reviewItem>
    <reviewItem>
      <errorID>552b2bf7-4a05-419a-9121-c40053260788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4ECEB21</paraID>
      <start>32</start>
      <end>33</end>
      <status>ignored</status>
      <modifiedWord/>
      <trackRevisions>false</trackRevisions>
    </reviewItem>
    <reviewItem>
      <errorID>3bce4bc5-4e8c-47bd-8b91-3f2f79d7e74d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4ECEB21</paraID>
      <start>74</start>
      <end>75</end>
      <status>ignored</status>
      <modifiedWord/>
      <trackRevisions>false</trackRevisions>
    </reviewItem>
    <reviewItem>
      <errorID>eef266a6-68d7-4a50-a424-8ae72577b82a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3D9A7452</paraID>
      <start>0</start>
      <end>2</end>
      <status>ignored</status>
      <modifiedWord/>
      <trackRevisions>false</trackRevisions>
    </reviewItem>
    <reviewItem>
      <errorID>c75fb90e-7cf4-4235-b79f-657949019bf5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2F4CFA28</paraID>
      <start>0</start>
      <end>2</end>
      <status>ignored</status>
      <modifiedWord/>
      <trackRevisions>false</trackRevisions>
    </reviewItem>
    <reviewItem>
      <errorID>696428f1-b9ad-4880-938f-45275fd3d869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5413C5A0</paraID>
      <start>47</start>
      <end>48</end>
      <status>ignored</status>
      <modifiedWord/>
      <trackRevisions>false</trackRevisions>
    </reviewItem>
    <reviewItem>
      <errorID>e6aadedb-5ea7-4dc1-bca3-b5103bf5164d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198DA56D</paraID>
      <start>22</start>
      <end>23</end>
      <status>ignored</status>
      <modifiedWord/>
      <trackRevisions>false</trackRevisions>
    </reviewItem>
    <reviewItem>
      <errorID>f6993dac-e838-46ae-9aed-ccd5ad310714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5F5F0DA4</paraID>
      <start>0</start>
      <end>2</end>
      <status>ignored</status>
      <modifiedWord/>
      <trackRevisions>false</trackRevisions>
    </reviewItem>
    <reviewItem>
      <errorID>1c686200-d366-4d65-9dd6-ef209b5083ab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787387C1</paraID>
      <start>0</start>
      <end>2</end>
      <status>ignored</status>
      <modifiedWord/>
      <trackRevisions>false</trackRevisions>
    </reviewItem>
    <reviewItem>
      <errorID>b8df069d-369b-4bea-979b-9464bd50f52c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1C82AF4B</paraID>
      <start>0</start>
      <end>2</end>
      <status>ignored</status>
      <modifiedWord/>
      <trackRevisions>false</trackRevisions>
    </reviewItem>
    <reviewItem>
      <errorID>001a9469-5741-4163-8120-b0a0a70b14eb</errorID>
      <errorWord>、等</errorWord>
      <group>L1_Punc</group>
      <groupName>标点问题</groupName>
      <ability>L2_Punc</ability>
      <abilityName>标点符号检查</abilityName>
      <candidateList>
        <item>等</item>
      </candidateList>
      <explain>“及”“和”“等”连词前不宜使用顿号，建议删除（或使用逗号）。</explain>
      <paraID>67995A2F</paraID>
      <start>5</start>
      <end>6</end>
      <status>modified</status>
      <modifiedWord>等</modifiedWord>
      <trackRevisions>false</trackRevisions>
    </reviewItem>
    <reviewItem>
      <errorID>2541cf36-8c61-455e-81bb-30b3963625cd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14F97607</paraID>
      <start>0</start>
      <end>2</end>
      <status>ignored</status>
      <modifiedWord/>
      <trackRevisions>false</trackRevisions>
    </reviewItem>
    <reviewItem>
      <errorID>c2b0fa84-4d3a-4481-a6c4-3605ff2429ea</errorID>
      <errorWord>泄露</errorWord>
      <group>L1_Word</group>
      <groupName>字词问题</groupName>
      <ability>L2_Typo</ability>
      <abilityName>字词错误</abilityName>
      <candidateList>
        <item>泄漏</item>
      </candidateList>
      <explain/>
      <paraID>1E13884A</paraID>
      <start>66</start>
      <end>68</end>
      <status>modified</status>
      <modifiedWord>泄漏</modifiedWord>
      <trackRevisions>false</trackRevisions>
    </reviewItem>
    <reviewItem>
      <errorID>6865f511-6908-49a3-9cbb-44ce485babd6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281FA39E</paraID>
      <start>0</start>
      <end>2</end>
      <status>ignored</status>
      <modifiedWord/>
      <trackRevisions>false</trackRevisions>
    </reviewItem>
    <reviewItem>
      <errorID>8c4b49c8-27fa-4468-932d-b9fed4f2b71a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44DD02E</paraID>
      <start>0</start>
      <end>2</end>
      <status>ignored</status>
      <modifiedWord/>
      <trackRevisions>false</trackRevisions>
    </reviewItem>
    <reviewItem>
      <errorID>3b18d5b3-8daa-4a4c-9f89-03e497d3e414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55666B83</paraID>
      <start>0</start>
      <end>2</end>
      <status>ignored</status>
      <modifiedWord/>
      <trackRevisions>false</trackRevisions>
    </reviewItem>
    <reviewItem>
      <errorID>9d0b5dd7-ebad-4bc9-862a-7cd54ee28434</errorID>
      <errorWord>-</errorWord>
      <group>L1_Format</group>
      <groupName>格式问题</groupName>
      <ability>L2_HalfPunc</ability>
      <abilityName>全半角检查</abilityName>
      <candidateList>
        <item>－</item>
      </candidateList>
      <explain>文本全半角错误。</explain>
      <paraID>3A9C2878</paraID>
      <start>71</start>
      <end>72</end>
      <status>ignored</status>
      <modifiedWord/>
      <trackRevisions>false</trackRevisions>
    </reviewItem>
    <reviewItem>
      <errorID>7ef38ec1-0008-43f9-a44e-8d050d232ad7</errorID>
      <errorWord>围</errorWord>
      <group>L1_Word</group>
      <groupName>字词问题</groupName>
      <ability>L2_Typo</ability>
      <abilityName>字词错误</abilityName>
      <candidateList>
        <item>围内</item>
      </candidateList>
      <explain/>
      <paraID>24BCF890</paraID>
      <start>107</start>
      <end>108</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2776e0e-a6cf-41fc-92d0-ad7ecfff9625}">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126</Pages>
  <Words>7026</Words>
  <Characters>7651</Characters>
  <Lines>1</Lines>
  <Paragraphs>1</Paragraphs>
  <TotalTime>6</TotalTime>
  <ScaleCrop>false</ScaleCrop>
  <LinksUpToDate>false</LinksUpToDate>
  <CharactersWithSpaces>7704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2023-08-24T03:02:00Z</dcterms:created>
  <dc:creator>洪慧唯婷</dc:creator>
  <cp:lastModifiedBy>建所</cp:lastModifiedBy>
  <cp:lastPrinted>2023-12-19T08:01:00Z</cp:lastPrinted>
  <dcterms:modified xsi:type="dcterms:W3CDTF">2026-02-03T01:02:21Z</dcterms:modified>
  <dc:title>京工源-铝型材及精密铝制品-报告表</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2D2BA2F09D1E4AE6887404D0F69F0168_13</vt:lpwstr>
  </property>
  <property fmtid="{D5CDD505-2E9C-101B-9397-08002B2CF9AE}" pid="4" name="KSOTemplateDocerSaveRecord">
    <vt:lpwstr>eyJoZGlkIjoiZDhjYjQ5ODkwM2M1NDEwZGU1NzJhNzZiODkzMGIwNGIiLCJ1c2VySWQiOiI2MzI1NDI5NTcifQ==</vt:lpwstr>
  </property>
</Properties>
</file>